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3421" w14:textId="06DFB5B1" w:rsidR="0059604F" w:rsidRPr="00DB699B" w:rsidRDefault="008B7F57" w:rsidP="0013039E">
      <w:pPr>
        <w:pStyle w:val="1-MainHeading"/>
        <w:keepLines/>
        <w:ind w:left="851" w:hanging="851"/>
      </w:pPr>
      <w:bookmarkStart w:id="0" w:name="_Toc124863491"/>
      <w:bookmarkStart w:id="1" w:name="_Toc107927616"/>
      <w:r>
        <w:t>6.1</w:t>
      </w:r>
      <w:r w:rsidR="009A14F9">
        <w:t>3</w:t>
      </w:r>
      <w:r w:rsidR="0059604F" w:rsidRPr="00DB699B">
        <w:tab/>
        <w:t>UPADACITINIB,</w:t>
      </w:r>
      <w:r w:rsidR="000B1E4E">
        <w:t xml:space="preserve"> </w:t>
      </w:r>
      <w:r w:rsidR="000B1E4E">
        <w:br/>
      </w:r>
      <w:r w:rsidR="0059604F" w:rsidRPr="00DB699B">
        <w:t>Tablet 15 mg</w:t>
      </w:r>
      <w:r w:rsidR="00D05867">
        <w:t>,</w:t>
      </w:r>
      <w:r w:rsidR="00507D16">
        <w:br/>
      </w:r>
      <w:r w:rsidR="0059604F" w:rsidRPr="00DB699B">
        <w:t>Tablet 30 mg</w:t>
      </w:r>
      <w:r w:rsidR="00D05867">
        <w:t>,</w:t>
      </w:r>
      <w:r w:rsidR="00507D16">
        <w:br/>
      </w:r>
      <w:r w:rsidR="0059604F" w:rsidRPr="00DB699B">
        <w:t>Tablet 45 mg,</w:t>
      </w:r>
      <w:r w:rsidR="0059604F" w:rsidRPr="00DB699B">
        <w:br/>
        <w:t>Rinvoq®,</w:t>
      </w:r>
      <w:r w:rsidR="0059604F">
        <w:br/>
      </w:r>
      <w:r w:rsidR="00CE664F" w:rsidRPr="001F6F48">
        <w:t>AbbVie</w:t>
      </w:r>
      <w:r w:rsidR="001F6F48" w:rsidRPr="001F6F48">
        <w:t xml:space="preserve"> Pty Ltd</w:t>
      </w:r>
      <w:bookmarkEnd w:id="0"/>
    </w:p>
    <w:p w14:paraId="40EB3D28" w14:textId="7D1AFAE4" w:rsidR="0059604F" w:rsidRPr="00850BEC" w:rsidRDefault="0059604F" w:rsidP="00850BEC">
      <w:pPr>
        <w:pStyle w:val="2-SectionHeading"/>
        <w:keepLines/>
      </w:pPr>
      <w:bookmarkStart w:id="2" w:name="_Toc107927618"/>
      <w:bookmarkStart w:id="3" w:name="_Toc124863493"/>
      <w:bookmarkEnd w:id="1"/>
      <w:r w:rsidRPr="00850BEC">
        <w:t>Purpose of submission</w:t>
      </w:r>
      <w:bookmarkEnd w:id="2"/>
      <w:bookmarkEnd w:id="3"/>
    </w:p>
    <w:p w14:paraId="1B95FC5A" w14:textId="2B93BCFC" w:rsidR="0059604F" w:rsidRPr="008B1757" w:rsidRDefault="0059604F" w:rsidP="004E18E9">
      <w:pPr>
        <w:pStyle w:val="3-BodyText"/>
      </w:pPr>
      <w:r w:rsidRPr="00850BEC">
        <w:t>The Category 2 submission requested a General Schedule</w:t>
      </w:r>
      <w:r w:rsidR="00073A49" w:rsidRPr="00850BEC">
        <w:t>,</w:t>
      </w:r>
      <w:r w:rsidRPr="00850BEC">
        <w:t xml:space="preserve"> Authority Required (written) listing of</w:t>
      </w:r>
      <w:r>
        <w:t xml:space="preserve"> upadacitinib</w:t>
      </w:r>
      <w:r w:rsidRPr="004E18E9">
        <w:t xml:space="preserve"> for the treatment of </w:t>
      </w:r>
      <w:r>
        <w:t xml:space="preserve">severe Crohn disease (CD) </w:t>
      </w:r>
      <w:r w:rsidRPr="00795A08">
        <w:t>under the same restrictions and clinical criteria as the other PBS-listed biologics</w:t>
      </w:r>
      <w:r w:rsidRPr="00C527C7">
        <w:t>.</w:t>
      </w:r>
      <w:r w:rsidR="00B3534D">
        <w:t xml:space="preserve"> </w:t>
      </w:r>
      <w:r w:rsidR="00B3534D" w:rsidRPr="00B3534D">
        <w:t>The submission was provided for consideration at the March 2023 meeting; however, it was considered at the July 2023 meeting</w:t>
      </w:r>
      <w:r w:rsidR="00B3534D">
        <w:t>.</w:t>
      </w:r>
    </w:p>
    <w:p w14:paraId="63FED3D9" w14:textId="609FC489" w:rsidR="0059604F" w:rsidRDefault="0059604F" w:rsidP="004E18E9">
      <w:pPr>
        <w:pStyle w:val="3-BodyText"/>
      </w:pPr>
      <w:r w:rsidRPr="005750C5">
        <w:t xml:space="preserve">Listing was requested </w:t>
      </w:r>
      <w:proofErr w:type="gramStart"/>
      <w:r w:rsidRPr="005750C5">
        <w:t>on the basis of</w:t>
      </w:r>
      <w:proofErr w:type="gramEnd"/>
      <w:r w:rsidRPr="005750C5">
        <w:t xml:space="preserve"> a cost-minimisation</w:t>
      </w:r>
      <w:r>
        <w:t xml:space="preserve"> approach </w:t>
      </w:r>
      <w:r w:rsidRPr="005750C5">
        <w:t>versus</w:t>
      </w:r>
      <w:r>
        <w:t xml:space="preserve"> adalimumab.</w:t>
      </w:r>
    </w:p>
    <w:p w14:paraId="42120CCA" w14:textId="33DD1CDA" w:rsidR="0059604F" w:rsidRPr="004A6040" w:rsidRDefault="0059604F" w:rsidP="004A6040">
      <w:pPr>
        <w:pStyle w:val="TableFigureHeading"/>
        <w:rPr>
          <w:rStyle w:val="CommentReference"/>
          <w:b/>
          <w:szCs w:val="24"/>
        </w:rPr>
      </w:pPr>
      <w:r>
        <w:t xml:space="preserve">Table </w:t>
      </w:r>
      <w:fldSimple w:instr=" SEQ Table \* ARABIC " w:fldLock="1">
        <w:r w:rsidR="0033335A">
          <w:rPr>
            <w:noProof/>
          </w:rPr>
          <w:t>1</w:t>
        </w:r>
      </w:fldSimple>
      <w:r>
        <w:t>:</w:t>
      </w:r>
      <w:r w:rsidRPr="004A6040">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59604F" w:rsidRPr="00691913" w14:paraId="2B0B7B39" w14:textId="77777777" w:rsidTr="007475E8">
        <w:trPr>
          <w:cantSplit/>
          <w:tblHeader/>
        </w:trPr>
        <w:tc>
          <w:tcPr>
            <w:tcW w:w="705" w:type="pct"/>
            <w:shd w:val="clear" w:color="auto" w:fill="auto"/>
          </w:tcPr>
          <w:p w14:paraId="49817CDF" w14:textId="77777777" w:rsidR="0059604F" w:rsidRPr="008B1757" w:rsidRDefault="0059604F" w:rsidP="00097C1E">
            <w:pPr>
              <w:pStyle w:val="In-tableHeading"/>
              <w:jc w:val="center"/>
              <w:rPr>
                <w:szCs w:val="20"/>
              </w:rPr>
            </w:pPr>
            <w:r w:rsidRPr="008B1757">
              <w:t>Component</w:t>
            </w:r>
          </w:p>
        </w:tc>
        <w:tc>
          <w:tcPr>
            <w:tcW w:w="4295" w:type="pct"/>
            <w:shd w:val="clear" w:color="auto" w:fill="auto"/>
          </w:tcPr>
          <w:p w14:paraId="07A0488A" w14:textId="77777777" w:rsidR="0059604F" w:rsidRPr="008B1757" w:rsidRDefault="0059604F" w:rsidP="00097C1E">
            <w:pPr>
              <w:pStyle w:val="In-tableHeading"/>
              <w:jc w:val="center"/>
            </w:pPr>
            <w:r w:rsidRPr="008B1757">
              <w:t>Description</w:t>
            </w:r>
          </w:p>
        </w:tc>
      </w:tr>
      <w:tr w:rsidR="0059604F" w:rsidRPr="00691913" w14:paraId="7340A4CA" w14:textId="77777777" w:rsidTr="007475E8">
        <w:trPr>
          <w:cantSplit/>
          <w:tblHeader/>
        </w:trPr>
        <w:tc>
          <w:tcPr>
            <w:tcW w:w="705" w:type="pct"/>
            <w:shd w:val="clear" w:color="auto" w:fill="auto"/>
          </w:tcPr>
          <w:p w14:paraId="7283102C" w14:textId="77777777" w:rsidR="0059604F" w:rsidRPr="00691913" w:rsidRDefault="0059604F" w:rsidP="004A6040">
            <w:pPr>
              <w:pStyle w:val="TableText0"/>
            </w:pPr>
            <w:r w:rsidRPr="00691913">
              <w:t>Population</w:t>
            </w:r>
          </w:p>
        </w:tc>
        <w:tc>
          <w:tcPr>
            <w:tcW w:w="4295" w:type="pct"/>
            <w:shd w:val="clear" w:color="auto" w:fill="auto"/>
          </w:tcPr>
          <w:p w14:paraId="2910595A" w14:textId="77777777" w:rsidR="0059604F" w:rsidRPr="001E1E86" w:rsidRDefault="0059604F" w:rsidP="00233C01">
            <w:pPr>
              <w:pStyle w:val="TableText0"/>
              <w:rPr>
                <w:szCs w:val="20"/>
              </w:rPr>
            </w:pPr>
            <w:r w:rsidRPr="00C2285D">
              <w:t>Adults with severe Crohn disease who have failed to achieve an adequate response, or are contraindicated, to prior systemic therapy</w:t>
            </w:r>
          </w:p>
        </w:tc>
      </w:tr>
      <w:tr w:rsidR="0059604F" w:rsidRPr="00691913" w14:paraId="7638C17C" w14:textId="77777777" w:rsidTr="007475E8">
        <w:trPr>
          <w:cantSplit/>
          <w:tblHeader/>
        </w:trPr>
        <w:tc>
          <w:tcPr>
            <w:tcW w:w="705" w:type="pct"/>
            <w:shd w:val="clear" w:color="auto" w:fill="auto"/>
          </w:tcPr>
          <w:p w14:paraId="11FEC415" w14:textId="77777777" w:rsidR="0059604F" w:rsidRPr="00691913" w:rsidRDefault="0059604F" w:rsidP="004A6040">
            <w:pPr>
              <w:pStyle w:val="TableText0"/>
            </w:pPr>
            <w:r w:rsidRPr="00691913">
              <w:t>Intervention</w:t>
            </w:r>
          </w:p>
        </w:tc>
        <w:tc>
          <w:tcPr>
            <w:tcW w:w="4295" w:type="pct"/>
            <w:shd w:val="clear" w:color="auto" w:fill="auto"/>
          </w:tcPr>
          <w:p w14:paraId="75B52647" w14:textId="77777777" w:rsidR="0059604F" w:rsidRDefault="0059604F" w:rsidP="00097C1E">
            <w:pPr>
              <w:pStyle w:val="TableText0"/>
            </w:pPr>
            <w:r>
              <w:t xml:space="preserve">Induction regimen: upadacitinib 45 mg oral modified release tablet once daily for 12 weeks </w:t>
            </w:r>
          </w:p>
          <w:p w14:paraId="418A6B07" w14:textId="77777777" w:rsidR="0059604F" w:rsidRPr="00691913" w:rsidRDefault="0059604F" w:rsidP="00097C1E">
            <w:pPr>
              <w:pStyle w:val="TableText0"/>
            </w:pPr>
            <w:r>
              <w:t>Maintenance regimen: upadacitinib 15 mg or 30 mg oral tablet once daily thereafter</w:t>
            </w:r>
          </w:p>
        </w:tc>
      </w:tr>
      <w:tr w:rsidR="0059604F" w:rsidRPr="00691913" w14:paraId="1BC91BCA" w14:textId="77777777" w:rsidTr="007475E8">
        <w:trPr>
          <w:cantSplit/>
          <w:tblHeader/>
        </w:trPr>
        <w:tc>
          <w:tcPr>
            <w:tcW w:w="705" w:type="pct"/>
            <w:shd w:val="clear" w:color="auto" w:fill="auto"/>
          </w:tcPr>
          <w:p w14:paraId="7A6398FF" w14:textId="77777777" w:rsidR="0059604F" w:rsidRPr="00691913" w:rsidRDefault="0059604F" w:rsidP="004A6040">
            <w:pPr>
              <w:pStyle w:val="TableText0"/>
            </w:pPr>
            <w:r w:rsidRPr="00691913">
              <w:t>Comparator</w:t>
            </w:r>
          </w:p>
        </w:tc>
        <w:tc>
          <w:tcPr>
            <w:tcW w:w="4295" w:type="pct"/>
            <w:shd w:val="clear" w:color="auto" w:fill="auto"/>
          </w:tcPr>
          <w:p w14:paraId="59F15EA7" w14:textId="77777777" w:rsidR="0059604F" w:rsidRPr="00691913" w:rsidRDefault="0059604F" w:rsidP="001E1E86">
            <w:pPr>
              <w:pStyle w:val="TableText0"/>
            </w:pPr>
            <w:r w:rsidRPr="00C2285D">
              <w:t>As there is no pharmacological analogue, infliximab, adalimumab, vedolizumab, ustekinumab and risankizumab are all relevant comparators</w:t>
            </w:r>
          </w:p>
        </w:tc>
      </w:tr>
      <w:tr w:rsidR="0059604F" w:rsidRPr="00691913" w14:paraId="0BFEE5BA" w14:textId="77777777" w:rsidTr="007475E8">
        <w:trPr>
          <w:cantSplit/>
          <w:tblHeader/>
        </w:trPr>
        <w:tc>
          <w:tcPr>
            <w:tcW w:w="705" w:type="pct"/>
            <w:shd w:val="clear" w:color="auto" w:fill="auto"/>
          </w:tcPr>
          <w:p w14:paraId="0D3BD62C" w14:textId="77777777" w:rsidR="0059604F" w:rsidRPr="00C2285D" w:rsidRDefault="0059604F" w:rsidP="004A6040">
            <w:pPr>
              <w:pStyle w:val="TableText0"/>
              <w:rPr>
                <w:vertAlign w:val="superscript"/>
              </w:rPr>
            </w:pPr>
            <w:r w:rsidRPr="00691913">
              <w:t>Outcomes</w:t>
            </w:r>
            <w:r>
              <w:t xml:space="preserve"> </w:t>
            </w:r>
            <w:r>
              <w:rPr>
                <w:vertAlign w:val="superscript"/>
              </w:rPr>
              <w:t>a</w:t>
            </w:r>
          </w:p>
        </w:tc>
        <w:tc>
          <w:tcPr>
            <w:tcW w:w="4295" w:type="pct"/>
            <w:shd w:val="clear" w:color="auto" w:fill="auto"/>
          </w:tcPr>
          <w:p w14:paraId="4B941BE4" w14:textId="77777777" w:rsidR="0059604F" w:rsidRPr="001E1E86" w:rsidRDefault="0059604F" w:rsidP="004A6040">
            <w:pPr>
              <w:pStyle w:val="TableText0"/>
              <w:rPr>
                <w:rFonts w:eastAsia="Times New Roman" w:cs="Arial"/>
                <w:bCs w:val="0"/>
                <w:snapToGrid w:val="0"/>
                <w:color w:val="0066FF"/>
                <w:szCs w:val="20"/>
              </w:rPr>
            </w:pPr>
            <w:r w:rsidRPr="00C2285D">
              <w:t>Clinical remission, clinical response, safety</w:t>
            </w:r>
          </w:p>
        </w:tc>
      </w:tr>
      <w:tr w:rsidR="0059604F" w:rsidRPr="00691913" w14:paraId="3C4D76CF" w14:textId="77777777" w:rsidTr="007475E8">
        <w:trPr>
          <w:cantSplit/>
          <w:tblHeader/>
        </w:trPr>
        <w:tc>
          <w:tcPr>
            <w:tcW w:w="705" w:type="pct"/>
            <w:shd w:val="clear" w:color="auto" w:fill="auto"/>
          </w:tcPr>
          <w:p w14:paraId="4CBFD9A0" w14:textId="77777777" w:rsidR="0059604F" w:rsidRPr="00691913" w:rsidRDefault="0059604F" w:rsidP="004A6040">
            <w:pPr>
              <w:pStyle w:val="TableText0"/>
            </w:pPr>
            <w:r w:rsidRPr="00691913">
              <w:t>Clinical claim</w:t>
            </w:r>
          </w:p>
        </w:tc>
        <w:tc>
          <w:tcPr>
            <w:tcW w:w="4295" w:type="pct"/>
            <w:shd w:val="clear" w:color="auto" w:fill="auto"/>
          </w:tcPr>
          <w:p w14:paraId="770CACC8" w14:textId="77777777" w:rsidR="0059604F" w:rsidRPr="001E1E86" w:rsidRDefault="0059604F" w:rsidP="00D43D83">
            <w:pPr>
              <w:pStyle w:val="TableText0"/>
              <w:rPr>
                <w:rFonts w:eastAsia="Times New Roman" w:cs="Arial"/>
                <w:bCs w:val="0"/>
                <w:snapToGrid w:val="0"/>
                <w:color w:val="0066FF"/>
                <w:szCs w:val="20"/>
              </w:rPr>
            </w:pPr>
            <w:r w:rsidRPr="00C2285D">
              <w:t>Upadacitinib is non-inferior to infliximab, adalimumab, vedolizumab, ustekinumab and risankizumab at achieving clinical response and clinical remission and non-inferior in terms of safety</w:t>
            </w:r>
          </w:p>
        </w:tc>
      </w:tr>
    </w:tbl>
    <w:p w14:paraId="02D3AA4F" w14:textId="77777777" w:rsidR="0059604F" w:rsidRDefault="0059604F" w:rsidP="00097C1E">
      <w:pPr>
        <w:pStyle w:val="FooterTableFigure"/>
      </w:pPr>
      <w:r>
        <w:t xml:space="preserve">Source: Table 1-1, pp13-14 of the submission. </w:t>
      </w:r>
    </w:p>
    <w:p w14:paraId="0D395AA4" w14:textId="7299DDA0" w:rsidR="0059604F" w:rsidRPr="002C7A1D" w:rsidRDefault="0059604F" w:rsidP="00097C1E">
      <w:pPr>
        <w:pStyle w:val="FooterTableFigure"/>
      </w:pPr>
      <w:proofErr w:type="gramStart"/>
      <w:r w:rsidRPr="002C7A1D">
        <w:rPr>
          <w:vertAlign w:val="superscript"/>
        </w:rPr>
        <w:t>a</w:t>
      </w:r>
      <w:proofErr w:type="gramEnd"/>
      <w:r w:rsidRPr="002C7A1D">
        <w:rPr>
          <w:vertAlign w:val="superscript"/>
        </w:rPr>
        <w:t xml:space="preserve"> </w:t>
      </w:r>
      <w:r w:rsidRPr="002C7A1D">
        <w:t xml:space="preserve">Outcomes defined as follows: Clinical response: CDAI reduction of ≥100 points from baseline; Clinical remission: CDAI &lt;150. </w:t>
      </w:r>
    </w:p>
    <w:p w14:paraId="6C56F30F" w14:textId="77777777" w:rsidR="0059604F" w:rsidRPr="004A6040" w:rsidRDefault="0059604F" w:rsidP="00097C1E">
      <w:pPr>
        <w:pStyle w:val="FooterTableFigure"/>
        <w:rPr>
          <w:sz w:val="20"/>
        </w:rPr>
      </w:pPr>
      <w:r w:rsidRPr="002C7A1D">
        <w:t>CDAI= Crohn’s Disease Activity Index</w:t>
      </w:r>
      <w:r>
        <w:t>.</w:t>
      </w:r>
    </w:p>
    <w:p w14:paraId="5EB78119" w14:textId="77777777" w:rsidR="0059604F" w:rsidRPr="00407F2D" w:rsidRDefault="0059604F" w:rsidP="004A6040">
      <w:pPr>
        <w:pStyle w:val="2-SectionHeading"/>
      </w:pPr>
      <w:bookmarkStart w:id="4" w:name="_Toc107927619"/>
      <w:bookmarkStart w:id="5" w:name="_Toc124863494"/>
      <w:r w:rsidRPr="00407F2D">
        <w:t>Background</w:t>
      </w:r>
      <w:bookmarkEnd w:id="4"/>
      <w:bookmarkEnd w:id="5"/>
    </w:p>
    <w:p w14:paraId="40E073F9" w14:textId="0F180906" w:rsidR="0059604F" w:rsidRPr="00924CD7" w:rsidRDefault="0059604F" w:rsidP="004A6040">
      <w:pPr>
        <w:pStyle w:val="4-SubsectionHeading"/>
      </w:pPr>
      <w:bookmarkStart w:id="6" w:name="_Toc22897638"/>
      <w:bookmarkStart w:id="7" w:name="_Toc107927620"/>
      <w:bookmarkStart w:id="8" w:name="_Toc124863495"/>
      <w:r w:rsidRPr="00924CD7">
        <w:t>Registration status</w:t>
      </w:r>
      <w:bookmarkEnd w:id="6"/>
      <w:bookmarkEnd w:id="7"/>
      <w:bookmarkEnd w:id="8"/>
    </w:p>
    <w:p w14:paraId="7DCDF3C4" w14:textId="3A088D27" w:rsidR="0059604F" w:rsidRPr="00BF589C" w:rsidRDefault="00FF0BCD" w:rsidP="009111D9">
      <w:pPr>
        <w:pStyle w:val="3-BodyText"/>
        <w:rPr>
          <w:sz w:val="22"/>
        </w:rPr>
      </w:pPr>
      <w:r w:rsidRPr="00BF589C">
        <w:rPr>
          <w:b/>
        </w:rPr>
        <w:t xml:space="preserve">TGA status at time of </w:t>
      </w:r>
      <w:r w:rsidR="00E60E27" w:rsidRPr="00BF589C">
        <w:rPr>
          <w:b/>
        </w:rPr>
        <w:t>PBAC consideration</w:t>
      </w:r>
      <w:r w:rsidRPr="00BF589C">
        <w:rPr>
          <w:b/>
        </w:rPr>
        <w:t>:</w:t>
      </w:r>
      <w:r w:rsidRPr="00BF589C">
        <w:t xml:space="preserve"> </w:t>
      </w:r>
      <w:r w:rsidR="0059604F" w:rsidRPr="00BF589C">
        <w:t>The submission was made</w:t>
      </w:r>
      <w:r w:rsidR="00DE0631">
        <w:t xml:space="preserve"> </w:t>
      </w:r>
      <w:r w:rsidR="0059604F" w:rsidRPr="00BF589C">
        <w:t>under the TGA/PBAC Parallel Process.</w:t>
      </w:r>
      <w:r w:rsidR="00E60E27" w:rsidRPr="00BF589C">
        <w:t xml:space="preserve"> </w:t>
      </w:r>
      <w:r w:rsidR="0059604F" w:rsidRPr="00BF589C">
        <w:t>At the time of PBAC consideration</w:t>
      </w:r>
      <w:r w:rsidR="00E60E27" w:rsidRPr="00BF589C">
        <w:t xml:space="preserve"> in July 2023</w:t>
      </w:r>
      <w:r w:rsidR="0059604F" w:rsidRPr="00BF589C">
        <w:t xml:space="preserve">, </w:t>
      </w:r>
      <w:r w:rsidR="002822FE">
        <w:t>t</w:t>
      </w:r>
      <w:r w:rsidR="00DE0631" w:rsidRPr="00BF589C">
        <w:t>he</w:t>
      </w:r>
      <w:r w:rsidR="00DE0631">
        <w:t xml:space="preserve"> proposed Product Information document, </w:t>
      </w:r>
      <w:r w:rsidR="00DE0631" w:rsidRPr="00BF589C">
        <w:t xml:space="preserve">Delegate’s Overview and ACM advice were </w:t>
      </w:r>
      <w:r w:rsidR="00CE664F" w:rsidRPr="00BF589C">
        <w:t>availabl</w:t>
      </w:r>
      <w:r w:rsidR="00CE664F">
        <w:t>e.</w:t>
      </w:r>
    </w:p>
    <w:p w14:paraId="610D9E03" w14:textId="04BC14CE" w:rsidR="0059604F" w:rsidRPr="00924CD7" w:rsidRDefault="0059604F" w:rsidP="00097C1E">
      <w:pPr>
        <w:pStyle w:val="3-BodyText"/>
      </w:pPr>
      <w:r w:rsidRPr="00924CD7">
        <w:t xml:space="preserve">The indication proposed in the draft Product Information </w:t>
      </w:r>
      <w:r w:rsidR="00DE0631">
        <w:t xml:space="preserve">provided prior to PBAC consideration </w:t>
      </w:r>
      <w:r w:rsidRPr="00924CD7">
        <w:t xml:space="preserve">is as follows: </w:t>
      </w:r>
    </w:p>
    <w:p w14:paraId="6273C403" w14:textId="7CC0A7DA" w:rsidR="0059604F" w:rsidRPr="00924CD7" w:rsidRDefault="0059604F" w:rsidP="00097C1E">
      <w:pPr>
        <w:pStyle w:val="3-BodyText"/>
        <w:numPr>
          <w:ilvl w:val="0"/>
          <w:numId w:val="0"/>
        </w:numPr>
        <w:ind w:left="720"/>
      </w:pPr>
      <w:r w:rsidRPr="00924CD7">
        <w:lastRenderedPageBreak/>
        <w:t>‘RINVOQ is indicated for the treatment of adult patients with moderately to severely active Crohn’s disease</w:t>
      </w:r>
      <w:r w:rsidR="00DE0631">
        <w:t>, who have had an inadequate response, lost response or where intolerant to either conventional therapy or a biological medicine</w:t>
      </w:r>
      <w:r w:rsidRPr="00924CD7">
        <w:t>’.</w:t>
      </w:r>
    </w:p>
    <w:p w14:paraId="0E3388A6" w14:textId="77777777" w:rsidR="0059604F" w:rsidRPr="00924CD7" w:rsidRDefault="0059604F" w:rsidP="00097C1E">
      <w:pPr>
        <w:pStyle w:val="3-BodyText"/>
      </w:pPr>
      <w:r w:rsidRPr="00924CD7">
        <w:t>Upadacitinib is currently TGA registered for five indications: rheumatoid arthritis, psoriatic arthritis, ankylosing spondylitis, atopic dermatitis, and ulcerative colitis.</w:t>
      </w:r>
    </w:p>
    <w:p w14:paraId="6A0E0ECF" w14:textId="77777777" w:rsidR="0059604F" w:rsidRDefault="0059604F" w:rsidP="004E18E9">
      <w:pPr>
        <w:pStyle w:val="4-SubsectionHeading"/>
      </w:pPr>
      <w:bookmarkStart w:id="9" w:name="_Toc22897639"/>
      <w:bookmarkStart w:id="10" w:name="_Toc107927621"/>
      <w:bookmarkStart w:id="11" w:name="_Toc124863496"/>
      <w:bookmarkStart w:id="12" w:name="_Hlk112059474"/>
      <w:r w:rsidRPr="00621ADA">
        <w:t>Previous PBAC consideration</w:t>
      </w:r>
      <w:bookmarkEnd w:id="9"/>
      <w:bookmarkEnd w:id="10"/>
      <w:bookmarkEnd w:id="11"/>
    </w:p>
    <w:bookmarkEnd w:id="12"/>
    <w:p w14:paraId="385B187B" w14:textId="77777777" w:rsidR="0059604F" w:rsidRDefault="0059604F" w:rsidP="00097C1E">
      <w:pPr>
        <w:pStyle w:val="3-BodyText"/>
      </w:pPr>
      <w:r w:rsidRPr="00F97D65">
        <w:t xml:space="preserve">Upadacitinib </w:t>
      </w:r>
      <w:r w:rsidRPr="00BF62C4">
        <w:t>has not previously been considered for</w:t>
      </w:r>
      <w:r>
        <w:t xml:space="preserve"> severe CD.</w:t>
      </w:r>
    </w:p>
    <w:p w14:paraId="19C6F523" w14:textId="18DA0F72" w:rsidR="0059604F" w:rsidRDefault="0059604F" w:rsidP="00097C1E">
      <w:pPr>
        <w:pStyle w:val="3-BodyText"/>
      </w:pPr>
      <w:r w:rsidRPr="00F97D65">
        <w:t xml:space="preserve">Upadacitinib is PBS listed for severe active rheumatoid arthritis, severe psoriatic arthritis, </w:t>
      </w:r>
      <w:r w:rsidR="007475E8" w:rsidRPr="00F97D65">
        <w:t xml:space="preserve">ankylosing spondylitis, </w:t>
      </w:r>
      <w:r w:rsidRPr="00F97D65">
        <w:t>chronic severe atopic dermatitis</w:t>
      </w:r>
      <w:r w:rsidR="00DE0631">
        <w:t xml:space="preserve"> </w:t>
      </w:r>
      <w:r w:rsidR="009C263E">
        <w:t>and moderate to severe ulcerative colitis</w:t>
      </w:r>
      <w:r w:rsidR="00DE0631">
        <w:t>.</w:t>
      </w:r>
    </w:p>
    <w:p w14:paraId="00B6FA03" w14:textId="77777777" w:rsidR="0059604F" w:rsidRPr="00924CD7" w:rsidRDefault="0059604F" w:rsidP="004E18E9">
      <w:pPr>
        <w:pStyle w:val="2-SectionHeading"/>
      </w:pPr>
      <w:bookmarkStart w:id="13" w:name="_Toc107902078"/>
      <w:bookmarkStart w:id="14" w:name="_Toc107927622"/>
      <w:bookmarkStart w:id="15" w:name="_Toc124863497"/>
      <w:bookmarkEnd w:id="13"/>
      <w:r w:rsidRPr="00924CD7">
        <w:t xml:space="preserve">Requested </w:t>
      </w:r>
      <w:proofErr w:type="gramStart"/>
      <w:r w:rsidRPr="00924CD7">
        <w:t>listing</w:t>
      </w:r>
      <w:bookmarkEnd w:id="14"/>
      <w:bookmarkEnd w:id="15"/>
      <w:proofErr w:type="gramEnd"/>
    </w:p>
    <w:p w14:paraId="06A204B5" w14:textId="77777777" w:rsidR="0059604F" w:rsidRPr="00924CD7" w:rsidRDefault="0059604F" w:rsidP="00097C1E">
      <w:pPr>
        <w:pStyle w:val="ExecSumBodyText"/>
        <w:numPr>
          <w:ilvl w:val="1"/>
          <w:numId w:val="1"/>
        </w:numPr>
      </w:pPr>
      <w:r w:rsidRPr="00924CD7">
        <w:t xml:space="preserve">The requested abridged listing for severe CD is provided below. </w:t>
      </w:r>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126"/>
        <w:gridCol w:w="992"/>
        <w:gridCol w:w="993"/>
        <w:gridCol w:w="708"/>
        <w:gridCol w:w="1275"/>
      </w:tblGrid>
      <w:tr w:rsidR="004E357F" w:rsidRPr="001428E9" w14:paraId="2E299252" w14:textId="77777777" w:rsidTr="00507D16">
        <w:trPr>
          <w:cantSplit/>
          <w:trHeight w:val="20"/>
        </w:trPr>
        <w:tc>
          <w:tcPr>
            <w:tcW w:w="2977" w:type="dxa"/>
            <w:vAlign w:val="center"/>
          </w:tcPr>
          <w:p w14:paraId="109B4F67" w14:textId="77777777" w:rsidR="0059604F" w:rsidRPr="001428E9" w:rsidRDefault="0059604F" w:rsidP="00507D16">
            <w:pPr>
              <w:keepNext/>
              <w:keepLines/>
              <w:jc w:val="left"/>
              <w:rPr>
                <w:rFonts w:ascii="Arial Narrow" w:hAnsi="Arial Narrow"/>
                <w:b/>
                <w:bCs/>
                <w:sz w:val="20"/>
                <w:szCs w:val="20"/>
              </w:rPr>
            </w:pPr>
            <w:r w:rsidRPr="001428E9">
              <w:rPr>
                <w:rFonts w:ascii="Arial Narrow" w:hAnsi="Arial Narrow"/>
                <w:b/>
                <w:bCs/>
                <w:sz w:val="20"/>
                <w:szCs w:val="20"/>
              </w:rPr>
              <w:t>MEDICINAL PRODUCT</w:t>
            </w:r>
          </w:p>
          <w:p w14:paraId="3141D182" w14:textId="77777777" w:rsidR="0059604F" w:rsidRPr="001428E9" w:rsidRDefault="0059604F" w:rsidP="00507D16">
            <w:pPr>
              <w:keepNext/>
              <w:keepLines/>
              <w:jc w:val="left"/>
              <w:rPr>
                <w:rFonts w:ascii="Arial Narrow" w:hAnsi="Arial Narrow"/>
                <w:b/>
                <w:sz w:val="20"/>
                <w:szCs w:val="20"/>
              </w:rPr>
            </w:pPr>
            <w:r w:rsidRPr="001428E9">
              <w:rPr>
                <w:rFonts w:ascii="Arial Narrow" w:hAnsi="Arial Narrow"/>
                <w:b/>
                <w:bCs/>
                <w:sz w:val="20"/>
                <w:szCs w:val="20"/>
              </w:rPr>
              <w:t>medicinal product pack</w:t>
            </w:r>
          </w:p>
        </w:tc>
        <w:tc>
          <w:tcPr>
            <w:tcW w:w="2126" w:type="dxa"/>
          </w:tcPr>
          <w:p w14:paraId="450F2D71" w14:textId="77777777" w:rsidR="0059604F" w:rsidRPr="00C61A59" w:rsidRDefault="0059604F" w:rsidP="000625E1">
            <w:pPr>
              <w:pStyle w:val="TableText0"/>
              <w:keepLines/>
              <w:jc w:val="center"/>
              <w:rPr>
                <w:b/>
                <w:bCs w:val="0"/>
                <w:szCs w:val="20"/>
              </w:rPr>
            </w:pPr>
            <w:r w:rsidRPr="00C61A59">
              <w:rPr>
                <w:b/>
                <w:bCs w:val="0"/>
                <w:snapToGrid w:val="0"/>
              </w:rPr>
              <w:t>Dispensed Price for Max. Qty</w:t>
            </w:r>
          </w:p>
        </w:tc>
        <w:tc>
          <w:tcPr>
            <w:tcW w:w="992" w:type="dxa"/>
          </w:tcPr>
          <w:p w14:paraId="724F2376" w14:textId="77777777" w:rsidR="0059604F" w:rsidRPr="001428E9" w:rsidRDefault="0059604F" w:rsidP="000625E1">
            <w:pPr>
              <w:keepNext/>
              <w:keepLines/>
              <w:jc w:val="center"/>
              <w:rPr>
                <w:rFonts w:ascii="Arial Narrow" w:hAnsi="Arial Narrow"/>
                <w:b/>
                <w:sz w:val="20"/>
                <w:szCs w:val="20"/>
              </w:rPr>
            </w:pPr>
            <w:r w:rsidRPr="001428E9">
              <w:rPr>
                <w:rFonts w:ascii="Arial Narrow" w:hAnsi="Arial Narrow"/>
                <w:b/>
                <w:sz w:val="20"/>
                <w:szCs w:val="20"/>
              </w:rPr>
              <w:t>Max. qty packs</w:t>
            </w:r>
          </w:p>
        </w:tc>
        <w:tc>
          <w:tcPr>
            <w:tcW w:w="993" w:type="dxa"/>
          </w:tcPr>
          <w:p w14:paraId="611056C8" w14:textId="77777777" w:rsidR="0059604F" w:rsidRPr="001428E9" w:rsidRDefault="0059604F" w:rsidP="000625E1">
            <w:pPr>
              <w:keepNext/>
              <w:keepLines/>
              <w:jc w:val="center"/>
              <w:rPr>
                <w:rFonts w:ascii="Arial Narrow" w:hAnsi="Arial Narrow"/>
                <w:b/>
                <w:sz w:val="20"/>
                <w:szCs w:val="20"/>
              </w:rPr>
            </w:pPr>
            <w:r w:rsidRPr="001428E9">
              <w:rPr>
                <w:rFonts w:ascii="Arial Narrow" w:hAnsi="Arial Narrow"/>
                <w:b/>
                <w:sz w:val="20"/>
                <w:szCs w:val="20"/>
              </w:rPr>
              <w:t>Max. qty units</w:t>
            </w:r>
          </w:p>
        </w:tc>
        <w:tc>
          <w:tcPr>
            <w:tcW w:w="708" w:type="dxa"/>
          </w:tcPr>
          <w:p w14:paraId="4ADE2CAB" w14:textId="2A0E7395" w:rsidR="0059604F" w:rsidRPr="001428E9" w:rsidRDefault="0059604F" w:rsidP="000625E1">
            <w:pPr>
              <w:keepNext/>
              <w:keepLines/>
              <w:jc w:val="center"/>
              <w:rPr>
                <w:rFonts w:ascii="Arial Narrow" w:hAnsi="Arial Narrow"/>
                <w:b/>
                <w:sz w:val="20"/>
                <w:szCs w:val="20"/>
              </w:rPr>
            </w:pPr>
            <w:r w:rsidRPr="001428E9">
              <w:rPr>
                <w:rFonts w:ascii="Arial Narrow" w:hAnsi="Arial Narrow"/>
                <w:b/>
                <w:sz w:val="20"/>
                <w:szCs w:val="20"/>
              </w:rPr>
              <w:t>№.</w:t>
            </w:r>
            <w:r w:rsidR="008042B4">
              <w:rPr>
                <w:rFonts w:ascii="Arial Narrow" w:hAnsi="Arial Narrow"/>
                <w:b/>
                <w:sz w:val="20"/>
                <w:szCs w:val="20"/>
              </w:rPr>
              <w:t xml:space="preserve"> </w:t>
            </w:r>
            <w:r w:rsidRPr="001428E9">
              <w:rPr>
                <w:rFonts w:ascii="Arial Narrow" w:hAnsi="Arial Narrow"/>
                <w:b/>
                <w:sz w:val="20"/>
                <w:szCs w:val="20"/>
              </w:rPr>
              <w:t>of</w:t>
            </w:r>
          </w:p>
          <w:p w14:paraId="4864792F" w14:textId="77777777" w:rsidR="0059604F" w:rsidRPr="001428E9" w:rsidRDefault="0059604F" w:rsidP="000625E1">
            <w:pPr>
              <w:keepNext/>
              <w:keepLines/>
              <w:jc w:val="center"/>
              <w:rPr>
                <w:rFonts w:ascii="Arial Narrow" w:hAnsi="Arial Narrow"/>
                <w:b/>
                <w:sz w:val="20"/>
                <w:szCs w:val="20"/>
              </w:rPr>
            </w:pPr>
            <w:r w:rsidRPr="001428E9">
              <w:rPr>
                <w:rFonts w:ascii="Arial Narrow" w:hAnsi="Arial Narrow"/>
                <w:b/>
                <w:sz w:val="20"/>
                <w:szCs w:val="20"/>
              </w:rPr>
              <w:t>Rpts</w:t>
            </w:r>
          </w:p>
        </w:tc>
        <w:tc>
          <w:tcPr>
            <w:tcW w:w="1275" w:type="dxa"/>
          </w:tcPr>
          <w:p w14:paraId="5189CA7A" w14:textId="77777777" w:rsidR="0059604F" w:rsidRPr="001428E9" w:rsidRDefault="0059604F" w:rsidP="000625E1">
            <w:pPr>
              <w:keepNext/>
              <w:keepLines/>
              <w:jc w:val="center"/>
              <w:rPr>
                <w:rFonts w:ascii="Arial Narrow" w:hAnsi="Arial Narrow"/>
                <w:b/>
                <w:sz w:val="20"/>
                <w:szCs w:val="20"/>
                <w:lang w:val="fr-FR"/>
              </w:rPr>
            </w:pPr>
            <w:r w:rsidRPr="001428E9">
              <w:rPr>
                <w:rFonts w:ascii="Arial Narrow" w:hAnsi="Arial Narrow"/>
                <w:b/>
                <w:sz w:val="20"/>
                <w:szCs w:val="20"/>
              </w:rPr>
              <w:t>Available brands</w:t>
            </w:r>
          </w:p>
        </w:tc>
      </w:tr>
      <w:tr w:rsidR="00244FDB" w:rsidRPr="001428E9" w14:paraId="0C92C367" w14:textId="77777777" w:rsidTr="000B1E4E">
        <w:trPr>
          <w:cantSplit/>
          <w:trHeight w:val="20"/>
        </w:trPr>
        <w:tc>
          <w:tcPr>
            <w:tcW w:w="9071" w:type="dxa"/>
            <w:gridSpan w:val="6"/>
            <w:vAlign w:val="center"/>
          </w:tcPr>
          <w:p w14:paraId="0BDF3221" w14:textId="77777777" w:rsidR="0059604F" w:rsidRPr="0032397D" w:rsidRDefault="0059604F" w:rsidP="00097C1E">
            <w:pPr>
              <w:pStyle w:val="TableText0"/>
              <w:keepLines/>
              <w:rPr>
                <w:rFonts w:cs="Arial"/>
                <w:b/>
                <w:bCs w:val="0"/>
                <w:szCs w:val="20"/>
              </w:rPr>
            </w:pPr>
            <w:r w:rsidRPr="0032397D">
              <w:rPr>
                <w:b/>
                <w:bCs w:val="0"/>
              </w:rPr>
              <w:t xml:space="preserve">UPADACITINIB </w:t>
            </w:r>
          </w:p>
        </w:tc>
      </w:tr>
      <w:tr w:rsidR="00244FDB" w:rsidRPr="001428E9" w14:paraId="5AC4B3E9" w14:textId="77777777" w:rsidTr="000B1E4E">
        <w:trPr>
          <w:cantSplit/>
          <w:trHeight w:val="20"/>
        </w:trPr>
        <w:tc>
          <w:tcPr>
            <w:tcW w:w="9071" w:type="dxa"/>
            <w:gridSpan w:val="6"/>
            <w:vAlign w:val="center"/>
          </w:tcPr>
          <w:p w14:paraId="755F0EB9" w14:textId="77777777" w:rsidR="0059604F" w:rsidRPr="0032397D" w:rsidRDefault="0059604F" w:rsidP="00097C1E">
            <w:pPr>
              <w:pStyle w:val="TableText0"/>
              <w:keepLines/>
              <w:rPr>
                <w:b/>
                <w:bCs w:val="0"/>
              </w:rPr>
            </w:pPr>
            <w:r>
              <w:rPr>
                <w:b/>
                <w:bCs w:val="0"/>
              </w:rPr>
              <w:t>Initial</w:t>
            </w:r>
          </w:p>
        </w:tc>
      </w:tr>
      <w:tr w:rsidR="00244FDB" w:rsidRPr="003A4C14" w14:paraId="75902989" w14:textId="77777777" w:rsidTr="00507D16">
        <w:trPr>
          <w:cantSplit/>
          <w:trHeight w:val="20"/>
        </w:trPr>
        <w:tc>
          <w:tcPr>
            <w:tcW w:w="2977" w:type="dxa"/>
            <w:vAlign w:val="center"/>
          </w:tcPr>
          <w:p w14:paraId="4736D047" w14:textId="77777777" w:rsidR="0059604F" w:rsidRPr="0032397D" w:rsidRDefault="0059604F" w:rsidP="00097C1E">
            <w:pPr>
              <w:pStyle w:val="TableText0"/>
              <w:keepLines/>
            </w:pPr>
            <w:r>
              <w:t>Upadacitinib, 45 mg, oral tablet</w:t>
            </w:r>
            <w:r w:rsidRPr="003A4C14">
              <w:rPr>
                <w:color w:val="0066FF"/>
                <w:szCs w:val="20"/>
              </w:rPr>
              <w:t xml:space="preserve"> </w:t>
            </w:r>
          </w:p>
        </w:tc>
        <w:tc>
          <w:tcPr>
            <w:tcW w:w="2126" w:type="dxa"/>
            <w:vAlign w:val="center"/>
          </w:tcPr>
          <w:p w14:paraId="1CE11D72" w14:textId="77777777" w:rsidR="0059604F" w:rsidRPr="001428E9" w:rsidRDefault="0059604F" w:rsidP="00097C1E">
            <w:pPr>
              <w:pStyle w:val="TableText0"/>
              <w:jc w:val="center"/>
              <w:rPr>
                <w:szCs w:val="20"/>
              </w:rPr>
            </w:pPr>
            <w:r w:rsidRPr="00565C79">
              <w:t>$</w:t>
            </w:r>
            <w:r>
              <w:t>2,716.07</w:t>
            </w:r>
            <w:r w:rsidRPr="00565C79">
              <w:t xml:space="preserve"> published price</w:t>
            </w:r>
          </w:p>
        </w:tc>
        <w:tc>
          <w:tcPr>
            <w:tcW w:w="992" w:type="dxa"/>
            <w:vAlign w:val="center"/>
          </w:tcPr>
          <w:p w14:paraId="0333563D"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rPr>
              <w:t>1</w:t>
            </w:r>
          </w:p>
        </w:tc>
        <w:tc>
          <w:tcPr>
            <w:tcW w:w="993" w:type="dxa"/>
            <w:vAlign w:val="center"/>
          </w:tcPr>
          <w:p w14:paraId="638021FF"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rPr>
              <w:t>28</w:t>
            </w:r>
          </w:p>
        </w:tc>
        <w:tc>
          <w:tcPr>
            <w:tcW w:w="708" w:type="dxa"/>
            <w:vAlign w:val="center"/>
          </w:tcPr>
          <w:p w14:paraId="45A52A8D"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rPr>
              <w:t>2</w:t>
            </w:r>
          </w:p>
        </w:tc>
        <w:tc>
          <w:tcPr>
            <w:tcW w:w="1275" w:type="dxa"/>
            <w:vMerge w:val="restart"/>
            <w:vAlign w:val="center"/>
          </w:tcPr>
          <w:p w14:paraId="6C5E37D0" w14:textId="77777777" w:rsidR="0059604F" w:rsidRPr="0032397D" w:rsidRDefault="0059604F" w:rsidP="00097C1E">
            <w:pPr>
              <w:pStyle w:val="TableText0"/>
            </w:pPr>
            <w:r w:rsidRPr="006354C1">
              <w:t>RINVOQ</w:t>
            </w:r>
          </w:p>
        </w:tc>
      </w:tr>
      <w:tr w:rsidR="001279F2" w:rsidRPr="003A4C14" w14:paraId="6264188B" w14:textId="77777777" w:rsidTr="00507D16">
        <w:trPr>
          <w:cantSplit/>
          <w:trHeight w:val="20"/>
        </w:trPr>
        <w:tc>
          <w:tcPr>
            <w:tcW w:w="2977" w:type="dxa"/>
            <w:tcBorders>
              <w:right w:val="nil"/>
            </w:tcBorders>
            <w:vAlign w:val="center"/>
          </w:tcPr>
          <w:p w14:paraId="36965A17" w14:textId="77777777" w:rsidR="0059604F" w:rsidRDefault="0059604F" w:rsidP="00097C1E">
            <w:pPr>
              <w:pStyle w:val="In-tableHeading"/>
            </w:pPr>
            <w:r>
              <w:t>Initial treatment- dose change</w:t>
            </w:r>
          </w:p>
        </w:tc>
        <w:tc>
          <w:tcPr>
            <w:tcW w:w="2126" w:type="dxa"/>
            <w:tcBorders>
              <w:left w:val="nil"/>
              <w:right w:val="nil"/>
            </w:tcBorders>
            <w:vAlign w:val="center"/>
          </w:tcPr>
          <w:p w14:paraId="410AFECB" w14:textId="77777777" w:rsidR="0059604F" w:rsidRPr="00565C79" w:rsidRDefault="0059604F" w:rsidP="00097C1E">
            <w:pPr>
              <w:pStyle w:val="TableText0"/>
              <w:jc w:val="center"/>
            </w:pPr>
          </w:p>
        </w:tc>
        <w:tc>
          <w:tcPr>
            <w:tcW w:w="992" w:type="dxa"/>
            <w:tcBorders>
              <w:left w:val="nil"/>
              <w:right w:val="nil"/>
            </w:tcBorders>
            <w:vAlign w:val="center"/>
          </w:tcPr>
          <w:p w14:paraId="5DDD94CD" w14:textId="77777777" w:rsidR="0059604F" w:rsidRDefault="0059604F" w:rsidP="00097C1E">
            <w:pPr>
              <w:keepNext/>
              <w:keepLines/>
              <w:jc w:val="center"/>
              <w:rPr>
                <w:rFonts w:ascii="Arial Narrow" w:hAnsi="Arial Narrow"/>
                <w:sz w:val="20"/>
              </w:rPr>
            </w:pPr>
          </w:p>
        </w:tc>
        <w:tc>
          <w:tcPr>
            <w:tcW w:w="993" w:type="dxa"/>
            <w:tcBorders>
              <w:left w:val="nil"/>
              <w:right w:val="nil"/>
            </w:tcBorders>
            <w:vAlign w:val="center"/>
          </w:tcPr>
          <w:p w14:paraId="18A25B42" w14:textId="77777777" w:rsidR="0059604F" w:rsidRDefault="0059604F" w:rsidP="00097C1E">
            <w:pPr>
              <w:keepNext/>
              <w:keepLines/>
              <w:jc w:val="center"/>
              <w:rPr>
                <w:rFonts w:ascii="Arial Narrow" w:hAnsi="Arial Narrow"/>
                <w:sz w:val="20"/>
              </w:rPr>
            </w:pPr>
          </w:p>
        </w:tc>
        <w:tc>
          <w:tcPr>
            <w:tcW w:w="708" w:type="dxa"/>
            <w:tcBorders>
              <w:left w:val="nil"/>
            </w:tcBorders>
            <w:vAlign w:val="center"/>
          </w:tcPr>
          <w:p w14:paraId="2793C433" w14:textId="77777777" w:rsidR="0059604F" w:rsidRDefault="0059604F" w:rsidP="00097C1E">
            <w:pPr>
              <w:keepNext/>
              <w:keepLines/>
              <w:jc w:val="center"/>
              <w:rPr>
                <w:rFonts w:ascii="Arial Narrow" w:hAnsi="Arial Narrow"/>
                <w:sz w:val="20"/>
              </w:rPr>
            </w:pPr>
          </w:p>
        </w:tc>
        <w:tc>
          <w:tcPr>
            <w:tcW w:w="1275" w:type="dxa"/>
            <w:vMerge/>
            <w:vAlign w:val="center"/>
          </w:tcPr>
          <w:p w14:paraId="6ADAAE78" w14:textId="77777777" w:rsidR="0059604F" w:rsidRPr="006354C1" w:rsidRDefault="0059604F" w:rsidP="00097C1E">
            <w:pPr>
              <w:pStyle w:val="TableText0"/>
            </w:pPr>
          </w:p>
        </w:tc>
      </w:tr>
      <w:tr w:rsidR="00244FDB" w:rsidRPr="003A4C14" w14:paraId="100D1484" w14:textId="77777777" w:rsidTr="00507D16">
        <w:trPr>
          <w:cantSplit/>
          <w:trHeight w:val="20"/>
        </w:trPr>
        <w:tc>
          <w:tcPr>
            <w:tcW w:w="2977" w:type="dxa"/>
            <w:vAlign w:val="center"/>
          </w:tcPr>
          <w:p w14:paraId="350E7C84" w14:textId="77777777" w:rsidR="0059604F" w:rsidRPr="003A4C14" w:rsidRDefault="0059604F" w:rsidP="00097C1E">
            <w:pPr>
              <w:pStyle w:val="TableText0"/>
              <w:rPr>
                <w:color w:val="0066FF"/>
                <w:szCs w:val="20"/>
              </w:rPr>
            </w:pPr>
            <w:r>
              <w:t>Upadacitinib, 30 mg, oral tablet</w:t>
            </w:r>
          </w:p>
        </w:tc>
        <w:tc>
          <w:tcPr>
            <w:tcW w:w="2126" w:type="dxa"/>
            <w:vAlign w:val="center"/>
          </w:tcPr>
          <w:p w14:paraId="07CB9CA3" w14:textId="77777777" w:rsidR="0059604F" w:rsidRPr="001428E9" w:rsidRDefault="0059604F" w:rsidP="00097C1E">
            <w:pPr>
              <w:pStyle w:val="TableText0"/>
              <w:jc w:val="center"/>
              <w:rPr>
                <w:szCs w:val="20"/>
              </w:rPr>
            </w:pPr>
            <w:r w:rsidRPr="00565C79">
              <w:t>$</w:t>
            </w:r>
            <w:r>
              <w:t>2,076.38</w:t>
            </w:r>
            <w:r w:rsidRPr="00565C79">
              <w:t xml:space="preserve"> published price</w:t>
            </w:r>
          </w:p>
        </w:tc>
        <w:tc>
          <w:tcPr>
            <w:tcW w:w="992" w:type="dxa"/>
            <w:vAlign w:val="center"/>
          </w:tcPr>
          <w:p w14:paraId="2944D409"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rPr>
              <w:t>1</w:t>
            </w:r>
          </w:p>
        </w:tc>
        <w:tc>
          <w:tcPr>
            <w:tcW w:w="993" w:type="dxa"/>
            <w:vAlign w:val="center"/>
          </w:tcPr>
          <w:p w14:paraId="5087274C"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rPr>
              <w:t>28</w:t>
            </w:r>
          </w:p>
        </w:tc>
        <w:tc>
          <w:tcPr>
            <w:tcW w:w="708" w:type="dxa"/>
            <w:vAlign w:val="center"/>
          </w:tcPr>
          <w:p w14:paraId="6BFB7A21"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rPr>
              <w:t>0</w:t>
            </w:r>
          </w:p>
        </w:tc>
        <w:tc>
          <w:tcPr>
            <w:tcW w:w="1275" w:type="dxa"/>
            <w:vMerge/>
            <w:vAlign w:val="center"/>
          </w:tcPr>
          <w:p w14:paraId="298936EE" w14:textId="77777777" w:rsidR="0059604F" w:rsidRPr="003A4C14" w:rsidRDefault="0059604F" w:rsidP="00097C1E">
            <w:pPr>
              <w:keepNext/>
              <w:keepLines/>
              <w:rPr>
                <w:rFonts w:ascii="Arial Narrow" w:hAnsi="Arial Narrow"/>
                <w:color w:val="0066FF"/>
                <w:sz w:val="20"/>
                <w:szCs w:val="20"/>
              </w:rPr>
            </w:pPr>
          </w:p>
        </w:tc>
      </w:tr>
      <w:tr w:rsidR="00244FDB" w:rsidRPr="001428E9" w14:paraId="2F1BE0C3" w14:textId="77777777" w:rsidTr="00507D16">
        <w:trPr>
          <w:cantSplit/>
          <w:trHeight w:val="20"/>
        </w:trPr>
        <w:tc>
          <w:tcPr>
            <w:tcW w:w="2977" w:type="dxa"/>
            <w:vAlign w:val="center"/>
          </w:tcPr>
          <w:p w14:paraId="60D8CD70" w14:textId="77777777" w:rsidR="0059604F" w:rsidRPr="003A4C14" w:rsidRDefault="0059604F" w:rsidP="00097C1E">
            <w:pPr>
              <w:pStyle w:val="TableText0"/>
              <w:rPr>
                <w:color w:val="0066FF"/>
                <w:szCs w:val="20"/>
              </w:rPr>
            </w:pPr>
            <w:r>
              <w:t>Upadacitinib, 15 mg, oral tablet</w:t>
            </w:r>
          </w:p>
        </w:tc>
        <w:tc>
          <w:tcPr>
            <w:tcW w:w="2126" w:type="dxa"/>
            <w:vAlign w:val="center"/>
          </w:tcPr>
          <w:p w14:paraId="784E3872" w14:textId="77777777" w:rsidR="0059604F" w:rsidRPr="001428E9" w:rsidRDefault="0059604F" w:rsidP="00097C1E">
            <w:pPr>
              <w:pStyle w:val="TableText0"/>
              <w:jc w:val="center"/>
              <w:rPr>
                <w:szCs w:val="20"/>
              </w:rPr>
            </w:pPr>
            <w:r>
              <w:rPr>
                <w:szCs w:val="20"/>
              </w:rPr>
              <w:t>$1,271.40 published price</w:t>
            </w:r>
          </w:p>
        </w:tc>
        <w:tc>
          <w:tcPr>
            <w:tcW w:w="992" w:type="dxa"/>
            <w:vAlign w:val="center"/>
          </w:tcPr>
          <w:p w14:paraId="6BD869CB"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szCs w:val="20"/>
              </w:rPr>
              <w:t>1</w:t>
            </w:r>
          </w:p>
        </w:tc>
        <w:tc>
          <w:tcPr>
            <w:tcW w:w="993" w:type="dxa"/>
            <w:vAlign w:val="center"/>
          </w:tcPr>
          <w:p w14:paraId="685F7EAA"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szCs w:val="20"/>
              </w:rPr>
              <w:t>28</w:t>
            </w:r>
          </w:p>
        </w:tc>
        <w:tc>
          <w:tcPr>
            <w:tcW w:w="708" w:type="dxa"/>
            <w:vAlign w:val="center"/>
          </w:tcPr>
          <w:p w14:paraId="328B2B95"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szCs w:val="20"/>
              </w:rPr>
              <w:t>0</w:t>
            </w:r>
          </w:p>
        </w:tc>
        <w:tc>
          <w:tcPr>
            <w:tcW w:w="1275" w:type="dxa"/>
            <w:vMerge/>
            <w:vAlign w:val="center"/>
          </w:tcPr>
          <w:p w14:paraId="2013B538" w14:textId="77777777" w:rsidR="0059604F" w:rsidRPr="001428E9" w:rsidRDefault="0059604F" w:rsidP="00097C1E">
            <w:pPr>
              <w:keepNext/>
              <w:keepLines/>
              <w:jc w:val="center"/>
              <w:rPr>
                <w:rFonts w:ascii="Arial Narrow" w:hAnsi="Arial Narrow"/>
                <w:sz w:val="20"/>
                <w:szCs w:val="20"/>
              </w:rPr>
            </w:pPr>
          </w:p>
        </w:tc>
      </w:tr>
      <w:tr w:rsidR="001279F2" w:rsidRPr="001428E9" w14:paraId="5CE5C85F" w14:textId="77777777" w:rsidTr="00507D16">
        <w:trPr>
          <w:cantSplit/>
          <w:trHeight w:val="20"/>
        </w:trPr>
        <w:tc>
          <w:tcPr>
            <w:tcW w:w="2977" w:type="dxa"/>
            <w:tcBorders>
              <w:right w:val="nil"/>
            </w:tcBorders>
            <w:vAlign w:val="center"/>
          </w:tcPr>
          <w:p w14:paraId="5B8A7440" w14:textId="77777777" w:rsidR="0059604F" w:rsidRDefault="0059604F" w:rsidP="00097C1E">
            <w:pPr>
              <w:pStyle w:val="In-tableHeading"/>
            </w:pPr>
            <w:r>
              <w:t>Continuing treatment</w:t>
            </w:r>
          </w:p>
        </w:tc>
        <w:tc>
          <w:tcPr>
            <w:tcW w:w="2126" w:type="dxa"/>
            <w:tcBorders>
              <w:left w:val="nil"/>
              <w:right w:val="nil"/>
            </w:tcBorders>
            <w:vAlign w:val="center"/>
          </w:tcPr>
          <w:p w14:paraId="699AAC2A" w14:textId="77777777" w:rsidR="0059604F" w:rsidRPr="001428E9" w:rsidRDefault="0059604F" w:rsidP="00097C1E">
            <w:pPr>
              <w:pStyle w:val="TableText0"/>
              <w:jc w:val="center"/>
              <w:rPr>
                <w:szCs w:val="20"/>
              </w:rPr>
            </w:pPr>
          </w:p>
        </w:tc>
        <w:tc>
          <w:tcPr>
            <w:tcW w:w="992" w:type="dxa"/>
            <w:tcBorders>
              <w:left w:val="nil"/>
              <w:right w:val="nil"/>
            </w:tcBorders>
            <w:vAlign w:val="center"/>
          </w:tcPr>
          <w:p w14:paraId="6DCBBD31" w14:textId="77777777" w:rsidR="0059604F" w:rsidRPr="001428E9" w:rsidRDefault="0059604F" w:rsidP="00097C1E">
            <w:pPr>
              <w:keepNext/>
              <w:keepLines/>
              <w:jc w:val="center"/>
              <w:rPr>
                <w:rFonts w:ascii="Arial Narrow" w:hAnsi="Arial Narrow"/>
                <w:sz w:val="20"/>
                <w:szCs w:val="20"/>
              </w:rPr>
            </w:pPr>
          </w:p>
        </w:tc>
        <w:tc>
          <w:tcPr>
            <w:tcW w:w="993" w:type="dxa"/>
            <w:tcBorders>
              <w:left w:val="nil"/>
              <w:right w:val="nil"/>
            </w:tcBorders>
            <w:vAlign w:val="center"/>
          </w:tcPr>
          <w:p w14:paraId="3C25FD42" w14:textId="77777777" w:rsidR="0059604F" w:rsidRPr="001428E9" w:rsidRDefault="0059604F" w:rsidP="00097C1E">
            <w:pPr>
              <w:keepNext/>
              <w:keepLines/>
              <w:jc w:val="center"/>
              <w:rPr>
                <w:rFonts w:ascii="Arial Narrow" w:hAnsi="Arial Narrow"/>
                <w:sz w:val="20"/>
                <w:szCs w:val="20"/>
              </w:rPr>
            </w:pPr>
          </w:p>
        </w:tc>
        <w:tc>
          <w:tcPr>
            <w:tcW w:w="708" w:type="dxa"/>
            <w:tcBorders>
              <w:left w:val="nil"/>
            </w:tcBorders>
            <w:vAlign w:val="center"/>
          </w:tcPr>
          <w:p w14:paraId="18719B94" w14:textId="77777777" w:rsidR="0059604F" w:rsidRPr="001428E9" w:rsidRDefault="0059604F" w:rsidP="00097C1E">
            <w:pPr>
              <w:keepNext/>
              <w:keepLines/>
              <w:jc w:val="center"/>
              <w:rPr>
                <w:rFonts w:ascii="Arial Narrow" w:hAnsi="Arial Narrow"/>
                <w:sz w:val="20"/>
                <w:szCs w:val="20"/>
              </w:rPr>
            </w:pPr>
          </w:p>
        </w:tc>
        <w:tc>
          <w:tcPr>
            <w:tcW w:w="1275" w:type="dxa"/>
            <w:vMerge/>
            <w:vAlign w:val="center"/>
          </w:tcPr>
          <w:p w14:paraId="596A44FF" w14:textId="77777777" w:rsidR="0059604F" w:rsidRPr="001428E9" w:rsidRDefault="0059604F" w:rsidP="00097C1E">
            <w:pPr>
              <w:keepNext/>
              <w:keepLines/>
              <w:jc w:val="center"/>
              <w:rPr>
                <w:rFonts w:ascii="Arial Narrow" w:hAnsi="Arial Narrow"/>
                <w:sz w:val="20"/>
                <w:szCs w:val="20"/>
              </w:rPr>
            </w:pPr>
          </w:p>
        </w:tc>
      </w:tr>
      <w:tr w:rsidR="00244FDB" w:rsidRPr="001428E9" w14:paraId="6D3DC8A7" w14:textId="77777777" w:rsidTr="00507D16">
        <w:trPr>
          <w:cantSplit/>
          <w:trHeight w:val="20"/>
        </w:trPr>
        <w:tc>
          <w:tcPr>
            <w:tcW w:w="2977" w:type="dxa"/>
            <w:vAlign w:val="center"/>
          </w:tcPr>
          <w:p w14:paraId="7644C744" w14:textId="77777777" w:rsidR="0059604F" w:rsidRDefault="0059604F" w:rsidP="00097C1E">
            <w:pPr>
              <w:pStyle w:val="TableText0"/>
            </w:pPr>
            <w:r>
              <w:t>Upadacitinib, 30 mg, oral tablet</w:t>
            </w:r>
          </w:p>
        </w:tc>
        <w:tc>
          <w:tcPr>
            <w:tcW w:w="2126" w:type="dxa"/>
            <w:vAlign w:val="center"/>
          </w:tcPr>
          <w:p w14:paraId="479D64FA" w14:textId="77777777" w:rsidR="0059604F" w:rsidRPr="001428E9" w:rsidRDefault="0059604F" w:rsidP="00097C1E">
            <w:pPr>
              <w:pStyle w:val="TableText0"/>
              <w:jc w:val="center"/>
              <w:rPr>
                <w:szCs w:val="20"/>
              </w:rPr>
            </w:pPr>
            <w:r w:rsidRPr="0032397D">
              <w:rPr>
                <w:szCs w:val="20"/>
              </w:rPr>
              <w:t>$2,076.38 published price</w:t>
            </w:r>
          </w:p>
        </w:tc>
        <w:tc>
          <w:tcPr>
            <w:tcW w:w="992" w:type="dxa"/>
            <w:vAlign w:val="center"/>
          </w:tcPr>
          <w:p w14:paraId="7C37AC99"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szCs w:val="20"/>
              </w:rPr>
              <w:t>1</w:t>
            </w:r>
          </w:p>
        </w:tc>
        <w:tc>
          <w:tcPr>
            <w:tcW w:w="993" w:type="dxa"/>
            <w:vAlign w:val="center"/>
          </w:tcPr>
          <w:p w14:paraId="7EE56B5B"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szCs w:val="20"/>
              </w:rPr>
              <w:t>28</w:t>
            </w:r>
          </w:p>
        </w:tc>
        <w:tc>
          <w:tcPr>
            <w:tcW w:w="708" w:type="dxa"/>
            <w:vAlign w:val="center"/>
          </w:tcPr>
          <w:p w14:paraId="425472FA"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szCs w:val="20"/>
              </w:rPr>
              <w:t>5</w:t>
            </w:r>
          </w:p>
        </w:tc>
        <w:tc>
          <w:tcPr>
            <w:tcW w:w="1275" w:type="dxa"/>
            <w:vMerge/>
            <w:vAlign w:val="center"/>
          </w:tcPr>
          <w:p w14:paraId="3CCBB078" w14:textId="77777777" w:rsidR="0059604F" w:rsidRPr="001428E9" w:rsidRDefault="0059604F" w:rsidP="00097C1E">
            <w:pPr>
              <w:keepNext/>
              <w:keepLines/>
              <w:jc w:val="center"/>
              <w:rPr>
                <w:rFonts w:ascii="Arial Narrow" w:hAnsi="Arial Narrow"/>
                <w:sz w:val="20"/>
                <w:szCs w:val="20"/>
              </w:rPr>
            </w:pPr>
          </w:p>
        </w:tc>
      </w:tr>
      <w:tr w:rsidR="00244FDB" w:rsidRPr="001428E9" w14:paraId="4917DD7C" w14:textId="77777777" w:rsidTr="00507D16">
        <w:trPr>
          <w:cantSplit/>
          <w:trHeight w:val="20"/>
        </w:trPr>
        <w:tc>
          <w:tcPr>
            <w:tcW w:w="2977" w:type="dxa"/>
            <w:vAlign w:val="center"/>
          </w:tcPr>
          <w:p w14:paraId="76479F6F" w14:textId="77777777" w:rsidR="0059604F" w:rsidRDefault="0059604F" w:rsidP="00097C1E">
            <w:pPr>
              <w:pStyle w:val="TableText0"/>
            </w:pPr>
            <w:r>
              <w:t>Upadacitinib, 15 mg, oral tablet</w:t>
            </w:r>
          </w:p>
        </w:tc>
        <w:tc>
          <w:tcPr>
            <w:tcW w:w="2126" w:type="dxa"/>
            <w:vAlign w:val="center"/>
          </w:tcPr>
          <w:p w14:paraId="34BC4D67" w14:textId="77777777" w:rsidR="0059604F" w:rsidRPr="001428E9" w:rsidRDefault="0059604F" w:rsidP="00097C1E">
            <w:pPr>
              <w:pStyle w:val="TableText0"/>
              <w:jc w:val="center"/>
              <w:rPr>
                <w:szCs w:val="20"/>
              </w:rPr>
            </w:pPr>
            <w:r w:rsidRPr="0032397D">
              <w:rPr>
                <w:szCs w:val="20"/>
              </w:rPr>
              <w:t>$1,271.40 published price</w:t>
            </w:r>
          </w:p>
        </w:tc>
        <w:tc>
          <w:tcPr>
            <w:tcW w:w="992" w:type="dxa"/>
            <w:vAlign w:val="center"/>
          </w:tcPr>
          <w:p w14:paraId="36F2276F"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szCs w:val="20"/>
              </w:rPr>
              <w:t>1</w:t>
            </w:r>
          </w:p>
        </w:tc>
        <w:tc>
          <w:tcPr>
            <w:tcW w:w="993" w:type="dxa"/>
            <w:vAlign w:val="center"/>
          </w:tcPr>
          <w:p w14:paraId="02DF9DF3"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szCs w:val="20"/>
              </w:rPr>
              <w:t>28</w:t>
            </w:r>
          </w:p>
        </w:tc>
        <w:tc>
          <w:tcPr>
            <w:tcW w:w="708" w:type="dxa"/>
            <w:vAlign w:val="center"/>
          </w:tcPr>
          <w:p w14:paraId="57BB37D6"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szCs w:val="20"/>
              </w:rPr>
              <w:t>5</w:t>
            </w:r>
          </w:p>
        </w:tc>
        <w:tc>
          <w:tcPr>
            <w:tcW w:w="1275" w:type="dxa"/>
            <w:vMerge/>
            <w:vAlign w:val="center"/>
          </w:tcPr>
          <w:p w14:paraId="4459EE4D" w14:textId="77777777" w:rsidR="0059604F" w:rsidRPr="001428E9" w:rsidRDefault="0059604F" w:rsidP="00097C1E">
            <w:pPr>
              <w:keepNext/>
              <w:keepLines/>
              <w:jc w:val="center"/>
              <w:rPr>
                <w:rFonts w:ascii="Arial Narrow" w:hAnsi="Arial Narrow"/>
                <w:sz w:val="20"/>
                <w:szCs w:val="20"/>
              </w:rPr>
            </w:pPr>
          </w:p>
        </w:tc>
      </w:tr>
      <w:tr w:rsidR="001279F2" w:rsidRPr="001428E9" w14:paraId="098D5123" w14:textId="77777777" w:rsidTr="00507D16">
        <w:trPr>
          <w:cantSplit/>
          <w:trHeight w:val="20"/>
        </w:trPr>
        <w:tc>
          <w:tcPr>
            <w:tcW w:w="2977" w:type="dxa"/>
            <w:tcBorders>
              <w:right w:val="nil"/>
            </w:tcBorders>
            <w:vAlign w:val="center"/>
          </w:tcPr>
          <w:p w14:paraId="3398ABE6" w14:textId="77777777" w:rsidR="0059604F" w:rsidRDefault="0059604F" w:rsidP="00097C1E">
            <w:pPr>
              <w:pStyle w:val="In-tableHeading"/>
            </w:pPr>
            <w:r>
              <w:t>Continuing treatment- dose change</w:t>
            </w:r>
          </w:p>
        </w:tc>
        <w:tc>
          <w:tcPr>
            <w:tcW w:w="2126" w:type="dxa"/>
            <w:tcBorders>
              <w:left w:val="nil"/>
              <w:right w:val="nil"/>
            </w:tcBorders>
            <w:vAlign w:val="center"/>
          </w:tcPr>
          <w:p w14:paraId="030765D5" w14:textId="77777777" w:rsidR="0059604F" w:rsidRPr="001428E9" w:rsidRDefault="0059604F" w:rsidP="00097C1E">
            <w:pPr>
              <w:pStyle w:val="TableText0"/>
              <w:jc w:val="center"/>
              <w:rPr>
                <w:szCs w:val="20"/>
              </w:rPr>
            </w:pPr>
          </w:p>
        </w:tc>
        <w:tc>
          <w:tcPr>
            <w:tcW w:w="992" w:type="dxa"/>
            <w:tcBorders>
              <w:left w:val="nil"/>
              <w:right w:val="nil"/>
            </w:tcBorders>
            <w:vAlign w:val="center"/>
          </w:tcPr>
          <w:p w14:paraId="4DDA5699" w14:textId="77777777" w:rsidR="0059604F" w:rsidRPr="001428E9" w:rsidRDefault="0059604F" w:rsidP="00097C1E">
            <w:pPr>
              <w:keepNext/>
              <w:keepLines/>
              <w:jc w:val="center"/>
              <w:rPr>
                <w:rFonts w:ascii="Arial Narrow" w:hAnsi="Arial Narrow"/>
                <w:sz w:val="20"/>
                <w:szCs w:val="20"/>
              </w:rPr>
            </w:pPr>
          </w:p>
        </w:tc>
        <w:tc>
          <w:tcPr>
            <w:tcW w:w="993" w:type="dxa"/>
            <w:tcBorders>
              <w:left w:val="nil"/>
              <w:right w:val="nil"/>
            </w:tcBorders>
            <w:vAlign w:val="center"/>
          </w:tcPr>
          <w:p w14:paraId="4C390A98" w14:textId="77777777" w:rsidR="0059604F" w:rsidRPr="001428E9" w:rsidRDefault="0059604F" w:rsidP="00097C1E">
            <w:pPr>
              <w:keepNext/>
              <w:keepLines/>
              <w:jc w:val="center"/>
              <w:rPr>
                <w:rFonts w:ascii="Arial Narrow" w:hAnsi="Arial Narrow"/>
                <w:sz w:val="20"/>
                <w:szCs w:val="20"/>
              </w:rPr>
            </w:pPr>
          </w:p>
        </w:tc>
        <w:tc>
          <w:tcPr>
            <w:tcW w:w="708" w:type="dxa"/>
            <w:tcBorders>
              <w:left w:val="nil"/>
            </w:tcBorders>
            <w:vAlign w:val="center"/>
          </w:tcPr>
          <w:p w14:paraId="43583FFC" w14:textId="77777777" w:rsidR="0059604F" w:rsidRPr="001428E9" w:rsidRDefault="0059604F" w:rsidP="00097C1E">
            <w:pPr>
              <w:keepNext/>
              <w:keepLines/>
              <w:jc w:val="center"/>
              <w:rPr>
                <w:rFonts w:ascii="Arial Narrow" w:hAnsi="Arial Narrow"/>
                <w:sz w:val="20"/>
                <w:szCs w:val="20"/>
              </w:rPr>
            </w:pPr>
          </w:p>
        </w:tc>
        <w:tc>
          <w:tcPr>
            <w:tcW w:w="1275" w:type="dxa"/>
            <w:vMerge/>
            <w:vAlign w:val="center"/>
          </w:tcPr>
          <w:p w14:paraId="2B9B8D6D" w14:textId="77777777" w:rsidR="0059604F" w:rsidRPr="001428E9" w:rsidRDefault="0059604F" w:rsidP="00097C1E">
            <w:pPr>
              <w:keepNext/>
              <w:keepLines/>
              <w:jc w:val="center"/>
              <w:rPr>
                <w:rFonts w:ascii="Arial Narrow" w:hAnsi="Arial Narrow"/>
                <w:sz w:val="20"/>
                <w:szCs w:val="20"/>
              </w:rPr>
            </w:pPr>
          </w:p>
        </w:tc>
      </w:tr>
      <w:tr w:rsidR="00244FDB" w:rsidRPr="001428E9" w14:paraId="3DB93B82" w14:textId="77777777" w:rsidTr="00507D16">
        <w:trPr>
          <w:cantSplit/>
          <w:trHeight w:val="20"/>
        </w:trPr>
        <w:tc>
          <w:tcPr>
            <w:tcW w:w="2977" w:type="dxa"/>
            <w:vAlign w:val="center"/>
          </w:tcPr>
          <w:p w14:paraId="0D6E6A95" w14:textId="77777777" w:rsidR="0059604F" w:rsidRDefault="0059604F" w:rsidP="00097C1E">
            <w:pPr>
              <w:pStyle w:val="TableText0"/>
            </w:pPr>
            <w:r>
              <w:t>Upadacitinib, 30 mg, oral tablet</w:t>
            </w:r>
          </w:p>
        </w:tc>
        <w:tc>
          <w:tcPr>
            <w:tcW w:w="2126" w:type="dxa"/>
            <w:vAlign w:val="center"/>
          </w:tcPr>
          <w:p w14:paraId="5FFB98D0" w14:textId="77777777" w:rsidR="0059604F" w:rsidRPr="001428E9" w:rsidRDefault="0059604F" w:rsidP="00097C1E">
            <w:pPr>
              <w:pStyle w:val="TableText0"/>
              <w:jc w:val="center"/>
              <w:rPr>
                <w:szCs w:val="20"/>
              </w:rPr>
            </w:pPr>
            <w:r w:rsidRPr="004B0E2C">
              <w:rPr>
                <w:szCs w:val="20"/>
              </w:rPr>
              <w:t>$2,076.38 published price</w:t>
            </w:r>
          </w:p>
        </w:tc>
        <w:tc>
          <w:tcPr>
            <w:tcW w:w="992" w:type="dxa"/>
            <w:vAlign w:val="center"/>
          </w:tcPr>
          <w:p w14:paraId="522256BA"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szCs w:val="20"/>
              </w:rPr>
              <w:t>1</w:t>
            </w:r>
          </w:p>
        </w:tc>
        <w:tc>
          <w:tcPr>
            <w:tcW w:w="993" w:type="dxa"/>
            <w:vAlign w:val="center"/>
          </w:tcPr>
          <w:p w14:paraId="0A65FE62"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szCs w:val="20"/>
              </w:rPr>
              <w:t>28</w:t>
            </w:r>
          </w:p>
        </w:tc>
        <w:tc>
          <w:tcPr>
            <w:tcW w:w="708" w:type="dxa"/>
            <w:vAlign w:val="center"/>
          </w:tcPr>
          <w:p w14:paraId="05DC9CCB"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szCs w:val="20"/>
              </w:rPr>
              <w:t>4</w:t>
            </w:r>
          </w:p>
        </w:tc>
        <w:tc>
          <w:tcPr>
            <w:tcW w:w="1275" w:type="dxa"/>
            <w:vMerge/>
            <w:vAlign w:val="center"/>
          </w:tcPr>
          <w:p w14:paraId="7B77CB25" w14:textId="77777777" w:rsidR="0059604F" w:rsidRPr="001428E9" w:rsidRDefault="0059604F" w:rsidP="00097C1E">
            <w:pPr>
              <w:keepNext/>
              <w:keepLines/>
              <w:jc w:val="center"/>
              <w:rPr>
                <w:rFonts w:ascii="Arial Narrow" w:hAnsi="Arial Narrow"/>
                <w:sz w:val="20"/>
                <w:szCs w:val="20"/>
              </w:rPr>
            </w:pPr>
          </w:p>
        </w:tc>
      </w:tr>
      <w:tr w:rsidR="00244FDB" w:rsidRPr="001428E9" w14:paraId="1BB49593" w14:textId="77777777" w:rsidTr="00507D16">
        <w:trPr>
          <w:cantSplit/>
          <w:trHeight w:val="20"/>
        </w:trPr>
        <w:tc>
          <w:tcPr>
            <w:tcW w:w="2977" w:type="dxa"/>
            <w:vAlign w:val="center"/>
          </w:tcPr>
          <w:p w14:paraId="062CC7D1" w14:textId="77777777" w:rsidR="0059604F" w:rsidRDefault="0059604F" w:rsidP="00097C1E">
            <w:pPr>
              <w:pStyle w:val="TableText0"/>
            </w:pPr>
            <w:r>
              <w:t>Upadacitinib, 15 mg, oral tablet</w:t>
            </w:r>
          </w:p>
        </w:tc>
        <w:tc>
          <w:tcPr>
            <w:tcW w:w="2126" w:type="dxa"/>
            <w:vAlign w:val="center"/>
          </w:tcPr>
          <w:p w14:paraId="7EFA4B61" w14:textId="77777777" w:rsidR="0059604F" w:rsidRPr="001428E9" w:rsidRDefault="0059604F" w:rsidP="00097C1E">
            <w:pPr>
              <w:pStyle w:val="TableText0"/>
              <w:jc w:val="center"/>
              <w:rPr>
                <w:szCs w:val="20"/>
              </w:rPr>
            </w:pPr>
            <w:r w:rsidRPr="004B0E2C">
              <w:rPr>
                <w:szCs w:val="20"/>
              </w:rPr>
              <w:t>$1,271.40 published price</w:t>
            </w:r>
          </w:p>
        </w:tc>
        <w:tc>
          <w:tcPr>
            <w:tcW w:w="992" w:type="dxa"/>
            <w:vAlign w:val="center"/>
          </w:tcPr>
          <w:p w14:paraId="632AB9C1"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szCs w:val="20"/>
              </w:rPr>
              <w:t>1</w:t>
            </w:r>
          </w:p>
        </w:tc>
        <w:tc>
          <w:tcPr>
            <w:tcW w:w="993" w:type="dxa"/>
            <w:vAlign w:val="center"/>
          </w:tcPr>
          <w:p w14:paraId="79250224"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szCs w:val="20"/>
              </w:rPr>
              <w:t>28</w:t>
            </w:r>
          </w:p>
        </w:tc>
        <w:tc>
          <w:tcPr>
            <w:tcW w:w="708" w:type="dxa"/>
            <w:vAlign w:val="center"/>
          </w:tcPr>
          <w:p w14:paraId="1BD027E6" w14:textId="77777777" w:rsidR="0059604F" w:rsidRPr="001428E9" w:rsidRDefault="0059604F" w:rsidP="00097C1E">
            <w:pPr>
              <w:keepNext/>
              <w:keepLines/>
              <w:jc w:val="center"/>
              <w:rPr>
                <w:rFonts w:ascii="Arial Narrow" w:hAnsi="Arial Narrow"/>
                <w:sz w:val="20"/>
                <w:szCs w:val="20"/>
              </w:rPr>
            </w:pPr>
            <w:r>
              <w:rPr>
                <w:rFonts w:ascii="Arial Narrow" w:hAnsi="Arial Narrow"/>
                <w:sz w:val="20"/>
                <w:szCs w:val="20"/>
              </w:rPr>
              <w:t>4</w:t>
            </w:r>
          </w:p>
        </w:tc>
        <w:tc>
          <w:tcPr>
            <w:tcW w:w="1275" w:type="dxa"/>
            <w:vMerge/>
            <w:vAlign w:val="center"/>
          </w:tcPr>
          <w:p w14:paraId="1B97701C" w14:textId="77777777" w:rsidR="0059604F" w:rsidRPr="001428E9" w:rsidRDefault="0059604F" w:rsidP="00097C1E">
            <w:pPr>
              <w:keepNext/>
              <w:keepLines/>
              <w:jc w:val="center"/>
              <w:rPr>
                <w:rFonts w:ascii="Arial Narrow" w:hAnsi="Arial Narrow"/>
                <w:sz w:val="20"/>
                <w:szCs w:val="20"/>
              </w:rPr>
            </w:pPr>
          </w:p>
        </w:tc>
      </w:tr>
    </w:tbl>
    <w:p w14:paraId="3C1BAC82" w14:textId="77777777" w:rsidR="00850BEC" w:rsidRDefault="00850BEC" w:rsidP="00507D16">
      <w:pPr>
        <w:pStyle w:val="TableFigureFooter"/>
        <w:spacing w:after="0"/>
      </w:pPr>
    </w:p>
    <w:tbl>
      <w:tblPr>
        <w:tblStyle w:val="TableGrid"/>
        <w:tblpPr w:leftFromText="180" w:rightFromText="180" w:vertAnchor="text" w:tblpY="1"/>
        <w:tblW w:w="5000" w:type="pct"/>
        <w:tblLook w:val="04A0" w:firstRow="1" w:lastRow="0" w:firstColumn="1" w:lastColumn="0" w:noHBand="0" w:noVBand="1"/>
      </w:tblPr>
      <w:tblGrid>
        <w:gridCol w:w="9017"/>
      </w:tblGrid>
      <w:tr w:rsidR="0059604F" w:rsidRPr="00046D64" w14:paraId="35DE24C7" w14:textId="77777777" w:rsidTr="00850BEC">
        <w:trPr>
          <w:cantSplit/>
          <w:trHeight w:val="20"/>
        </w:trPr>
        <w:tc>
          <w:tcPr>
            <w:tcW w:w="5000" w:type="pct"/>
          </w:tcPr>
          <w:p w14:paraId="78176DD9" w14:textId="77777777" w:rsidR="0059604F" w:rsidRPr="00046D64" w:rsidRDefault="0059604F" w:rsidP="00850BEC">
            <w:pPr>
              <w:pStyle w:val="TableText0"/>
              <w:keepLines/>
              <w:widowControl w:val="0"/>
            </w:pPr>
            <w:r w:rsidRPr="00046D64">
              <w:rPr>
                <w:b/>
              </w:rPr>
              <w:t xml:space="preserve">Category / Program: </w:t>
            </w:r>
            <w:r w:rsidRPr="007A22A8">
              <w:t>Section 85</w:t>
            </w:r>
            <w:r>
              <w:t xml:space="preserve">- </w:t>
            </w:r>
            <w:r w:rsidRPr="007A22A8">
              <w:t>General Schedule</w:t>
            </w:r>
          </w:p>
        </w:tc>
      </w:tr>
      <w:tr w:rsidR="0059604F" w:rsidRPr="00046D64" w14:paraId="77E1E0F8" w14:textId="77777777" w:rsidTr="00850BEC">
        <w:trPr>
          <w:cantSplit/>
          <w:trHeight w:val="20"/>
        </w:trPr>
        <w:tc>
          <w:tcPr>
            <w:tcW w:w="5000" w:type="pct"/>
          </w:tcPr>
          <w:p w14:paraId="2635C561" w14:textId="77777777" w:rsidR="0059604F" w:rsidRPr="00046D64" w:rsidRDefault="0059604F" w:rsidP="00850BEC">
            <w:pPr>
              <w:pStyle w:val="TableText0"/>
              <w:keepLines/>
              <w:widowControl w:val="0"/>
              <w:rPr>
                <w:b/>
              </w:rPr>
            </w:pPr>
            <w:r w:rsidRPr="00046D64">
              <w:rPr>
                <w:b/>
              </w:rPr>
              <w:t xml:space="preserve">Prescriber type: </w:t>
            </w:r>
            <w:r w:rsidRPr="00046D64">
              <w:t>Medical Practitioners</w:t>
            </w:r>
          </w:p>
        </w:tc>
      </w:tr>
      <w:tr w:rsidR="0059604F" w:rsidRPr="00046D64" w14:paraId="6E387A88" w14:textId="77777777" w:rsidTr="00850BEC">
        <w:trPr>
          <w:cantSplit/>
          <w:trHeight w:val="20"/>
        </w:trPr>
        <w:tc>
          <w:tcPr>
            <w:tcW w:w="5000" w:type="pct"/>
          </w:tcPr>
          <w:p w14:paraId="2F8075EB" w14:textId="25E6EED6" w:rsidR="0059604F" w:rsidRPr="00046D64" w:rsidRDefault="0059604F" w:rsidP="00850BEC">
            <w:pPr>
              <w:pStyle w:val="TableText0"/>
              <w:keepLines/>
              <w:widowControl w:val="0"/>
              <w:rPr>
                <w:rFonts w:eastAsia="Times New Roman"/>
              </w:rPr>
            </w:pPr>
            <w:r w:rsidRPr="00046D64">
              <w:rPr>
                <w:b/>
              </w:rPr>
              <w:t xml:space="preserve">Restriction type: </w:t>
            </w:r>
            <w:r w:rsidRPr="00046D64">
              <w:rPr>
                <w:rFonts w:eastAsia="Times New Roman"/>
              </w:rPr>
              <w:t>Authority Required</w:t>
            </w:r>
            <w:r>
              <w:rPr>
                <w:rFonts w:eastAsia="Times New Roman"/>
              </w:rPr>
              <w:t>- I</w:t>
            </w:r>
            <w:r w:rsidRPr="00046D64">
              <w:rPr>
                <w:rFonts w:eastAsia="Times New Roman"/>
              </w:rPr>
              <w:t xml:space="preserve">n </w:t>
            </w:r>
            <w:r>
              <w:rPr>
                <w:rFonts w:eastAsia="Times New Roman"/>
              </w:rPr>
              <w:t>W</w:t>
            </w:r>
            <w:r w:rsidRPr="00046D64">
              <w:rPr>
                <w:rFonts w:eastAsia="Times New Roman"/>
              </w:rPr>
              <w:t>riting</w:t>
            </w:r>
            <w:r w:rsidR="000C52FF">
              <w:rPr>
                <w:rFonts w:eastAsia="Times New Roman"/>
              </w:rPr>
              <w:t xml:space="preserve"> </w:t>
            </w:r>
          </w:p>
        </w:tc>
      </w:tr>
      <w:tr w:rsidR="0059604F" w:rsidRPr="00046D64" w14:paraId="299081F9" w14:textId="77777777" w:rsidTr="0004720E">
        <w:trPr>
          <w:trHeight w:val="20"/>
        </w:trPr>
        <w:tc>
          <w:tcPr>
            <w:tcW w:w="5000" w:type="pct"/>
          </w:tcPr>
          <w:p w14:paraId="07C19C29" w14:textId="77777777" w:rsidR="0059604F" w:rsidRPr="00046D64" w:rsidRDefault="0059604F" w:rsidP="00097C1E">
            <w:pPr>
              <w:pStyle w:val="TableText0"/>
              <w:keepLines/>
              <w:rPr>
                <w:b/>
              </w:rPr>
            </w:pPr>
            <w:r w:rsidRPr="00046D64">
              <w:rPr>
                <w:b/>
              </w:rPr>
              <w:t xml:space="preserve">Severity: </w:t>
            </w:r>
            <w:r w:rsidRPr="0002427F">
              <w:rPr>
                <w:bCs w:val="0"/>
              </w:rPr>
              <w:t>Severe</w:t>
            </w:r>
          </w:p>
        </w:tc>
      </w:tr>
      <w:tr w:rsidR="0059604F" w:rsidRPr="00046D64" w14:paraId="7F1A61F5" w14:textId="77777777" w:rsidTr="0004720E">
        <w:trPr>
          <w:trHeight w:val="20"/>
        </w:trPr>
        <w:tc>
          <w:tcPr>
            <w:tcW w:w="5000" w:type="pct"/>
          </w:tcPr>
          <w:p w14:paraId="27D70653" w14:textId="77777777" w:rsidR="0059604F" w:rsidRPr="00046D64" w:rsidRDefault="0059604F" w:rsidP="00097C1E">
            <w:pPr>
              <w:pStyle w:val="TableText0"/>
              <w:keepLines/>
              <w:rPr>
                <w:b/>
              </w:rPr>
            </w:pPr>
            <w:r w:rsidRPr="00046D64">
              <w:rPr>
                <w:b/>
              </w:rPr>
              <w:t xml:space="preserve">Condition: </w:t>
            </w:r>
            <w:r w:rsidRPr="0002427F">
              <w:rPr>
                <w:bCs w:val="0"/>
              </w:rPr>
              <w:t>Crohn disease</w:t>
            </w:r>
          </w:p>
        </w:tc>
      </w:tr>
      <w:tr w:rsidR="0059604F" w:rsidRPr="00046D64" w14:paraId="03D7AD74" w14:textId="77777777" w:rsidTr="0004720E">
        <w:trPr>
          <w:trHeight w:val="20"/>
        </w:trPr>
        <w:tc>
          <w:tcPr>
            <w:tcW w:w="5000" w:type="pct"/>
            <w:hideMark/>
          </w:tcPr>
          <w:p w14:paraId="322D02F8" w14:textId="77777777" w:rsidR="0059604F" w:rsidRPr="00046D64" w:rsidRDefault="0059604F" w:rsidP="00097C1E">
            <w:pPr>
              <w:pStyle w:val="TableText0"/>
              <w:keepLines/>
            </w:pPr>
            <w:r w:rsidRPr="00046D64">
              <w:rPr>
                <w:b/>
              </w:rPr>
              <w:t>Indication:</w:t>
            </w:r>
            <w:r w:rsidRPr="00046D64">
              <w:t xml:space="preserve"> </w:t>
            </w:r>
            <w:r w:rsidRPr="0002427F">
              <w:rPr>
                <w:color w:val="000000" w:themeColor="text1"/>
              </w:rPr>
              <w:t>Severe Crohn disease</w:t>
            </w:r>
          </w:p>
        </w:tc>
      </w:tr>
      <w:tr w:rsidR="0059604F" w:rsidRPr="00046D64" w14:paraId="3D402095" w14:textId="77777777" w:rsidTr="0004720E">
        <w:trPr>
          <w:trHeight w:val="20"/>
        </w:trPr>
        <w:tc>
          <w:tcPr>
            <w:tcW w:w="5000" w:type="pct"/>
          </w:tcPr>
          <w:p w14:paraId="0425E7F4" w14:textId="77777777" w:rsidR="0059604F" w:rsidRPr="00046D64" w:rsidRDefault="0059604F" w:rsidP="00097C1E">
            <w:pPr>
              <w:pStyle w:val="TableText0"/>
              <w:keepLines/>
              <w:rPr>
                <w:b/>
              </w:rPr>
            </w:pPr>
            <w:r w:rsidRPr="00046D64">
              <w:rPr>
                <w:b/>
              </w:rPr>
              <w:t>Treatment criteria:</w:t>
            </w:r>
            <w:r>
              <w:rPr>
                <w:b/>
              </w:rPr>
              <w:t xml:space="preserve"> </w:t>
            </w:r>
            <w:r w:rsidRPr="0002427F">
              <w:rPr>
                <w:bCs w:val="0"/>
              </w:rPr>
              <w:t>Must be treated by a gastroenterologist or consultant physician [specialising in gastroenterology]</w:t>
            </w:r>
          </w:p>
        </w:tc>
      </w:tr>
      <w:tr w:rsidR="0059604F" w:rsidRPr="00046D64" w14:paraId="7C0872A3" w14:textId="77777777" w:rsidTr="0004720E">
        <w:trPr>
          <w:trHeight w:val="20"/>
        </w:trPr>
        <w:tc>
          <w:tcPr>
            <w:tcW w:w="5000" w:type="pct"/>
          </w:tcPr>
          <w:p w14:paraId="602EBCA8" w14:textId="77777777" w:rsidR="0059604F" w:rsidRPr="00046D64" w:rsidRDefault="0059604F" w:rsidP="00097C1E">
            <w:pPr>
              <w:pStyle w:val="TableText0"/>
              <w:rPr>
                <w:b/>
              </w:rPr>
            </w:pPr>
            <w:r w:rsidRPr="00046D64">
              <w:rPr>
                <w:b/>
              </w:rPr>
              <w:t>Population criteria:</w:t>
            </w:r>
            <w:r>
              <w:rPr>
                <w:b/>
              </w:rPr>
              <w:t xml:space="preserve"> </w:t>
            </w:r>
            <w:r>
              <w:rPr>
                <w:lang w:bidi="he-IL"/>
              </w:rPr>
              <w:t xml:space="preserve">Patient must be aged 18 years or </w:t>
            </w:r>
            <w:r w:rsidRPr="0002427F">
              <w:t>older</w:t>
            </w:r>
          </w:p>
        </w:tc>
      </w:tr>
      <w:tr w:rsidR="0059604F" w:rsidRPr="00046D64" w14:paraId="318CA2C2" w14:textId="77777777" w:rsidTr="00D67247">
        <w:trPr>
          <w:trHeight w:val="20"/>
        </w:trPr>
        <w:tc>
          <w:tcPr>
            <w:tcW w:w="5000" w:type="pct"/>
            <w:tcBorders>
              <w:right w:val="nil"/>
            </w:tcBorders>
          </w:tcPr>
          <w:p w14:paraId="6B22CFD9" w14:textId="77777777" w:rsidR="0059604F" w:rsidRPr="001F0389" w:rsidRDefault="0059604F" w:rsidP="00097C1E">
            <w:pPr>
              <w:pStyle w:val="TableText0"/>
              <w:rPr>
                <w:bCs w:val="0"/>
                <w:i/>
                <w:iCs/>
              </w:rPr>
            </w:pPr>
            <w:r w:rsidRPr="001F0389">
              <w:rPr>
                <w:bCs w:val="0"/>
                <w:i/>
                <w:iCs/>
              </w:rPr>
              <w:t>The above criteria apply to all treatment phases outlined below:</w:t>
            </w:r>
          </w:p>
        </w:tc>
      </w:tr>
      <w:tr w:rsidR="0059604F" w:rsidRPr="00046D64" w14:paraId="46CC17DD" w14:textId="77777777" w:rsidTr="00D67247">
        <w:trPr>
          <w:trHeight w:val="20"/>
        </w:trPr>
        <w:tc>
          <w:tcPr>
            <w:tcW w:w="5000" w:type="pct"/>
            <w:tcBorders>
              <w:left w:val="nil"/>
            </w:tcBorders>
          </w:tcPr>
          <w:p w14:paraId="7B4CA7BE" w14:textId="77777777" w:rsidR="0059604F" w:rsidRPr="0002427F" w:rsidRDefault="0059604F" w:rsidP="00097C1E">
            <w:pPr>
              <w:pStyle w:val="TableText0"/>
              <w:rPr>
                <w:bCs w:val="0"/>
              </w:rPr>
            </w:pPr>
          </w:p>
        </w:tc>
      </w:tr>
      <w:tr w:rsidR="0059604F" w:rsidRPr="00046D64" w14:paraId="38C55032" w14:textId="77777777" w:rsidTr="0004720E">
        <w:trPr>
          <w:trHeight w:val="20"/>
        </w:trPr>
        <w:tc>
          <w:tcPr>
            <w:tcW w:w="5000" w:type="pct"/>
            <w:hideMark/>
          </w:tcPr>
          <w:p w14:paraId="1EBC4C3C" w14:textId="008F4855" w:rsidR="0059604F" w:rsidRPr="00046D64" w:rsidRDefault="0059604F" w:rsidP="00097C1E">
            <w:pPr>
              <w:pStyle w:val="TableText0"/>
              <w:keepLines/>
            </w:pPr>
            <w:r w:rsidRPr="00046D64">
              <w:rPr>
                <w:b/>
              </w:rPr>
              <w:t>Treatment Phase:</w:t>
            </w:r>
            <w:r w:rsidRPr="00046D64">
              <w:t xml:space="preserve"> </w:t>
            </w:r>
            <w:r w:rsidRPr="00F9355E">
              <w:rPr>
                <w:b/>
                <w:bCs w:val="0"/>
              </w:rPr>
              <w:t xml:space="preserve">Initial treatment 1 (new patient, or change or re-commencement of treatment after break &gt; </w:t>
            </w:r>
            <w:r w:rsidR="00507D16" w:rsidRPr="00F9355E">
              <w:rPr>
                <w:b/>
                <w:bCs w:val="0"/>
              </w:rPr>
              <w:t>5</w:t>
            </w:r>
            <w:r w:rsidR="00507D16">
              <w:rPr>
                <w:b/>
                <w:bCs w:val="0"/>
              </w:rPr>
              <w:t> </w:t>
            </w:r>
            <w:r w:rsidRPr="00F9355E">
              <w:rPr>
                <w:b/>
                <w:bCs w:val="0"/>
              </w:rPr>
              <w:t>years)</w:t>
            </w:r>
          </w:p>
        </w:tc>
      </w:tr>
      <w:tr w:rsidR="0059604F" w:rsidRPr="00046D64" w14:paraId="64BF0892" w14:textId="77777777" w:rsidTr="0004720E">
        <w:trPr>
          <w:trHeight w:val="20"/>
        </w:trPr>
        <w:tc>
          <w:tcPr>
            <w:tcW w:w="5000" w:type="pct"/>
            <w:hideMark/>
          </w:tcPr>
          <w:p w14:paraId="04A26310" w14:textId="77777777" w:rsidR="0059604F" w:rsidRPr="00046D64" w:rsidRDefault="0059604F" w:rsidP="00097C1E">
            <w:pPr>
              <w:pStyle w:val="TableText0"/>
              <w:keepLines/>
            </w:pPr>
            <w:r w:rsidRPr="00046D64">
              <w:rPr>
                <w:b/>
              </w:rPr>
              <w:t>Clinical criteria:</w:t>
            </w:r>
          </w:p>
        </w:tc>
      </w:tr>
      <w:tr w:rsidR="0059604F" w:rsidRPr="00046D64" w14:paraId="39C05E3D" w14:textId="77777777" w:rsidTr="00D67247">
        <w:trPr>
          <w:trHeight w:val="20"/>
        </w:trPr>
        <w:tc>
          <w:tcPr>
            <w:tcW w:w="5000" w:type="pct"/>
            <w:tcBorders>
              <w:bottom w:val="nil"/>
            </w:tcBorders>
            <w:hideMark/>
          </w:tcPr>
          <w:p w14:paraId="0FB8A5E1" w14:textId="77777777" w:rsidR="0059604F" w:rsidRPr="00046D64" w:rsidRDefault="0059604F" w:rsidP="00097C1E">
            <w:pPr>
              <w:pStyle w:val="TableText0"/>
              <w:keepLines/>
            </w:pPr>
            <w:r w:rsidRPr="0002427F">
              <w:t>Patient must have confirmed severe Crohn disease</w:t>
            </w:r>
          </w:p>
        </w:tc>
      </w:tr>
      <w:tr w:rsidR="0059604F" w:rsidRPr="00046D64" w14:paraId="3367BA1B" w14:textId="77777777" w:rsidTr="00D67247">
        <w:trPr>
          <w:trHeight w:val="20"/>
        </w:trPr>
        <w:tc>
          <w:tcPr>
            <w:tcW w:w="5000" w:type="pct"/>
            <w:tcBorders>
              <w:top w:val="nil"/>
              <w:bottom w:val="nil"/>
            </w:tcBorders>
            <w:hideMark/>
          </w:tcPr>
          <w:p w14:paraId="23EC182A" w14:textId="77777777" w:rsidR="0059604F" w:rsidRPr="0002427F" w:rsidRDefault="0059604F" w:rsidP="00097C1E">
            <w:pPr>
              <w:pStyle w:val="TableText0"/>
              <w:keepLines/>
              <w:rPr>
                <w:bCs w:val="0"/>
              </w:rPr>
            </w:pPr>
            <w:r w:rsidRPr="0002427F">
              <w:rPr>
                <w:bCs w:val="0"/>
              </w:rPr>
              <w:t>AND</w:t>
            </w:r>
          </w:p>
        </w:tc>
      </w:tr>
      <w:tr w:rsidR="0059604F" w:rsidRPr="00046D64" w14:paraId="28D06F91" w14:textId="77777777" w:rsidTr="00D67247">
        <w:trPr>
          <w:trHeight w:val="20"/>
        </w:trPr>
        <w:tc>
          <w:tcPr>
            <w:tcW w:w="5000" w:type="pct"/>
            <w:tcBorders>
              <w:top w:val="nil"/>
              <w:bottom w:val="nil"/>
            </w:tcBorders>
            <w:hideMark/>
          </w:tcPr>
          <w:p w14:paraId="2D5B7627" w14:textId="77777777" w:rsidR="0059604F" w:rsidRPr="00046D64" w:rsidRDefault="0059604F" w:rsidP="00097C1E">
            <w:pPr>
              <w:pStyle w:val="TableText0"/>
              <w:keepLines/>
            </w:pPr>
            <w:r w:rsidRPr="0002427F">
              <w:t>Patient must have failed to achieve an adequate response to prior systemic therapy (corticosteroids and at least 3 months of immunosuppressive therapy)</w:t>
            </w:r>
          </w:p>
        </w:tc>
      </w:tr>
      <w:tr w:rsidR="0059604F" w:rsidRPr="00046D64" w14:paraId="524BFDC9" w14:textId="77777777" w:rsidTr="00D67247">
        <w:trPr>
          <w:trHeight w:val="20"/>
        </w:trPr>
        <w:tc>
          <w:tcPr>
            <w:tcW w:w="5000" w:type="pct"/>
            <w:tcBorders>
              <w:top w:val="nil"/>
              <w:bottom w:val="nil"/>
            </w:tcBorders>
            <w:hideMark/>
          </w:tcPr>
          <w:p w14:paraId="5F54C665" w14:textId="77777777" w:rsidR="0059604F" w:rsidRPr="0002427F" w:rsidRDefault="0059604F" w:rsidP="00097C1E">
            <w:pPr>
              <w:pStyle w:val="TableText0"/>
              <w:keepLines/>
              <w:rPr>
                <w:color w:val="000000" w:themeColor="text1"/>
              </w:rPr>
            </w:pPr>
            <w:r w:rsidRPr="0002427F">
              <w:rPr>
                <w:color w:val="000000" w:themeColor="text1"/>
              </w:rPr>
              <w:t>AND</w:t>
            </w:r>
          </w:p>
        </w:tc>
      </w:tr>
      <w:tr w:rsidR="0059604F" w:rsidRPr="00046D64" w14:paraId="57BE678E" w14:textId="77777777" w:rsidTr="00D67247">
        <w:trPr>
          <w:trHeight w:val="20"/>
        </w:trPr>
        <w:tc>
          <w:tcPr>
            <w:tcW w:w="5000" w:type="pct"/>
            <w:tcBorders>
              <w:top w:val="nil"/>
              <w:bottom w:val="nil"/>
            </w:tcBorders>
          </w:tcPr>
          <w:p w14:paraId="4853F3D7" w14:textId="77777777" w:rsidR="0059604F" w:rsidRPr="0002427F" w:rsidRDefault="0059604F" w:rsidP="00097C1E">
            <w:pPr>
              <w:pStyle w:val="TableText0"/>
              <w:keepLines/>
              <w:rPr>
                <w:color w:val="000000" w:themeColor="text1"/>
              </w:rPr>
            </w:pPr>
            <w:r w:rsidRPr="0002427F">
              <w:rPr>
                <w:color w:val="000000" w:themeColor="text1"/>
              </w:rPr>
              <w:t>Patient must have severity of disease activity with CDAI ≥300; OR CDAI ≥220 with extensive small intestine disease</w:t>
            </w:r>
          </w:p>
        </w:tc>
      </w:tr>
      <w:tr w:rsidR="0059604F" w:rsidRPr="00046D64" w14:paraId="5823B58F" w14:textId="77777777" w:rsidTr="00D67247">
        <w:trPr>
          <w:trHeight w:val="20"/>
        </w:trPr>
        <w:tc>
          <w:tcPr>
            <w:tcW w:w="5000" w:type="pct"/>
            <w:tcBorders>
              <w:top w:val="nil"/>
              <w:bottom w:val="nil"/>
            </w:tcBorders>
            <w:hideMark/>
          </w:tcPr>
          <w:p w14:paraId="3E97945E" w14:textId="77777777" w:rsidR="0059604F" w:rsidRPr="00046D64" w:rsidRDefault="0059604F" w:rsidP="00097C1E">
            <w:pPr>
              <w:pStyle w:val="TableText0"/>
              <w:keepLines/>
            </w:pPr>
            <w:r>
              <w:lastRenderedPageBreak/>
              <w:t>AND</w:t>
            </w:r>
          </w:p>
        </w:tc>
      </w:tr>
      <w:tr w:rsidR="0059604F" w:rsidRPr="00046D64" w14:paraId="2C485739" w14:textId="77777777" w:rsidTr="00D67247">
        <w:trPr>
          <w:trHeight w:val="20"/>
        </w:trPr>
        <w:tc>
          <w:tcPr>
            <w:tcW w:w="5000" w:type="pct"/>
            <w:tcBorders>
              <w:top w:val="nil"/>
              <w:bottom w:val="nil"/>
            </w:tcBorders>
            <w:hideMark/>
          </w:tcPr>
          <w:p w14:paraId="6CF91FDD" w14:textId="77777777" w:rsidR="0059604F" w:rsidRPr="0002427F" w:rsidRDefault="0059604F" w:rsidP="00097C1E">
            <w:pPr>
              <w:pStyle w:val="TableText0"/>
              <w:keepLines/>
            </w:pPr>
            <w:r w:rsidRPr="0002427F">
              <w:t>Evidence of intestinal inflammation; OR in high faecal output state; OR require surgery or total parenteral nutrition as the next therapeutic option</w:t>
            </w:r>
          </w:p>
        </w:tc>
      </w:tr>
      <w:tr w:rsidR="0059604F" w:rsidRPr="00046D64" w14:paraId="343C75BD" w14:textId="77777777" w:rsidTr="00D67247">
        <w:trPr>
          <w:trHeight w:val="20"/>
        </w:trPr>
        <w:tc>
          <w:tcPr>
            <w:tcW w:w="5000" w:type="pct"/>
            <w:tcBorders>
              <w:top w:val="nil"/>
              <w:bottom w:val="nil"/>
            </w:tcBorders>
            <w:hideMark/>
          </w:tcPr>
          <w:p w14:paraId="6E46FBF2" w14:textId="77777777" w:rsidR="0059604F" w:rsidRPr="0002427F" w:rsidRDefault="0059604F" w:rsidP="00097C1E">
            <w:pPr>
              <w:pStyle w:val="TableText0"/>
              <w:keepLines/>
              <w:rPr>
                <w:bCs w:val="0"/>
              </w:rPr>
            </w:pPr>
            <w:r w:rsidRPr="0002427F">
              <w:rPr>
                <w:bCs w:val="0"/>
              </w:rPr>
              <w:t>AND</w:t>
            </w:r>
          </w:p>
        </w:tc>
      </w:tr>
      <w:tr w:rsidR="0059604F" w:rsidRPr="00046D64" w14:paraId="07504F59" w14:textId="77777777" w:rsidTr="00D67247">
        <w:trPr>
          <w:trHeight w:val="20"/>
        </w:trPr>
        <w:tc>
          <w:tcPr>
            <w:tcW w:w="5000" w:type="pct"/>
            <w:tcBorders>
              <w:top w:val="nil"/>
              <w:bottom w:val="nil"/>
            </w:tcBorders>
          </w:tcPr>
          <w:p w14:paraId="0E7DB332" w14:textId="77777777" w:rsidR="0059604F" w:rsidRPr="00C61A59" w:rsidRDefault="0059604F" w:rsidP="00097C1E">
            <w:pPr>
              <w:pStyle w:val="TableText0"/>
              <w:keepLines/>
              <w:rPr>
                <w:color w:val="0066FF"/>
              </w:rPr>
            </w:pPr>
            <w:r w:rsidRPr="0002427F">
              <w:rPr>
                <w:color w:val="000000" w:themeColor="text1"/>
              </w:rPr>
              <w:t>The treatment must not exceed 12 weeks under this restriction</w:t>
            </w:r>
          </w:p>
        </w:tc>
      </w:tr>
      <w:tr w:rsidR="0059604F" w:rsidRPr="00046D64" w14:paraId="49556E83" w14:textId="77777777" w:rsidTr="00D67247">
        <w:trPr>
          <w:trHeight w:val="20"/>
        </w:trPr>
        <w:tc>
          <w:tcPr>
            <w:tcW w:w="5000" w:type="pct"/>
            <w:tcBorders>
              <w:top w:val="nil"/>
            </w:tcBorders>
          </w:tcPr>
          <w:p w14:paraId="2F00B611" w14:textId="77777777" w:rsidR="0059604F" w:rsidRPr="0002427F" w:rsidRDefault="0059604F" w:rsidP="00097C1E">
            <w:pPr>
              <w:pStyle w:val="TableText0"/>
              <w:keepLines/>
              <w:rPr>
                <w:color w:val="000000" w:themeColor="text1"/>
              </w:rPr>
            </w:pPr>
            <w:r w:rsidRPr="00046D64">
              <w:rPr>
                <w:b/>
              </w:rPr>
              <w:t xml:space="preserve">Restriction type: </w:t>
            </w:r>
            <w:r w:rsidRPr="00046D64">
              <w:rPr>
                <w:rFonts w:eastAsia="Times New Roman"/>
              </w:rPr>
              <w:t>Authority Required</w:t>
            </w:r>
            <w:r>
              <w:rPr>
                <w:rFonts w:eastAsia="Times New Roman"/>
              </w:rPr>
              <w:t>- I</w:t>
            </w:r>
            <w:r w:rsidRPr="00046D64">
              <w:rPr>
                <w:rFonts w:eastAsia="Times New Roman"/>
              </w:rPr>
              <w:t xml:space="preserve">n </w:t>
            </w:r>
            <w:r>
              <w:rPr>
                <w:rFonts w:eastAsia="Times New Roman"/>
              </w:rPr>
              <w:t>W</w:t>
            </w:r>
            <w:r w:rsidRPr="00046D64">
              <w:rPr>
                <w:rFonts w:eastAsia="Times New Roman"/>
              </w:rPr>
              <w:t>riting</w:t>
            </w:r>
          </w:p>
        </w:tc>
      </w:tr>
      <w:tr w:rsidR="0059604F" w:rsidRPr="00046D64" w14:paraId="60BA05A2" w14:textId="77777777" w:rsidTr="00D67247">
        <w:trPr>
          <w:trHeight w:val="20"/>
        </w:trPr>
        <w:tc>
          <w:tcPr>
            <w:tcW w:w="5000" w:type="pct"/>
            <w:tcBorders>
              <w:bottom w:val="nil"/>
            </w:tcBorders>
            <w:hideMark/>
          </w:tcPr>
          <w:p w14:paraId="6D7D643D" w14:textId="77777777" w:rsidR="0059604F" w:rsidRDefault="0059604F" w:rsidP="00097C1E">
            <w:pPr>
              <w:pStyle w:val="TableText0"/>
              <w:keepLines/>
              <w:rPr>
                <w:b/>
              </w:rPr>
            </w:pPr>
            <w:r w:rsidRPr="00046D64">
              <w:rPr>
                <w:b/>
              </w:rPr>
              <w:t>Prescribing Instructions:</w:t>
            </w:r>
          </w:p>
          <w:p w14:paraId="7E7B7164" w14:textId="77777777" w:rsidR="0059604F" w:rsidRPr="00046D64" w:rsidRDefault="0059604F" w:rsidP="00097C1E">
            <w:pPr>
              <w:pStyle w:val="TableText0"/>
              <w:keepLines/>
            </w:pPr>
            <w:r w:rsidRPr="0002427F">
              <w:rPr>
                <w:bCs w:val="0"/>
              </w:rPr>
              <w:t xml:space="preserve">A maximum quantity and number of repeats to provide for an initial </w:t>
            </w:r>
            <w:proofErr w:type="gramStart"/>
            <w:r w:rsidRPr="0002427F">
              <w:rPr>
                <w:bCs w:val="0"/>
              </w:rPr>
              <w:t>12 week</w:t>
            </w:r>
            <w:proofErr w:type="gramEnd"/>
            <w:r w:rsidRPr="0002427F">
              <w:rPr>
                <w:bCs w:val="0"/>
              </w:rPr>
              <w:t xml:space="preserve"> course of this drug will be authorised under this item code. A further </w:t>
            </w:r>
            <w:proofErr w:type="gramStart"/>
            <w:r w:rsidRPr="0002427F">
              <w:rPr>
                <w:bCs w:val="0"/>
              </w:rPr>
              <w:t>4 week</w:t>
            </w:r>
            <w:proofErr w:type="gramEnd"/>
            <w:r w:rsidRPr="0002427F">
              <w:rPr>
                <w:bCs w:val="0"/>
              </w:rPr>
              <w:t xml:space="preserve"> course of treatment can be accessed under the balance of supply criteria.</w:t>
            </w:r>
          </w:p>
        </w:tc>
      </w:tr>
      <w:tr w:rsidR="0059604F" w:rsidRPr="00046D64" w14:paraId="7F1CCE35" w14:textId="77777777" w:rsidTr="00D67247">
        <w:trPr>
          <w:trHeight w:val="20"/>
        </w:trPr>
        <w:tc>
          <w:tcPr>
            <w:tcW w:w="5000" w:type="pct"/>
            <w:tcBorders>
              <w:top w:val="nil"/>
              <w:bottom w:val="nil"/>
            </w:tcBorders>
          </w:tcPr>
          <w:p w14:paraId="5B76FEE0" w14:textId="77777777" w:rsidR="0059604F" w:rsidRPr="00046D64" w:rsidRDefault="0059604F" w:rsidP="00097C1E">
            <w:pPr>
              <w:pStyle w:val="TableText0"/>
              <w:keepLines/>
              <w:rPr>
                <w:b/>
              </w:rPr>
            </w:pPr>
            <w:r w:rsidRPr="0002427F">
              <w:rPr>
                <w:bCs w:val="0"/>
              </w:rPr>
              <w:t>The assessment of the patient's response to this initial course of treatment, including the balance of supply, must be made following a minimum of 12 weeks of therapy so that there is adequate time for a response to be demonstrated.</w:t>
            </w:r>
          </w:p>
        </w:tc>
      </w:tr>
      <w:tr w:rsidR="0059604F" w:rsidRPr="00046D64" w14:paraId="51AC5FD1" w14:textId="77777777" w:rsidTr="00D67247">
        <w:trPr>
          <w:trHeight w:val="20"/>
        </w:trPr>
        <w:tc>
          <w:tcPr>
            <w:tcW w:w="5000" w:type="pct"/>
            <w:tcBorders>
              <w:top w:val="nil"/>
            </w:tcBorders>
          </w:tcPr>
          <w:p w14:paraId="0F1FCA9B" w14:textId="77777777" w:rsidR="0059604F" w:rsidRPr="00046D64" w:rsidRDefault="0059604F" w:rsidP="00097C1E">
            <w:pPr>
              <w:pStyle w:val="TableText0"/>
              <w:keepLines/>
              <w:rPr>
                <w:b/>
              </w:rPr>
            </w:pPr>
            <w:r w:rsidRPr="0002427F">
              <w:rPr>
                <w:bCs w:val="0"/>
              </w:rPr>
              <w:t xml:space="preserve">It is recommended that an application for continuing treatment is posted to the Department of Human Services at the time of the </w:t>
            </w:r>
            <w:proofErr w:type="gramStart"/>
            <w:r w:rsidRPr="0002427F">
              <w:rPr>
                <w:bCs w:val="0"/>
              </w:rPr>
              <w:t>12 week</w:t>
            </w:r>
            <w:proofErr w:type="gramEnd"/>
            <w:r w:rsidRPr="0002427F">
              <w:rPr>
                <w:bCs w:val="0"/>
              </w:rPr>
              <w:t xml:space="preserve"> assessment, to ensure continuity of treatment for those patients who meet the continuation criterion for PBS-subsidised treatment with this drug</w:t>
            </w:r>
          </w:p>
        </w:tc>
      </w:tr>
      <w:tr w:rsidR="00097C1E" w:rsidRPr="00046D64" w14:paraId="4DC5D80F" w14:textId="77777777" w:rsidTr="00097C1E">
        <w:trPr>
          <w:trHeight w:val="20"/>
        </w:trPr>
        <w:tc>
          <w:tcPr>
            <w:tcW w:w="5000" w:type="pct"/>
            <w:tcBorders>
              <w:top w:val="nil"/>
              <w:left w:val="nil"/>
              <w:right w:val="nil"/>
            </w:tcBorders>
          </w:tcPr>
          <w:p w14:paraId="382A6733" w14:textId="77777777" w:rsidR="00097C1E" w:rsidRPr="0002427F" w:rsidRDefault="00097C1E" w:rsidP="00097C1E">
            <w:pPr>
              <w:pStyle w:val="TableText0"/>
              <w:keepLines/>
              <w:rPr>
                <w:bCs w:val="0"/>
              </w:rPr>
            </w:pPr>
          </w:p>
        </w:tc>
      </w:tr>
      <w:tr w:rsidR="0059604F" w:rsidRPr="00046D64" w14:paraId="2942A3CD" w14:textId="77777777" w:rsidTr="0004720E">
        <w:trPr>
          <w:trHeight w:val="20"/>
        </w:trPr>
        <w:tc>
          <w:tcPr>
            <w:tcW w:w="5000" w:type="pct"/>
          </w:tcPr>
          <w:p w14:paraId="4D935C24" w14:textId="77777777" w:rsidR="0059604F" w:rsidRPr="00046D64" w:rsidRDefault="0059604F" w:rsidP="00097C1E">
            <w:pPr>
              <w:pStyle w:val="TableText0"/>
              <w:keepLines/>
              <w:rPr>
                <w:b/>
              </w:rPr>
            </w:pPr>
            <w:r>
              <w:rPr>
                <w:b/>
              </w:rPr>
              <w:t>Treatment Phase:</w:t>
            </w:r>
            <w:r w:rsidRPr="00633C46">
              <w:rPr>
                <w:bCs w:val="0"/>
              </w:rPr>
              <w:t xml:space="preserve"> </w:t>
            </w:r>
            <w:r w:rsidRPr="00F9355E">
              <w:rPr>
                <w:b/>
              </w:rPr>
              <w:t>Initial treatment 2 (change or re-commencement of treatment after break &lt; 5 years)</w:t>
            </w:r>
          </w:p>
        </w:tc>
      </w:tr>
      <w:tr w:rsidR="0059604F" w:rsidRPr="00046D64" w14:paraId="238FF2C6" w14:textId="77777777" w:rsidTr="0004720E">
        <w:trPr>
          <w:trHeight w:val="20"/>
        </w:trPr>
        <w:tc>
          <w:tcPr>
            <w:tcW w:w="5000" w:type="pct"/>
          </w:tcPr>
          <w:p w14:paraId="7C92B753" w14:textId="77777777" w:rsidR="0059604F" w:rsidRDefault="0059604F" w:rsidP="00097C1E">
            <w:pPr>
              <w:pStyle w:val="TableText0"/>
              <w:keepLines/>
              <w:rPr>
                <w:b/>
              </w:rPr>
            </w:pPr>
            <w:r w:rsidRPr="00046D64">
              <w:rPr>
                <w:b/>
              </w:rPr>
              <w:t>Clinical criteria:</w:t>
            </w:r>
          </w:p>
        </w:tc>
      </w:tr>
      <w:tr w:rsidR="0059604F" w:rsidRPr="00046D64" w14:paraId="07BC393E" w14:textId="77777777" w:rsidTr="00D67247">
        <w:trPr>
          <w:trHeight w:val="20"/>
        </w:trPr>
        <w:tc>
          <w:tcPr>
            <w:tcW w:w="5000" w:type="pct"/>
            <w:tcBorders>
              <w:bottom w:val="nil"/>
            </w:tcBorders>
          </w:tcPr>
          <w:p w14:paraId="64616713" w14:textId="77777777" w:rsidR="0059604F" w:rsidRPr="00633C46" w:rsidRDefault="0059604F" w:rsidP="00097C1E">
            <w:pPr>
              <w:pStyle w:val="TableText0"/>
              <w:keepLines/>
              <w:rPr>
                <w:bCs w:val="0"/>
              </w:rPr>
            </w:pPr>
            <w:r w:rsidRPr="00633C46">
              <w:rPr>
                <w:bCs w:val="0"/>
              </w:rPr>
              <w:t>Patient must have received prior PBS-subsidised treatment with a biologic for this condition in this treatment cycle</w:t>
            </w:r>
          </w:p>
        </w:tc>
      </w:tr>
      <w:tr w:rsidR="0059604F" w:rsidRPr="00046D64" w14:paraId="4830FAED" w14:textId="77777777" w:rsidTr="00D67247">
        <w:trPr>
          <w:trHeight w:val="20"/>
        </w:trPr>
        <w:tc>
          <w:tcPr>
            <w:tcW w:w="5000" w:type="pct"/>
            <w:tcBorders>
              <w:top w:val="nil"/>
              <w:bottom w:val="nil"/>
            </w:tcBorders>
          </w:tcPr>
          <w:p w14:paraId="5AECC43B" w14:textId="77777777" w:rsidR="0059604F" w:rsidRPr="00633C46" w:rsidRDefault="0059604F" w:rsidP="00097C1E">
            <w:pPr>
              <w:pStyle w:val="TableText0"/>
              <w:keepLines/>
              <w:rPr>
                <w:bCs w:val="0"/>
              </w:rPr>
            </w:pPr>
            <w:r w:rsidRPr="00633C46">
              <w:rPr>
                <w:bCs w:val="0"/>
              </w:rPr>
              <w:t>AND</w:t>
            </w:r>
          </w:p>
        </w:tc>
      </w:tr>
      <w:tr w:rsidR="0059604F" w:rsidRPr="00046D64" w14:paraId="0834C93D" w14:textId="77777777" w:rsidTr="00D67247">
        <w:trPr>
          <w:trHeight w:val="20"/>
        </w:trPr>
        <w:tc>
          <w:tcPr>
            <w:tcW w:w="5000" w:type="pct"/>
            <w:tcBorders>
              <w:top w:val="nil"/>
              <w:bottom w:val="nil"/>
            </w:tcBorders>
          </w:tcPr>
          <w:p w14:paraId="1A173ABB" w14:textId="77777777" w:rsidR="0059604F" w:rsidRPr="00633C46" w:rsidRDefault="0059604F" w:rsidP="00097C1E">
            <w:pPr>
              <w:pStyle w:val="TableText0"/>
              <w:keepLines/>
              <w:rPr>
                <w:bCs w:val="0"/>
              </w:rPr>
            </w:pPr>
            <w:r w:rsidRPr="00633C46">
              <w:rPr>
                <w:bCs w:val="0"/>
              </w:rPr>
              <w:t>Patient must not have failed PBS-subsidised therapy with this drug for this condition more than once in the current treatment cycle</w:t>
            </w:r>
          </w:p>
        </w:tc>
      </w:tr>
      <w:tr w:rsidR="0059604F" w:rsidRPr="00046D64" w14:paraId="13D1C87D" w14:textId="77777777" w:rsidTr="00D67247">
        <w:trPr>
          <w:trHeight w:val="20"/>
        </w:trPr>
        <w:tc>
          <w:tcPr>
            <w:tcW w:w="5000" w:type="pct"/>
            <w:tcBorders>
              <w:top w:val="nil"/>
            </w:tcBorders>
          </w:tcPr>
          <w:p w14:paraId="6C18F091" w14:textId="77777777" w:rsidR="0059604F" w:rsidRPr="00633C46" w:rsidRDefault="0059604F" w:rsidP="00097C1E">
            <w:pPr>
              <w:pStyle w:val="TableText0"/>
              <w:keepLines/>
              <w:rPr>
                <w:bCs w:val="0"/>
              </w:rPr>
            </w:pPr>
            <w:r w:rsidRPr="00633C46">
              <w:rPr>
                <w:bCs w:val="0"/>
              </w:rPr>
              <w:t>AND</w:t>
            </w:r>
          </w:p>
        </w:tc>
      </w:tr>
      <w:tr w:rsidR="0059604F" w:rsidRPr="00046D64" w14:paraId="4AAD38B8" w14:textId="77777777" w:rsidTr="0004720E">
        <w:trPr>
          <w:trHeight w:val="20"/>
        </w:trPr>
        <w:tc>
          <w:tcPr>
            <w:tcW w:w="5000" w:type="pct"/>
          </w:tcPr>
          <w:p w14:paraId="720526C5" w14:textId="77777777" w:rsidR="0059604F" w:rsidRPr="00633C46" w:rsidRDefault="0059604F" w:rsidP="00097C1E">
            <w:pPr>
              <w:pStyle w:val="TableText0"/>
              <w:keepLines/>
              <w:rPr>
                <w:bCs w:val="0"/>
              </w:rPr>
            </w:pPr>
            <w:r w:rsidRPr="00633C46">
              <w:rPr>
                <w:bCs w:val="0"/>
              </w:rPr>
              <w:t>The treatment must not exceed 12 weeks under this restriction</w:t>
            </w:r>
          </w:p>
        </w:tc>
      </w:tr>
      <w:tr w:rsidR="0059604F" w:rsidRPr="00046D64" w14:paraId="467930C3" w14:textId="77777777" w:rsidTr="0004720E">
        <w:trPr>
          <w:trHeight w:val="20"/>
        </w:trPr>
        <w:tc>
          <w:tcPr>
            <w:tcW w:w="5000" w:type="pct"/>
          </w:tcPr>
          <w:p w14:paraId="7265CD12" w14:textId="001C6F2F" w:rsidR="0059604F" w:rsidRPr="00633C46" w:rsidRDefault="0059604F" w:rsidP="00097C1E">
            <w:pPr>
              <w:pStyle w:val="TableText0"/>
              <w:keepLines/>
              <w:rPr>
                <w:bCs w:val="0"/>
              </w:rPr>
            </w:pPr>
            <w:r w:rsidRPr="00046D64">
              <w:rPr>
                <w:b/>
              </w:rPr>
              <w:t xml:space="preserve">Restriction type: </w:t>
            </w:r>
            <w:r w:rsidRPr="00046D64">
              <w:rPr>
                <w:rFonts w:eastAsia="Times New Roman"/>
              </w:rPr>
              <w:t>Authority Required</w:t>
            </w:r>
            <w:r>
              <w:rPr>
                <w:rFonts w:eastAsia="Times New Roman"/>
              </w:rPr>
              <w:t>- I</w:t>
            </w:r>
            <w:r w:rsidRPr="00046D64">
              <w:rPr>
                <w:rFonts w:eastAsia="Times New Roman"/>
              </w:rPr>
              <w:t xml:space="preserve">n </w:t>
            </w:r>
            <w:r>
              <w:rPr>
                <w:rFonts w:eastAsia="Times New Roman"/>
              </w:rPr>
              <w:t>W</w:t>
            </w:r>
            <w:r w:rsidRPr="00046D64">
              <w:rPr>
                <w:rFonts w:eastAsia="Times New Roman"/>
              </w:rPr>
              <w:t>riting</w:t>
            </w:r>
            <w:r w:rsidR="000C52FF">
              <w:rPr>
                <w:rFonts w:eastAsia="Times New Roman"/>
              </w:rPr>
              <w:t xml:space="preserve"> </w:t>
            </w:r>
          </w:p>
        </w:tc>
      </w:tr>
      <w:tr w:rsidR="0059604F" w:rsidRPr="00046D64" w14:paraId="5578A178" w14:textId="77777777" w:rsidTr="0004720E">
        <w:trPr>
          <w:trHeight w:val="20"/>
        </w:trPr>
        <w:tc>
          <w:tcPr>
            <w:tcW w:w="5000" w:type="pct"/>
          </w:tcPr>
          <w:p w14:paraId="3250812E" w14:textId="77777777" w:rsidR="0059604F" w:rsidRPr="00633C46" w:rsidRDefault="0059604F" w:rsidP="00097C1E">
            <w:pPr>
              <w:pStyle w:val="TableText0"/>
              <w:keepLines/>
              <w:rPr>
                <w:bCs w:val="0"/>
              </w:rPr>
            </w:pPr>
            <w:r w:rsidRPr="00046D64">
              <w:rPr>
                <w:b/>
              </w:rPr>
              <w:t>Prescribing Instructions:</w:t>
            </w:r>
            <w:r>
              <w:rPr>
                <w:b/>
              </w:rPr>
              <w:t xml:space="preserve"> </w:t>
            </w:r>
            <w:r w:rsidRPr="00C36605">
              <w:rPr>
                <w:bCs w:val="0"/>
              </w:rPr>
              <w:t>As per initial treatment 1</w:t>
            </w:r>
          </w:p>
        </w:tc>
      </w:tr>
      <w:tr w:rsidR="0059604F" w:rsidRPr="00046D64" w14:paraId="534B74F1" w14:textId="77777777" w:rsidTr="00D67247">
        <w:trPr>
          <w:trHeight w:val="20"/>
        </w:trPr>
        <w:tc>
          <w:tcPr>
            <w:tcW w:w="5000" w:type="pct"/>
            <w:tcBorders>
              <w:left w:val="nil"/>
              <w:right w:val="nil"/>
            </w:tcBorders>
          </w:tcPr>
          <w:p w14:paraId="0FD757AE" w14:textId="77777777" w:rsidR="0059604F" w:rsidRPr="001F0389" w:rsidRDefault="0059604F" w:rsidP="00097C1E">
            <w:pPr>
              <w:pStyle w:val="TableText0"/>
              <w:keepLines/>
              <w:rPr>
                <w:bCs w:val="0"/>
              </w:rPr>
            </w:pPr>
          </w:p>
        </w:tc>
      </w:tr>
      <w:tr w:rsidR="0059604F" w:rsidRPr="00046D64" w14:paraId="6A237DF6" w14:textId="77777777" w:rsidTr="0004720E">
        <w:trPr>
          <w:trHeight w:val="20"/>
        </w:trPr>
        <w:tc>
          <w:tcPr>
            <w:tcW w:w="5000" w:type="pct"/>
          </w:tcPr>
          <w:p w14:paraId="10D22D60" w14:textId="77777777" w:rsidR="0059604F" w:rsidRPr="001F0389" w:rsidRDefault="0059604F" w:rsidP="00097C1E">
            <w:pPr>
              <w:pStyle w:val="TableText0"/>
              <w:keepLines/>
              <w:rPr>
                <w:bCs w:val="0"/>
              </w:rPr>
            </w:pPr>
            <w:r>
              <w:rPr>
                <w:b/>
              </w:rPr>
              <w:t>Treatment Phase:</w:t>
            </w:r>
            <w:r w:rsidRPr="00633C46">
              <w:rPr>
                <w:bCs w:val="0"/>
              </w:rPr>
              <w:t xml:space="preserve"> </w:t>
            </w:r>
            <w:r w:rsidRPr="00F9355E">
              <w:rPr>
                <w:b/>
              </w:rPr>
              <w:t>Initial treatment- balance of supply</w:t>
            </w:r>
          </w:p>
        </w:tc>
      </w:tr>
      <w:tr w:rsidR="0059604F" w:rsidRPr="00046D64" w14:paraId="2AA51538" w14:textId="77777777" w:rsidTr="0004720E">
        <w:trPr>
          <w:trHeight w:val="20"/>
        </w:trPr>
        <w:tc>
          <w:tcPr>
            <w:tcW w:w="5000" w:type="pct"/>
          </w:tcPr>
          <w:p w14:paraId="6EA42825" w14:textId="77777777" w:rsidR="0059604F" w:rsidRDefault="0059604F" w:rsidP="00097C1E">
            <w:pPr>
              <w:pStyle w:val="TableText0"/>
              <w:keepLines/>
              <w:rPr>
                <w:b/>
              </w:rPr>
            </w:pPr>
            <w:r w:rsidRPr="00046D64">
              <w:rPr>
                <w:b/>
              </w:rPr>
              <w:t>Clinical criteria:</w:t>
            </w:r>
            <w:r>
              <w:rPr>
                <w:b/>
              </w:rPr>
              <w:t xml:space="preserve"> </w:t>
            </w:r>
            <w:r w:rsidRPr="00C36605">
              <w:rPr>
                <w:bCs w:val="0"/>
              </w:rPr>
              <w:t>Patient must have received insufficient therapy under Initial 1/2/3 scripts</w:t>
            </w:r>
          </w:p>
        </w:tc>
      </w:tr>
      <w:tr w:rsidR="0059604F" w:rsidRPr="00046D64" w14:paraId="1DD37A22" w14:textId="77777777" w:rsidTr="0004720E">
        <w:trPr>
          <w:trHeight w:val="20"/>
        </w:trPr>
        <w:tc>
          <w:tcPr>
            <w:tcW w:w="5000" w:type="pct"/>
          </w:tcPr>
          <w:p w14:paraId="1A2BCFE6" w14:textId="7EC2E313" w:rsidR="0059604F" w:rsidRPr="00046D64" w:rsidRDefault="0059604F" w:rsidP="00097C1E">
            <w:pPr>
              <w:pStyle w:val="TableText0"/>
              <w:keepLines/>
              <w:rPr>
                <w:b/>
              </w:rPr>
            </w:pPr>
            <w:r w:rsidRPr="00046D64">
              <w:rPr>
                <w:b/>
              </w:rPr>
              <w:t xml:space="preserve">Restriction type: </w:t>
            </w:r>
            <w:r w:rsidRPr="00046D64">
              <w:rPr>
                <w:rFonts w:eastAsia="Times New Roman"/>
              </w:rPr>
              <w:t>Authority Required</w:t>
            </w:r>
            <w:r>
              <w:rPr>
                <w:rFonts w:eastAsia="Times New Roman"/>
              </w:rPr>
              <w:t>- I</w:t>
            </w:r>
            <w:r w:rsidRPr="00046D64">
              <w:rPr>
                <w:rFonts w:eastAsia="Times New Roman"/>
              </w:rPr>
              <w:t xml:space="preserve">n </w:t>
            </w:r>
            <w:r>
              <w:rPr>
                <w:rFonts w:eastAsia="Times New Roman"/>
              </w:rPr>
              <w:t>W</w:t>
            </w:r>
            <w:r w:rsidRPr="00046D64">
              <w:rPr>
                <w:rFonts w:eastAsia="Times New Roman"/>
              </w:rPr>
              <w:t>riting</w:t>
            </w:r>
            <w:r w:rsidR="000C52FF">
              <w:rPr>
                <w:rFonts w:eastAsia="Times New Roman"/>
              </w:rPr>
              <w:t xml:space="preserve"> </w:t>
            </w:r>
          </w:p>
        </w:tc>
      </w:tr>
      <w:tr w:rsidR="0059604F" w:rsidRPr="00046D64" w14:paraId="26526628" w14:textId="77777777" w:rsidTr="0004720E">
        <w:trPr>
          <w:trHeight w:val="20"/>
        </w:trPr>
        <w:tc>
          <w:tcPr>
            <w:tcW w:w="5000" w:type="pct"/>
          </w:tcPr>
          <w:p w14:paraId="55011A14" w14:textId="77777777" w:rsidR="0059604F" w:rsidRPr="00046D64" w:rsidRDefault="0059604F" w:rsidP="00097C1E">
            <w:pPr>
              <w:pStyle w:val="TableText0"/>
              <w:keepLines/>
              <w:rPr>
                <w:b/>
              </w:rPr>
            </w:pPr>
            <w:r w:rsidRPr="00046D64">
              <w:rPr>
                <w:b/>
              </w:rPr>
              <w:t>Prescribing Instructions:</w:t>
            </w:r>
            <w:r>
              <w:rPr>
                <w:b/>
              </w:rPr>
              <w:t xml:space="preserve"> </w:t>
            </w:r>
            <w:r w:rsidRPr="00C36605">
              <w:rPr>
                <w:bCs w:val="0"/>
              </w:rPr>
              <w:t>Balance must provide no more than 12 weeks of therapy under Initial 1/2/3</w:t>
            </w:r>
          </w:p>
        </w:tc>
      </w:tr>
      <w:tr w:rsidR="0059604F" w:rsidRPr="00046D64" w14:paraId="3F54C69A" w14:textId="77777777" w:rsidTr="00D67247">
        <w:trPr>
          <w:trHeight w:val="20"/>
        </w:trPr>
        <w:tc>
          <w:tcPr>
            <w:tcW w:w="5000" w:type="pct"/>
            <w:tcBorders>
              <w:left w:val="nil"/>
              <w:right w:val="nil"/>
            </w:tcBorders>
          </w:tcPr>
          <w:p w14:paraId="4225CDCB" w14:textId="77777777" w:rsidR="0059604F" w:rsidRPr="00046D64" w:rsidRDefault="0059604F" w:rsidP="00097C1E">
            <w:pPr>
              <w:pStyle w:val="TableText0"/>
              <w:keepLines/>
              <w:rPr>
                <w:b/>
              </w:rPr>
            </w:pPr>
          </w:p>
        </w:tc>
      </w:tr>
      <w:tr w:rsidR="0059604F" w:rsidRPr="00046D64" w14:paraId="576B30F2" w14:textId="77777777" w:rsidTr="0004720E">
        <w:trPr>
          <w:trHeight w:val="20"/>
        </w:trPr>
        <w:tc>
          <w:tcPr>
            <w:tcW w:w="5000" w:type="pct"/>
          </w:tcPr>
          <w:p w14:paraId="3253E454" w14:textId="77777777" w:rsidR="0059604F" w:rsidRPr="00046D64" w:rsidRDefault="0059604F" w:rsidP="00097C1E">
            <w:pPr>
              <w:pStyle w:val="TableText0"/>
              <w:keepLines/>
              <w:rPr>
                <w:b/>
              </w:rPr>
            </w:pPr>
            <w:r>
              <w:rPr>
                <w:b/>
              </w:rPr>
              <w:t>Treatment Phase: Initial treatment 3 (</w:t>
            </w:r>
            <w:r w:rsidRPr="00C36605">
              <w:rPr>
                <w:b/>
              </w:rPr>
              <w:t>transitioning from non-PBS to PBS-subsidised supply - Grandfather arrangements</w:t>
            </w:r>
            <w:r>
              <w:rPr>
                <w:b/>
              </w:rPr>
              <w:t>)</w:t>
            </w:r>
          </w:p>
        </w:tc>
      </w:tr>
      <w:tr w:rsidR="0059604F" w:rsidRPr="00046D64" w14:paraId="602C45A4" w14:textId="77777777" w:rsidTr="0004720E">
        <w:trPr>
          <w:trHeight w:val="20"/>
        </w:trPr>
        <w:tc>
          <w:tcPr>
            <w:tcW w:w="5000" w:type="pct"/>
          </w:tcPr>
          <w:p w14:paraId="4641AA3A" w14:textId="77777777" w:rsidR="0059604F" w:rsidRDefault="0059604F" w:rsidP="00097C1E">
            <w:pPr>
              <w:pStyle w:val="TableText0"/>
              <w:keepLines/>
              <w:rPr>
                <w:b/>
              </w:rPr>
            </w:pPr>
            <w:r>
              <w:rPr>
                <w:b/>
              </w:rPr>
              <w:t>Clinical criteria:</w:t>
            </w:r>
          </w:p>
        </w:tc>
      </w:tr>
      <w:tr w:rsidR="0059604F" w:rsidRPr="00046D64" w14:paraId="338DD56C" w14:textId="77777777" w:rsidTr="00D67247">
        <w:trPr>
          <w:trHeight w:val="20"/>
        </w:trPr>
        <w:tc>
          <w:tcPr>
            <w:tcW w:w="5000" w:type="pct"/>
            <w:tcBorders>
              <w:bottom w:val="nil"/>
            </w:tcBorders>
          </w:tcPr>
          <w:p w14:paraId="1D7884DD" w14:textId="77777777" w:rsidR="0059604F" w:rsidRPr="00C36605" w:rsidRDefault="0059604F" w:rsidP="00097C1E">
            <w:pPr>
              <w:pStyle w:val="TableText0"/>
              <w:keepLines/>
              <w:rPr>
                <w:bCs w:val="0"/>
              </w:rPr>
            </w:pPr>
            <w:r w:rsidRPr="00C36605">
              <w:rPr>
                <w:bCs w:val="0"/>
              </w:rPr>
              <w:t>Patient must have received treatment with this drug for this PBS indication prior to [PBS listing date]</w:t>
            </w:r>
          </w:p>
        </w:tc>
      </w:tr>
      <w:tr w:rsidR="0059604F" w:rsidRPr="00046D64" w14:paraId="5E1F3D20" w14:textId="77777777" w:rsidTr="00D67247">
        <w:trPr>
          <w:trHeight w:val="20"/>
        </w:trPr>
        <w:tc>
          <w:tcPr>
            <w:tcW w:w="5000" w:type="pct"/>
            <w:tcBorders>
              <w:top w:val="nil"/>
              <w:bottom w:val="nil"/>
            </w:tcBorders>
          </w:tcPr>
          <w:p w14:paraId="6341607B" w14:textId="77777777" w:rsidR="0059604F" w:rsidRPr="00C36605" w:rsidRDefault="0059604F" w:rsidP="00097C1E">
            <w:pPr>
              <w:pStyle w:val="TableText0"/>
              <w:keepLines/>
              <w:rPr>
                <w:bCs w:val="0"/>
              </w:rPr>
            </w:pPr>
            <w:r w:rsidRPr="00C36605">
              <w:rPr>
                <w:bCs w:val="0"/>
              </w:rPr>
              <w:t>AND</w:t>
            </w:r>
          </w:p>
        </w:tc>
      </w:tr>
      <w:tr w:rsidR="0059604F" w:rsidRPr="00046D64" w14:paraId="0CD40C05" w14:textId="77777777" w:rsidTr="00D67247">
        <w:trPr>
          <w:trHeight w:val="20"/>
        </w:trPr>
        <w:tc>
          <w:tcPr>
            <w:tcW w:w="5000" w:type="pct"/>
            <w:tcBorders>
              <w:top w:val="nil"/>
              <w:bottom w:val="nil"/>
            </w:tcBorders>
          </w:tcPr>
          <w:p w14:paraId="6F78EAC9" w14:textId="77777777" w:rsidR="0059604F" w:rsidRPr="00C36605" w:rsidRDefault="0059604F" w:rsidP="00097C1E">
            <w:pPr>
              <w:pStyle w:val="TableText0"/>
              <w:keepLines/>
              <w:rPr>
                <w:bCs w:val="0"/>
              </w:rPr>
            </w:pPr>
            <w:r w:rsidRPr="00C36605">
              <w:rPr>
                <w:bCs w:val="0"/>
              </w:rPr>
              <w:t>Patient must have confirmed severe Crohn disease</w:t>
            </w:r>
          </w:p>
        </w:tc>
      </w:tr>
      <w:tr w:rsidR="0059604F" w:rsidRPr="00046D64" w14:paraId="0399A893" w14:textId="77777777" w:rsidTr="00D67247">
        <w:trPr>
          <w:trHeight w:val="20"/>
        </w:trPr>
        <w:tc>
          <w:tcPr>
            <w:tcW w:w="5000" w:type="pct"/>
            <w:tcBorders>
              <w:top w:val="nil"/>
              <w:bottom w:val="nil"/>
            </w:tcBorders>
          </w:tcPr>
          <w:p w14:paraId="3DDDDDFB" w14:textId="77777777" w:rsidR="0059604F" w:rsidRPr="00C36605" w:rsidRDefault="0059604F" w:rsidP="00097C1E">
            <w:pPr>
              <w:pStyle w:val="TableText0"/>
              <w:keepLines/>
              <w:rPr>
                <w:bCs w:val="0"/>
              </w:rPr>
            </w:pPr>
            <w:r w:rsidRPr="00C36605">
              <w:rPr>
                <w:bCs w:val="0"/>
              </w:rPr>
              <w:t>AND</w:t>
            </w:r>
          </w:p>
        </w:tc>
      </w:tr>
      <w:tr w:rsidR="0059604F" w:rsidRPr="00046D64" w14:paraId="3AB347CF" w14:textId="77777777" w:rsidTr="00D67247">
        <w:trPr>
          <w:trHeight w:val="20"/>
        </w:trPr>
        <w:tc>
          <w:tcPr>
            <w:tcW w:w="5000" w:type="pct"/>
            <w:tcBorders>
              <w:top w:val="nil"/>
              <w:bottom w:val="nil"/>
            </w:tcBorders>
          </w:tcPr>
          <w:p w14:paraId="38E4C055" w14:textId="77777777" w:rsidR="0059604F" w:rsidRPr="00C36605" w:rsidRDefault="0059604F" w:rsidP="00097C1E">
            <w:pPr>
              <w:pStyle w:val="TableText0"/>
              <w:keepLines/>
              <w:rPr>
                <w:bCs w:val="0"/>
              </w:rPr>
            </w:pPr>
            <w:r w:rsidRPr="00C36605">
              <w:rPr>
                <w:bCs w:val="0"/>
              </w:rPr>
              <w:t>Patient must have, prior to initiating treatment with this drug for this condition, failed to achieve an adequate response to prior systemic therapy (corticosteroids and at least 3 months of immunosuppressive therapy)</w:t>
            </w:r>
          </w:p>
        </w:tc>
      </w:tr>
      <w:tr w:rsidR="0059604F" w:rsidRPr="00046D64" w14:paraId="66352B19" w14:textId="77777777" w:rsidTr="00D67247">
        <w:trPr>
          <w:trHeight w:val="20"/>
        </w:trPr>
        <w:tc>
          <w:tcPr>
            <w:tcW w:w="5000" w:type="pct"/>
            <w:tcBorders>
              <w:top w:val="nil"/>
              <w:bottom w:val="nil"/>
            </w:tcBorders>
          </w:tcPr>
          <w:p w14:paraId="0AD69C41" w14:textId="77777777" w:rsidR="0059604F" w:rsidRPr="00C36605" w:rsidRDefault="0059604F" w:rsidP="00097C1E">
            <w:pPr>
              <w:pStyle w:val="TableText0"/>
              <w:keepLines/>
              <w:rPr>
                <w:bCs w:val="0"/>
              </w:rPr>
            </w:pPr>
            <w:r w:rsidRPr="00C36605">
              <w:rPr>
                <w:bCs w:val="0"/>
              </w:rPr>
              <w:t xml:space="preserve">AND </w:t>
            </w:r>
          </w:p>
        </w:tc>
      </w:tr>
      <w:tr w:rsidR="0059604F" w:rsidRPr="00046D64" w14:paraId="009AB87E" w14:textId="77777777" w:rsidTr="00D67247">
        <w:trPr>
          <w:trHeight w:val="20"/>
        </w:trPr>
        <w:tc>
          <w:tcPr>
            <w:tcW w:w="5000" w:type="pct"/>
            <w:tcBorders>
              <w:top w:val="nil"/>
              <w:bottom w:val="nil"/>
            </w:tcBorders>
          </w:tcPr>
          <w:p w14:paraId="20C354D8" w14:textId="77777777" w:rsidR="0059604F" w:rsidRPr="00C36605" w:rsidRDefault="0059604F" w:rsidP="00097C1E">
            <w:pPr>
              <w:pStyle w:val="TableText0"/>
              <w:keepLines/>
              <w:rPr>
                <w:bCs w:val="0"/>
              </w:rPr>
            </w:pPr>
            <w:r w:rsidRPr="00C36605">
              <w:rPr>
                <w:bCs w:val="0"/>
              </w:rPr>
              <w:t>Patient must have had, prior to initiating treatment with this drug for this condition, severity of disease activity with CDAI ≥300; OR CDAI ≥220 with extensive small intestine disease</w:t>
            </w:r>
          </w:p>
        </w:tc>
      </w:tr>
      <w:tr w:rsidR="0059604F" w:rsidRPr="00046D64" w14:paraId="1E42A17B" w14:textId="77777777" w:rsidTr="00D67247">
        <w:trPr>
          <w:trHeight w:val="20"/>
        </w:trPr>
        <w:tc>
          <w:tcPr>
            <w:tcW w:w="5000" w:type="pct"/>
            <w:tcBorders>
              <w:top w:val="nil"/>
              <w:bottom w:val="nil"/>
            </w:tcBorders>
          </w:tcPr>
          <w:p w14:paraId="4AA45AF7" w14:textId="77777777" w:rsidR="0059604F" w:rsidRPr="00B45942" w:rsidRDefault="0059604F" w:rsidP="00097C1E">
            <w:pPr>
              <w:pStyle w:val="TableText0"/>
              <w:keepLines/>
              <w:rPr>
                <w:bCs w:val="0"/>
              </w:rPr>
            </w:pPr>
            <w:r w:rsidRPr="00B45942">
              <w:rPr>
                <w:bCs w:val="0"/>
              </w:rPr>
              <w:t>AND</w:t>
            </w:r>
          </w:p>
        </w:tc>
      </w:tr>
      <w:tr w:rsidR="0059604F" w:rsidRPr="00046D64" w14:paraId="2978B897" w14:textId="77777777" w:rsidTr="00D67247">
        <w:trPr>
          <w:trHeight w:val="20"/>
        </w:trPr>
        <w:tc>
          <w:tcPr>
            <w:tcW w:w="5000" w:type="pct"/>
            <w:tcBorders>
              <w:top w:val="nil"/>
            </w:tcBorders>
          </w:tcPr>
          <w:p w14:paraId="7D39B243" w14:textId="77777777" w:rsidR="0059604F" w:rsidRPr="00C36605" w:rsidRDefault="0059604F" w:rsidP="00097C1E">
            <w:pPr>
              <w:pStyle w:val="TableText0"/>
              <w:keepLines/>
              <w:rPr>
                <w:b/>
              </w:rPr>
            </w:pPr>
            <w:r w:rsidRPr="00C36605">
              <w:rPr>
                <w:bCs w:val="0"/>
              </w:rPr>
              <w:t>Evidence of intestinal inflammation; OR in high faecal output state; OR require surgery or total parenteral nutrition as the next therapeutic option</w:t>
            </w:r>
          </w:p>
        </w:tc>
      </w:tr>
      <w:tr w:rsidR="0059604F" w:rsidRPr="00046D64" w14:paraId="307722FA" w14:textId="77777777" w:rsidTr="0004720E">
        <w:trPr>
          <w:trHeight w:val="20"/>
        </w:trPr>
        <w:tc>
          <w:tcPr>
            <w:tcW w:w="5000" w:type="pct"/>
          </w:tcPr>
          <w:p w14:paraId="174E4343" w14:textId="2997DED6" w:rsidR="0059604F" w:rsidRPr="00C36605" w:rsidRDefault="0059604F" w:rsidP="00097C1E">
            <w:pPr>
              <w:pStyle w:val="TableText0"/>
              <w:keepLines/>
              <w:rPr>
                <w:bCs w:val="0"/>
              </w:rPr>
            </w:pPr>
            <w:r w:rsidRPr="00046D64">
              <w:rPr>
                <w:b/>
              </w:rPr>
              <w:t xml:space="preserve">Restriction type: </w:t>
            </w:r>
            <w:r w:rsidRPr="00046D64">
              <w:rPr>
                <w:rFonts w:eastAsia="Times New Roman"/>
              </w:rPr>
              <w:t>Authority Required</w:t>
            </w:r>
            <w:r>
              <w:rPr>
                <w:rFonts w:eastAsia="Times New Roman"/>
              </w:rPr>
              <w:t>- I</w:t>
            </w:r>
            <w:r w:rsidRPr="00046D64">
              <w:rPr>
                <w:rFonts w:eastAsia="Times New Roman"/>
              </w:rPr>
              <w:t xml:space="preserve">n </w:t>
            </w:r>
            <w:r>
              <w:rPr>
                <w:rFonts w:eastAsia="Times New Roman"/>
              </w:rPr>
              <w:t>W</w:t>
            </w:r>
            <w:r w:rsidRPr="00046D64">
              <w:rPr>
                <w:rFonts w:eastAsia="Times New Roman"/>
              </w:rPr>
              <w:t>riting</w:t>
            </w:r>
            <w:r w:rsidR="000C52FF">
              <w:rPr>
                <w:rFonts w:eastAsia="Times New Roman"/>
              </w:rPr>
              <w:t xml:space="preserve"> </w:t>
            </w:r>
          </w:p>
        </w:tc>
      </w:tr>
      <w:tr w:rsidR="0059604F" w:rsidRPr="00046D64" w14:paraId="549D5F4E" w14:textId="77777777" w:rsidTr="0004720E">
        <w:trPr>
          <w:trHeight w:val="20"/>
        </w:trPr>
        <w:tc>
          <w:tcPr>
            <w:tcW w:w="5000" w:type="pct"/>
          </w:tcPr>
          <w:p w14:paraId="6585AF27" w14:textId="77777777" w:rsidR="0059604F" w:rsidRPr="00C36605" w:rsidRDefault="0059604F" w:rsidP="00097C1E">
            <w:pPr>
              <w:pStyle w:val="TableText0"/>
              <w:keepLines/>
              <w:rPr>
                <w:b/>
              </w:rPr>
            </w:pPr>
            <w:r w:rsidRPr="00046D64">
              <w:rPr>
                <w:b/>
              </w:rPr>
              <w:t>Prescribing Instructions:</w:t>
            </w:r>
            <w:r>
              <w:rPr>
                <w:b/>
              </w:rPr>
              <w:t xml:space="preserve"> </w:t>
            </w:r>
            <w:r w:rsidRPr="00C36605">
              <w:rPr>
                <w:bCs w:val="0"/>
              </w:rPr>
              <w:t>As per initial treatment 1</w:t>
            </w:r>
          </w:p>
        </w:tc>
      </w:tr>
    </w:tbl>
    <w:p w14:paraId="345E2202" w14:textId="77777777" w:rsidR="0059604F" w:rsidRPr="00507D16" w:rsidRDefault="0059604F" w:rsidP="00507D16">
      <w:pPr>
        <w:pStyle w:val="3-BodyText"/>
        <w:numPr>
          <w:ilvl w:val="0"/>
          <w:numId w:val="0"/>
        </w:numPr>
        <w:spacing w:after="0"/>
        <w:rPr>
          <w:color w:val="0066FF"/>
        </w:rPr>
      </w:pPr>
    </w:p>
    <w:tbl>
      <w:tblPr>
        <w:tblStyle w:val="TableGrid"/>
        <w:tblpPr w:leftFromText="180" w:rightFromText="180" w:vertAnchor="text" w:tblpY="1"/>
        <w:tblW w:w="4999" w:type="pct"/>
        <w:tblLook w:val="04A0" w:firstRow="1" w:lastRow="0" w:firstColumn="1" w:lastColumn="0" w:noHBand="0" w:noVBand="1"/>
      </w:tblPr>
      <w:tblGrid>
        <w:gridCol w:w="9015"/>
      </w:tblGrid>
      <w:tr w:rsidR="0059604F" w:rsidRPr="00046D64" w14:paraId="59711BCF" w14:textId="77777777" w:rsidTr="00097C1E">
        <w:trPr>
          <w:trHeight w:val="20"/>
        </w:trPr>
        <w:tc>
          <w:tcPr>
            <w:tcW w:w="5000" w:type="pct"/>
            <w:hideMark/>
          </w:tcPr>
          <w:p w14:paraId="1A4B6512" w14:textId="3721E99F" w:rsidR="0059604F" w:rsidRPr="00046D64" w:rsidRDefault="0059604F" w:rsidP="00097C1E">
            <w:pPr>
              <w:pStyle w:val="TableText0"/>
              <w:keepLines/>
            </w:pPr>
            <w:r w:rsidRPr="00046D64">
              <w:rPr>
                <w:b/>
              </w:rPr>
              <w:t>Treatment Phase:</w:t>
            </w:r>
            <w:r w:rsidR="000C52FF">
              <w:t xml:space="preserve"> </w:t>
            </w:r>
            <w:r w:rsidRPr="00EB5019">
              <w:rPr>
                <w:b/>
                <w:bCs w:val="0"/>
              </w:rPr>
              <w:t>Initial treatment 1, 2, 3 – balance of supply</w:t>
            </w:r>
          </w:p>
        </w:tc>
      </w:tr>
      <w:tr w:rsidR="0059604F" w:rsidRPr="00046D64" w14:paraId="5F340C04" w14:textId="77777777" w:rsidTr="00097C1E">
        <w:trPr>
          <w:trHeight w:val="20"/>
        </w:trPr>
        <w:tc>
          <w:tcPr>
            <w:tcW w:w="5000" w:type="pct"/>
            <w:hideMark/>
          </w:tcPr>
          <w:p w14:paraId="6344BDD9" w14:textId="77777777" w:rsidR="0059604F" w:rsidRPr="00046D64" w:rsidRDefault="0059604F" w:rsidP="00097C1E">
            <w:pPr>
              <w:pStyle w:val="TableText0"/>
              <w:keepLines/>
            </w:pPr>
            <w:r w:rsidRPr="00046D64">
              <w:rPr>
                <w:b/>
              </w:rPr>
              <w:t>Clinical criteria:</w:t>
            </w:r>
          </w:p>
        </w:tc>
      </w:tr>
      <w:tr w:rsidR="0059604F" w:rsidRPr="00046D64" w14:paraId="10A08C95" w14:textId="77777777" w:rsidTr="00097C1E">
        <w:trPr>
          <w:trHeight w:val="20"/>
        </w:trPr>
        <w:tc>
          <w:tcPr>
            <w:tcW w:w="5000" w:type="pct"/>
            <w:tcBorders>
              <w:bottom w:val="nil"/>
            </w:tcBorders>
            <w:hideMark/>
          </w:tcPr>
          <w:p w14:paraId="6ABDDBA7" w14:textId="77777777" w:rsidR="0059604F" w:rsidRPr="00046D64" w:rsidRDefault="0059604F" w:rsidP="00097C1E">
            <w:pPr>
              <w:pStyle w:val="TableText0"/>
              <w:keepLines/>
            </w:pPr>
            <w:r w:rsidRPr="00EB5019">
              <w:t>Patient must have received insufficient therapy with this drug for this condition under the Initial 1/2/3 restriction to complete 16 weeks treatment</w:t>
            </w:r>
          </w:p>
        </w:tc>
      </w:tr>
      <w:tr w:rsidR="0059604F" w:rsidRPr="00046D64" w14:paraId="34D59186" w14:textId="77777777" w:rsidTr="00097C1E">
        <w:trPr>
          <w:trHeight w:val="20"/>
        </w:trPr>
        <w:tc>
          <w:tcPr>
            <w:tcW w:w="5000" w:type="pct"/>
            <w:tcBorders>
              <w:top w:val="nil"/>
              <w:bottom w:val="nil"/>
            </w:tcBorders>
            <w:hideMark/>
          </w:tcPr>
          <w:p w14:paraId="7A3DEDB7" w14:textId="77777777" w:rsidR="0059604F" w:rsidRPr="0002427F" w:rsidRDefault="0059604F" w:rsidP="00097C1E">
            <w:pPr>
              <w:pStyle w:val="TableText0"/>
              <w:keepLines/>
              <w:rPr>
                <w:bCs w:val="0"/>
              </w:rPr>
            </w:pPr>
            <w:r w:rsidRPr="0002427F">
              <w:rPr>
                <w:bCs w:val="0"/>
              </w:rPr>
              <w:t>AND</w:t>
            </w:r>
          </w:p>
        </w:tc>
      </w:tr>
      <w:tr w:rsidR="0059604F" w:rsidRPr="00046D64" w14:paraId="2D35F0E0" w14:textId="77777777" w:rsidTr="00097C1E">
        <w:trPr>
          <w:trHeight w:val="20"/>
        </w:trPr>
        <w:tc>
          <w:tcPr>
            <w:tcW w:w="5000" w:type="pct"/>
            <w:tcBorders>
              <w:top w:val="nil"/>
            </w:tcBorders>
            <w:hideMark/>
          </w:tcPr>
          <w:p w14:paraId="003C87E4" w14:textId="77777777" w:rsidR="0059604F" w:rsidRPr="00046D64" w:rsidRDefault="0059604F" w:rsidP="00097C1E">
            <w:pPr>
              <w:pStyle w:val="TableText0"/>
              <w:keepLines/>
            </w:pPr>
            <w:r w:rsidRPr="00EB5019">
              <w:lastRenderedPageBreak/>
              <w:t>The treatment must not exceed a total of 4 weeks</w:t>
            </w:r>
          </w:p>
        </w:tc>
      </w:tr>
      <w:tr w:rsidR="0059604F" w:rsidRPr="00046D64" w14:paraId="2D3A8CA8" w14:textId="77777777" w:rsidTr="00097C1E">
        <w:trPr>
          <w:trHeight w:val="20"/>
        </w:trPr>
        <w:tc>
          <w:tcPr>
            <w:tcW w:w="5000" w:type="pct"/>
          </w:tcPr>
          <w:p w14:paraId="096679F3" w14:textId="77777777" w:rsidR="0059604F" w:rsidRDefault="0059604F" w:rsidP="00097C1E">
            <w:pPr>
              <w:pStyle w:val="TableText0"/>
              <w:keepLines/>
              <w:ind w:left="27"/>
              <w:rPr>
                <w:rFonts w:eastAsia="Times New Roman"/>
              </w:rPr>
            </w:pPr>
            <w:r w:rsidRPr="00046D64">
              <w:rPr>
                <w:b/>
              </w:rPr>
              <w:t>Restriction type:</w:t>
            </w:r>
            <w:r>
              <w:rPr>
                <w:b/>
              </w:rPr>
              <w:t xml:space="preserve"> </w:t>
            </w:r>
            <w:r>
              <w:rPr>
                <w:rFonts w:asciiTheme="minorHAnsi" w:hAnsiTheme="minorHAnsi" w:cstheme="minorHAnsi"/>
                <w:szCs w:val="20"/>
                <w:lang w:bidi="he-IL"/>
              </w:rPr>
              <w:fldChar w:fldCharType="begin" w:fldLock="1">
                <w:ffData>
                  <w:name w:val=""/>
                  <w:enabled/>
                  <w:calcOnExit w:val="0"/>
                  <w:checkBox>
                    <w:sizeAuto/>
                    <w:default w:val="1"/>
                  </w:checkBox>
                </w:ffData>
              </w:fldChar>
            </w:r>
            <w:r>
              <w:rPr>
                <w:rFonts w:asciiTheme="minorHAnsi" w:hAnsiTheme="minorHAnsi" w:cstheme="minorHAnsi"/>
                <w:szCs w:val="20"/>
                <w:lang w:bidi="he-IL"/>
              </w:rPr>
              <w:instrText xml:space="preserve"> FORMCHECKBOX </w:instrText>
            </w:r>
            <w:r w:rsidR="005277E5">
              <w:rPr>
                <w:rFonts w:asciiTheme="minorHAnsi" w:hAnsiTheme="minorHAnsi" w:cstheme="minorHAnsi"/>
                <w:szCs w:val="20"/>
                <w:lang w:bidi="he-IL"/>
              </w:rPr>
            </w:r>
            <w:r w:rsidR="005277E5">
              <w:rPr>
                <w:rFonts w:asciiTheme="minorHAnsi" w:hAnsiTheme="minorHAnsi" w:cstheme="minorHAnsi"/>
                <w:szCs w:val="20"/>
                <w:lang w:bidi="he-IL"/>
              </w:rPr>
              <w:fldChar w:fldCharType="separate"/>
            </w:r>
            <w:r>
              <w:rPr>
                <w:rFonts w:asciiTheme="minorHAnsi" w:hAnsiTheme="minorHAnsi" w:cstheme="minorHAnsi"/>
                <w:szCs w:val="20"/>
                <w:lang w:bidi="he-IL"/>
              </w:rPr>
              <w:fldChar w:fldCharType="end"/>
            </w:r>
            <w:r w:rsidRPr="00046D64">
              <w:rPr>
                <w:rFonts w:eastAsia="Times New Roman"/>
              </w:rPr>
              <w:t>Authority Required</w:t>
            </w:r>
            <w:r>
              <w:rPr>
                <w:rFonts w:eastAsia="Times New Roman"/>
              </w:rPr>
              <w:t>- I</w:t>
            </w:r>
            <w:r w:rsidRPr="00046D64">
              <w:rPr>
                <w:rFonts w:eastAsia="Times New Roman"/>
              </w:rPr>
              <w:t xml:space="preserve">n </w:t>
            </w:r>
            <w:r>
              <w:rPr>
                <w:rFonts w:eastAsia="Times New Roman"/>
              </w:rPr>
              <w:t>W</w:t>
            </w:r>
            <w:r w:rsidRPr="00046D64">
              <w:rPr>
                <w:rFonts w:eastAsia="Times New Roman"/>
              </w:rPr>
              <w:t>riting</w:t>
            </w:r>
          </w:p>
          <w:p w14:paraId="3B612676" w14:textId="77777777" w:rsidR="0059604F" w:rsidRDefault="0059604F" w:rsidP="00097C1E">
            <w:pPr>
              <w:pStyle w:val="TableText0"/>
              <w:keepLines/>
              <w:ind w:left="27"/>
              <w:rPr>
                <w:rFonts w:eastAsia="Times New Roman"/>
              </w:rPr>
            </w:pPr>
            <w:r>
              <w:rPr>
                <w:rFonts w:eastAsia="Times New Roman"/>
              </w:rPr>
              <w:t xml:space="preserve"> </w:t>
            </w:r>
            <w:r>
              <w:rPr>
                <w:rFonts w:asciiTheme="minorHAnsi" w:hAnsiTheme="minorHAnsi" w:cstheme="minorHAnsi"/>
                <w:szCs w:val="20"/>
                <w:lang w:bidi="he-IL"/>
              </w:rPr>
              <w:fldChar w:fldCharType="begin" w:fldLock="1">
                <w:ffData>
                  <w:name w:val=""/>
                  <w:enabled/>
                  <w:calcOnExit w:val="0"/>
                  <w:checkBox>
                    <w:sizeAuto/>
                    <w:default w:val="1"/>
                  </w:checkBox>
                </w:ffData>
              </w:fldChar>
            </w:r>
            <w:r>
              <w:rPr>
                <w:rFonts w:asciiTheme="minorHAnsi" w:hAnsiTheme="minorHAnsi" w:cstheme="minorHAnsi"/>
                <w:szCs w:val="20"/>
                <w:lang w:bidi="he-IL"/>
              </w:rPr>
              <w:instrText xml:space="preserve"> FORMCHECKBOX </w:instrText>
            </w:r>
            <w:r w:rsidR="005277E5">
              <w:rPr>
                <w:rFonts w:asciiTheme="minorHAnsi" w:hAnsiTheme="minorHAnsi" w:cstheme="minorHAnsi"/>
                <w:szCs w:val="20"/>
                <w:lang w:bidi="he-IL"/>
              </w:rPr>
            </w:r>
            <w:r w:rsidR="005277E5">
              <w:rPr>
                <w:rFonts w:asciiTheme="minorHAnsi" w:hAnsiTheme="minorHAnsi" w:cstheme="minorHAnsi"/>
                <w:szCs w:val="20"/>
                <w:lang w:bidi="he-IL"/>
              </w:rPr>
              <w:fldChar w:fldCharType="separate"/>
            </w:r>
            <w:r>
              <w:rPr>
                <w:rFonts w:asciiTheme="minorHAnsi" w:hAnsiTheme="minorHAnsi" w:cstheme="minorHAnsi"/>
                <w:szCs w:val="20"/>
                <w:lang w:bidi="he-IL"/>
              </w:rPr>
              <w:fldChar w:fldCharType="end"/>
            </w:r>
            <w:r w:rsidRPr="00046D64">
              <w:rPr>
                <w:rFonts w:eastAsia="Times New Roman"/>
              </w:rPr>
              <w:t>Authority Required</w:t>
            </w:r>
            <w:r>
              <w:rPr>
                <w:rFonts w:eastAsia="Times New Roman"/>
              </w:rPr>
              <w:t>- Telephone</w:t>
            </w:r>
          </w:p>
          <w:p w14:paraId="190D45C6" w14:textId="77777777" w:rsidR="0059604F" w:rsidRPr="00046D64" w:rsidRDefault="0059604F" w:rsidP="00097C1E">
            <w:pPr>
              <w:pStyle w:val="TableText0"/>
              <w:keepLines/>
              <w:ind w:left="27"/>
              <w:rPr>
                <w:rFonts w:eastAsia="Times New Roman"/>
              </w:rPr>
            </w:pPr>
            <w:r>
              <w:rPr>
                <w:rFonts w:eastAsia="Times New Roman"/>
              </w:rPr>
              <w:t xml:space="preserve"> </w:t>
            </w:r>
            <w:r>
              <w:rPr>
                <w:rFonts w:asciiTheme="minorHAnsi" w:hAnsiTheme="minorHAnsi" w:cstheme="minorHAnsi"/>
                <w:szCs w:val="20"/>
                <w:lang w:bidi="he-IL"/>
              </w:rPr>
              <w:fldChar w:fldCharType="begin" w:fldLock="1">
                <w:ffData>
                  <w:name w:val=""/>
                  <w:enabled/>
                  <w:calcOnExit w:val="0"/>
                  <w:checkBox>
                    <w:sizeAuto/>
                    <w:default w:val="1"/>
                  </w:checkBox>
                </w:ffData>
              </w:fldChar>
            </w:r>
            <w:r>
              <w:rPr>
                <w:rFonts w:asciiTheme="minorHAnsi" w:hAnsiTheme="minorHAnsi" w:cstheme="minorHAnsi"/>
                <w:szCs w:val="20"/>
                <w:lang w:bidi="he-IL"/>
              </w:rPr>
              <w:instrText xml:space="preserve"> FORMCHECKBOX </w:instrText>
            </w:r>
            <w:r w:rsidR="005277E5">
              <w:rPr>
                <w:rFonts w:asciiTheme="minorHAnsi" w:hAnsiTheme="minorHAnsi" w:cstheme="minorHAnsi"/>
                <w:szCs w:val="20"/>
                <w:lang w:bidi="he-IL"/>
              </w:rPr>
            </w:r>
            <w:r w:rsidR="005277E5">
              <w:rPr>
                <w:rFonts w:asciiTheme="minorHAnsi" w:hAnsiTheme="minorHAnsi" w:cstheme="minorHAnsi"/>
                <w:szCs w:val="20"/>
                <w:lang w:bidi="he-IL"/>
              </w:rPr>
              <w:fldChar w:fldCharType="separate"/>
            </w:r>
            <w:r>
              <w:rPr>
                <w:rFonts w:asciiTheme="minorHAnsi" w:hAnsiTheme="minorHAnsi" w:cstheme="minorHAnsi"/>
                <w:szCs w:val="20"/>
                <w:lang w:bidi="he-IL"/>
              </w:rPr>
              <w:fldChar w:fldCharType="end"/>
            </w:r>
            <w:r w:rsidRPr="00046D64">
              <w:rPr>
                <w:rFonts w:eastAsia="Times New Roman"/>
              </w:rPr>
              <w:t>Authority Required</w:t>
            </w:r>
            <w:r>
              <w:rPr>
                <w:rFonts w:eastAsia="Times New Roman"/>
              </w:rPr>
              <w:t>- Electronic</w:t>
            </w:r>
          </w:p>
        </w:tc>
      </w:tr>
      <w:tr w:rsidR="0059604F" w:rsidRPr="00046D64" w14:paraId="413CCA13" w14:textId="77777777" w:rsidTr="00097C1E">
        <w:trPr>
          <w:trHeight w:val="20"/>
        </w:trPr>
        <w:tc>
          <w:tcPr>
            <w:tcW w:w="5000" w:type="pct"/>
            <w:tcBorders>
              <w:bottom w:val="nil"/>
            </w:tcBorders>
            <w:hideMark/>
          </w:tcPr>
          <w:p w14:paraId="3A32C6B3" w14:textId="77777777" w:rsidR="0059604F" w:rsidRDefault="0059604F" w:rsidP="00097C1E">
            <w:pPr>
              <w:pStyle w:val="TableText0"/>
              <w:keepLines/>
              <w:rPr>
                <w:b/>
              </w:rPr>
            </w:pPr>
            <w:r w:rsidRPr="00046D64">
              <w:rPr>
                <w:b/>
              </w:rPr>
              <w:t>Prescribing Instructions:</w:t>
            </w:r>
          </w:p>
          <w:p w14:paraId="48FD874F" w14:textId="77777777" w:rsidR="0059604F" w:rsidRPr="00046D64" w:rsidRDefault="0059604F" w:rsidP="00097C1E">
            <w:pPr>
              <w:pStyle w:val="TableText0"/>
              <w:keepLines/>
            </w:pPr>
            <w:r w:rsidRPr="00EB5019">
              <w:rPr>
                <w:bCs w:val="0"/>
              </w:rPr>
              <w:t xml:space="preserve">A maximum quantity to provide for a </w:t>
            </w:r>
            <w:proofErr w:type="gramStart"/>
            <w:r w:rsidRPr="00EB5019">
              <w:rPr>
                <w:bCs w:val="0"/>
              </w:rPr>
              <w:t>4 week</w:t>
            </w:r>
            <w:proofErr w:type="gramEnd"/>
            <w:r w:rsidRPr="00EB5019">
              <w:rPr>
                <w:bCs w:val="0"/>
              </w:rPr>
              <w:t xml:space="preserve"> course of treatment can be accessed under this criteria. The initial </w:t>
            </w:r>
            <w:proofErr w:type="gramStart"/>
            <w:r w:rsidRPr="00EB5019">
              <w:rPr>
                <w:bCs w:val="0"/>
              </w:rPr>
              <w:t>12 week</w:t>
            </w:r>
            <w:proofErr w:type="gramEnd"/>
            <w:r w:rsidRPr="00EB5019">
              <w:rPr>
                <w:bCs w:val="0"/>
              </w:rPr>
              <w:t xml:space="preserve"> treatment course should be requested under the Initial treatment item code</w:t>
            </w:r>
          </w:p>
        </w:tc>
      </w:tr>
      <w:tr w:rsidR="0059604F" w:rsidRPr="00046D64" w14:paraId="144AED04" w14:textId="77777777" w:rsidTr="00097C1E">
        <w:trPr>
          <w:trHeight w:val="20"/>
        </w:trPr>
        <w:tc>
          <w:tcPr>
            <w:tcW w:w="5000" w:type="pct"/>
            <w:tcBorders>
              <w:top w:val="nil"/>
              <w:bottom w:val="nil"/>
            </w:tcBorders>
          </w:tcPr>
          <w:p w14:paraId="542115B7" w14:textId="77777777" w:rsidR="0059604F" w:rsidRPr="00046D64" w:rsidRDefault="0059604F" w:rsidP="00097C1E">
            <w:pPr>
              <w:pStyle w:val="TableText0"/>
              <w:keepLines/>
              <w:rPr>
                <w:b/>
              </w:rPr>
            </w:pPr>
            <w:r w:rsidRPr="00EB5019">
              <w:rPr>
                <w:bCs w:val="0"/>
              </w:rPr>
              <w:t>The assessment of the patient's response to this initial course of treatment, including the balance of supply, must be made following a minimum of 12 weeks of therapy so that there is adequate time for a response to be demonstrated</w:t>
            </w:r>
          </w:p>
        </w:tc>
      </w:tr>
      <w:tr w:rsidR="0059604F" w:rsidRPr="00046D64" w14:paraId="7E8125F2" w14:textId="77777777" w:rsidTr="00097C1E">
        <w:trPr>
          <w:trHeight w:val="20"/>
        </w:trPr>
        <w:tc>
          <w:tcPr>
            <w:tcW w:w="5000" w:type="pct"/>
            <w:tcBorders>
              <w:top w:val="nil"/>
            </w:tcBorders>
          </w:tcPr>
          <w:p w14:paraId="19737CA3" w14:textId="77777777" w:rsidR="0059604F" w:rsidRPr="00046D64" w:rsidRDefault="0059604F" w:rsidP="00097C1E">
            <w:pPr>
              <w:pStyle w:val="TableText0"/>
              <w:keepLines/>
              <w:rPr>
                <w:b/>
              </w:rPr>
            </w:pPr>
            <w:r w:rsidRPr="00EB5019">
              <w:rPr>
                <w:bCs w:val="0"/>
              </w:rPr>
              <w:t xml:space="preserve">It is recommended that an application for continuing treatment is posted to the Department of Human Services at the time of the </w:t>
            </w:r>
            <w:proofErr w:type="gramStart"/>
            <w:r w:rsidRPr="00EB5019">
              <w:rPr>
                <w:bCs w:val="0"/>
              </w:rPr>
              <w:t>12 week</w:t>
            </w:r>
            <w:proofErr w:type="gramEnd"/>
            <w:r w:rsidRPr="00EB5019">
              <w:rPr>
                <w:bCs w:val="0"/>
              </w:rPr>
              <w:t xml:space="preserve"> assessment, to ensure continuity of treatment for those patients who meet the continuation criterion for PBS-subsidised treatment with this drug</w:t>
            </w:r>
          </w:p>
        </w:tc>
      </w:tr>
    </w:tbl>
    <w:p w14:paraId="3B999F9D" w14:textId="77777777" w:rsidR="0059604F" w:rsidRDefault="0059604F" w:rsidP="00507D16">
      <w:pPr>
        <w:pStyle w:val="3-BodyText"/>
        <w:numPr>
          <w:ilvl w:val="0"/>
          <w:numId w:val="0"/>
        </w:numPr>
        <w:spacing w:after="0"/>
        <w:rPr>
          <w:color w:val="0066FF"/>
        </w:rPr>
      </w:pPr>
    </w:p>
    <w:tbl>
      <w:tblPr>
        <w:tblStyle w:val="HTAtableplain11"/>
        <w:tblpPr w:leftFromText="180" w:rightFromText="180" w:vertAnchor="text" w:tblpY="1"/>
        <w:tblW w:w="5006" w:type="pct"/>
        <w:tblInd w:w="0" w:type="dxa"/>
        <w:tblLook w:val="04A0" w:firstRow="1" w:lastRow="0" w:firstColumn="1" w:lastColumn="0" w:noHBand="0" w:noVBand="1"/>
      </w:tblPr>
      <w:tblGrid>
        <w:gridCol w:w="9028"/>
      </w:tblGrid>
      <w:tr w:rsidR="0059604F" w:rsidRPr="00046D64" w14:paraId="32AC30CF" w14:textId="77777777" w:rsidTr="00CB0CC7">
        <w:trPr>
          <w:trHeight w:val="20"/>
        </w:trPr>
        <w:tc>
          <w:tcPr>
            <w:tcW w:w="5000" w:type="pct"/>
            <w:hideMark/>
          </w:tcPr>
          <w:p w14:paraId="0F8D16B1" w14:textId="77777777" w:rsidR="0059604F" w:rsidRPr="00046D64" w:rsidRDefault="0059604F" w:rsidP="00097C1E">
            <w:pPr>
              <w:pStyle w:val="TableText0"/>
              <w:keepLines/>
            </w:pPr>
            <w:r w:rsidRPr="00046D64">
              <w:rPr>
                <w:b/>
              </w:rPr>
              <w:t>Treatment Phase:</w:t>
            </w:r>
            <w:r w:rsidRPr="00046D64">
              <w:t xml:space="preserve"> </w:t>
            </w:r>
            <w:r>
              <w:rPr>
                <w:b/>
                <w:bCs w:val="0"/>
              </w:rPr>
              <w:t xml:space="preserve">Continuing </w:t>
            </w:r>
            <w:r w:rsidRPr="00F9355E">
              <w:rPr>
                <w:b/>
                <w:bCs w:val="0"/>
              </w:rPr>
              <w:t>treatment</w:t>
            </w:r>
          </w:p>
        </w:tc>
      </w:tr>
      <w:tr w:rsidR="0059604F" w:rsidRPr="00046D64" w14:paraId="351ECB4A" w14:textId="77777777" w:rsidTr="00CB0CC7">
        <w:trPr>
          <w:trHeight w:val="20"/>
        </w:trPr>
        <w:tc>
          <w:tcPr>
            <w:tcW w:w="5000" w:type="pct"/>
            <w:hideMark/>
          </w:tcPr>
          <w:p w14:paraId="12D94AFF" w14:textId="77777777" w:rsidR="0059604F" w:rsidRPr="00046D64" w:rsidRDefault="0059604F" w:rsidP="00097C1E">
            <w:pPr>
              <w:pStyle w:val="TableText0"/>
              <w:keepLines/>
            </w:pPr>
            <w:r w:rsidRPr="00046D64">
              <w:rPr>
                <w:b/>
              </w:rPr>
              <w:t>Clinical criteria:</w:t>
            </w:r>
          </w:p>
        </w:tc>
      </w:tr>
      <w:tr w:rsidR="0059604F" w:rsidRPr="00046D64" w14:paraId="6550ABD8" w14:textId="77777777" w:rsidTr="00CB0CC7">
        <w:trPr>
          <w:trHeight w:val="20"/>
        </w:trPr>
        <w:tc>
          <w:tcPr>
            <w:tcW w:w="5000" w:type="pct"/>
            <w:tcBorders>
              <w:bottom w:val="nil"/>
            </w:tcBorders>
            <w:hideMark/>
          </w:tcPr>
          <w:p w14:paraId="7969A7A0" w14:textId="77777777" w:rsidR="0059604F" w:rsidRPr="00046D64" w:rsidRDefault="0059604F" w:rsidP="00097C1E">
            <w:pPr>
              <w:pStyle w:val="TableText0"/>
              <w:keepLines/>
            </w:pPr>
            <w:r w:rsidRPr="00B702B2">
              <w:t>Patient must have previously received PBS-subsidised treatment with this drug for this condition</w:t>
            </w:r>
          </w:p>
        </w:tc>
      </w:tr>
      <w:tr w:rsidR="0059604F" w:rsidRPr="00046D64" w14:paraId="63D51C0E" w14:textId="77777777" w:rsidTr="00CB0CC7">
        <w:trPr>
          <w:trHeight w:val="20"/>
        </w:trPr>
        <w:tc>
          <w:tcPr>
            <w:tcW w:w="5000" w:type="pct"/>
            <w:tcBorders>
              <w:top w:val="nil"/>
              <w:bottom w:val="nil"/>
            </w:tcBorders>
            <w:hideMark/>
          </w:tcPr>
          <w:p w14:paraId="62DD6E16" w14:textId="77777777" w:rsidR="0059604F" w:rsidRPr="0002427F" w:rsidRDefault="0059604F" w:rsidP="00097C1E">
            <w:pPr>
              <w:pStyle w:val="TableText0"/>
              <w:keepLines/>
              <w:rPr>
                <w:bCs w:val="0"/>
              </w:rPr>
            </w:pPr>
            <w:r w:rsidRPr="0002427F">
              <w:rPr>
                <w:bCs w:val="0"/>
              </w:rPr>
              <w:t>AND</w:t>
            </w:r>
          </w:p>
        </w:tc>
      </w:tr>
      <w:tr w:rsidR="0059604F" w:rsidRPr="00046D64" w14:paraId="4571E5C9" w14:textId="77777777" w:rsidTr="00CB0CC7">
        <w:trPr>
          <w:trHeight w:val="20"/>
        </w:trPr>
        <w:tc>
          <w:tcPr>
            <w:tcW w:w="5000" w:type="pct"/>
            <w:tcBorders>
              <w:top w:val="nil"/>
              <w:bottom w:val="nil"/>
            </w:tcBorders>
            <w:hideMark/>
          </w:tcPr>
          <w:p w14:paraId="01A22BAB" w14:textId="77777777" w:rsidR="0059604F" w:rsidRPr="00046D64" w:rsidRDefault="0059604F" w:rsidP="00097C1E">
            <w:pPr>
              <w:pStyle w:val="TableText0"/>
              <w:keepLines/>
            </w:pPr>
            <w:r w:rsidRPr="00B702B2">
              <w:t>Patient must have shown adequate response as CDAI &lt;150; OR show an improvement of intestinal inflammation/</w:t>
            </w:r>
            <w:r>
              <w:t xml:space="preserve"> </w:t>
            </w:r>
            <w:r w:rsidRPr="00B702B2">
              <w:t>reversal of high faecal output state/avoidance of TPN</w:t>
            </w:r>
          </w:p>
        </w:tc>
      </w:tr>
      <w:tr w:rsidR="0059604F" w:rsidRPr="00046D64" w14:paraId="50854C2A" w14:textId="77777777" w:rsidTr="00CB0CC7">
        <w:trPr>
          <w:trHeight w:val="20"/>
        </w:trPr>
        <w:tc>
          <w:tcPr>
            <w:tcW w:w="5000" w:type="pct"/>
            <w:tcBorders>
              <w:top w:val="nil"/>
              <w:bottom w:val="nil"/>
            </w:tcBorders>
            <w:hideMark/>
          </w:tcPr>
          <w:p w14:paraId="3D891F5F" w14:textId="77777777" w:rsidR="0059604F" w:rsidRPr="0002427F" w:rsidRDefault="0059604F" w:rsidP="00097C1E">
            <w:pPr>
              <w:pStyle w:val="TableText0"/>
              <w:keepLines/>
              <w:rPr>
                <w:color w:val="000000" w:themeColor="text1"/>
              </w:rPr>
            </w:pPr>
            <w:r w:rsidRPr="0002427F">
              <w:rPr>
                <w:color w:val="000000" w:themeColor="text1"/>
              </w:rPr>
              <w:t>AND</w:t>
            </w:r>
          </w:p>
        </w:tc>
      </w:tr>
      <w:tr w:rsidR="0059604F" w:rsidRPr="00046D64" w14:paraId="1D3C59C9" w14:textId="77777777" w:rsidTr="00CB0CC7">
        <w:trPr>
          <w:trHeight w:val="20"/>
        </w:trPr>
        <w:tc>
          <w:tcPr>
            <w:tcW w:w="5000" w:type="pct"/>
            <w:tcBorders>
              <w:top w:val="nil"/>
            </w:tcBorders>
          </w:tcPr>
          <w:p w14:paraId="24C7BA21" w14:textId="77777777" w:rsidR="0059604F" w:rsidRPr="0002427F" w:rsidRDefault="0059604F" w:rsidP="00097C1E">
            <w:pPr>
              <w:pStyle w:val="TableText0"/>
              <w:keepLines/>
              <w:rPr>
                <w:color w:val="000000" w:themeColor="text1"/>
              </w:rPr>
            </w:pPr>
            <w:r w:rsidRPr="00B702B2">
              <w:rPr>
                <w:color w:val="000000" w:themeColor="text1"/>
              </w:rPr>
              <w:t>Patient must not receive &gt;24 weeks of treatment</w:t>
            </w:r>
          </w:p>
        </w:tc>
      </w:tr>
      <w:tr w:rsidR="0059604F" w:rsidRPr="00046D64" w14:paraId="3DD1663B" w14:textId="77777777" w:rsidTr="00CB0CC7">
        <w:trPr>
          <w:trHeight w:val="20"/>
        </w:trPr>
        <w:tc>
          <w:tcPr>
            <w:tcW w:w="5000" w:type="pct"/>
          </w:tcPr>
          <w:p w14:paraId="2F4D26AC" w14:textId="715DB5E2" w:rsidR="0059604F" w:rsidRPr="00046D64" w:rsidRDefault="0059604F" w:rsidP="00097C1E">
            <w:pPr>
              <w:pStyle w:val="TableText0"/>
              <w:keepLines/>
              <w:rPr>
                <w:rFonts w:eastAsia="Times New Roman"/>
              </w:rPr>
            </w:pPr>
            <w:r w:rsidRPr="00046D64">
              <w:rPr>
                <w:b/>
              </w:rPr>
              <w:t xml:space="preserve">Restriction type: </w:t>
            </w:r>
            <w:r w:rsidRPr="00046D64">
              <w:rPr>
                <w:rFonts w:eastAsia="Times New Roman"/>
              </w:rPr>
              <w:t>Authority Required</w:t>
            </w:r>
            <w:r>
              <w:rPr>
                <w:rFonts w:eastAsia="Times New Roman"/>
              </w:rPr>
              <w:t>- I</w:t>
            </w:r>
            <w:r w:rsidRPr="00046D64">
              <w:rPr>
                <w:rFonts w:eastAsia="Times New Roman"/>
              </w:rPr>
              <w:t xml:space="preserve">n </w:t>
            </w:r>
            <w:r>
              <w:rPr>
                <w:rFonts w:eastAsia="Times New Roman"/>
              </w:rPr>
              <w:t>W</w:t>
            </w:r>
            <w:r w:rsidRPr="00046D64">
              <w:rPr>
                <w:rFonts w:eastAsia="Times New Roman"/>
              </w:rPr>
              <w:t>riting</w:t>
            </w:r>
            <w:r w:rsidR="000C52FF">
              <w:rPr>
                <w:rFonts w:eastAsia="Times New Roman"/>
              </w:rPr>
              <w:t xml:space="preserve"> </w:t>
            </w:r>
          </w:p>
        </w:tc>
      </w:tr>
      <w:tr w:rsidR="0059604F" w:rsidRPr="00046D64" w14:paraId="17AC6553" w14:textId="77777777" w:rsidTr="00CB0CC7">
        <w:trPr>
          <w:trHeight w:val="20"/>
        </w:trPr>
        <w:tc>
          <w:tcPr>
            <w:tcW w:w="5000" w:type="pct"/>
            <w:hideMark/>
          </w:tcPr>
          <w:p w14:paraId="254BC5CB" w14:textId="77777777" w:rsidR="0059604F" w:rsidRDefault="0059604F" w:rsidP="00097C1E">
            <w:pPr>
              <w:pStyle w:val="TableText0"/>
              <w:keepLines/>
              <w:rPr>
                <w:b/>
              </w:rPr>
            </w:pPr>
            <w:r w:rsidRPr="00046D64">
              <w:rPr>
                <w:b/>
              </w:rPr>
              <w:t>Prescribing Instructions:</w:t>
            </w:r>
          </w:p>
          <w:p w14:paraId="66EFC6D9" w14:textId="77777777" w:rsidR="0059604F" w:rsidRPr="00046D64" w:rsidRDefault="0059604F" w:rsidP="00097C1E">
            <w:pPr>
              <w:pStyle w:val="TableText0"/>
              <w:keepLines/>
            </w:pPr>
            <w:r w:rsidRPr="00B702B2">
              <w:rPr>
                <w:bCs w:val="0"/>
              </w:rPr>
              <w:t>Each application for subsequent continuing treatment with this drug must include an assessment of the patient's response to the prior course of therapy</w:t>
            </w:r>
            <w:r w:rsidRPr="0002427F">
              <w:rPr>
                <w:bCs w:val="0"/>
              </w:rPr>
              <w:t>.</w:t>
            </w:r>
          </w:p>
        </w:tc>
      </w:tr>
      <w:tr w:rsidR="0059604F" w:rsidRPr="00046D64" w14:paraId="6989D1F2" w14:textId="77777777" w:rsidTr="00CB0CC7">
        <w:trPr>
          <w:trHeight w:val="20"/>
        </w:trPr>
        <w:tc>
          <w:tcPr>
            <w:tcW w:w="5000" w:type="pct"/>
          </w:tcPr>
          <w:p w14:paraId="4BB7E99C" w14:textId="77777777" w:rsidR="0059604F" w:rsidRPr="00046D64" w:rsidRDefault="0059604F" w:rsidP="00097C1E">
            <w:pPr>
              <w:pStyle w:val="TableText0"/>
              <w:keepLines/>
              <w:rPr>
                <w:b/>
              </w:rPr>
            </w:pPr>
            <w:r w:rsidRPr="00B702B2">
              <w:rPr>
                <w:bCs w:val="0"/>
              </w:rPr>
              <w:t xml:space="preserve">If a patient fails to demonstrate a response to treatment with this </w:t>
            </w:r>
            <w:proofErr w:type="gramStart"/>
            <w:r w:rsidRPr="00B702B2">
              <w:rPr>
                <w:bCs w:val="0"/>
              </w:rPr>
              <w:t>drug</w:t>
            </w:r>
            <w:proofErr w:type="gramEnd"/>
            <w:r w:rsidRPr="00B702B2">
              <w:rPr>
                <w:bCs w:val="0"/>
              </w:rPr>
              <w:t xml:space="preserve"> they will not be eligible to receive further PBS-subsidised treatment with this drug for this condition within this treatment cycle</w:t>
            </w:r>
            <w:r w:rsidRPr="0002427F">
              <w:rPr>
                <w:bCs w:val="0"/>
              </w:rPr>
              <w:t>.</w:t>
            </w:r>
          </w:p>
        </w:tc>
      </w:tr>
      <w:tr w:rsidR="0059604F" w:rsidRPr="00046D64" w14:paraId="570CE385" w14:textId="77777777" w:rsidTr="00CB0CC7">
        <w:trPr>
          <w:trHeight w:val="20"/>
        </w:trPr>
        <w:tc>
          <w:tcPr>
            <w:tcW w:w="5000" w:type="pct"/>
            <w:tcBorders>
              <w:left w:val="nil"/>
              <w:right w:val="nil"/>
            </w:tcBorders>
          </w:tcPr>
          <w:p w14:paraId="67482DAB" w14:textId="77777777" w:rsidR="0059604F" w:rsidRPr="00046D64" w:rsidRDefault="0059604F" w:rsidP="00097C1E">
            <w:pPr>
              <w:pStyle w:val="TableText0"/>
              <w:keepLines/>
              <w:rPr>
                <w:b/>
              </w:rPr>
            </w:pPr>
          </w:p>
        </w:tc>
      </w:tr>
      <w:tr w:rsidR="0059604F" w:rsidRPr="00046D64" w14:paraId="0CF937DD" w14:textId="77777777" w:rsidTr="00CB0CC7">
        <w:trPr>
          <w:trHeight w:val="20"/>
        </w:trPr>
        <w:tc>
          <w:tcPr>
            <w:tcW w:w="5000" w:type="pct"/>
          </w:tcPr>
          <w:p w14:paraId="24813C76" w14:textId="17C97360" w:rsidR="0059604F" w:rsidRPr="00046D64" w:rsidRDefault="0059604F" w:rsidP="00097C1E">
            <w:pPr>
              <w:pStyle w:val="TableText0"/>
              <w:keepLines/>
              <w:rPr>
                <w:b/>
              </w:rPr>
            </w:pPr>
            <w:r>
              <w:rPr>
                <w:b/>
              </w:rPr>
              <w:t>Treatment Phase:</w:t>
            </w:r>
            <w:r w:rsidR="000C52FF">
              <w:rPr>
                <w:bCs w:val="0"/>
              </w:rPr>
              <w:t xml:space="preserve"> </w:t>
            </w:r>
            <w:r w:rsidRPr="00B702B2">
              <w:rPr>
                <w:b/>
              </w:rPr>
              <w:t>Transitioning from non-PBS to PBS-subsidised supply - Grandfather arrangements</w:t>
            </w:r>
          </w:p>
        </w:tc>
      </w:tr>
      <w:tr w:rsidR="0059604F" w:rsidRPr="00046D64" w14:paraId="7D477014" w14:textId="77777777" w:rsidTr="00CB0CC7">
        <w:trPr>
          <w:trHeight w:val="20"/>
        </w:trPr>
        <w:tc>
          <w:tcPr>
            <w:tcW w:w="5000" w:type="pct"/>
          </w:tcPr>
          <w:p w14:paraId="4FE0C737" w14:textId="77777777" w:rsidR="0059604F" w:rsidRDefault="0059604F" w:rsidP="00097C1E">
            <w:pPr>
              <w:pStyle w:val="TableText0"/>
              <w:keepLines/>
              <w:rPr>
                <w:b/>
              </w:rPr>
            </w:pPr>
            <w:r w:rsidRPr="00046D64">
              <w:rPr>
                <w:b/>
              </w:rPr>
              <w:t>Clinical criteria:</w:t>
            </w:r>
          </w:p>
        </w:tc>
      </w:tr>
      <w:tr w:rsidR="0059604F" w:rsidRPr="00046D64" w14:paraId="7A33647A" w14:textId="77777777" w:rsidTr="00CB0CC7">
        <w:trPr>
          <w:trHeight w:val="20"/>
        </w:trPr>
        <w:tc>
          <w:tcPr>
            <w:tcW w:w="5000" w:type="pct"/>
            <w:tcBorders>
              <w:bottom w:val="nil"/>
            </w:tcBorders>
          </w:tcPr>
          <w:p w14:paraId="38A3AD12" w14:textId="77777777" w:rsidR="0059604F" w:rsidRPr="00633C46" w:rsidRDefault="0059604F" w:rsidP="00097C1E">
            <w:pPr>
              <w:pStyle w:val="TableText0"/>
              <w:keepLines/>
              <w:rPr>
                <w:bCs w:val="0"/>
              </w:rPr>
            </w:pPr>
            <w:r w:rsidRPr="00B702B2">
              <w:rPr>
                <w:bCs w:val="0"/>
              </w:rPr>
              <w:t>Patient must have received treatment with this drug for this PBS indication prior to [PBS listing date]</w:t>
            </w:r>
          </w:p>
        </w:tc>
      </w:tr>
      <w:tr w:rsidR="0059604F" w:rsidRPr="00046D64" w14:paraId="1719CC80" w14:textId="77777777" w:rsidTr="00CB0CC7">
        <w:trPr>
          <w:trHeight w:val="20"/>
        </w:trPr>
        <w:tc>
          <w:tcPr>
            <w:tcW w:w="5000" w:type="pct"/>
            <w:tcBorders>
              <w:top w:val="nil"/>
              <w:bottom w:val="nil"/>
            </w:tcBorders>
          </w:tcPr>
          <w:p w14:paraId="20A28D77" w14:textId="77777777" w:rsidR="0059604F" w:rsidRPr="00633C46" w:rsidRDefault="0059604F" w:rsidP="00097C1E">
            <w:pPr>
              <w:pStyle w:val="TableText0"/>
              <w:keepLines/>
              <w:rPr>
                <w:bCs w:val="0"/>
              </w:rPr>
            </w:pPr>
            <w:r w:rsidRPr="00633C46">
              <w:rPr>
                <w:bCs w:val="0"/>
              </w:rPr>
              <w:t>AND</w:t>
            </w:r>
          </w:p>
        </w:tc>
      </w:tr>
      <w:tr w:rsidR="0059604F" w:rsidRPr="00046D64" w14:paraId="13B6D53F" w14:textId="77777777" w:rsidTr="00CB0CC7">
        <w:trPr>
          <w:trHeight w:val="20"/>
        </w:trPr>
        <w:tc>
          <w:tcPr>
            <w:tcW w:w="5000" w:type="pct"/>
            <w:tcBorders>
              <w:top w:val="nil"/>
              <w:bottom w:val="nil"/>
            </w:tcBorders>
          </w:tcPr>
          <w:p w14:paraId="53C6FBCD" w14:textId="77777777" w:rsidR="0059604F" w:rsidRPr="00633C46" w:rsidRDefault="0059604F" w:rsidP="00097C1E">
            <w:pPr>
              <w:pStyle w:val="TableText0"/>
              <w:keepLines/>
              <w:rPr>
                <w:bCs w:val="0"/>
              </w:rPr>
            </w:pPr>
            <w:r w:rsidRPr="00B702B2">
              <w:rPr>
                <w:bCs w:val="0"/>
              </w:rPr>
              <w:t>Patient must have confirmed severe Crohn disease</w:t>
            </w:r>
          </w:p>
        </w:tc>
      </w:tr>
      <w:tr w:rsidR="0059604F" w:rsidRPr="00046D64" w14:paraId="1CE46B9B" w14:textId="77777777" w:rsidTr="00CB0CC7">
        <w:trPr>
          <w:trHeight w:val="20"/>
        </w:trPr>
        <w:tc>
          <w:tcPr>
            <w:tcW w:w="5000" w:type="pct"/>
            <w:tcBorders>
              <w:top w:val="nil"/>
              <w:bottom w:val="nil"/>
            </w:tcBorders>
          </w:tcPr>
          <w:p w14:paraId="681F8955" w14:textId="77777777" w:rsidR="0059604F" w:rsidRPr="00633C46" w:rsidRDefault="0059604F" w:rsidP="00097C1E">
            <w:pPr>
              <w:pStyle w:val="TableText0"/>
              <w:keepLines/>
              <w:rPr>
                <w:bCs w:val="0"/>
              </w:rPr>
            </w:pPr>
            <w:r w:rsidRPr="00633C46">
              <w:rPr>
                <w:bCs w:val="0"/>
              </w:rPr>
              <w:t>AND</w:t>
            </w:r>
          </w:p>
        </w:tc>
      </w:tr>
      <w:tr w:rsidR="0059604F" w:rsidRPr="00046D64" w14:paraId="756F1929" w14:textId="77777777" w:rsidTr="00CB0CC7">
        <w:trPr>
          <w:trHeight w:val="20"/>
        </w:trPr>
        <w:tc>
          <w:tcPr>
            <w:tcW w:w="5000" w:type="pct"/>
            <w:tcBorders>
              <w:top w:val="nil"/>
              <w:bottom w:val="nil"/>
            </w:tcBorders>
          </w:tcPr>
          <w:p w14:paraId="0200D81A" w14:textId="77777777" w:rsidR="0059604F" w:rsidRPr="00633C46" w:rsidRDefault="0059604F" w:rsidP="00097C1E">
            <w:pPr>
              <w:pStyle w:val="TableText0"/>
              <w:keepLines/>
              <w:rPr>
                <w:bCs w:val="0"/>
              </w:rPr>
            </w:pPr>
            <w:r w:rsidRPr="00B702B2">
              <w:rPr>
                <w:bCs w:val="0"/>
              </w:rPr>
              <w:t>Patient must have, prior to initiating treatment with this drug for this condition, failed to achieve an adequate response to prior systemic therapy (corticosteroids and at least 3 months of immunosuppressive therapy)</w:t>
            </w:r>
          </w:p>
        </w:tc>
      </w:tr>
      <w:tr w:rsidR="0059604F" w:rsidRPr="00046D64" w14:paraId="27DCA939" w14:textId="77777777" w:rsidTr="00CB0CC7">
        <w:trPr>
          <w:trHeight w:val="20"/>
        </w:trPr>
        <w:tc>
          <w:tcPr>
            <w:tcW w:w="5000" w:type="pct"/>
            <w:tcBorders>
              <w:top w:val="nil"/>
              <w:bottom w:val="nil"/>
            </w:tcBorders>
          </w:tcPr>
          <w:p w14:paraId="4225312F" w14:textId="77777777" w:rsidR="0059604F" w:rsidRPr="00B702B2" w:rsidRDefault="0059604F" w:rsidP="00097C1E">
            <w:pPr>
              <w:pStyle w:val="TableText0"/>
              <w:keepLines/>
              <w:rPr>
                <w:bCs w:val="0"/>
              </w:rPr>
            </w:pPr>
            <w:r>
              <w:rPr>
                <w:bCs w:val="0"/>
              </w:rPr>
              <w:t>AND</w:t>
            </w:r>
          </w:p>
        </w:tc>
      </w:tr>
      <w:tr w:rsidR="0059604F" w:rsidRPr="00046D64" w14:paraId="69240448" w14:textId="77777777" w:rsidTr="00CB0CC7">
        <w:trPr>
          <w:trHeight w:val="20"/>
        </w:trPr>
        <w:tc>
          <w:tcPr>
            <w:tcW w:w="5000" w:type="pct"/>
            <w:tcBorders>
              <w:top w:val="nil"/>
              <w:bottom w:val="nil"/>
            </w:tcBorders>
          </w:tcPr>
          <w:p w14:paraId="5754BEAE" w14:textId="77777777" w:rsidR="0059604F" w:rsidRPr="00B702B2" w:rsidRDefault="0059604F" w:rsidP="00097C1E">
            <w:pPr>
              <w:pStyle w:val="TableText0"/>
              <w:keepLines/>
              <w:rPr>
                <w:bCs w:val="0"/>
              </w:rPr>
            </w:pPr>
            <w:r w:rsidRPr="005C709B">
              <w:rPr>
                <w:bCs w:val="0"/>
              </w:rPr>
              <w:t>Patient must have had, prior to initiating treatment with this drug for this condition, severity of disease activity with CDAI ≥300; OR CDAI ≥220 with extensive small intestine disease</w:t>
            </w:r>
          </w:p>
        </w:tc>
      </w:tr>
      <w:tr w:rsidR="0059604F" w:rsidRPr="00046D64" w14:paraId="18751DF0" w14:textId="77777777" w:rsidTr="00CB0CC7">
        <w:trPr>
          <w:trHeight w:val="20"/>
        </w:trPr>
        <w:tc>
          <w:tcPr>
            <w:tcW w:w="5000" w:type="pct"/>
            <w:tcBorders>
              <w:top w:val="nil"/>
              <w:bottom w:val="nil"/>
            </w:tcBorders>
          </w:tcPr>
          <w:p w14:paraId="25C52DA7" w14:textId="77777777" w:rsidR="0059604F" w:rsidRPr="00B702B2" w:rsidRDefault="0059604F" w:rsidP="00097C1E">
            <w:pPr>
              <w:pStyle w:val="TableText0"/>
              <w:keepLines/>
              <w:rPr>
                <w:bCs w:val="0"/>
              </w:rPr>
            </w:pPr>
            <w:r>
              <w:rPr>
                <w:bCs w:val="0"/>
              </w:rPr>
              <w:t>AND</w:t>
            </w:r>
          </w:p>
        </w:tc>
      </w:tr>
      <w:tr w:rsidR="0059604F" w:rsidRPr="00046D64" w14:paraId="0219762F" w14:textId="77777777" w:rsidTr="00CB0CC7">
        <w:trPr>
          <w:trHeight w:val="20"/>
        </w:trPr>
        <w:tc>
          <w:tcPr>
            <w:tcW w:w="5000" w:type="pct"/>
            <w:tcBorders>
              <w:top w:val="nil"/>
              <w:bottom w:val="nil"/>
            </w:tcBorders>
          </w:tcPr>
          <w:p w14:paraId="600A317D" w14:textId="77777777" w:rsidR="0059604F" w:rsidRDefault="0059604F" w:rsidP="00097C1E">
            <w:pPr>
              <w:pStyle w:val="TableText0"/>
              <w:keepLines/>
              <w:rPr>
                <w:bCs w:val="0"/>
              </w:rPr>
            </w:pPr>
            <w:r w:rsidRPr="005C709B">
              <w:rPr>
                <w:bCs w:val="0"/>
              </w:rPr>
              <w:t>Evidence of intestinal inflammation; OR in high faecal output state; OR require surgery or total parenteral nutrition as the next therapeutic option</w:t>
            </w:r>
          </w:p>
        </w:tc>
      </w:tr>
      <w:tr w:rsidR="0059604F" w:rsidRPr="00046D64" w14:paraId="5C35F80B" w14:textId="77777777" w:rsidTr="00CB0CC7">
        <w:trPr>
          <w:trHeight w:val="20"/>
        </w:trPr>
        <w:tc>
          <w:tcPr>
            <w:tcW w:w="5000" w:type="pct"/>
            <w:tcBorders>
              <w:top w:val="nil"/>
              <w:bottom w:val="nil"/>
            </w:tcBorders>
          </w:tcPr>
          <w:p w14:paraId="25D7A086" w14:textId="77777777" w:rsidR="0059604F" w:rsidRDefault="0059604F" w:rsidP="00097C1E">
            <w:pPr>
              <w:pStyle w:val="TableText0"/>
              <w:keepLines/>
              <w:rPr>
                <w:bCs w:val="0"/>
              </w:rPr>
            </w:pPr>
            <w:r>
              <w:rPr>
                <w:bCs w:val="0"/>
              </w:rPr>
              <w:t>AND</w:t>
            </w:r>
          </w:p>
        </w:tc>
      </w:tr>
      <w:tr w:rsidR="0059604F" w:rsidRPr="00046D64" w14:paraId="5C278565" w14:textId="77777777" w:rsidTr="00CB0CC7">
        <w:trPr>
          <w:trHeight w:val="20"/>
        </w:trPr>
        <w:tc>
          <w:tcPr>
            <w:tcW w:w="5000" w:type="pct"/>
            <w:tcBorders>
              <w:top w:val="nil"/>
              <w:bottom w:val="nil"/>
            </w:tcBorders>
          </w:tcPr>
          <w:p w14:paraId="1D7993CB" w14:textId="77777777" w:rsidR="0059604F" w:rsidRDefault="0059604F" w:rsidP="00097C1E">
            <w:pPr>
              <w:pStyle w:val="TableText0"/>
              <w:keepLines/>
              <w:rPr>
                <w:bCs w:val="0"/>
              </w:rPr>
            </w:pPr>
            <w:r w:rsidRPr="005C709B">
              <w:rPr>
                <w:bCs w:val="0"/>
              </w:rPr>
              <w:t>Patient must have shown adequate response as CDAI &lt;150; OR show an improvement of intestinal inflammation/reversal of high faecal output state/avoidance of TPN</w:t>
            </w:r>
          </w:p>
        </w:tc>
      </w:tr>
      <w:tr w:rsidR="0059604F" w:rsidRPr="00046D64" w14:paraId="637577D4" w14:textId="77777777" w:rsidTr="00CB0CC7">
        <w:trPr>
          <w:trHeight w:val="20"/>
        </w:trPr>
        <w:tc>
          <w:tcPr>
            <w:tcW w:w="5000" w:type="pct"/>
            <w:tcBorders>
              <w:top w:val="nil"/>
              <w:bottom w:val="nil"/>
            </w:tcBorders>
          </w:tcPr>
          <w:p w14:paraId="73356BCC" w14:textId="77777777" w:rsidR="0059604F" w:rsidRPr="005C709B" w:rsidRDefault="0059604F" w:rsidP="00097C1E">
            <w:pPr>
              <w:pStyle w:val="TableText0"/>
              <w:keepLines/>
              <w:rPr>
                <w:bCs w:val="0"/>
              </w:rPr>
            </w:pPr>
            <w:r>
              <w:rPr>
                <w:bCs w:val="0"/>
              </w:rPr>
              <w:t>AND</w:t>
            </w:r>
          </w:p>
        </w:tc>
      </w:tr>
      <w:tr w:rsidR="0059604F" w:rsidRPr="00046D64" w14:paraId="365650EB" w14:textId="77777777" w:rsidTr="00CB0CC7">
        <w:trPr>
          <w:trHeight w:val="20"/>
        </w:trPr>
        <w:tc>
          <w:tcPr>
            <w:tcW w:w="5000" w:type="pct"/>
            <w:tcBorders>
              <w:top w:val="nil"/>
            </w:tcBorders>
          </w:tcPr>
          <w:p w14:paraId="2C82F0A2" w14:textId="77777777" w:rsidR="0059604F" w:rsidRDefault="0059604F" w:rsidP="00097C1E">
            <w:pPr>
              <w:pStyle w:val="TableText0"/>
              <w:keepLines/>
              <w:rPr>
                <w:bCs w:val="0"/>
              </w:rPr>
            </w:pPr>
            <w:r w:rsidRPr="005C709B">
              <w:rPr>
                <w:bCs w:val="0"/>
              </w:rPr>
              <w:t>Patient must not receive &gt;24 weeks of treatment</w:t>
            </w:r>
          </w:p>
        </w:tc>
      </w:tr>
      <w:tr w:rsidR="0059604F" w:rsidRPr="00046D64" w14:paraId="2D0ED285" w14:textId="77777777" w:rsidTr="00CB0CC7">
        <w:trPr>
          <w:trHeight w:val="20"/>
        </w:trPr>
        <w:tc>
          <w:tcPr>
            <w:tcW w:w="5000" w:type="pct"/>
          </w:tcPr>
          <w:p w14:paraId="286B0796" w14:textId="07DA3C41" w:rsidR="0059604F" w:rsidRPr="00046D64" w:rsidRDefault="0059604F" w:rsidP="00097C1E">
            <w:pPr>
              <w:pStyle w:val="TableText0"/>
              <w:keepLines/>
              <w:rPr>
                <w:b/>
              </w:rPr>
            </w:pPr>
            <w:r w:rsidRPr="00046D64">
              <w:rPr>
                <w:b/>
              </w:rPr>
              <w:t xml:space="preserve">Restriction type: </w:t>
            </w:r>
            <w:r w:rsidRPr="00046D64">
              <w:rPr>
                <w:rFonts w:eastAsia="Times New Roman"/>
              </w:rPr>
              <w:t>Authority Required</w:t>
            </w:r>
            <w:r>
              <w:rPr>
                <w:rFonts w:eastAsia="Times New Roman"/>
              </w:rPr>
              <w:t>- I</w:t>
            </w:r>
            <w:r w:rsidRPr="00046D64">
              <w:rPr>
                <w:rFonts w:eastAsia="Times New Roman"/>
              </w:rPr>
              <w:t xml:space="preserve">n </w:t>
            </w:r>
            <w:r>
              <w:rPr>
                <w:rFonts w:eastAsia="Times New Roman"/>
              </w:rPr>
              <w:t>W</w:t>
            </w:r>
            <w:r w:rsidRPr="00046D64">
              <w:rPr>
                <w:rFonts w:eastAsia="Times New Roman"/>
              </w:rPr>
              <w:t>riting</w:t>
            </w:r>
            <w:r w:rsidR="000C52FF">
              <w:rPr>
                <w:rFonts w:eastAsia="Times New Roman"/>
              </w:rPr>
              <w:t xml:space="preserve"> </w:t>
            </w:r>
          </w:p>
        </w:tc>
      </w:tr>
      <w:tr w:rsidR="0059604F" w:rsidRPr="00046D64" w14:paraId="51C5EC4F" w14:textId="77777777" w:rsidTr="00CB0CC7">
        <w:trPr>
          <w:trHeight w:val="20"/>
        </w:trPr>
        <w:tc>
          <w:tcPr>
            <w:tcW w:w="5000" w:type="pct"/>
          </w:tcPr>
          <w:p w14:paraId="2CAF07AB" w14:textId="77777777" w:rsidR="0059604F" w:rsidRPr="00633C46" w:rsidRDefault="0059604F" w:rsidP="00097C1E">
            <w:pPr>
              <w:pStyle w:val="TableText0"/>
              <w:keepLines/>
              <w:rPr>
                <w:bCs w:val="0"/>
              </w:rPr>
            </w:pPr>
            <w:r w:rsidRPr="00046D64">
              <w:rPr>
                <w:b/>
              </w:rPr>
              <w:t>Prescribing Instructions:</w:t>
            </w:r>
            <w:r>
              <w:rPr>
                <w:b/>
              </w:rPr>
              <w:t xml:space="preserve"> </w:t>
            </w:r>
            <w:r w:rsidRPr="00C36605">
              <w:rPr>
                <w:bCs w:val="0"/>
              </w:rPr>
              <w:t xml:space="preserve">As per </w:t>
            </w:r>
            <w:r>
              <w:rPr>
                <w:bCs w:val="0"/>
              </w:rPr>
              <w:t>continuing</w:t>
            </w:r>
          </w:p>
        </w:tc>
      </w:tr>
    </w:tbl>
    <w:p w14:paraId="31076D97" w14:textId="77777777" w:rsidR="0059604F" w:rsidRDefault="0059604F" w:rsidP="00507D16">
      <w:pPr>
        <w:pStyle w:val="3-BodyText"/>
        <w:numPr>
          <w:ilvl w:val="0"/>
          <w:numId w:val="0"/>
        </w:numPr>
        <w:spacing w:after="0"/>
        <w:rPr>
          <w:color w:val="0066FF"/>
        </w:rPr>
      </w:pPr>
    </w:p>
    <w:tbl>
      <w:tblPr>
        <w:tblStyle w:val="TableGrid"/>
        <w:tblpPr w:leftFromText="180" w:rightFromText="180" w:vertAnchor="text" w:tblpY="1"/>
        <w:tblW w:w="4999" w:type="pct"/>
        <w:tblLook w:val="04A0" w:firstRow="1" w:lastRow="0" w:firstColumn="1" w:lastColumn="0" w:noHBand="0" w:noVBand="1"/>
      </w:tblPr>
      <w:tblGrid>
        <w:gridCol w:w="9015"/>
      </w:tblGrid>
      <w:tr w:rsidR="0059604F" w:rsidRPr="00046D64" w14:paraId="049A71B3" w14:textId="77777777" w:rsidTr="00097C1E">
        <w:trPr>
          <w:trHeight w:val="20"/>
        </w:trPr>
        <w:tc>
          <w:tcPr>
            <w:tcW w:w="5000" w:type="pct"/>
            <w:hideMark/>
          </w:tcPr>
          <w:p w14:paraId="0503F9FF" w14:textId="4D7586D4" w:rsidR="0059604F" w:rsidRPr="00046D64" w:rsidRDefault="0059604F" w:rsidP="00097C1E">
            <w:pPr>
              <w:pStyle w:val="TableText0"/>
              <w:keepLines/>
            </w:pPr>
            <w:r w:rsidRPr="00046D64">
              <w:rPr>
                <w:b/>
              </w:rPr>
              <w:t>Treatment Phase:</w:t>
            </w:r>
            <w:r w:rsidR="000C52FF">
              <w:t xml:space="preserve"> </w:t>
            </w:r>
            <w:r w:rsidRPr="00940A1A">
              <w:rPr>
                <w:b/>
                <w:bCs w:val="0"/>
              </w:rPr>
              <w:t>Dose change – increasing to the 30 mg dose or decreasing to the 15 mg dose in the continuation phase</w:t>
            </w:r>
          </w:p>
        </w:tc>
      </w:tr>
      <w:tr w:rsidR="0059604F" w:rsidRPr="00046D64" w14:paraId="471B3887" w14:textId="77777777" w:rsidTr="00097C1E">
        <w:trPr>
          <w:trHeight w:val="20"/>
        </w:trPr>
        <w:tc>
          <w:tcPr>
            <w:tcW w:w="5000" w:type="pct"/>
            <w:hideMark/>
          </w:tcPr>
          <w:p w14:paraId="34088D23" w14:textId="77777777" w:rsidR="0059604F" w:rsidRPr="00046D64" w:rsidRDefault="0059604F" w:rsidP="00097C1E">
            <w:pPr>
              <w:pStyle w:val="TableText0"/>
              <w:keepLines/>
            </w:pPr>
            <w:r w:rsidRPr="00046D64">
              <w:rPr>
                <w:b/>
              </w:rPr>
              <w:t>Clinical criteria:</w:t>
            </w:r>
          </w:p>
        </w:tc>
      </w:tr>
      <w:tr w:rsidR="0059604F" w:rsidRPr="00046D64" w14:paraId="149143E3" w14:textId="77777777" w:rsidTr="00097C1E">
        <w:trPr>
          <w:trHeight w:val="20"/>
        </w:trPr>
        <w:tc>
          <w:tcPr>
            <w:tcW w:w="5000" w:type="pct"/>
            <w:hideMark/>
          </w:tcPr>
          <w:p w14:paraId="7A547173" w14:textId="77777777" w:rsidR="0059604F" w:rsidRPr="00046D64" w:rsidRDefault="0059604F" w:rsidP="00097C1E">
            <w:pPr>
              <w:pStyle w:val="TableText0"/>
              <w:keepLines/>
            </w:pPr>
            <w:r w:rsidRPr="00940A1A">
              <w:lastRenderedPageBreak/>
              <w:t>Patient must be undergoing existing PBS-subsidised treatment with this therapy where each of the following is true: (i) there is a change in daily dose, (ii) any remaining PBS repeat prescriptions for the strength that the patient is changing from, is marked as 'cancelled'</w:t>
            </w:r>
          </w:p>
        </w:tc>
      </w:tr>
      <w:tr w:rsidR="0059604F" w:rsidRPr="00046D64" w14:paraId="4E5BE841" w14:textId="77777777" w:rsidTr="00097C1E">
        <w:trPr>
          <w:trHeight w:val="20"/>
        </w:trPr>
        <w:tc>
          <w:tcPr>
            <w:tcW w:w="5000" w:type="pct"/>
          </w:tcPr>
          <w:p w14:paraId="23E61FBA" w14:textId="77777777" w:rsidR="0059604F" w:rsidRPr="00046D64" w:rsidRDefault="0059604F" w:rsidP="00097C1E">
            <w:pPr>
              <w:pStyle w:val="TableText0"/>
              <w:keepLines/>
              <w:rPr>
                <w:rFonts w:eastAsia="Times New Roman"/>
              </w:rPr>
            </w:pPr>
            <w:r w:rsidRPr="00046D64">
              <w:rPr>
                <w:b/>
              </w:rPr>
              <w:t xml:space="preserve">Restriction type: </w:t>
            </w:r>
            <w:r w:rsidRPr="00046D64">
              <w:rPr>
                <w:rFonts w:eastAsia="Times New Roman"/>
              </w:rPr>
              <w:t>Authority Required</w:t>
            </w:r>
            <w:r>
              <w:rPr>
                <w:rFonts w:eastAsia="Times New Roman"/>
              </w:rPr>
              <w:t xml:space="preserve">- </w:t>
            </w:r>
            <w:r w:rsidRPr="008C4770">
              <w:rPr>
                <w:rFonts w:eastAsia="Times New Roman"/>
              </w:rPr>
              <w:t>Telephone</w:t>
            </w:r>
            <w:r w:rsidRPr="00046D64">
              <w:rPr>
                <w:rFonts w:eastAsia="Times New Roman"/>
              </w:rPr>
              <w:t xml:space="preserve"> </w:t>
            </w:r>
          </w:p>
        </w:tc>
      </w:tr>
      <w:tr w:rsidR="0059604F" w:rsidRPr="00046D64" w14:paraId="44C0FBBA" w14:textId="77777777" w:rsidTr="00097C1E">
        <w:trPr>
          <w:trHeight w:val="20"/>
        </w:trPr>
        <w:tc>
          <w:tcPr>
            <w:tcW w:w="5000" w:type="pct"/>
            <w:hideMark/>
          </w:tcPr>
          <w:p w14:paraId="36E9DC9B" w14:textId="77777777" w:rsidR="0059604F" w:rsidRPr="00046D64" w:rsidRDefault="0059604F" w:rsidP="00097C1E">
            <w:pPr>
              <w:pStyle w:val="TableText0"/>
              <w:keepLines/>
            </w:pPr>
            <w:r w:rsidRPr="00046D64">
              <w:rPr>
                <w:b/>
              </w:rPr>
              <w:t>Prescribing Instructions:</w:t>
            </w:r>
            <w:r>
              <w:rPr>
                <w:b/>
              </w:rPr>
              <w:t xml:space="preserve"> </w:t>
            </w:r>
            <w:r w:rsidRPr="00940A1A">
              <w:rPr>
                <w:bCs w:val="0"/>
              </w:rPr>
              <w:t>None</w:t>
            </w:r>
          </w:p>
        </w:tc>
      </w:tr>
    </w:tbl>
    <w:p w14:paraId="3A85EB1B" w14:textId="77777777" w:rsidR="0059604F" w:rsidRDefault="0059604F" w:rsidP="00097C1E">
      <w:pPr>
        <w:pStyle w:val="TableFigureFooter"/>
      </w:pPr>
      <w:r>
        <w:t>Source: Tables 1-7 to 1-10, pp 26-29 of the submission.</w:t>
      </w:r>
    </w:p>
    <w:p w14:paraId="3E995129" w14:textId="77777777" w:rsidR="0059604F" w:rsidRDefault="0059604F" w:rsidP="00097C1E">
      <w:pPr>
        <w:pStyle w:val="TableFigureFooter"/>
      </w:pPr>
      <w:r w:rsidRPr="002451E0">
        <w:t>CDAI= Crohn's Disease Activity Index; PBS= Pharmaceutical Benefits Scheme; TPN= Total Parenteral Nutrition</w:t>
      </w:r>
      <w:r>
        <w:t>.</w:t>
      </w:r>
    </w:p>
    <w:p w14:paraId="6425F712" w14:textId="3299B034" w:rsidR="001A5943" w:rsidRPr="001A5943" w:rsidRDefault="001A5943" w:rsidP="001A5943">
      <w:pPr>
        <w:pStyle w:val="3-BodyText"/>
        <w:rPr>
          <w:color w:val="000000" w:themeColor="text1"/>
        </w:rPr>
      </w:pPr>
      <w:proofErr w:type="gramStart"/>
      <w:r>
        <w:rPr>
          <w:color w:val="000000" w:themeColor="text1"/>
        </w:rPr>
        <w:t>Similar to</w:t>
      </w:r>
      <w:proofErr w:type="gramEnd"/>
      <w:r>
        <w:rPr>
          <w:color w:val="000000" w:themeColor="text1"/>
        </w:rPr>
        <w:t xml:space="preserve"> its listing for moderate to severe ulcerative colitis (MSUC), the maintenance dosing of upadacitinib is variable, with dosing at either 15 mg or 30 mg daily following an induction period of 12 weeks at 45 mg. The requested listings allow for flexibility to move between 15 mg and 30 mg doses via the proposed balance of supply restrictions (see Section 8 ‘Recommended listing</w:t>
      </w:r>
      <w:r w:rsidR="00507D16">
        <w:rPr>
          <w:color w:val="000000" w:themeColor="text1"/>
        </w:rPr>
        <w:t>’</w:t>
      </w:r>
      <w:r>
        <w:rPr>
          <w:color w:val="000000" w:themeColor="text1"/>
        </w:rPr>
        <w:t>).</w:t>
      </w:r>
    </w:p>
    <w:p w14:paraId="09A314F4" w14:textId="1F10D772" w:rsidR="0059604F" w:rsidRPr="001A5943" w:rsidRDefault="0059604F" w:rsidP="001A5943">
      <w:pPr>
        <w:pStyle w:val="3-BodyText"/>
        <w:rPr>
          <w:color w:val="000000" w:themeColor="text1"/>
        </w:rPr>
      </w:pPr>
      <w:r w:rsidRPr="005742E5">
        <w:t xml:space="preserve">The submission requested an </w:t>
      </w:r>
      <w:r w:rsidR="009C263E">
        <w:t>increase to the number of therapies in a treatment cycle for severe CD</w:t>
      </w:r>
      <w:r w:rsidRPr="005742E5">
        <w:t xml:space="preserve"> to account for the addition of a new mechanism of action </w:t>
      </w:r>
      <w:r>
        <w:t>[</w:t>
      </w:r>
      <w:r w:rsidRPr="005742E5">
        <w:t>J</w:t>
      </w:r>
      <w:r>
        <w:t>anus kinase (JAK)</w:t>
      </w:r>
      <w:r w:rsidRPr="005742E5">
        <w:t xml:space="preserve"> inhibitors</w:t>
      </w:r>
      <w:r>
        <w:t xml:space="preserve">], as the current PBS restriction </w:t>
      </w:r>
      <w:r w:rsidRPr="005742E5">
        <w:t xml:space="preserve">allows patients with severe CD to trial and fail a maximum of three </w:t>
      </w:r>
      <w:r>
        <w:t>classes of biologic agents (</w:t>
      </w:r>
      <w:r w:rsidRPr="005742E5">
        <w:t>TNF</w:t>
      </w:r>
      <w:r w:rsidRPr="005742E5">
        <w:rPr>
          <w:rFonts w:ascii="Cambria Math" w:hAnsi="Cambria Math" w:cs="Cambria Math"/>
        </w:rPr>
        <w:t>⍺</w:t>
      </w:r>
      <w:r w:rsidRPr="005742E5">
        <w:t xml:space="preserve">, </w:t>
      </w:r>
      <w:r w:rsidR="009C263E">
        <w:rPr>
          <w:rFonts w:cstheme="minorHAnsi"/>
        </w:rPr>
        <w:t>α</w:t>
      </w:r>
      <w:r w:rsidR="009C263E">
        <w:t>4</w:t>
      </w:r>
      <w:r w:rsidR="009C263E">
        <w:rPr>
          <w:rFonts w:cstheme="minorHAnsi"/>
        </w:rPr>
        <w:t>β</w:t>
      </w:r>
      <w:r w:rsidR="009C263E">
        <w:t xml:space="preserve">7 </w:t>
      </w:r>
      <w:r w:rsidRPr="005742E5">
        <w:t>integrin and interleukin</w:t>
      </w:r>
      <w:r w:rsidR="009C263E">
        <w:t xml:space="preserve"> 12/23</w:t>
      </w:r>
      <w:r w:rsidRPr="005742E5">
        <w:t xml:space="preserve"> inhibitors</w:t>
      </w:r>
      <w:r>
        <w:t>)</w:t>
      </w:r>
      <w:r w:rsidRPr="005742E5">
        <w:t xml:space="preserve"> in a 5-year treatment cycle.</w:t>
      </w:r>
      <w:r w:rsidR="001A5943">
        <w:t xml:space="preserve"> </w:t>
      </w:r>
      <w:r w:rsidR="001A5943" w:rsidRPr="00712557">
        <w:rPr>
          <w:color w:val="000000" w:themeColor="text1"/>
        </w:rPr>
        <w:t xml:space="preserve">The </w:t>
      </w:r>
      <w:r w:rsidR="001A5943">
        <w:rPr>
          <w:color w:val="000000" w:themeColor="text1"/>
        </w:rPr>
        <w:t>S</w:t>
      </w:r>
      <w:r w:rsidR="001A5943" w:rsidRPr="00712557">
        <w:rPr>
          <w:color w:val="000000" w:themeColor="text1"/>
        </w:rPr>
        <w:t xml:space="preserve">ecretariat noted that upadacitinib is the only targeted synthetic disease modifying anti-rheumatic drug (tsDMARD) agent for severe CD that is available in oral tablet form. The other PBS-listed biologics either require an intravenous infusion or subcutaneous self-injection. </w:t>
      </w:r>
      <w:r w:rsidR="001A5943">
        <w:rPr>
          <w:color w:val="000000" w:themeColor="text1"/>
        </w:rPr>
        <w:t>Minor flow-on changes to the</w:t>
      </w:r>
      <w:r w:rsidR="001A5943" w:rsidRPr="00712557">
        <w:rPr>
          <w:color w:val="000000" w:themeColor="text1"/>
        </w:rPr>
        <w:t xml:space="preserve"> restrictions of the </w:t>
      </w:r>
      <w:r w:rsidR="001A5943">
        <w:rPr>
          <w:color w:val="000000" w:themeColor="text1"/>
        </w:rPr>
        <w:t xml:space="preserve">other </w:t>
      </w:r>
      <w:r w:rsidR="001A5943" w:rsidRPr="00712557">
        <w:rPr>
          <w:color w:val="000000" w:themeColor="text1"/>
        </w:rPr>
        <w:t xml:space="preserve">agents </w:t>
      </w:r>
      <w:r w:rsidR="001A5943">
        <w:rPr>
          <w:color w:val="000000" w:themeColor="text1"/>
        </w:rPr>
        <w:t>were</w:t>
      </w:r>
      <w:r w:rsidR="001A5943" w:rsidRPr="00712557">
        <w:rPr>
          <w:color w:val="000000" w:themeColor="text1"/>
        </w:rPr>
        <w:t xml:space="preserve"> </w:t>
      </w:r>
      <w:r w:rsidR="001A5943">
        <w:rPr>
          <w:color w:val="000000" w:themeColor="text1"/>
        </w:rPr>
        <w:t>proposed to facilitate the listing of upadacitinib.</w:t>
      </w:r>
    </w:p>
    <w:p w14:paraId="506794B4" w14:textId="7655E0B2" w:rsidR="0059604F" w:rsidRPr="00712557" w:rsidRDefault="0059604F" w:rsidP="00097C1E">
      <w:pPr>
        <w:pStyle w:val="ExecSumBodyText"/>
        <w:numPr>
          <w:ilvl w:val="1"/>
          <w:numId w:val="1"/>
        </w:numPr>
        <w:rPr>
          <w:color w:val="0066FF"/>
        </w:rPr>
      </w:pPr>
      <w:r w:rsidRPr="00F97D65">
        <w:t>A Special Pricing Agreement (SPA) was requested</w:t>
      </w:r>
      <w:r>
        <w:t xml:space="preserve"> for upadacitinib</w:t>
      </w:r>
      <w:r w:rsidRPr="00F97D65">
        <w:t xml:space="preserve">. </w:t>
      </w:r>
    </w:p>
    <w:p w14:paraId="28EA30CE" w14:textId="55AB29E1" w:rsidR="001A5943" w:rsidRDefault="00712557" w:rsidP="001A5943">
      <w:pPr>
        <w:pStyle w:val="ExecSumBodyText"/>
        <w:numPr>
          <w:ilvl w:val="1"/>
          <w:numId w:val="1"/>
        </w:numPr>
      </w:pPr>
      <w:r w:rsidRPr="001A5943">
        <w:t xml:space="preserve">The submission requested a grandfather clause be incorporated in the listing to allow approximately </w:t>
      </w:r>
      <w:r w:rsidR="00507D16">
        <w:t>&lt; 500</w:t>
      </w:r>
      <w:r w:rsidR="00507D16" w:rsidRPr="001A5943">
        <w:t xml:space="preserve"> </w:t>
      </w:r>
      <w:r w:rsidRPr="001A5943">
        <w:t xml:space="preserve">patients from a planned upadacitinib Product Familiarisation Program (PFP) and </w:t>
      </w:r>
      <w:r w:rsidR="00507D16">
        <w:t>&lt; 500</w:t>
      </w:r>
      <w:r w:rsidR="00507D16" w:rsidRPr="001A5943">
        <w:t xml:space="preserve"> </w:t>
      </w:r>
      <w:r w:rsidRPr="001A5943">
        <w:t xml:space="preserve">patients enrolled in the upadacitinib open-label extension trial to transition to PBS-subsidised upadacitinib. </w:t>
      </w:r>
      <w:bookmarkStart w:id="16" w:name="_Hlk76375324"/>
    </w:p>
    <w:p w14:paraId="3827A45E" w14:textId="407F0BA3" w:rsidR="00E50289" w:rsidRPr="00D42558" w:rsidRDefault="00E50289" w:rsidP="00D42558">
      <w:pPr>
        <w:ind w:firstLine="709"/>
        <w:rPr>
          <w:rFonts w:asciiTheme="minorHAnsi" w:hAnsiTheme="minorHAnsi"/>
          <w:i/>
        </w:rPr>
      </w:pPr>
      <w:r w:rsidRPr="00C33D30">
        <w:rPr>
          <w:rFonts w:asciiTheme="minorHAnsi" w:hAnsiTheme="minorHAnsi"/>
          <w:i/>
        </w:rPr>
        <w:t>For more detail on PBAC’s view, see section 7 PBAC outcome.</w:t>
      </w:r>
      <w:bookmarkEnd w:id="16"/>
    </w:p>
    <w:p w14:paraId="30C0A2D8" w14:textId="77777777" w:rsidR="0059604F" w:rsidRPr="00407F2D" w:rsidDel="00195452" w:rsidRDefault="0059604F" w:rsidP="004E18E9">
      <w:pPr>
        <w:pStyle w:val="2-SectionHeading"/>
      </w:pPr>
      <w:bookmarkStart w:id="17" w:name="_Toc107927623"/>
      <w:bookmarkStart w:id="18" w:name="_Toc124863498"/>
      <w:r w:rsidDel="00195452">
        <w:t>Population and disease</w:t>
      </w:r>
      <w:bookmarkEnd w:id="17"/>
      <w:bookmarkEnd w:id="18"/>
    </w:p>
    <w:p w14:paraId="6934100F" w14:textId="77777777" w:rsidR="0059604F" w:rsidRDefault="0059604F" w:rsidP="004E18E9">
      <w:pPr>
        <w:pStyle w:val="3-BodyText"/>
      </w:pPr>
      <w:r w:rsidRPr="008E186B">
        <w:t>CD and ulcerative colitis are two conditions commonly referred to as inflammatory bowel disease. They are immunologically mediated inflammatory diseases that can affect any portion of the gastrointestinal tract from the mouth to the perianal area. CD runs a relapsing and remitting course. It is a progressive disorder with no cure, and despite optimal therapy, most patients have a poor quality of life.</w:t>
      </w:r>
      <w:r>
        <w:t xml:space="preserve"> </w:t>
      </w:r>
      <w:r w:rsidRPr="008E186B">
        <w:t>CD can cause debilitating pain, rectal bleeding, diarrhoea, fatigue, and weight loss due to malnutrition</w:t>
      </w:r>
      <w:r>
        <w:t xml:space="preserve">. </w:t>
      </w:r>
      <w:r w:rsidRPr="008E186B">
        <w:t>Some patients who develop complications require surgery, such as surgical resection</w:t>
      </w:r>
      <w:r>
        <w:t>.</w:t>
      </w:r>
    </w:p>
    <w:p w14:paraId="0D58F641" w14:textId="2272832B" w:rsidR="0059604F" w:rsidRDefault="0059604F" w:rsidP="00097C1E">
      <w:pPr>
        <w:pStyle w:val="3-BodyText"/>
      </w:pPr>
      <w:r>
        <w:t xml:space="preserve">The submission positioned upadacitinib as an additional treatment option </w:t>
      </w:r>
      <w:r w:rsidRPr="00401A49">
        <w:t>to other biologics for patients with severe CD on the PBS</w:t>
      </w:r>
      <w:r>
        <w:t xml:space="preserve">. These biologics (adalimumab, infliximab, vedolizumab and ustekinumab) were recently considered </w:t>
      </w:r>
      <w:r w:rsidR="002F2C0A">
        <w:t xml:space="preserve">as </w:t>
      </w:r>
      <w:r w:rsidR="002511EE" w:rsidRPr="00AE4296">
        <w:t>alternative therapies (ustekinumab was the nominated main comparator)</w:t>
      </w:r>
      <w:r w:rsidR="002F2C0A" w:rsidRPr="00AE4296">
        <w:t xml:space="preserve"> </w:t>
      </w:r>
      <w:r>
        <w:t xml:space="preserve">by the PBAC for </w:t>
      </w:r>
      <w:r w:rsidRPr="00401A49">
        <w:lastRenderedPageBreak/>
        <w:t>risankizumab (</w:t>
      </w:r>
      <w:r>
        <w:t>P</w:t>
      </w:r>
      <w:r w:rsidRPr="00401A49">
        <w:t xml:space="preserve">aragraph </w:t>
      </w:r>
      <w:r w:rsidR="002511EE">
        <w:t>7</w:t>
      </w:r>
      <w:r w:rsidRPr="00401A49">
        <w:t>.3, Risankizumab</w:t>
      </w:r>
      <w:r w:rsidR="008C67AA">
        <w:t>,</w:t>
      </w:r>
      <w:r w:rsidRPr="00401A49">
        <w:t xml:space="preserve"> </w:t>
      </w:r>
      <w:r>
        <w:t>Public Summary Document</w:t>
      </w:r>
      <w:r w:rsidR="00507D16">
        <w:t xml:space="preserve"> (PSD)</w:t>
      </w:r>
      <w:r w:rsidRPr="00401A49">
        <w:t xml:space="preserve">, </w:t>
      </w:r>
      <w:r w:rsidR="00507D16" w:rsidRPr="00401A49">
        <w:t>July</w:t>
      </w:r>
      <w:r w:rsidR="00507D16">
        <w:t> </w:t>
      </w:r>
      <w:r w:rsidRPr="00401A49">
        <w:t>2022 PBAC meeting)</w:t>
      </w:r>
      <w:r>
        <w:t>.</w:t>
      </w:r>
      <w:r w:rsidR="000C52FF">
        <w:t xml:space="preserve"> </w:t>
      </w:r>
    </w:p>
    <w:p w14:paraId="28EBD72F" w14:textId="2FA9F085" w:rsidR="0059604F" w:rsidRDefault="0059604F" w:rsidP="004E18E9">
      <w:pPr>
        <w:pStyle w:val="3-BodyText"/>
      </w:pPr>
      <w:r w:rsidRPr="005F25CC">
        <w:t>Upadacitinib is an orally administered, small</w:t>
      </w:r>
      <w:r w:rsidR="000D7B73">
        <w:t>-</w:t>
      </w:r>
      <w:r w:rsidRPr="005F25CC">
        <w:t xml:space="preserve">molecule inhibitor of a class of JAK enzymes (JAK1, JAK2, </w:t>
      </w:r>
      <w:r>
        <w:t xml:space="preserve">and </w:t>
      </w:r>
      <w:r w:rsidRPr="005F25CC">
        <w:t xml:space="preserve">JAK3), which are involved in the process of immune-mediated inflammatory diseases. </w:t>
      </w:r>
    </w:p>
    <w:p w14:paraId="7475B55E" w14:textId="58D3BBAF" w:rsidR="00E50289" w:rsidRPr="00D42558" w:rsidRDefault="00E50289" w:rsidP="00D42558">
      <w:pPr>
        <w:ind w:firstLine="709"/>
        <w:rPr>
          <w:rFonts w:asciiTheme="minorHAnsi" w:hAnsiTheme="minorHAnsi"/>
          <w:i/>
        </w:rPr>
      </w:pPr>
      <w:r w:rsidRPr="00C33D30">
        <w:rPr>
          <w:rFonts w:asciiTheme="minorHAnsi" w:hAnsiTheme="minorHAnsi"/>
          <w:i/>
        </w:rPr>
        <w:t>For more detail on PBAC’s view, see section 7 PBAC outcome.</w:t>
      </w:r>
    </w:p>
    <w:p w14:paraId="7AAAE90F" w14:textId="77777777" w:rsidR="0059604F" w:rsidRPr="00407F2D" w:rsidRDefault="0059604F" w:rsidP="004E18E9">
      <w:pPr>
        <w:pStyle w:val="2-SectionHeading"/>
      </w:pPr>
      <w:bookmarkStart w:id="19" w:name="_Toc107927624"/>
      <w:bookmarkStart w:id="20" w:name="_Toc124863499"/>
      <w:r w:rsidRPr="00407F2D">
        <w:t>Comparator</w:t>
      </w:r>
      <w:bookmarkEnd w:id="19"/>
      <w:bookmarkEnd w:id="20"/>
    </w:p>
    <w:p w14:paraId="09BBCD21" w14:textId="1DE068B6" w:rsidR="0059604F" w:rsidRDefault="0059604F" w:rsidP="00882E3C">
      <w:pPr>
        <w:pStyle w:val="3-BodyText"/>
        <w:rPr>
          <w:snapToGrid/>
          <w:lang w:val="en-US"/>
        </w:rPr>
      </w:pPr>
      <w:bookmarkStart w:id="21" w:name="_Hlk124255495"/>
      <w:r w:rsidRPr="00916CDE">
        <w:rPr>
          <w:snapToGrid/>
          <w:lang w:val="en-US"/>
        </w:rPr>
        <w:t xml:space="preserve">The submission nominated all PBS-listed </w:t>
      </w:r>
      <w:r w:rsidR="005E23EB">
        <w:rPr>
          <w:snapToGrid/>
          <w:lang w:val="en-US"/>
        </w:rPr>
        <w:t xml:space="preserve">bDMARDs </w:t>
      </w:r>
      <w:r w:rsidRPr="00916CDE">
        <w:rPr>
          <w:snapToGrid/>
          <w:lang w:val="en-US"/>
        </w:rPr>
        <w:t>(</w:t>
      </w:r>
      <w:r>
        <w:rPr>
          <w:snapToGrid/>
          <w:lang w:val="en-US"/>
        </w:rPr>
        <w:t>a</w:t>
      </w:r>
      <w:r w:rsidRPr="00916CDE">
        <w:rPr>
          <w:snapToGrid/>
          <w:lang w:val="en-US"/>
        </w:rPr>
        <w:t>dalimumab, infliximab, vedolizumab and ustekinumab) and recently</w:t>
      </w:r>
      <w:r w:rsidR="00364600">
        <w:rPr>
          <w:snapToGrid/>
          <w:lang w:val="en-US"/>
        </w:rPr>
        <w:t xml:space="preserve"> recommended</w:t>
      </w:r>
      <w:r w:rsidRPr="00916CDE">
        <w:rPr>
          <w:snapToGrid/>
          <w:lang w:val="en-US"/>
        </w:rPr>
        <w:t xml:space="preserve"> </w:t>
      </w:r>
      <w:r w:rsidR="00550AD9">
        <w:rPr>
          <w:snapToGrid/>
          <w:lang w:val="en-US"/>
        </w:rPr>
        <w:t>r</w:t>
      </w:r>
      <w:r w:rsidRPr="00916CDE">
        <w:rPr>
          <w:snapToGrid/>
          <w:lang w:val="en-US"/>
        </w:rPr>
        <w:t>isankizumab</w:t>
      </w:r>
      <w:r w:rsidR="00D70282">
        <w:rPr>
          <w:snapToGrid/>
          <w:lang w:val="en-US"/>
        </w:rPr>
        <w:t xml:space="preserve"> </w:t>
      </w:r>
      <w:r w:rsidR="00364600">
        <w:rPr>
          <w:snapToGrid/>
          <w:lang w:val="en-US"/>
        </w:rPr>
        <w:t>(</w:t>
      </w:r>
      <w:r w:rsidR="00507D16">
        <w:rPr>
          <w:snapToGrid/>
          <w:lang w:val="en-US"/>
        </w:rPr>
        <w:t>November </w:t>
      </w:r>
      <w:r w:rsidRPr="00916CDE">
        <w:rPr>
          <w:snapToGrid/>
          <w:lang w:val="en-US"/>
        </w:rPr>
        <w:t>2022 PBAC meeting</w:t>
      </w:r>
      <w:r w:rsidR="008A0828">
        <w:rPr>
          <w:snapToGrid/>
          <w:lang w:val="en-US"/>
        </w:rPr>
        <w:t xml:space="preserve"> outcomes</w:t>
      </w:r>
      <w:r w:rsidRPr="00916CDE">
        <w:rPr>
          <w:snapToGrid/>
          <w:lang w:val="en-US"/>
        </w:rPr>
        <w:t>) as comparators</w:t>
      </w:r>
      <w:r>
        <w:rPr>
          <w:snapToGrid/>
          <w:lang w:val="en-US"/>
        </w:rPr>
        <w:t xml:space="preserve">. </w:t>
      </w:r>
    </w:p>
    <w:bookmarkEnd w:id="21"/>
    <w:p w14:paraId="04B91507" w14:textId="453C0B45" w:rsidR="0059604F" w:rsidRDefault="0059604F" w:rsidP="00882E3C">
      <w:pPr>
        <w:pStyle w:val="3-BodyText"/>
        <w:rPr>
          <w:snapToGrid/>
          <w:lang w:val="en-US"/>
        </w:rPr>
      </w:pPr>
      <w:r w:rsidRPr="00F34588">
        <w:rPr>
          <w:snapToGrid/>
          <w:lang w:val="en-US"/>
        </w:rPr>
        <w:t xml:space="preserve">Although all biologics were included as relevant comparators in the clinical </w:t>
      </w:r>
      <w:r>
        <w:rPr>
          <w:snapToGrid/>
          <w:lang w:val="en-US"/>
        </w:rPr>
        <w:t xml:space="preserve">and financial </w:t>
      </w:r>
      <w:r w:rsidRPr="00F34588">
        <w:rPr>
          <w:snapToGrid/>
          <w:lang w:val="en-US"/>
        </w:rPr>
        <w:t xml:space="preserve">analyses, the submission only </w:t>
      </w:r>
      <w:r w:rsidR="00364600">
        <w:rPr>
          <w:snapToGrid/>
          <w:lang w:val="en-US"/>
        </w:rPr>
        <w:t>undertook a cost minimisation approach</w:t>
      </w:r>
      <w:r w:rsidR="00550AD9" w:rsidRPr="00F34588">
        <w:rPr>
          <w:snapToGrid/>
          <w:lang w:val="en-US"/>
        </w:rPr>
        <w:t xml:space="preserve"> </w:t>
      </w:r>
      <w:r w:rsidRPr="00F34588">
        <w:rPr>
          <w:snapToGrid/>
          <w:lang w:val="en-US"/>
        </w:rPr>
        <w:t xml:space="preserve">versus adalimumab. The submission claimed that </w:t>
      </w:r>
      <w:r>
        <w:rPr>
          <w:snapToGrid/>
          <w:lang w:val="en-US"/>
        </w:rPr>
        <w:t>a</w:t>
      </w:r>
      <w:r w:rsidRPr="00F34588">
        <w:rPr>
          <w:snapToGrid/>
          <w:lang w:val="en-US"/>
        </w:rPr>
        <w:t>dalimumab was selected as the appropriate comparator due to the high market share</w:t>
      </w:r>
      <w:r>
        <w:rPr>
          <w:snapToGrid/>
          <w:lang w:val="en-US"/>
        </w:rPr>
        <w:t>,</w:t>
      </w:r>
      <w:r w:rsidRPr="00F34588">
        <w:rPr>
          <w:snapToGrid/>
          <w:lang w:val="en-US"/>
        </w:rPr>
        <w:t xml:space="preserve"> and </w:t>
      </w:r>
      <w:r>
        <w:rPr>
          <w:snapToGrid/>
          <w:lang w:val="en-US"/>
        </w:rPr>
        <w:t>like adalimumab, upadacitinib is expected to be used exclusively in the community setting.</w:t>
      </w:r>
    </w:p>
    <w:p w14:paraId="4B685D32" w14:textId="4775F340" w:rsidR="0059604F" w:rsidRPr="00E50289" w:rsidRDefault="0059604F" w:rsidP="00097C1E">
      <w:pPr>
        <w:pStyle w:val="3-BodyText"/>
        <w:rPr>
          <w:iCs/>
          <w:snapToGrid/>
          <w:color w:val="0066FF"/>
          <w:lang w:val="en-US"/>
        </w:rPr>
      </w:pPr>
      <w:r w:rsidRPr="0071042B">
        <w:rPr>
          <w:iCs/>
          <w:lang w:val="en-US"/>
        </w:rPr>
        <w:t xml:space="preserve">In the context of the cost-minimisation approach taken by the submission, a further consideration for PBAC is that, under Section 101(3B) of the </w:t>
      </w:r>
      <w:r w:rsidRPr="00507D16">
        <w:rPr>
          <w:i/>
          <w:lang w:val="en-US"/>
        </w:rPr>
        <w:t>National Health Act 1953</w:t>
      </w:r>
      <w:r w:rsidRPr="0071042B">
        <w:rPr>
          <w:iCs/>
          <w:lang w:val="en-US"/>
        </w:rPr>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bookmarkStart w:id="22" w:name="_Ref107305381"/>
      <w:r w:rsidRPr="0071042B">
        <w:rPr>
          <w:iCs/>
          <w:snapToGrid/>
          <w:lang w:val="en-US"/>
        </w:rPr>
        <w:t xml:space="preserve"> </w:t>
      </w:r>
      <w:bookmarkEnd w:id="22"/>
      <w:r w:rsidR="00A6564A" w:rsidRPr="0071042B">
        <w:rPr>
          <w:iCs/>
          <w:snapToGrid/>
          <w:lang w:val="en-US"/>
        </w:rPr>
        <w:t>The alternative therapies include adalimumab, infliximab, vedolizumab, ustekinumab and risankizumab.</w:t>
      </w:r>
      <w:r w:rsidR="00E50289">
        <w:rPr>
          <w:iCs/>
          <w:snapToGrid/>
          <w:lang w:val="en-US"/>
        </w:rPr>
        <w:t xml:space="preserve"> </w:t>
      </w:r>
    </w:p>
    <w:p w14:paraId="1A266A5F" w14:textId="4DD41E5C" w:rsidR="00E50289" w:rsidRPr="00D42558" w:rsidRDefault="00E50289" w:rsidP="00D42558">
      <w:pPr>
        <w:ind w:firstLine="709"/>
        <w:rPr>
          <w:rFonts w:asciiTheme="minorHAnsi" w:hAnsiTheme="minorHAnsi"/>
          <w:i/>
        </w:rPr>
      </w:pPr>
      <w:r w:rsidRPr="00C33D30">
        <w:rPr>
          <w:rFonts w:asciiTheme="minorHAnsi" w:hAnsiTheme="minorHAnsi"/>
          <w:i/>
        </w:rPr>
        <w:t>For more detail on PBAC’s view, see section 7 PBAC outcome.</w:t>
      </w:r>
    </w:p>
    <w:p w14:paraId="3ADD6A9E" w14:textId="77777777" w:rsidR="0059604F" w:rsidRPr="00407F2D" w:rsidRDefault="0059604F" w:rsidP="00223D5A">
      <w:pPr>
        <w:pStyle w:val="2-SectionHeading"/>
      </w:pPr>
      <w:bookmarkStart w:id="23" w:name="_Toc124863500"/>
      <w:bookmarkStart w:id="24" w:name="_Toc22897640"/>
      <w:bookmarkStart w:id="25" w:name="_Toc22898852"/>
      <w:r>
        <w:t>C</w:t>
      </w:r>
      <w:r w:rsidRPr="00407F2D">
        <w:t>onsideration of the evidence</w:t>
      </w:r>
      <w:bookmarkEnd w:id="23"/>
    </w:p>
    <w:p w14:paraId="0EB05F09" w14:textId="77777777" w:rsidR="00E50289" w:rsidRPr="008D51B5" w:rsidRDefault="00E50289" w:rsidP="005B09D1">
      <w:pPr>
        <w:pStyle w:val="4-SubsectionHeading"/>
      </w:pPr>
      <w:bookmarkStart w:id="26" w:name="_Hlk76375935"/>
      <w:bookmarkStart w:id="27" w:name="_Toc124863501"/>
      <w:r w:rsidRPr="008D51B5">
        <w:t>Sponsor hearing</w:t>
      </w:r>
    </w:p>
    <w:p w14:paraId="7F789C83" w14:textId="46CC3DDD" w:rsidR="00E50289" w:rsidRPr="00CE6463" w:rsidRDefault="00E50289" w:rsidP="00CE6463">
      <w:pPr>
        <w:widowControl w:val="0"/>
        <w:numPr>
          <w:ilvl w:val="1"/>
          <w:numId w:val="1"/>
        </w:numPr>
        <w:rPr>
          <w:rFonts w:cs="Calibri"/>
          <w:bCs/>
          <w:snapToGrid w:val="0"/>
        </w:rPr>
      </w:pPr>
      <w:bookmarkStart w:id="28" w:name="_Hlk76382586"/>
      <w:r w:rsidRPr="008D51B5">
        <w:rPr>
          <w:snapToGrid w:val="0"/>
        </w:rPr>
        <w:t xml:space="preserve">The sponsor requested </w:t>
      </w:r>
      <w:r w:rsidR="00DE0631">
        <w:rPr>
          <w:snapToGrid w:val="0"/>
        </w:rPr>
        <w:t xml:space="preserve">a </w:t>
      </w:r>
      <w:r w:rsidR="008D51B5" w:rsidRPr="008D51B5">
        <w:rPr>
          <w:snapToGrid w:val="0"/>
        </w:rPr>
        <w:t>hearing</w:t>
      </w:r>
      <w:r w:rsidRPr="008D51B5">
        <w:rPr>
          <w:snapToGrid w:val="0"/>
        </w:rPr>
        <w:t xml:space="preserve"> for this item.</w:t>
      </w:r>
      <w:r w:rsidR="000C52FF">
        <w:rPr>
          <w:snapToGrid w:val="0"/>
        </w:rPr>
        <w:t xml:space="preserve"> </w:t>
      </w:r>
      <w:r w:rsidRPr="008D51B5">
        <w:rPr>
          <w:snapToGrid w:val="0"/>
        </w:rPr>
        <w:t xml:space="preserve">The clinician </w:t>
      </w:r>
      <w:r w:rsidR="008D51B5" w:rsidRPr="008D51B5">
        <w:rPr>
          <w:snapToGrid w:val="0"/>
        </w:rPr>
        <w:t>noted the increasing incidence/prevalence of IBD conditions in Australia, expected to reach 1% in the next decade</w:t>
      </w:r>
      <w:r w:rsidR="00CE6463">
        <w:rPr>
          <w:snapToGrid w:val="0"/>
        </w:rPr>
        <w:t xml:space="preserve"> and described the</w:t>
      </w:r>
      <w:r w:rsidR="008D51B5" w:rsidRPr="008D51B5">
        <w:rPr>
          <w:bCs/>
        </w:rPr>
        <w:t xml:space="preserve"> high rates of failure </w:t>
      </w:r>
      <w:r w:rsidR="00DE0631">
        <w:rPr>
          <w:bCs/>
        </w:rPr>
        <w:t xml:space="preserve">of </w:t>
      </w:r>
      <w:r w:rsidR="008D51B5" w:rsidRPr="008D51B5">
        <w:rPr>
          <w:bCs/>
        </w:rPr>
        <w:t>conventional therapies and</w:t>
      </w:r>
      <w:r w:rsidR="00CE6463">
        <w:rPr>
          <w:bCs/>
        </w:rPr>
        <w:t xml:space="preserve"> current</w:t>
      </w:r>
      <w:r w:rsidR="008D51B5" w:rsidRPr="008D51B5">
        <w:rPr>
          <w:bCs/>
        </w:rPr>
        <w:t xml:space="preserve"> biologics (as high as 30-50%), with particularly high rates of discontinuation of TNF inhibitors. The clinician noted that upadacitinib is a highly effective oral agent which offers advantages of being a small molecule which works on multiple cytokine pathways and has no risk of immunogenicity associated with biologics. </w:t>
      </w:r>
      <w:bookmarkEnd w:id="28"/>
    </w:p>
    <w:p w14:paraId="51194CE4" w14:textId="193C4739" w:rsidR="00E50289" w:rsidRPr="008D51B5" w:rsidRDefault="00E50289" w:rsidP="005B09D1">
      <w:pPr>
        <w:pStyle w:val="4-SubsectionHeading"/>
      </w:pPr>
      <w:r w:rsidRPr="008D51B5">
        <w:t>Consumer comments</w:t>
      </w:r>
    </w:p>
    <w:p w14:paraId="52A7B80B" w14:textId="51050F1C" w:rsidR="00E50289" w:rsidRPr="008D51B5" w:rsidRDefault="008D51B5" w:rsidP="00E50289">
      <w:pPr>
        <w:widowControl w:val="0"/>
        <w:numPr>
          <w:ilvl w:val="1"/>
          <w:numId w:val="1"/>
        </w:numPr>
        <w:spacing w:after="120"/>
        <w:rPr>
          <w:rFonts w:asciiTheme="minorHAnsi" w:hAnsiTheme="minorHAnsi"/>
          <w:bCs/>
          <w:snapToGrid w:val="0"/>
        </w:rPr>
      </w:pPr>
      <w:bookmarkStart w:id="29" w:name="_Hlk76382618"/>
      <w:r w:rsidRPr="008D51B5">
        <w:rPr>
          <w:rFonts w:asciiTheme="minorHAnsi" w:hAnsiTheme="minorHAnsi"/>
          <w:bCs/>
          <w:iCs/>
          <w:snapToGrid w:val="0"/>
        </w:rPr>
        <w:t>The PBAC noted and welcomed the input from organisations (1) via the Consumer Comments facility on the PBS website. The</w:t>
      </w:r>
      <w:r>
        <w:rPr>
          <w:rFonts w:asciiTheme="minorHAnsi" w:hAnsiTheme="minorHAnsi"/>
          <w:bCs/>
          <w:iCs/>
          <w:snapToGrid w:val="0"/>
        </w:rPr>
        <w:t xml:space="preserve"> PBAC noted the advice received from </w:t>
      </w:r>
      <w:r>
        <w:rPr>
          <w:rFonts w:asciiTheme="minorHAnsi" w:hAnsiTheme="minorHAnsi"/>
          <w:bCs/>
          <w:iCs/>
          <w:snapToGrid w:val="0"/>
        </w:rPr>
        <w:lastRenderedPageBreak/>
        <w:t xml:space="preserve">Crohn’s and </w:t>
      </w:r>
      <w:r w:rsidR="00840008">
        <w:rPr>
          <w:rFonts w:asciiTheme="minorHAnsi" w:hAnsiTheme="minorHAnsi"/>
          <w:bCs/>
          <w:iCs/>
          <w:snapToGrid w:val="0"/>
        </w:rPr>
        <w:t>C</w:t>
      </w:r>
      <w:r>
        <w:rPr>
          <w:rFonts w:asciiTheme="minorHAnsi" w:hAnsiTheme="minorHAnsi"/>
          <w:bCs/>
          <w:iCs/>
          <w:snapToGrid w:val="0"/>
        </w:rPr>
        <w:t>olitis Australia</w:t>
      </w:r>
      <w:r w:rsidR="00840008">
        <w:rPr>
          <w:rFonts w:asciiTheme="minorHAnsi" w:hAnsiTheme="minorHAnsi"/>
          <w:bCs/>
          <w:iCs/>
          <w:snapToGrid w:val="0"/>
        </w:rPr>
        <w:t>, which h</w:t>
      </w:r>
      <w:r w:rsidR="00840008" w:rsidRPr="00840008">
        <w:rPr>
          <w:rFonts w:asciiTheme="minorHAnsi" w:hAnsiTheme="minorHAnsi"/>
          <w:bCs/>
          <w:iCs/>
          <w:snapToGrid w:val="0"/>
        </w:rPr>
        <w:t>ighlighted the value of a first oral therapy for the treatment of sever</w:t>
      </w:r>
      <w:r w:rsidR="00DE0631">
        <w:rPr>
          <w:rFonts w:asciiTheme="minorHAnsi" w:hAnsiTheme="minorHAnsi"/>
          <w:bCs/>
          <w:iCs/>
          <w:snapToGrid w:val="0"/>
        </w:rPr>
        <w:t>e</w:t>
      </w:r>
      <w:r w:rsidR="00840008" w:rsidRPr="00840008">
        <w:rPr>
          <w:rFonts w:asciiTheme="minorHAnsi" w:hAnsiTheme="minorHAnsi"/>
          <w:bCs/>
          <w:iCs/>
          <w:snapToGrid w:val="0"/>
        </w:rPr>
        <w:t xml:space="preserve"> Crohn’s disease and additional choice for patients</w:t>
      </w:r>
      <w:r w:rsidR="00840008">
        <w:rPr>
          <w:rFonts w:asciiTheme="minorHAnsi" w:hAnsiTheme="minorHAnsi"/>
          <w:bCs/>
          <w:iCs/>
          <w:snapToGrid w:val="0"/>
        </w:rPr>
        <w:t>.</w:t>
      </w:r>
    </w:p>
    <w:bookmarkEnd w:id="26"/>
    <w:bookmarkEnd w:id="29"/>
    <w:p w14:paraId="5B5014ED" w14:textId="77777777" w:rsidR="0059604F" w:rsidRPr="00C9624D" w:rsidRDefault="0059604F" w:rsidP="002E4F02">
      <w:pPr>
        <w:pStyle w:val="4-SubsectionHeading"/>
      </w:pPr>
      <w:r w:rsidRPr="00C9624D">
        <w:t>Clinical trials</w:t>
      </w:r>
      <w:bookmarkEnd w:id="24"/>
      <w:bookmarkEnd w:id="25"/>
      <w:bookmarkEnd w:id="27"/>
    </w:p>
    <w:p w14:paraId="2A3FA6A9" w14:textId="77777777" w:rsidR="0059604F" w:rsidRPr="001F774B" w:rsidRDefault="0059604F" w:rsidP="002E4F02">
      <w:pPr>
        <w:pStyle w:val="3-BodyText"/>
        <w:rPr>
          <w:color w:val="000000" w:themeColor="text1"/>
        </w:rPr>
      </w:pPr>
      <w:r w:rsidRPr="001F774B">
        <w:rPr>
          <w:snapToGrid/>
          <w:color w:val="000000" w:themeColor="text1"/>
          <w:lang w:val="en-US"/>
        </w:rPr>
        <w:t xml:space="preserve">There were no head-to-head trials comparing upadacitinib with adalimumab, risankizumab, infliximab, vedolizumab and ustekinumab </w:t>
      </w:r>
      <w:r w:rsidRPr="001F774B">
        <w:rPr>
          <w:color w:val="000000" w:themeColor="text1"/>
        </w:rPr>
        <w:t xml:space="preserve">for severe CD. The submission was based on indirect comparisons of three upadacitinib trials and 18 comparator trials. </w:t>
      </w:r>
    </w:p>
    <w:p w14:paraId="66E95DB6" w14:textId="77777777" w:rsidR="0059604F" w:rsidRPr="001F774B" w:rsidRDefault="0059604F" w:rsidP="002C28DC">
      <w:pPr>
        <w:pStyle w:val="3-BodyText"/>
        <w:rPr>
          <w:color w:val="000000" w:themeColor="text1"/>
        </w:rPr>
      </w:pPr>
      <w:r w:rsidRPr="001F774B">
        <w:t>The three upadacitinib randomised controlled trials (RCTs) included two phase 3 induction trials and one phase 3 maintenance trial. These are:</w:t>
      </w:r>
    </w:p>
    <w:p w14:paraId="21BCF16D" w14:textId="7C2C31FA" w:rsidR="0059604F" w:rsidRPr="001F774B" w:rsidRDefault="0059604F" w:rsidP="00766063">
      <w:pPr>
        <w:pStyle w:val="ListParagraph"/>
      </w:pPr>
      <w:r w:rsidRPr="001F774B">
        <w:t xml:space="preserve">U-EXCEED (induction trial): comparing upadacitinib 45 mg daily dose (QD) with placebo (N=495). Patients were randomised 2:1 to (double-blind) upadacitinib </w:t>
      </w:r>
      <w:r w:rsidR="00766063" w:rsidRPr="001F774B">
        <w:t>45</w:t>
      </w:r>
      <w:r w:rsidR="00766063">
        <w:t> </w:t>
      </w:r>
      <w:r w:rsidRPr="001F774B">
        <w:t>mg QD (N=324) or matching placebo (N=171) for a 12-week induction period.</w:t>
      </w:r>
    </w:p>
    <w:p w14:paraId="6886A20F" w14:textId="77777777" w:rsidR="0059604F" w:rsidRPr="001F774B" w:rsidRDefault="0059604F" w:rsidP="002C28DC">
      <w:pPr>
        <w:pStyle w:val="ListParagraph"/>
      </w:pPr>
      <w:r w:rsidRPr="001F774B">
        <w:t>U-EXCEL (induction trial): comparing upadacitinib 45 mg QD with placebo (N=526). Patients were randomised 2:1 to (double-blind) upadacitinib 45 mg QD (N=350) or matching placebo (N=176) for a 12-week induction period.</w:t>
      </w:r>
    </w:p>
    <w:p w14:paraId="100413E3" w14:textId="26F5370D" w:rsidR="0059604F" w:rsidRPr="001F774B" w:rsidRDefault="0059604F" w:rsidP="002C28DC">
      <w:pPr>
        <w:pStyle w:val="ListParagraph"/>
      </w:pPr>
      <w:r w:rsidRPr="001F774B">
        <w:t>U-ENDURE (maintenance trial): a total of 502 patients were included in Cohort</w:t>
      </w:r>
      <w:r w:rsidR="00766063">
        <w:t> </w:t>
      </w:r>
      <w:r w:rsidRPr="001F774B">
        <w:t xml:space="preserve">1 and randomised to receive either upadacitinib 15 mg QD (N=169), upadacitinib </w:t>
      </w:r>
      <w:r w:rsidR="00766063" w:rsidRPr="001F774B">
        <w:t>30</w:t>
      </w:r>
      <w:r w:rsidR="00766063">
        <w:t> </w:t>
      </w:r>
      <w:r w:rsidRPr="001F774B">
        <w:t>mg QD (N=168) or a matching placebo (N=165).</w:t>
      </w:r>
    </w:p>
    <w:p w14:paraId="077B974D" w14:textId="571E4292" w:rsidR="0059604F" w:rsidRPr="001F774B" w:rsidRDefault="0059604F" w:rsidP="00097C1E">
      <w:pPr>
        <w:pStyle w:val="3-BodyText"/>
        <w:rPr>
          <w:rFonts w:ascii="Arial Narrow" w:hAnsi="Arial Narrow"/>
          <w:sz w:val="20"/>
        </w:rPr>
      </w:pPr>
      <w:r w:rsidRPr="001F774B">
        <w:rPr>
          <w:snapToGrid/>
          <w:lang w:val="en-US"/>
        </w:rPr>
        <w:t>The submission presented a series of indirect comparisons using data from 18 randomised placebo-controlled comparator trials. Further details of the comparator trials are presented in</w:t>
      </w:r>
      <w:r w:rsidR="00D05346" w:rsidRPr="001F774B">
        <w:rPr>
          <w:snapToGrid/>
          <w:lang w:val="en-US"/>
        </w:rPr>
        <w:t xml:space="preserve"> </w:t>
      </w:r>
      <w:r w:rsidR="00E318D0">
        <w:rPr>
          <w:snapToGrid/>
          <w:lang w:val="en-US"/>
        </w:rPr>
        <w:fldChar w:fldCharType="begin" w:fldLock="1"/>
      </w:r>
      <w:r w:rsidR="00E318D0">
        <w:rPr>
          <w:snapToGrid/>
          <w:lang w:val="en-US"/>
        </w:rPr>
        <w:instrText xml:space="preserve"> REF _Ref121578411 \h </w:instrText>
      </w:r>
      <w:r w:rsidR="00E318D0">
        <w:rPr>
          <w:snapToGrid/>
          <w:lang w:val="en-US"/>
        </w:rPr>
      </w:r>
      <w:r w:rsidR="00E318D0">
        <w:rPr>
          <w:snapToGrid/>
          <w:lang w:val="en-US"/>
        </w:rPr>
        <w:fldChar w:fldCharType="separate"/>
      </w:r>
      <w:r w:rsidR="0033335A">
        <w:t xml:space="preserve">Table </w:t>
      </w:r>
      <w:r w:rsidR="0033335A">
        <w:rPr>
          <w:noProof/>
        </w:rPr>
        <w:t>2</w:t>
      </w:r>
      <w:r w:rsidR="00E318D0">
        <w:rPr>
          <w:snapToGrid/>
          <w:lang w:val="en-US"/>
        </w:rPr>
        <w:fldChar w:fldCharType="end"/>
      </w:r>
      <w:r w:rsidR="00D05346" w:rsidRPr="001F774B">
        <w:rPr>
          <w:snapToGrid/>
          <w:lang w:val="en-US"/>
        </w:rPr>
        <w:t xml:space="preserve"> below</w:t>
      </w:r>
      <w:r w:rsidRPr="001F774B">
        <w:rPr>
          <w:snapToGrid/>
          <w:lang w:val="en-US"/>
        </w:rPr>
        <w:t xml:space="preserve">. </w:t>
      </w:r>
    </w:p>
    <w:p w14:paraId="2B68226A" w14:textId="2E198484" w:rsidR="0059604F" w:rsidRPr="001F774B" w:rsidRDefault="0059604F" w:rsidP="007C0906">
      <w:pPr>
        <w:pStyle w:val="ListParagraph"/>
      </w:pPr>
      <w:r w:rsidRPr="001F774B">
        <w:t>Five RCTs of adalimumab versus placebo – CLASSIC I (N=299), CLASSIC II (N=55), GAIN (N=325), CHARM (N=778) and Watanabe 2012 (N=90 (induction); N=50 (maintenance)).</w:t>
      </w:r>
    </w:p>
    <w:p w14:paraId="54FD143F" w14:textId="31EF9772" w:rsidR="0059604F" w:rsidRPr="001F774B" w:rsidRDefault="0059604F" w:rsidP="007C0906">
      <w:pPr>
        <w:pStyle w:val="ListParagraph"/>
      </w:pPr>
      <w:r w:rsidRPr="001F774B">
        <w:t>Four RCTs of risankizumab versus placebo –</w:t>
      </w:r>
      <w:r w:rsidR="000D7B73" w:rsidRPr="001F774B">
        <w:t xml:space="preserve"> </w:t>
      </w:r>
      <w:r w:rsidRPr="001F774B">
        <w:t>M15-993 (N=121), ADVANCE (N=931), MOTIVATE (N=618) and FORTIFY (N=54</w:t>
      </w:r>
      <w:r w:rsidR="00216559">
        <w:t>2</w:t>
      </w:r>
      <w:r w:rsidRPr="001F774B">
        <w:t>).</w:t>
      </w:r>
    </w:p>
    <w:p w14:paraId="0BFEA9A1" w14:textId="23FD927F" w:rsidR="0059604F" w:rsidRPr="001F774B" w:rsidRDefault="0059604F" w:rsidP="007C0906">
      <w:pPr>
        <w:pStyle w:val="ListParagraph"/>
      </w:pPr>
      <w:r w:rsidRPr="001F774B">
        <w:t>Two RCTs of infliximab versus placebo – T16 (N=108) and ACCENT I (N=573).</w:t>
      </w:r>
    </w:p>
    <w:p w14:paraId="43BE38D0" w14:textId="4D8F7BB1" w:rsidR="0059604F" w:rsidRPr="001F774B" w:rsidRDefault="0059604F" w:rsidP="007C0906">
      <w:pPr>
        <w:pStyle w:val="ListParagraph"/>
      </w:pPr>
      <w:r w:rsidRPr="001F774B">
        <w:t>Four RCTs of vedolizumab versus placebo – Watanabe 2020 (N=157 (induction); N= 24 (maintenance)), VISIBLE 2 (N=410 (vedolizumab SC)), GEMINI II (</w:t>
      </w:r>
      <w:r w:rsidR="00216559">
        <w:t xml:space="preserve">induction phase </w:t>
      </w:r>
      <w:r w:rsidRPr="001F774B">
        <w:t>N= 368</w:t>
      </w:r>
      <w:r w:rsidR="00216559">
        <w:t xml:space="preserve">, maintenance phase </w:t>
      </w:r>
      <w:r w:rsidR="0059286E">
        <w:t xml:space="preserve">N </w:t>
      </w:r>
      <w:r w:rsidR="00216559">
        <w:t>= 461</w:t>
      </w:r>
      <w:r w:rsidRPr="001F774B">
        <w:t>)</w:t>
      </w:r>
      <w:r w:rsidR="00216559">
        <w:t>,</w:t>
      </w:r>
      <w:r w:rsidRPr="001F774B">
        <w:t xml:space="preserve"> and GEMINI III (N=41</w:t>
      </w:r>
      <w:r w:rsidR="00216559">
        <w:t>6</w:t>
      </w:r>
      <w:r w:rsidRPr="001F774B">
        <w:t>).</w:t>
      </w:r>
    </w:p>
    <w:p w14:paraId="73966DA8" w14:textId="77777777" w:rsidR="0059604F" w:rsidRPr="001F774B" w:rsidRDefault="0059604F" w:rsidP="007C0906">
      <w:pPr>
        <w:pStyle w:val="ListParagraph"/>
      </w:pPr>
      <w:r w:rsidRPr="001F774B">
        <w:t xml:space="preserve">Three RCTs of ustekinumab versus placebo – UNITI-I (N=741), UNITI-II (N=628) and IM-UNITI (N=397). </w:t>
      </w:r>
    </w:p>
    <w:p w14:paraId="6896FFDA" w14:textId="761FECB4" w:rsidR="0059604F" w:rsidRDefault="0059604F" w:rsidP="00830F3C">
      <w:pPr>
        <w:pStyle w:val="3-BodyText"/>
      </w:pPr>
      <w:bookmarkStart w:id="30" w:name="_Hlk100743523"/>
      <w:r>
        <w:t xml:space="preserve">Details of the trials presented in the submission are provided in </w:t>
      </w:r>
      <w:r>
        <w:fldChar w:fldCharType="begin" w:fldLock="1"/>
      </w:r>
      <w:r>
        <w:instrText xml:space="preserve"> REF _Ref121578411 \h </w:instrText>
      </w:r>
      <w:r>
        <w:fldChar w:fldCharType="separate"/>
      </w:r>
      <w:r w:rsidR="0033335A">
        <w:t xml:space="preserve">Table </w:t>
      </w:r>
      <w:r w:rsidR="0033335A">
        <w:rPr>
          <w:noProof/>
        </w:rPr>
        <w:t>2</w:t>
      </w:r>
      <w:r>
        <w:fldChar w:fldCharType="end"/>
      </w:r>
      <w:r>
        <w:t xml:space="preserve">. </w:t>
      </w:r>
    </w:p>
    <w:p w14:paraId="41C8BC56" w14:textId="77777777" w:rsidR="002822FE" w:rsidRDefault="002822FE" w:rsidP="002822FE">
      <w:pPr>
        <w:pStyle w:val="3-BodyText"/>
        <w:numPr>
          <w:ilvl w:val="0"/>
          <w:numId w:val="0"/>
        </w:numPr>
        <w:ind w:left="720"/>
      </w:pPr>
    </w:p>
    <w:p w14:paraId="28475D8B" w14:textId="43389104" w:rsidR="0059604F" w:rsidRDefault="0059604F" w:rsidP="00694119">
      <w:pPr>
        <w:pStyle w:val="TableFigureHeading"/>
      </w:pPr>
      <w:bookmarkStart w:id="31" w:name="_Ref121578411"/>
      <w:bookmarkStart w:id="32" w:name="_Ref121735539"/>
      <w:bookmarkStart w:id="33" w:name="_Hlk118893805"/>
      <w:r>
        <w:t xml:space="preserve">Table </w:t>
      </w:r>
      <w:fldSimple w:instr=" SEQ Table \* ARABIC " w:fldLock="1">
        <w:r w:rsidR="0033335A">
          <w:rPr>
            <w:noProof/>
          </w:rPr>
          <w:t>2</w:t>
        </w:r>
      </w:fldSimple>
      <w:bookmarkEnd w:id="31"/>
      <w:r>
        <w:t>:</w:t>
      </w:r>
      <w:r w:rsidRPr="00E0485C">
        <w:rPr>
          <w:rStyle w:val="CommentReference"/>
          <w:b/>
          <w:szCs w:val="24"/>
        </w:rPr>
        <w:t xml:space="preserve"> </w:t>
      </w:r>
      <w:r w:rsidRPr="007B5FA8">
        <w:rPr>
          <w:rStyle w:val="CommentReference"/>
          <w:b/>
          <w:szCs w:val="24"/>
        </w:rPr>
        <w:t xml:space="preserve">Trials and associated reports presented in the </w:t>
      </w:r>
      <w:proofErr w:type="gramStart"/>
      <w:r w:rsidRPr="007B5FA8">
        <w:rPr>
          <w:rStyle w:val="CommentReference"/>
          <w:b/>
          <w:szCs w:val="24"/>
        </w:rPr>
        <w:t>submission</w:t>
      </w:r>
      <w:bookmarkEnd w:id="32"/>
      <w:proofErr w:type="gramEnd"/>
    </w:p>
    <w:tbl>
      <w:tblPr>
        <w:tblStyle w:val="HTAtableplain1"/>
        <w:tblW w:w="5000" w:type="pct"/>
        <w:tblInd w:w="0" w:type="dxa"/>
        <w:tblCellMar>
          <w:left w:w="85" w:type="dxa"/>
          <w:right w:w="85" w:type="dxa"/>
        </w:tblCellMar>
        <w:tblLook w:val="01E0" w:firstRow="1" w:lastRow="1" w:firstColumn="1" w:lastColumn="1" w:noHBand="0" w:noVBand="0"/>
      </w:tblPr>
      <w:tblGrid>
        <w:gridCol w:w="1608"/>
        <w:gridCol w:w="4740"/>
        <w:gridCol w:w="2669"/>
      </w:tblGrid>
      <w:tr w:rsidR="0059604F" w:rsidRPr="00766063" w14:paraId="26FCD142" w14:textId="77777777" w:rsidTr="00766063">
        <w:trPr>
          <w:tblHeader/>
        </w:trPr>
        <w:tc>
          <w:tcPr>
            <w:tcW w:w="916" w:type="pct"/>
          </w:tcPr>
          <w:bookmarkEnd w:id="33"/>
          <w:p w14:paraId="54DC6BDF" w14:textId="77777777" w:rsidR="0059604F" w:rsidRPr="00766063" w:rsidRDefault="0059604F" w:rsidP="00766063">
            <w:pPr>
              <w:pStyle w:val="In-tableHeading"/>
              <w:jc w:val="center"/>
              <w:rPr>
                <w:szCs w:val="20"/>
              </w:rPr>
            </w:pPr>
            <w:r w:rsidRPr="00766063">
              <w:rPr>
                <w:szCs w:val="20"/>
              </w:rPr>
              <w:t>Trial ID</w:t>
            </w:r>
          </w:p>
        </w:tc>
        <w:tc>
          <w:tcPr>
            <w:tcW w:w="2653" w:type="pct"/>
          </w:tcPr>
          <w:p w14:paraId="272323B4" w14:textId="77777777" w:rsidR="0059604F" w:rsidRPr="00766063" w:rsidRDefault="0059604F" w:rsidP="00766063">
            <w:pPr>
              <w:pStyle w:val="In-tableHeading"/>
              <w:jc w:val="center"/>
              <w:rPr>
                <w:szCs w:val="20"/>
              </w:rPr>
            </w:pPr>
            <w:r w:rsidRPr="00766063">
              <w:rPr>
                <w:szCs w:val="20"/>
              </w:rPr>
              <w:t>Protocol title/ Publication title</w:t>
            </w:r>
          </w:p>
        </w:tc>
        <w:tc>
          <w:tcPr>
            <w:tcW w:w="1431" w:type="pct"/>
          </w:tcPr>
          <w:p w14:paraId="0A1D7421" w14:textId="77777777" w:rsidR="0059604F" w:rsidRPr="00766063" w:rsidRDefault="0059604F" w:rsidP="00766063">
            <w:pPr>
              <w:pStyle w:val="In-tableHeading"/>
              <w:jc w:val="center"/>
              <w:rPr>
                <w:szCs w:val="20"/>
              </w:rPr>
            </w:pPr>
            <w:r w:rsidRPr="00766063">
              <w:rPr>
                <w:szCs w:val="20"/>
              </w:rPr>
              <w:t>Publication citation</w:t>
            </w:r>
          </w:p>
        </w:tc>
      </w:tr>
      <w:tr w:rsidR="0059604F" w:rsidRPr="00766063" w14:paraId="6D7B283A" w14:textId="77777777" w:rsidTr="00766063">
        <w:tc>
          <w:tcPr>
            <w:tcW w:w="916" w:type="pct"/>
            <w:tcBorders>
              <w:right w:val="nil"/>
            </w:tcBorders>
          </w:tcPr>
          <w:p w14:paraId="4BF49E74" w14:textId="77777777" w:rsidR="0059604F" w:rsidRPr="00766063" w:rsidRDefault="0059604F" w:rsidP="00766063">
            <w:pPr>
              <w:pStyle w:val="TableText0"/>
              <w:rPr>
                <w:b/>
                <w:bCs w:val="0"/>
                <w:szCs w:val="20"/>
              </w:rPr>
            </w:pPr>
            <w:r w:rsidRPr="00766063">
              <w:rPr>
                <w:b/>
                <w:bCs w:val="0"/>
                <w:szCs w:val="20"/>
              </w:rPr>
              <w:t>Upadacitinib</w:t>
            </w:r>
          </w:p>
        </w:tc>
        <w:tc>
          <w:tcPr>
            <w:tcW w:w="2653" w:type="pct"/>
            <w:tcBorders>
              <w:left w:val="nil"/>
              <w:right w:val="nil"/>
            </w:tcBorders>
          </w:tcPr>
          <w:p w14:paraId="026F9AF1" w14:textId="77777777" w:rsidR="0059604F" w:rsidRPr="00766063" w:rsidRDefault="0059604F" w:rsidP="00766063">
            <w:pPr>
              <w:pStyle w:val="TableText0"/>
              <w:rPr>
                <w:szCs w:val="20"/>
              </w:rPr>
            </w:pPr>
          </w:p>
        </w:tc>
        <w:tc>
          <w:tcPr>
            <w:tcW w:w="1431" w:type="pct"/>
            <w:tcBorders>
              <w:left w:val="nil"/>
            </w:tcBorders>
          </w:tcPr>
          <w:p w14:paraId="0E97B804" w14:textId="77777777" w:rsidR="0059604F" w:rsidRPr="00766063" w:rsidRDefault="0059604F" w:rsidP="00766063">
            <w:pPr>
              <w:pStyle w:val="TableText0"/>
              <w:rPr>
                <w:szCs w:val="20"/>
              </w:rPr>
            </w:pPr>
          </w:p>
        </w:tc>
      </w:tr>
      <w:tr w:rsidR="0059604F" w:rsidRPr="00766063" w14:paraId="170203B6" w14:textId="77777777" w:rsidTr="00766063">
        <w:tc>
          <w:tcPr>
            <w:tcW w:w="916" w:type="pct"/>
          </w:tcPr>
          <w:p w14:paraId="28C32172" w14:textId="77777777" w:rsidR="0059604F" w:rsidRPr="00766063" w:rsidRDefault="0059604F" w:rsidP="00766063">
            <w:pPr>
              <w:pStyle w:val="TableText0"/>
              <w:keepNext w:val="0"/>
              <w:rPr>
                <w:szCs w:val="20"/>
              </w:rPr>
            </w:pPr>
            <w:r w:rsidRPr="00766063">
              <w:rPr>
                <w:szCs w:val="20"/>
              </w:rPr>
              <w:t>U-EXCEED (M14-431)</w:t>
            </w:r>
          </w:p>
          <w:p w14:paraId="60E6ED4D" w14:textId="77777777" w:rsidR="0059604F" w:rsidRPr="00766063" w:rsidRDefault="0059604F" w:rsidP="00766063">
            <w:pPr>
              <w:pStyle w:val="TableText0"/>
              <w:keepNext w:val="0"/>
              <w:rPr>
                <w:szCs w:val="20"/>
              </w:rPr>
            </w:pPr>
            <w:r w:rsidRPr="00766063">
              <w:rPr>
                <w:szCs w:val="20"/>
              </w:rPr>
              <w:t>NCT03345836</w:t>
            </w:r>
          </w:p>
        </w:tc>
        <w:tc>
          <w:tcPr>
            <w:tcW w:w="2653" w:type="pct"/>
          </w:tcPr>
          <w:p w14:paraId="162A897A" w14:textId="70B225F5" w:rsidR="0059604F" w:rsidRPr="00766063" w:rsidRDefault="0059604F" w:rsidP="00766063">
            <w:pPr>
              <w:pStyle w:val="TableText0"/>
              <w:keepNext w:val="0"/>
              <w:rPr>
                <w:szCs w:val="20"/>
              </w:rPr>
            </w:pPr>
            <w:r w:rsidRPr="00766063">
              <w:rPr>
                <w:szCs w:val="20"/>
              </w:rPr>
              <w:t>A Multicenter, Randomized, Double-Blind, Placebo-Controlled Induction Study of the Efficacy and Safety of Upadacitinib (ABT-494) in Subjects with Moderately to Severely Active Crohn's Disease Who Have Inadequately Responded to or are Intolerant to Biologic Therapy</w:t>
            </w:r>
            <w:r w:rsidR="00B21C7E" w:rsidRPr="00766063">
              <w:rPr>
                <w:szCs w:val="20"/>
              </w:rPr>
              <w:t>.</w:t>
            </w:r>
          </w:p>
        </w:tc>
        <w:tc>
          <w:tcPr>
            <w:tcW w:w="1431" w:type="pct"/>
          </w:tcPr>
          <w:p w14:paraId="78E8D360" w14:textId="77777777" w:rsidR="0059604F" w:rsidRPr="00766063" w:rsidRDefault="0059604F" w:rsidP="00766063">
            <w:pPr>
              <w:pStyle w:val="TableText0"/>
              <w:keepNext w:val="0"/>
              <w:rPr>
                <w:szCs w:val="20"/>
              </w:rPr>
            </w:pPr>
            <w:r w:rsidRPr="00766063">
              <w:rPr>
                <w:szCs w:val="20"/>
              </w:rPr>
              <w:t>21 March 2022.</w:t>
            </w:r>
          </w:p>
        </w:tc>
      </w:tr>
      <w:tr w:rsidR="0059604F" w:rsidRPr="00766063" w14:paraId="1A8B7137" w14:textId="77777777" w:rsidTr="00766063">
        <w:tc>
          <w:tcPr>
            <w:tcW w:w="916" w:type="pct"/>
          </w:tcPr>
          <w:p w14:paraId="43551E15" w14:textId="77777777" w:rsidR="0059604F" w:rsidRPr="00766063" w:rsidRDefault="0059604F" w:rsidP="00766063">
            <w:pPr>
              <w:pStyle w:val="TableText0"/>
              <w:keepNext w:val="0"/>
              <w:rPr>
                <w:szCs w:val="20"/>
              </w:rPr>
            </w:pPr>
            <w:r w:rsidRPr="00766063">
              <w:rPr>
                <w:szCs w:val="20"/>
              </w:rPr>
              <w:t>U-EXCEL (M14-433)</w:t>
            </w:r>
          </w:p>
          <w:p w14:paraId="336FD19D" w14:textId="77777777" w:rsidR="0059604F" w:rsidRPr="00766063" w:rsidRDefault="0059604F" w:rsidP="00766063">
            <w:pPr>
              <w:pStyle w:val="TableText0"/>
              <w:keepNext w:val="0"/>
              <w:rPr>
                <w:szCs w:val="20"/>
              </w:rPr>
            </w:pPr>
            <w:r w:rsidRPr="00766063">
              <w:rPr>
                <w:szCs w:val="20"/>
              </w:rPr>
              <w:t>NCT03345849</w:t>
            </w:r>
          </w:p>
        </w:tc>
        <w:tc>
          <w:tcPr>
            <w:tcW w:w="2653" w:type="pct"/>
          </w:tcPr>
          <w:p w14:paraId="63C94089" w14:textId="77777777" w:rsidR="0059604F" w:rsidRPr="00766063" w:rsidRDefault="0059604F" w:rsidP="00766063">
            <w:pPr>
              <w:pStyle w:val="TableText0"/>
              <w:keepNext w:val="0"/>
              <w:rPr>
                <w:szCs w:val="20"/>
              </w:rPr>
            </w:pPr>
            <w:r w:rsidRPr="00766063">
              <w:rPr>
                <w:szCs w:val="20"/>
              </w:rPr>
              <w:t xml:space="preserve">A Multicenter, Randomized, Double-Blind, Placebo Controlled Induction Study of the Efficacy and Safety of Upadacitinib (ABT-494) in Subjects with Moderately to Severely Active Crohn's Disease Who Have Inadequately Responded to or are Intolerant to Conventional and/or Biologic Therapies. </w:t>
            </w:r>
          </w:p>
        </w:tc>
        <w:tc>
          <w:tcPr>
            <w:tcW w:w="1431" w:type="pct"/>
          </w:tcPr>
          <w:p w14:paraId="3ABDB311" w14:textId="77777777" w:rsidR="0059604F" w:rsidRPr="00766063" w:rsidRDefault="0059604F" w:rsidP="00766063">
            <w:pPr>
              <w:pStyle w:val="TableText0"/>
              <w:keepNext w:val="0"/>
              <w:rPr>
                <w:iCs/>
                <w:szCs w:val="20"/>
              </w:rPr>
            </w:pPr>
            <w:r w:rsidRPr="00766063">
              <w:rPr>
                <w:iCs/>
                <w:szCs w:val="20"/>
              </w:rPr>
              <w:t>23 May 2022.</w:t>
            </w:r>
          </w:p>
        </w:tc>
      </w:tr>
      <w:tr w:rsidR="0059604F" w:rsidRPr="00766063" w14:paraId="35DBDE5C" w14:textId="77777777" w:rsidTr="00766063">
        <w:tc>
          <w:tcPr>
            <w:tcW w:w="916" w:type="pct"/>
          </w:tcPr>
          <w:p w14:paraId="7282FCE1" w14:textId="77777777" w:rsidR="0059604F" w:rsidRPr="00766063" w:rsidRDefault="0059604F" w:rsidP="00766063">
            <w:pPr>
              <w:pStyle w:val="TableText0"/>
              <w:keepNext w:val="0"/>
              <w:rPr>
                <w:szCs w:val="20"/>
              </w:rPr>
            </w:pPr>
            <w:r w:rsidRPr="00766063">
              <w:rPr>
                <w:szCs w:val="20"/>
              </w:rPr>
              <w:t>U-ENDURE (M14-430)</w:t>
            </w:r>
          </w:p>
          <w:p w14:paraId="262C42E5" w14:textId="77777777" w:rsidR="0059604F" w:rsidRPr="00766063" w:rsidRDefault="0059604F" w:rsidP="00766063">
            <w:pPr>
              <w:pStyle w:val="TableText0"/>
              <w:keepNext w:val="0"/>
              <w:rPr>
                <w:szCs w:val="20"/>
              </w:rPr>
            </w:pPr>
            <w:r w:rsidRPr="00766063">
              <w:rPr>
                <w:szCs w:val="20"/>
              </w:rPr>
              <w:t>NCT03345823</w:t>
            </w:r>
          </w:p>
        </w:tc>
        <w:tc>
          <w:tcPr>
            <w:tcW w:w="2653" w:type="pct"/>
          </w:tcPr>
          <w:p w14:paraId="0B0F081D" w14:textId="7D670ECD" w:rsidR="0059604F" w:rsidRPr="00766063" w:rsidRDefault="0059604F" w:rsidP="00766063">
            <w:pPr>
              <w:pStyle w:val="TableText0"/>
              <w:keepNext w:val="0"/>
              <w:rPr>
                <w:szCs w:val="20"/>
                <w:lang w:val="en-US"/>
              </w:rPr>
            </w:pPr>
            <w:r w:rsidRPr="00766063">
              <w:rPr>
                <w:szCs w:val="20"/>
              </w:rPr>
              <w:t>A Multicenter, Randomized, Double-Blind, Placebo-Controlled Maintenance and Long-Term Extension Study of the Efficacy and Safety of Upadacitinib (ABT-494) in Subjects with Crohn's Disease Who Completed the Studies M14-431 or M14-433</w:t>
            </w:r>
            <w:r w:rsidR="00B21C7E" w:rsidRPr="00766063">
              <w:rPr>
                <w:szCs w:val="20"/>
              </w:rPr>
              <w:t>.</w:t>
            </w:r>
          </w:p>
        </w:tc>
        <w:tc>
          <w:tcPr>
            <w:tcW w:w="1431" w:type="pct"/>
          </w:tcPr>
          <w:p w14:paraId="5AB6E77F" w14:textId="067925F7" w:rsidR="0059604F" w:rsidRPr="00766063" w:rsidRDefault="0059604F" w:rsidP="00766063">
            <w:pPr>
              <w:pStyle w:val="TableText0"/>
              <w:keepNext w:val="0"/>
              <w:rPr>
                <w:i/>
                <w:szCs w:val="20"/>
                <w:lang w:val="en-US"/>
              </w:rPr>
            </w:pPr>
            <w:r w:rsidRPr="00766063">
              <w:rPr>
                <w:szCs w:val="20"/>
              </w:rPr>
              <w:t>27 June 2022</w:t>
            </w:r>
            <w:r w:rsidR="00B21C7E" w:rsidRPr="00766063">
              <w:rPr>
                <w:szCs w:val="20"/>
              </w:rPr>
              <w:t>.</w:t>
            </w:r>
          </w:p>
        </w:tc>
      </w:tr>
      <w:tr w:rsidR="0059604F" w:rsidRPr="00766063" w14:paraId="16426A69" w14:textId="77777777" w:rsidTr="00766063">
        <w:tc>
          <w:tcPr>
            <w:tcW w:w="916" w:type="pct"/>
            <w:tcBorders>
              <w:right w:val="nil"/>
            </w:tcBorders>
          </w:tcPr>
          <w:p w14:paraId="4EEE467D" w14:textId="77777777" w:rsidR="0059604F" w:rsidRPr="00766063" w:rsidRDefault="0059604F" w:rsidP="00766063">
            <w:pPr>
              <w:pStyle w:val="TableText0"/>
              <w:keepNext w:val="0"/>
              <w:rPr>
                <w:b/>
                <w:bCs w:val="0"/>
                <w:szCs w:val="20"/>
              </w:rPr>
            </w:pPr>
            <w:r w:rsidRPr="00766063">
              <w:rPr>
                <w:b/>
                <w:bCs w:val="0"/>
                <w:szCs w:val="20"/>
              </w:rPr>
              <w:t>Adalimumab</w:t>
            </w:r>
          </w:p>
        </w:tc>
        <w:tc>
          <w:tcPr>
            <w:tcW w:w="2653" w:type="pct"/>
            <w:tcBorders>
              <w:left w:val="nil"/>
              <w:right w:val="nil"/>
            </w:tcBorders>
          </w:tcPr>
          <w:p w14:paraId="261305CC" w14:textId="77777777" w:rsidR="0059604F" w:rsidRPr="00766063" w:rsidRDefault="0059604F" w:rsidP="00766063">
            <w:pPr>
              <w:pStyle w:val="TableText0"/>
              <w:keepNext w:val="0"/>
              <w:rPr>
                <w:szCs w:val="20"/>
              </w:rPr>
            </w:pPr>
          </w:p>
        </w:tc>
        <w:tc>
          <w:tcPr>
            <w:tcW w:w="1431" w:type="pct"/>
            <w:tcBorders>
              <w:left w:val="nil"/>
            </w:tcBorders>
          </w:tcPr>
          <w:p w14:paraId="42D23B86" w14:textId="77777777" w:rsidR="0059604F" w:rsidRPr="00766063" w:rsidRDefault="0059604F" w:rsidP="00766063">
            <w:pPr>
              <w:pStyle w:val="TableText0"/>
              <w:keepNext w:val="0"/>
              <w:rPr>
                <w:szCs w:val="20"/>
              </w:rPr>
            </w:pPr>
          </w:p>
        </w:tc>
      </w:tr>
      <w:tr w:rsidR="0059604F" w:rsidRPr="00766063" w14:paraId="2F95290B" w14:textId="77777777" w:rsidTr="00766063">
        <w:tc>
          <w:tcPr>
            <w:tcW w:w="916" w:type="pct"/>
          </w:tcPr>
          <w:p w14:paraId="0CF8F2BF" w14:textId="77777777" w:rsidR="0059604F" w:rsidRPr="00766063" w:rsidRDefault="0059604F" w:rsidP="00766063">
            <w:pPr>
              <w:pStyle w:val="TableText0"/>
              <w:keepNext w:val="0"/>
              <w:rPr>
                <w:szCs w:val="20"/>
              </w:rPr>
            </w:pPr>
            <w:r w:rsidRPr="00766063">
              <w:rPr>
                <w:szCs w:val="20"/>
              </w:rPr>
              <w:t>CLASSIC I</w:t>
            </w:r>
          </w:p>
          <w:p w14:paraId="4585507E" w14:textId="77777777" w:rsidR="0059604F" w:rsidRPr="00766063" w:rsidRDefault="0059604F" w:rsidP="00766063">
            <w:pPr>
              <w:pStyle w:val="TableText0"/>
              <w:keepNext w:val="0"/>
              <w:rPr>
                <w:szCs w:val="20"/>
              </w:rPr>
            </w:pPr>
            <w:r w:rsidRPr="00766063">
              <w:rPr>
                <w:szCs w:val="20"/>
              </w:rPr>
              <w:t>NCT00055523 </w:t>
            </w:r>
          </w:p>
        </w:tc>
        <w:tc>
          <w:tcPr>
            <w:tcW w:w="2653" w:type="pct"/>
          </w:tcPr>
          <w:p w14:paraId="266DDA13" w14:textId="77777777" w:rsidR="0059604F" w:rsidRPr="00766063" w:rsidRDefault="0059604F" w:rsidP="00766063">
            <w:pPr>
              <w:pStyle w:val="TableText0"/>
              <w:keepNext w:val="0"/>
              <w:rPr>
                <w:szCs w:val="20"/>
              </w:rPr>
            </w:pPr>
            <w:r w:rsidRPr="00766063">
              <w:rPr>
                <w:szCs w:val="20"/>
              </w:rPr>
              <w:t xml:space="preserve">Hanauer, S. B., Sandborn, W. J., Rutgeerts, P., Fedorak, R. N., Lukas, M., MacIntosh, D., Panaccione, R., Wolf, D., and Pollack, P. Human anti-tumor necrosis factor monoclonal antibody (adalimumab) in Crohn's disease: The CLASSIC-I trial. </w:t>
            </w:r>
          </w:p>
        </w:tc>
        <w:tc>
          <w:tcPr>
            <w:tcW w:w="1431" w:type="pct"/>
          </w:tcPr>
          <w:p w14:paraId="5F53DEBF" w14:textId="77777777" w:rsidR="0059604F" w:rsidRPr="00766063" w:rsidRDefault="0059604F" w:rsidP="00766063">
            <w:pPr>
              <w:pStyle w:val="TableText0"/>
              <w:keepNext w:val="0"/>
              <w:rPr>
                <w:szCs w:val="20"/>
              </w:rPr>
            </w:pPr>
            <w:r w:rsidRPr="00766063">
              <w:rPr>
                <w:szCs w:val="20"/>
              </w:rPr>
              <w:t>Gastroenterology. 2006 Feb;130(2):323-33; quiz 591. doi: 10.1053/j.gastro.2005.11.030. PMID: 16472588.</w:t>
            </w:r>
          </w:p>
        </w:tc>
      </w:tr>
      <w:tr w:rsidR="0059604F" w:rsidRPr="00766063" w14:paraId="6D18B271" w14:textId="77777777" w:rsidTr="00766063">
        <w:tc>
          <w:tcPr>
            <w:tcW w:w="916" w:type="pct"/>
          </w:tcPr>
          <w:p w14:paraId="085454CE" w14:textId="77777777" w:rsidR="0059604F" w:rsidRPr="00766063" w:rsidRDefault="0059604F" w:rsidP="00766063">
            <w:pPr>
              <w:pStyle w:val="TableText0"/>
              <w:keepNext w:val="0"/>
              <w:rPr>
                <w:szCs w:val="20"/>
              </w:rPr>
            </w:pPr>
            <w:r w:rsidRPr="00766063">
              <w:rPr>
                <w:szCs w:val="20"/>
              </w:rPr>
              <w:t>CLASSIC II</w:t>
            </w:r>
          </w:p>
          <w:p w14:paraId="26461317" w14:textId="77777777" w:rsidR="0059604F" w:rsidRPr="00766063" w:rsidRDefault="0059604F" w:rsidP="00766063">
            <w:pPr>
              <w:pStyle w:val="TableText0"/>
              <w:keepNext w:val="0"/>
              <w:rPr>
                <w:szCs w:val="20"/>
              </w:rPr>
            </w:pPr>
            <w:r w:rsidRPr="00766063">
              <w:rPr>
                <w:szCs w:val="20"/>
              </w:rPr>
              <w:t>NCT00055497</w:t>
            </w:r>
          </w:p>
        </w:tc>
        <w:tc>
          <w:tcPr>
            <w:tcW w:w="2653" w:type="pct"/>
          </w:tcPr>
          <w:p w14:paraId="6957324B" w14:textId="77777777" w:rsidR="0059604F" w:rsidRPr="00766063" w:rsidRDefault="0059604F" w:rsidP="00766063">
            <w:pPr>
              <w:pStyle w:val="TableText0"/>
              <w:keepNext w:val="0"/>
              <w:rPr>
                <w:szCs w:val="20"/>
              </w:rPr>
            </w:pPr>
            <w:r w:rsidRPr="00766063">
              <w:rPr>
                <w:szCs w:val="20"/>
              </w:rPr>
              <w:t>Sandborn WJ, Hanauer SB, Rutgeerts P, Fedorak RN, Lukas M, MacIntosh DG, Panaccione R, Wolf D, Kent JD, Bittle B, Li J, Pollack PF. Adalimumab for maintenance treatment of Crohn's disease: results of the CLASSIC II trial.</w:t>
            </w:r>
          </w:p>
        </w:tc>
        <w:tc>
          <w:tcPr>
            <w:tcW w:w="1431" w:type="pct"/>
          </w:tcPr>
          <w:p w14:paraId="51315863" w14:textId="77777777" w:rsidR="0059604F" w:rsidRPr="00766063" w:rsidRDefault="0059604F" w:rsidP="00766063">
            <w:pPr>
              <w:pStyle w:val="TableText0"/>
              <w:keepNext w:val="0"/>
              <w:rPr>
                <w:szCs w:val="20"/>
              </w:rPr>
            </w:pPr>
            <w:r w:rsidRPr="00766063">
              <w:rPr>
                <w:szCs w:val="20"/>
              </w:rPr>
              <w:t>Gut. 2007 Sep;56(9):1232-9. doi: 10.1136/gut.2006.106781. Epub 2007 Feb 13. PMID: 17299059; PMCID: PMC2701613.</w:t>
            </w:r>
          </w:p>
        </w:tc>
      </w:tr>
      <w:tr w:rsidR="0059604F" w:rsidRPr="00766063" w14:paraId="771B614B" w14:textId="77777777" w:rsidTr="00766063">
        <w:tc>
          <w:tcPr>
            <w:tcW w:w="916" w:type="pct"/>
          </w:tcPr>
          <w:p w14:paraId="67828924" w14:textId="77777777" w:rsidR="0059604F" w:rsidRPr="00766063" w:rsidRDefault="0059604F" w:rsidP="00766063">
            <w:pPr>
              <w:pStyle w:val="TableText0"/>
              <w:keepNext w:val="0"/>
              <w:rPr>
                <w:szCs w:val="20"/>
              </w:rPr>
            </w:pPr>
            <w:r w:rsidRPr="00766063">
              <w:rPr>
                <w:szCs w:val="20"/>
              </w:rPr>
              <w:t>CHARM</w:t>
            </w:r>
          </w:p>
          <w:p w14:paraId="05DFEF6C" w14:textId="73B9B032" w:rsidR="0059604F" w:rsidRPr="00766063" w:rsidRDefault="0059604F" w:rsidP="00766063">
            <w:pPr>
              <w:pStyle w:val="TableText0"/>
              <w:keepNext w:val="0"/>
              <w:rPr>
                <w:szCs w:val="20"/>
              </w:rPr>
            </w:pPr>
            <w:r w:rsidRPr="00766063">
              <w:rPr>
                <w:szCs w:val="20"/>
              </w:rPr>
              <w:t>NCT00077779</w:t>
            </w:r>
          </w:p>
        </w:tc>
        <w:tc>
          <w:tcPr>
            <w:tcW w:w="2653" w:type="pct"/>
          </w:tcPr>
          <w:p w14:paraId="7AF0A646" w14:textId="77777777" w:rsidR="0059604F" w:rsidRPr="00766063" w:rsidRDefault="0059604F" w:rsidP="00766063">
            <w:pPr>
              <w:pStyle w:val="TableText0"/>
              <w:keepNext w:val="0"/>
              <w:rPr>
                <w:szCs w:val="20"/>
              </w:rPr>
            </w:pPr>
            <w:r w:rsidRPr="00766063">
              <w:rPr>
                <w:szCs w:val="20"/>
              </w:rPr>
              <w:t xml:space="preserve">Colombel JF, Sandborn WJ, Rutgeerts P, Enns R, Hanauer SB, Panaccione R, Schreiber S, Byczkowski D, Li J, Kent JD, Pollack PF. Adalimumab for maintenance of clinical response and remission in patients with Crohn's disease: the CHARM trial. </w:t>
            </w:r>
          </w:p>
        </w:tc>
        <w:tc>
          <w:tcPr>
            <w:tcW w:w="1431" w:type="pct"/>
          </w:tcPr>
          <w:p w14:paraId="7D27B36D" w14:textId="77777777" w:rsidR="0059604F" w:rsidRPr="00766063" w:rsidRDefault="0059604F" w:rsidP="00766063">
            <w:pPr>
              <w:pStyle w:val="TableText0"/>
              <w:keepNext w:val="0"/>
              <w:rPr>
                <w:szCs w:val="20"/>
              </w:rPr>
            </w:pPr>
            <w:r w:rsidRPr="00766063">
              <w:rPr>
                <w:szCs w:val="20"/>
              </w:rPr>
              <w:t>Gastroenterology. 2007 Jan;132(1):52-65. doi: 10.1053/j.gastro.2006.11.041. Epub 2006 Nov 29. PMID: 17241859.</w:t>
            </w:r>
          </w:p>
        </w:tc>
      </w:tr>
      <w:tr w:rsidR="0059604F" w:rsidRPr="00766063" w14:paraId="2E1A6F0A" w14:textId="77777777" w:rsidTr="00766063">
        <w:trPr>
          <w:trHeight w:val="665"/>
        </w:trPr>
        <w:tc>
          <w:tcPr>
            <w:tcW w:w="916" w:type="pct"/>
            <w:vMerge w:val="restart"/>
          </w:tcPr>
          <w:p w14:paraId="70706E75" w14:textId="77777777" w:rsidR="0059604F" w:rsidRPr="00766063" w:rsidRDefault="0059604F" w:rsidP="00766063">
            <w:pPr>
              <w:pStyle w:val="TableText0"/>
              <w:keepNext w:val="0"/>
              <w:rPr>
                <w:szCs w:val="20"/>
              </w:rPr>
            </w:pPr>
            <w:r w:rsidRPr="00766063">
              <w:rPr>
                <w:szCs w:val="20"/>
              </w:rPr>
              <w:t>GAIN</w:t>
            </w:r>
          </w:p>
          <w:p w14:paraId="244A7438" w14:textId="77777777" w:rsidR="0059604F" w:rsidRPr="00766063" w:rsidRDefault="0059604F" w:rsidP="00766063">
            <w:pPr>
              <w:pStyle w:val="TableText0"/>
              <w:keepNext w:val="0"/>
              <w:rPr>
                <w:szCs w:val="20"/>
              </w:rPr>
            </w:pPr>
            <w:r w:rsidRPr="00766063">
              <w:rPr>
                <w:szCs w:val="20"/>
              </w:rPr>
              <w:t>NCT00105300</w:t>
            </w:r>
          </w:p>
        </w:tc>
        <w:tc>
          <w:tcPr>
            <w:tcW w:w="2653" w:type="pct"/>
          </w:tcPr>
          <w:p w14:paraId="1769A12B" w14:textId="1C40C265" w:rsidR="0059604F" w:rsidRPr="00766063" w:rsidRDefault="0059604F" w:rsidP="00766063">
            <w:pPr>
              <w:pStyle w:val="TableText0"/>
              <w:keepNext w:val="0"/>
              <w:rPr>
                <w:szCs w:val="20"/>
              </w:rPr>
            </w:pPr>
            <w:r w:rsidRPr="00766063">
              <w:rPr>
                <w:szCs w:val="20"/>
              </w:rPr>
              <w:t xml:space="preserve">Sandborn, W. J., Rutgeerts, P., Enns, R., Hanauer, S. B., Colombel, J. F., Panaccione, R., D'Haens, G., Li, J., Rosenfeld, M. R., Kent, J. D., and Pollack, P. F. Adalimumab induction therapy for Crohn disease previously treated with infliximab: A randomized trial. </w:t>
            </w:r>
          </w:p>
        </w:tc>
        <w:tc>
          <w:tcPr>
            <w:tcW w:w="1431" w:type="pct"/>
          </w:tcPr>
          <w:p w14:paraId="4A58AAA3" w14:textId="75AFD6C4" w:rsidR="0059604F" w:rsidRPr="00766063" w:rsidRDefault="0059604F" w:rsidP="00766063">
            <w:pPr>
              <w:pStyle w:val="TableText0"/>
              <w:keepNext w:val="0"/>
              <w:rPr>
                <w:szCs w:val="20"/>
              </w:rPr>
            </w:pPr>
            <w:r w:rsidRPr="00766063">
              <w:rPr>
                <w:szCs w:val="20"/>
              </w:rPr>
              <w:t>Annals of Internal Medicine 2007; 146 (12): 829-838</w:t>
            </w:r>
            <w:r w:rsidR="00B21C7E" w:rsidRPr="00766063">
              <w:rPr>
                <w:szCs w:val="20"/>
              </w:rPr>
              <w:t>.</w:t>
            </w:r>
          </w:p>
          <w:p w14:paraId="46971C03" w14:textId="77777777" w:rsidR="0059604F" w:rsidRPr="00766063" w:rsidRDefault="0059604F" w:rsidP="00766063">
            <w:pPr>
              <w:pStyle w:val="TableText0"/>
              <w:keepNext w:val="0"/>
              <w:rPr>
                <w:szCs w:val="20"/>
              </w:rPr>
            </w:pPr>
          </w:p>
        </w:tc>
      </w:tr>
      <w:tr w:rsidR="0059604F" w:rsidRPr="00766063" w14:paraId="47B631B1" w14:textId="77777777" w:rsidTr="00766063">
        <w:trPr>
          <w:trHeight w:val="664"/>
        </w:trPr>
        <w:tc>
          <w:tcPr>
            <w:tcW w:w="916" w:type="pct"/>
            <w:vMerge/>
          </w:tcPr>
          <w:p w14:paraId="4722A534" w14:textId="77777777" w:rsidR="0059604F" w:rsidRPr="00766063" w:rsidRDefault="0059604F" w:rsidP="00766063">
            <w:pPr>
              <w:pStyle w:val="TableText0"/>
              <w:keepNext w:val="0"/>
              <w:rPr>
                <w:szCs w:val="20"/>
              </w:rPr>
            </w:pPr>
          </w:p>
        </w:tc>
        <w:tc>
          <w:tcPr>
            <w:tcW w:w="2653" w:type="pct"/>
          </w:tcPr>
          <w:p w14:paraId="17289C2D" w14:textId="77777777" w:rsidR="0059604F" w:rsidRPr="00766063" w:rsidRDefault="0059604F" w:rsidP="00766063">
            <w:pPr>
              <w:pStyle w:val="TableText0"/>
              <w:keepNext w:val="0"/>
              <w:rPr>
                <w:szCs w:val="20"/>
              </w:rPr>
            </w:pPr>
            <w:r w:rsidRPr="00766063">
              <w:rPr>
                <w:szCs w:val="20"/>
              </w:rPr>
              <w:t xml:space="preserve">Panaccione R, Sandborn WJ, D'Haens G, Wolf DC, Berg S, Maa JF, Petersson J, Robinson AM. Clinical Benefit of Long-Term Adalimumab Treatment in Patients </w:t>
            </w:r>
            <w:proofErr w:type="gramStart"/>
            <w:r w:rsidRPr="00766063">
              <w:rPr>
                <w:szCs w:val="20"/>
              </w:rPr>
              <w:t>With</w:t>
            </w:r>
            <w:proofErr w:type="gramEnd"/>
            <w:r w:rsidRPr="00766063">
              <w:rPr>
                <w:szCs w:val="20"/>
              </w:rPr>
              <w:t xml:space="preserve"> Crohn's Disease Following Loss of Response or Intolerance to Infliximab: 96-Week Efficacy Data From GAIN/ADHERE Trials.</w:t>
            </w:r>
          </w:p>
        </w:tc>
        <w:tc>
          <w:tcPr>
            <w:tcW w:w="1431" w:type="pct"/>
          </w:tcPr>
          <w:p w14:paraId="0BFC2D7D" w14:textId="77777777" w:rsidR="0059604F" w:rsidRPr="00766063" w:rsidRDefault="0059604F" w:rsidP="00766063">
            <w:pPr>
              <w:pStyle w:val="TableText0"/>
              <w:keepNext w:val="0"/>
              <w:rPr>
                <w:szCs w:val="20"/>
              </w:rPr>
            </w:pPr>
            <w:r w:rsidRPr="00766063">
              <w:rPr>
                <w:szCs w:val="20"/>
              </w:rPr>
              <w:t>J Crohns Colitis. 2018 Jul 30;12(8):930-938. doi: 10.1093/ecco-jcc/jjy050. PMID: 29697818; PMCID: PMC6065484.</w:t>
            </w:r>
          </w:p>
          <w:p w14:paraId="6469BE4B" w14:textId="77777777" w:rsidR="0059604F" w:rsidRPr="00766063" w:rsidRDefault="0059604F" w:rsidP="00766063">
            <w:pPr>
              <w:pStyle w:val="TableText0"/>
              <w:keepNext w:val="0"/>
              <w:rPr>
                <w:szCs w:val="20"/>
              </w:rPr>
            </w:pPr>
          </w:p>
        </w:tc>
      </w:tr>
      <w:tr w:rsidR="0059604F" w:rsidRPr="00766063" w14:paraId="1F1EE9A5" w14:textId="77777777" w:rsidTr="00766063">
        <w:tc>
          <w:tcPr>
            <w:tcW w:w="916" w:type="pct"/>
          </w:tcPr>
          <w:p w14:paraId="339D231A" w14:textId="77777777" w:rsidR="0059604F" w:rsidRPr="00766063" w:rsidRDefault="0059604F" w:rsidP="00766063">
            <w:pPr>
              <w:pStyle w:val="TableText0"/>
              <w:keepNext w:val="0"/>
              <w:rPr>
                <w:szCs w:val="20"/>
              </w:rPr>
            </w:pPr>
            <w:r w:rsidRPr="00766063">
              <w:rPr>
                <w:szCs w:val="20"/>
              </w:rPr>
              <w:t>Watanabe 2012</w:t>
            </w:r>
          </w:p>
          <w:p w14:paraId="2E586115" w14:textId="77777777" w:rsidR="0059604F" w:rsidRPr="00766063" w:rsidRDefault="0059604F" w:rsidP="00766063">
            <w:pPr>
              <w:pStyle w:val="TableText0"/>
              <w:keepNext w:val="0"/>
              <w:rPr>
                <w:szCs w:val="20"/>
              </w:rPr>
            </w:pPr>
            <w:r w:rsidRPr="00766063">
              <w:rPr>
                <w:szCs w:val="20"/>
              </w:rPr>
              <w:t>NCT00445939</w:t>
            </w:r>
          </w:p>
        </w:tc>
        <w:tc>
          <w:tcPr>
            <w:tcW w:w="2653" w:type="pct"/>
          </w:tcPr>
          <w:p w14:paraId="0F9124CB" w14:textId="77777777" w:rsidR="0059604F" w:rsidRPr="00766063" w:rsidRDefault="0059604F" w:rsidP="00766063">
            <w:pPr>
              <w:pStyle w:val="TableText0"/>
              <w:keepNext w:val="0"/>
              <w:rPr>
                <w:szCs w:val="20"/>
              </w:rPr>
            </w:pPr>
            <w:r w:rsidRPr="00766063">
              <w:rPr>
                <w:szCs w:val="20"/>
              </w:rPr>
              <w:t>Watanabe M, Hibi T, Lomax KG, Paulson SK, Chao J, Alam MS, Camez A; Study Investigators. Adalimumab for the induction and maintenance of clinical remission in Japanese patients with Crohn's disease.</w:t>
            </w:r>
          </w:p>
        </w:tc>
        <w:tc>
          <w:tcPr>
            <w:tcW w:w="1431" w:type="pct"/>
          </w:tcPr>
          <w:p w14:paraId="4E3D4222" w14:textId="0C651FD6" w:rsidR="0059604F" w:rsidRPr="00766063" w:rsidRDefault="0059604F" w:rsidP="00766063">
            <w:pPr>
              <w:pStyle w:val="TableText0"/>
              <w:keepNext w:val="0"/>
              <w:rPr>
                <w:szCs w:val="20"/>
              </w:rPr>
            </w:pPr>
            <w:r w:rsidRPr="00766063">
              <w:rPr>
                <w:szCs w:val="20"/>
              </w:rPr>
              <w:t>J Crohns Colitis. 2012 Mar;6(2):160-73. doi: 10.1016/j.crohns.2011.07.013. Epub 2011 Aug 26. PMID: 22325170</w:t>
            </w:r>
            <w:r w:rsidR="00426030" w:rsidRPr="00766063">
              <w:rPr>
                <w:szCs w:val="20"/>
              </w:rPr>
              <w:t>.</w:t>
            </w:r>
          </w:p>
        </w:tc>
      </w:tr>
      <w:tr w:rsidR="0059604F" w:rsidRPr="00766063" w14:paraId="4EE11F07" w14:textId="77777777" w:rsidTr="00766063">
        <w:tc>
          <w:tcPr>
            <w:tcW w:w="916" w:type="pct"/>
            <w:tcBorders>
              <w:right w:val="nil"/>
            </w:tcBorders>
          </w:tcPr>
          <w:p w14:paraId="7FF629DE" w14:textId="77777777" w:rsidR="0059604F" w:rsidRPr="00766063" w:rsidRDefault="0059604F" w:rsidP="00766063">
            <w:pPr>
              <w:pStyle w:val="TableText0"/>
              <w:keepLines/>
              <w:rPr>
                <w:b/>
                <w:bCs w:val="0"/>
                <w:szCs w:val="20"/>
              </w:rPr>
            </w:pPr>
            <w:r w:rsidRPr="00766063">
              <w:rPr>
                <w:b/>
                <w:bCs w:val="0"/>
                <w:szCs w:val="20"/>
              </w:rPr>
              <w:t>Risankizumab</w:t>
            </w:r>
          </w:p>
        </w:tc>
        <w:tc>
          <w:tcPr>
            <w:tcW w:w="2653" w:type="pct"/>
            <w:tcBorders>
              <w:left w:val="nil"/>
              <w:right w:val="nil"/>
            </w:tcBorders>
          </w:tcPr>
          <w:p w14:paraId="21B11C11" w14:textId="77777777" w:rsidR="0059604F" w:rsidRPr="00766063" w:rsidRDefault="0059604F" w:rsidP="00766063">
            <w:pPr>
              <w:pStyle w:val="TableText0"/>
              <w:keepLines/>
              <w:rPr>
                <w:szCs w:val="20"/>
              </w:rPr>
            </w:pPr>
          </w:p>
        </w:tc>
        <w:tc>
          <w:tcPr>
            <w:tcW w:w="1431" w:type="pct"/>
            <w:tcBorders>
              <w:left w:val="nil"/>
            </w:tcBorders>
          </w:tcPr>
          <w:p w14:paraId="228E79BD" w14:textId="77777777" w:rsidR="0059604F" w:rsidRPr="00766063" w:rsidRDefault="0059604F" w:rsidP="00766063">
            <w:pPr>
              <w:pStyle w:val="TableText0"/>
              <w:keepLines/>
              <w:rPr>
                <w:szCs w:val="20"/>
              </w:rPr>
            </w:pPr>
          </w:p>
        </w:tc>
      </w:tr>
      <w:tr w:rsidR="0059604F" w:rsidRPr="00766063" w14:paraId="5202EFB0" w14:textId="77777777" w:rsidTr="00766063">
        <w:trPr>
          <w:trHeight w:val="2017"/>
        </w:trPr>
        <w:tc>
          <w:tcPr>
            <w:tcW w:w="916" w:type="pct"/>
            <w:vMerge w:val="restart"/>
          </w:tcPr>
          <w:p w14:paraId="2D702171" w14:textId="77777777" w:rsidR="0059604F" w:rsidRPr="00766063" w:rsidRDefault="0059604F" w:rsidP="00766063">
            <w:pPr>
              <w:pStyle w:val="TableText0"/>
              <w:keepLines/>
              <w:rPr>
                <w:szCs w:val="20"/>
              </w:rPr>
            </w:pPr>
            <w:r w:rsidRPr="00766063">
              <w:rPr>
                <w:szCs w:val="20"/>
              </w:rPr>
              <w:t>M15-993</w:t>
            </w:r>
          </w:p>
          <w:p w14:paraId="41BFB3FB" w14:textId="77777777" w:rsidR="0059604F" w:rsidRPr="00766063" w:rsidRDefault="0059604F" w:rsidP="00766063">
            <w:pPr>
              <w:pStyle w:val="TableText0"/>
              <w:keepLines/>
              <w:rPr>
                <w:szCs w:val="20"/>
              </w:rPr>
            </w:pPr>
            <w:r w:rsidRPr="00766063">
              <w:rPr>
                <w:szCs w:val="20"/>
              </w:rPr>
              <w:t>NCT02031276</w:t>
            </w:r>
          </w:p>
        </w:tc>
        <w:tc>
          <w:tcPr>
            <w:tcW w:w="2653" w:type="pct"/>
            <w:tcBorders>
              <w:bottom w:val="nil"/>
            </w:tcBorders>
          </w:tcPr>
          <w:p w14:paraId="72688C68" w14:textId="77777777" w:rsidR="0059604F" w:rsidRPr="00766063" w:rsidRDefault="0059604F" w:rsidP="00766063">
            <w:pPr>
              <w:pStyle w:val="TableText0"/>
              <w:keepLines/>
              <w:rPr>
                <w:szCs w:val="20"/>
              </w:rPr>
            </w:pPr>
            <w:r w:rsidRPr="00766063">
              <w:rPr>
                <w:szCs w:val="20"/>
              </w:rPr>
              <w:t>Feagan, Sandborn, W. J., D’Haens, G., Panés, J., Kaser, A., Ferrante, M., Louis, E., Franchimont, D., Dewit, O., Seidler, U., Kim, K.-J., Neurath, M. F., Schreiber, S., Scholl, P., Pamulapati, C., Lalovic, B., Visvanathan, S., Padula, S. J., Herichova, I., … Böcher, W. O. (2017). Induction therapy with the selective interleukin-23 inhibitor risankizumab in patients with moderate-to-severe Crohn’s disease: a randomized, double-blind, placebo-controlled phase 2 study.</w:t>
            </w:r>
          </w:p>
          <w:p w14:paraId="2FDF6506" w14:textId="77777777" w:rsidR="0059604F" w:rsidRPr="00766063" w:rsidRDefault="0059604F" w:rsidP="00766063">
            <w:pPr>
              <w:pStyle w:val="TableText0"/>
              <w:keepLines/>
              <w:rPr>
                <w:szCs w:val="20"/>
              </w:rPr>
            </w:pPr>
          </w:p>
        </w:tc>
        <w:tc>
          <w:tcPr>
            <w:tcW w:w="1431" w:type="pct"/>
            <w:tcBorders>
              <w:bottom w:val="nil"/>
            </w:tcBorders>
          </w:tcPr>
          <w:p w14:paraId="50F494F2" w14:textId="0AEBA4DE" w:rsidR="0059604F" w:rsidRPr="00766063" w:rsidRDefault="0059604F" w:rsidP="00766063">
            <w:pPr>
              <w:pStyle w:val="TableText0"/>
              <w:keepLines/>
              <w:rPr>
                <w:szCs w:val="20"/>
              </w:rPr>
            </w:pPr>
            <w:r w:rsidRPr="00766063">
              <w:rPr>
                <w:szCs w:val="20"/>
              </w:rPr>
              <w:t xml:space="preserve">The Lancet (British Edition), 389(10080), 1699–1709. </w:t>
            </w:r>
            <w:hyperlink r:id="rId8" w:history="1">
              <w:r w:rsidRPr="00766063">
                <w:rPr>
                  <w:rStyle w:val="Hyperlink"/>
                  <w:color w:val="000000" w:themeColor="text1"/>
                  <w:szCs w:val="20"/>
                  <w:u w:val="none"/>
                </w:rPr>
                <w:t>https://doi.org/10.1016/S0140-6736(17)30570-6</w:t>
              </w:r>
            </w:hyperlink>
            <w:r w:rsidRPr="00766063">
              <w:rPr>
                <w:color w:val="000000" w:themeColor="text1"/>
                <w:szCs w:val="20"/>
              </w:rPr>
              <w:t>.</w:t>
            </w:r>
          </w:p>
        </w:tc>
      </w:tr>
      <w:tr w:rsidR="0059604F" w:rsidRPr="00766063" w14:paraId="7EF06D11" w14:textId="77777777" w:rsidTr="00766063">
        <w:trPr>
          <w:trHeight w:val="1800"/>
        </w:trPr>
        <w:tc>
          <w:tcPr>
            <w:tcW w:w="916" w:type="pct"/>
            <w:vMerge/>
          </w:tcPr>
          <w:p w14:paraId="55B222BB" w14:textId="77777777" w:rsidR="0059604F" w:rsidRPr="00766063" w:rsidRDefault="0059604F" w:rsidP="00766063">
            <w:pPr>
              <w:pStyle w:val="TableText0"/>
              <w:keepLines/>
              <w:rPr>
                <w:szCs w:val="20"/>
              </w:rPr>
            </w:pPr>
          </w:p>
        </w:tc>
        <w:tc>
          <w:tcPr>
            <w:tcW w:w="2653" w:type="pct"/>
            <w:tcBorders>
              <w:top w:val="nil"/>
              <w:bottom w:val="nil"/>
            </w:tcBorders>
          </w:tcPr>
          <w:p w14:paraId="2DEB3A13" w14:textId="77777777" w:rsidR="0059604F" w:rsidRPr="00766063" w:rsidRDefault="0059604F" w:rsidP="00766063">
            <w:pPr>
              <w:pStyle w:val="TableText0"/>
              <w:keepLines/>
              <w:rPr>
                <w:szCs w:val="20"/>
              </w:rPr>
            </w:pPr>
            <w:r w:rsidRPr="00766063">
              <w:rPr>
                <w:szCs w:val="20"/>
              </w:rPr>
              <w:t xml:space="preserve">Feagan BG, Panés J, Ferrante M, Kaser A, D'Haens GR, Sandborn WJ, Louis E, Neurath MF, Franchimont D, Dewit O, Seidler U, Kim KJ, Selinger C, Padula SJ, Herichova I, Robinson AM, Wallace K, Zhao J, Minocha M, Othman AA, Soaita A, Visvanathan S, Hall DB, Böcher WO. Risankizumab in patients with moderate to severe Crohn's disease: an open-label extension study. </w:t>
            </w:r>
          </w:p>
          <w:p w14:paraId="341FB216" w14:textId="77777777" w:rsidR="0059604F" w:rsidRPr="00766063" w:rsidRDefault="0059604F" w:rsidP="00766063">
            <w:pPr>
              <w:pStyle w:val="TableText0"/>
              <w:keepLines/>
              <w:rPr>
                <w:szCs w:val="20"/>
              </w:rPr>
            </w:pPr>
          </w:p>
        </w:tc>
        <w:tc>
          <w:tcPr>
            <w:tcW w:w="1431" w:type="pct"/>
            <w:tcBorders>
              <w:top w:val="nil"/>
              <w:bottom w:val="nil"/>
            </w:tcBorders>
          </w:tcPr>
          <w:p w14:paraId="4ABAE502" w14:textId="145DD487" w:rsidR="0059604F" w:rsidRPr="00766063" w:rsidRDefault="0059604F" w:rsidP="00766063">
            <w:pPr>
              <w:pStyle w:val="TableText0"/>
              <w:keepLines/>
              <w:rPr>
                <w:szCs w:val="20"/>
              </w:rPr>
            </w:pPr>
            <w:r w:rsidRPr="00766063">
              <w:rPr>
                <w:szCs w:val="20"/>
              </w:rPr>
              <w:t>Lancet Gastroenterol Hepatol. 2018 Oct;3(10):671-680. doi: 10.1016/S2468-1253(18)30233-4. Epub 2018 Jul 25. PMID: 30056030.</w:t>
            </w:r>
          </w:p>
        </w:tc>
      </w:tr>
      <w:tr w:rsidR="0059604F" w:rsidRPr="00766063" w14:paraId="65AAD498" w14:textId="77777777" w:rsidTr="00766063">
        <w:trPr>
          <w:trHeight w:val="1222"/>
        </w:trPr>
        <w:tc>
          <w:tcPr>
            <w:tcW w:w="916" w:type="pct"/>
            <w:vMerge/>
          </w:tcPr>
          <w:p w14:paraId="6895223B" w14:textId="77777777" w:rsidR="0059604F" w:rsidRPr="00766063" w:rsidRDefault="0059604F" w:rsidP="00766063">
            <w:pPr>
              <w:pStyle w:val="TableText0"/>
              <w:keepNext w:val="0"/>
              <w:rPr>
                <w:szCs w:val="20"/>
              </w:rPr>
            </w:pPr>
          </w:p>
        </w:tc>
        <w:tc>
          <w:tcPr>
            <w:tcW w:w="2653" w:type="pct"/>
            <w:tcBorders>
              <w:top w:val="nil"/>
            </w:tcBorders>
          </w:tcPr>
          <w:p w14:paraId="3C4F116B" w14:textId="7B6E4CA4" w:rsidR="00694119" w:rsidRPr="00766063" w:rsidRDefault="0059604F" w:rsidP="00766063">
            <w:pPr>
              <w:pStyle w:val="TableText0"/>
              <w:keepNext w:val="0"/>
              <w:rPr>
                <w:szCs w:val="20"/>
              </w:rPr>
            </w:pPr>
            <w:r w:rsidRPr="00766063">
              <w:rPr>
                <w:szCs w:val="20"/>
              </w:rPr>
              <w:t>Ferrante M, Feagan BG, Panés J, Baert F, Louis E, Dewit O, Kaser A, Duan WR, Pang Y, Lee WJ, Gustafson D, Liao X, Wallace K, Kalabic J, D'Haens GR. Long-Term Safety and Efficacy of Risankizumab Treatment in Patients with Crohn's Disease: Results from the Phase 2 Open-Label Extension Study.</w:t>
            </w:r>
          </w:p>
        </w:tc>
        <w:tc>
          <w:tcPr>
            <w:tcW w:w="1431" w:type="pct"/>
            <w:tcBorders>
              <w:top w:val="nil"/>
            </w:tcBorders>
          </w:tcPr>
          <w:p w14:paraId="24FEFFDF" w14:textId="53D42390" w:rsidR="0059604F" w:rsidRPr="00766063" w:rsidRDefault="0059604F" w:rsidP="00766063">
            <w:pPr>
              <w:pStyle w:val="TableText0"/>
              <w:keepNext w:val="0"/>
              <w:rPr>
                <w:szCs w:val="20"/>
              </w:rPr>
            </w:pPr>
            <w:r w:rsidRPr="00766063">
              <w:rPr>
                <w:szCs w:val="20"/>
              </w:rPr>
              <w:t>J Crohns Colitis. 2021 Dec 18;15(12):2001-2010. doi: 10.1093/ecco-jcc/jjab093. PMID: 34077509; PMCID: PMC8684487</w:t>
            </w:r>
            <w:r w:rsidR="00426030" w:rsidRPr="00766063">
              <w:rPr>
                <w:szCs w:val="20"/>
              </w:rPr>
              <w:t>.</w:t>
            </w:r>
          </w:p>
        </w:tc>
      </w:tr>
      <w:tr w:rsidR="0059604F" w:rsidRPr="00766063" w14:paraId="405B86DF" w14:textId="77777777" w:rsidTr="00766063">
        <w:trPr>
          <w:trHeight w:val="1873"/>
        </w:trPr>
        <w:tc>
          <w:tcPr>
            <w:tcW w:w="916" w:type="pct"/>
            <w:vMerge/>
          </w:tcPr>
          <w:p w14:paraId="65AAA91A" w14:textId="77777777" w:rsidR="0059604F" w:rsidRPr="00766063" w:rsidRDefault="0059604F" w:rsidP="00766063">
            <w:pPr>
              <w:pStyle w:val="TableText0"/>
              <w:keepNext w:val="0"/>
              <w:rPr>
                <w:szCs w:val="20"/>
              </w:rPr>
            </w:pPr>
          </w:p>
        </w:tc>
        <w:tc>
          <w:tcPr>
            <w:tcW w:w="2653" w:type="pct"/>
          </w:tcPr>
          <w:p w14:paraId="5F263B23" w14:textId="77777777" w:rsidR="0059604F" w:rsidRPr="00766063" w:rsidRDefault="0059604F" w:rsidP="00766063">
            <w:pPr>
              <w:pStyle w:val="TableText0"/>
              <w:rPr>
                <w:szCs w:val="20"/>
              </w:rPr>
            </w:pPr>
            <w:r w:rsidRPr="00766063">
              <w:rPr>
                <w:szCs w:val="20"/>
              </w:rPr>
              <w:t xml:space="preserve">Feagan BG, Sandborn WJ, D'Haens G, Panés J, Kaser A, Ferrante M, Louis E, Franchimont D, Dewit O, Seidler U, Kim KJ, Neurath MF, Schreiber S, Scholl P, Pamulapati C, Lalovic B, Visvanathan S, Padula SJ, Herichova I, Soaita A, Hall DB, Böcher WO. Induction therapy with the selective interleukin-23 inhibitor risankizumab in patients with moderate-to-severe Crohn's disease: a randomized, double-blind, placebo-controlled phase 2 study. </w:t>
            </w:r>
          </w:p>
        </w:tc>
        <w:tc>
          <w:tcPr>
            <w:tcW w:w="1431" w:type="pct"/>
          </w:tcPr>
          <w:p w14:paraId="14EC17D8" w14:textId="0F10091E" w:rsidR="0059604F" w:rsidRPr="00766063" w:rsidRDefault="0059604F" w:rsidP="00766063">
            <w:pPr>
              <w:pStyle w:val="TableText0"/>
              <w:rPr>
                <w:szCs w:val="20"/>
              </w:rPr>
            </w:pPr>
            <w:r w:rsidRPr="00766063">
              <w:rPr>
                <w:szCs w:val="20"/>
              </w:rPr>
              <w:t>Lancet. 2017 Apr 29;389(10080):1699-1709. doi: 10.1016/S0140-6736(17)30570-6. Epub 2017 Apr 12. PMID: 28411872.</w:t>
            </w:r>
          </w:p>
        </w:tc>
      </w:tr>
      <w:tr w:rsidR="0059604F" w:rsidRPr="00766063" w14:paraId="6597D51A" w14:textId="77777777" w:rsidTr="00766063">
        <w:tc>
          <w:tcPr>
            <w:tcW w:w="916" w:type="pct"/>
          </w:tcPr>
          <w:p w14:paraId="1251E4D8" w14:textId="77777777" w:rsidR="0059604F" w:rsidRPr="00766063" w:rsidRDefault="0059604F" w:rsidP="00766063">
            <w:pPr>
              <w:pStyle w:val="TableText0"/>
              <w:keepNext w:val="0"/>
              <w:rPr>
                <w:szCs w:val="20"/>
              </w:rPr>
            </w:pPr>
            <w:r w:rsidRPr="00766063">
              <w:rPr>
                <w:szCs w:val="20"/>
              </w:rPr>
              <w:t>ADVANCE</w:t>
            </w:r>
          </w:p>
          <w:p w14:paraId="1DADD27C" w14:textId="3CDCD0C5" w:rsidR="0059604F" w:rsidRPr="00766063" w:rsidRDefault="0059604F" w:rsidP="00766063">
            <w:pPr>
              <w:pStyle w:val="TableText0"/>
              <w:keepNext w:val="0"/>
              <w:rPr>
                <w:szCs w:val="20"/>
              </w:rPr>
            </w:pPr>
            <w:r w:rsidRPr="00766063">
              <w:rPr>
                <w:szCs w:val="20"/>
              </w:rPr>
              <w:t>NCT03105128</w:t>
            </w:r>
          </w:p>
        </w:tc>
        <w:tc>
          <w:tcPr>
            <w:tcW w:w="2653" w:type="pct"/>
          </w:tcPr>
          <w:p w14:paraId="3070B417" w14:textId="77777777" w:rsidR="0059604F" w:rsidRPr="00766063" w:rsidRDefault="0059604F" w:rsidP="00766063">
            <w:pPr>
              <w:pStyle w:val="TableText0"/>
              <w:keepNext w:val="0"/>
              <w:rPr>
                <w:szCs w:val="20"/>
              </w:rPr>
            </w:pPr>
            <w:r w:rsidRPr="00766063">
              <w:rPr>
                <w:szCs w:val="20"/>
              </w:rPr>
              <w:t xml:space="preserve">D'Haens G, Panaccione R, Baert F, Bossuyt P, Colombel JF, Danese S, Dubinsky M, Feagan BG, Hisamatsu T, Lim A, Lindsay JO, Loftus EV Jr, Panés J, Peyrin-Biroulet L, Ran Z, Rubin DT, Sandborn WJ, Schreiber S, Neimark E, Song A, Kligys K, Pang Y, Pivorunas V, Berg S, Duan WR, Huang B, Kalabic J, Liao X, Robinson A, Wallace K, Ferrante M. Risankizumab as induction therapy for Crohn's disease: results from the phase 3 ADVANCE and MOTIVATE induction trials. </w:t>
            </w:r>
          </w:p>
        </w:tc>
        <w:tc>
          <w:tcPr>
            <w:tcW w:w="1431" w:type="pct"/>
          </w:tcPr>
          <w:p w14:paraId="6EB9B669" w14:textId="77777777" w:rsidR="0059604F" w:rsidRPr="00766063" w:rsidRDefault="0059604F" w:rsidP="00766063">
            <w:pPr>
              <w:pStyle w:val="TableText0"/>
              <w:keepNext w:val="0"/>
              <w:rPr>
                <w:szCs w:val="20"/>
              </w:rPr>
            </w:pPr>
            <w:r w:rsidRPr="00766063">
              <w:rPr>
                <w:szCs w:val="20"/>
              </w:rPr>
              <w:t>Lancet. 2022 May 28;399(10340):2015-2030. doi: 10.1016/S0140-6736(22)00467-6. PMID: 35644154.</w:t>
            </w:r>
          </w:p>
        </w:tc>
      </w:tr>
      <w:tr w:rsidR="0059604F" w:rsidRPr="00766063" w14:paraId="2B730152" w14:textId="77777777" w:rsidTr="00766063">
        <w:tc>
          <w:tcPr>
            <w:tcW w:w="916" w:type="pct"/>
          </w:tcPr>
          <w:p w14:paraId="0CD72323" w14:textId="77777777" w:rsidR="0059604F" w:rsidRPr="00766063" w:rsidRDefault="0059604F" w:rsidP="00766063">
            <w:pPr>
              <w:pStyle w:val="TableText0"/>
              <w:keepNext w:val="0"/>
              <w:rPr>
                <w:szCs w:val="20"/>
                <w:lang w:val="en-US"/>
              </w:rPr>
            </w:pPr>
            <w:r w:rsidRPr="00766063">
              <w:rPr>
                <w:szCs w:val="20"/>
              </w:rPr>
              <w:t>MOTIVATE</w:t>
            </w:r>
          </w:p>
          <w:p w14:paraId="346B9D47" w14:textId="77777777" w:rsidR="0059604F" w:rsidRPr="00766063" w:rsidRDefault="0059604F" w:rsidP="00766063">
            <w:pPr>
              <w:pStyle w:val="TableText0"/>
              <w:keepNext w:val="0"/>
              <w:rPr>
                <w:szCs w:val="20"/>
              </w:rPr>
            </w:pPr>
            <w:r w:rsidRPr="00766063">
              <w:rPr>
                <w:szCs w:val="20"/>
              </w:rPr>
              <w:t>NCT03104413</w:t>
            </w:r>
          </w:p>
        </w:tc>
        <w:tc>
          <w:tcPr>
            <w:tcW w:w="2653" w:type="pct"/>
          </w:tcPr>
          <w:p w14:paraId="1F7D830A" w14:textId="77777777" w:rsidR="0059604F" w:rsidRPr="00766063" w:rsidRDefault="0059604F" w:rsidP="00766063">
            <w:pPr>
              <w:pStyle w:val="TableText0"/>
              <w:keepNext w:val="0"/>
              <w:rPr>
                <w:szCs w:val="20"/>
              </w:rPr>
            </w:pPr>
            <w:r w:rsidRPr="00766063">
              <w:rPr>
                <w:szCs w:val="20"/>
              </w:rPr>
              <w:t>Joint ADVANCE and MOTIVATE publication citation above.</w:t>
            </w:r>
          </w:p>
        </w:tc>
        <w:tc>
          <w:tcPr>
            <w:tcW w:w="1431" w:type="pct"/>
          </w:tcPr>
          <w:p w14:paraId="2D18CCBC" w14:textId="77777777" w:rsidR="0059604F" w:rsidRPr="00766063" w:rsidRDefault="0059604F" w:rsidP="00766063">
            <w:pPr>
              <w:pStyle w:val="TableText0"/>
              <w:keepNext w:val="0"/>
              <w:rPr>
                <w:i/>
                <w:szCs w:val="20"/>
              </w:rPr>
            </w:pPr>
          </w:p>
        </w:tc>
      </w:tr>
      <w:tr w:rsidR="0059604F" w:rsidRPr="00766063" w14:paraId="4A211426" w14:textId="77777777" w:rsidTr="00766063">
        <w:tc>
          <w:tcPr>
            <w:tcW w:w="916" w:type="pct"/>
          </w:tcPr>
          <w:p w14:paraId="76066307" w14:textId="77777777" w:rsidR="0059604F" w:rsidRPr="00766063" w:rsidRDefault="0059604F" w:rsidP="00766063">
            <w:pPr>
              <w:pStyle w:val="TableText0"/>
              <w:keepNext w:val="0"/>
              <w:rPr>
                <w:szCs w:val="20"/>
              </w:rPr>
            </w:pPr>
            <w:r w:rsidRPr="00766063">
              <w:rPr>
                <w:szCs w:val="20"/>
              </w:rPr>
              <w:t>FORTIFY</w:t>
            </w:r>
          </w:p>
          <w:p w14:paraId="6E12053E" w14:textId="77777777" w:rsidR="0059604F" w:rsidRPr="00766063" w:rsidRDefault="0059604F" w:rsidP="00766063">
            <w:pPr>
              <w:pStyle w:val="TableText0"/>
              <w:keepNext w:val="0"/>
              <w:rPr>
                <w:szCs w:val="20"/>
              </w:rPr>
            </w:pPr>
            <w:r w:rsidRPr="00766063">
              <w:rPr>
                <w:szCs w:val="20"/>
              </w:rPr>
              <w:t>NCT03105102</w:t>
            </w:r>
          </w:p>
        </w:tc>
        <w:tc>
          <w:tcPr>
            <w:tcW w:w="2653" w:type="pct"/>
          </w:tcPr>
          <w:p w14:paraId="4460058C" w14:textId="77777777" w:rsidR="0059604F" w:rsidRPr="00766063" w:rsidRDefault="0059604F" w:rsidP="00766063">
            <w:pPr>
              <w:pStyle w:val="TableText0"/>
              <w:keepNext w:val="0"/>
              <w:rPr>
                <w:szCs w:val="20"/>
              </w:rPr>
            </w:pPr>
            <w:r w:rsidRPr="00766063">
              <w:rPr>
                <w:szCs w:val="20"/>
              </w:rPr>
              <w:t xml:space="preserve">Ferrante M, Panaccione R, Baert F, Bossuyt P, Colombel JF, Danese S, Dubinsky M, Feagan BG, Hisamatsu T, Lim A, Lindsay JO, Loftus EV Jr, Panés J, Peyrin-Biroulet L, Ran Z, Rubin DT, Sandborn WJ, Schreiber S, Neimark E, Song A, Kligys K, Pang Y, Pivorunas V, Berg S, Duan WR, Huang B, Kalabic J, Liao X, Robinson A, Wallace K, D'Haens G. Risankizumab as maintenance therapy for moderately to severely active Crohn's disease: results from the multicentre, randomized, double-blind, placebo-controlled, withdrawal phase 3 FORTIFY maintenance trial. </w:t>
            </w:r>
          </w:p>
        </w:tc>
        <w:tc>
          <w:tcPr>
            <w:tcW w:w="1431" w:type="pct"/>
          </w:tcPr>
          <w:p w14:paraId="32C1A699" w14:textId="77777777" w:rsidR="0059604F" w:rsidRPr="00766063" w:rsidRDefault="0059604F" w:rsidP="00766063">
            <w:pPr>
              <w:pStyle w:val="TableText0"/>
              <w:keepNext w:val="0"/>
              <w:rPr>
                <w:iCs/>
                <w:szCs w:val="20"/>
              </w:rPr>
            </w:pPr>
            <w:r w:rsidRPr="00766063">
              <w:rPr>
                <w:iCs/>
                <w:szCs w:val="20"/>
              </w:rPr>
              <w:t>Lancet. 2022 May 28;399(10340):2031-2046. doi: 10.1016/S0140-6736(22)00466-4. PMID: 35644155.</w:t>
            </w:r>
          </w:p>
        </w:tc>
      </w:tr>
      <w:tr w:rsidR="0059604F" w:rsidRPr="00766063" w14:paraId="07C6F29A" w14:textId="77777777" w:rsidTr="00766063">
        <w:tc>
          <w:tcPr>
            <w:tcW w:w="916" w:type="pct"/>
            <w:tcBorders>
              <w:right w:val="nil"/>
            </w:tcBorders>
          </w:tcPr>
          <w:p w14:paraId="720EC41A" w14:textId="77777777" w:rsidR="0059604F" w:rsidRPr="00766063" w:rsidRDefault="0059604F" w:rsidP="00766063">
            <w:pPr>
              <w:pStyle w:val="TableText0"/>
              <w:rPr>
                <w:b/>
                <w:bCs w:val="0"/>
                <w:szCs w:val="20"/>
              </w:rPr>
            </w:pPr>
            <w:r w:rsidRPr="00766063">
              <w:rPr>
                <w:b/>
                <w:bCs w:val="0"/>
                <w:szCs w:val="20"/>
              </w:rPr>
              <w:t xml:space="preserve">Infliximab </w:t>
            </w:r>
          </w:p>
        </w:tc>
        <w:tc>
          <w:tcPr>
            <w:tcW w:w="2653" w:type="pct"/>
            <w:tcBorders>
              <w:left w:val="nil"/>
              <w:right w:val="nil"/>
            </w:tcBorders>
          </w:tcPr>
          <w:p w14:paraId="3B861288" w14:textId="77777777" w:rsidR="0059604F" w:rsidRPr="00766063" w:rsidRDefault="0059604F" w:rsidP="00766063">
            <w:pPr>
              <w:pStyle w:val="TableText0"/>
              <w:rPr>
                <w:szCs w:val="20"/>
              </w:rPr>
            </w:pPr>
          </w:p>
        </w:tc>
        <w:tc>
          <w:tcPr>
            <w:tcW w:w="1431" w:type="pct"/>
            <w:tcBorders>
              <w:left w:val="nil"/>
            </w:tcBorders>
          </w:tcPr>
          <w:p w14:paraId="2181B344" w14:textId="77777777" w:rsidR="0059604F" w:rsidRPr="00766063" w:rsidRDefault="0059604F" w:rsidP="00766063">
            <w:pPr>
              <w:pStyle w:val="TableText0"/>
              <w:rPr>
                <w:iCs/>
                <w:szCs w:val="20"/>
              </w:rPr>
            </w:pPr>
          </w:p>
        </w:tc>
      </w:tr>
      <w:tr w:rsidR="0059604F" w:rsidRPr="00766063" w14:paraId="2C095654" w14:textId="77777777" w:rsidTr="00766063">
        <w:tc>
          <w:tcPr>
            <w:tcW w:w="916" w:type="pct"/>
          </w:tcPr>
          <w:p w14:paraId="7655A894" w14:textId="77777777" w:rsidR="0059604F" w:rsidRPr="00766063" w:rsidRDefault="0059604F" w:rsidP="00766063">
            <w:pPr>
              <w:pStyle w:val="TableText0"/>
              <w:keepNext w:val="0"/>
              <w:rPr>
                <w:szCs w:val="20"/>
              </w:rPr>
            </w:pPr>
            <w:r w:rsidRPr="00766063">
              <w:rPr>
                <w:szCs w:val="20"/>
              </w:rPr>
              <w:t>T16</w:t>
            </w:r>
          </w:p>
          <w:p w14:paraId="4F311D2B" w14:textId="77777777" w:rsidR="0059604F" w:rsidRPr="00766063" w:rsidRDefault="0059604F" w:rsidP="00766063">
            <w:pPr>
              <w:pStyle w:val="TableText0"/>
              <w:keepNext w:val="0"/>
              <w:rPr>
                <w:szCs w:val="20"/>
              </w:rPr>
            </w:pPr>
            <w:r w:rsidRPr="00766063">
              <w:rPr>
                <w:szCs w:val="20"/>
              </w:rPr>
              <w:t>NCT00269854</w:t>
            </w:r>
          </w:p>
        </w:tc>
        <w:tc>
          <w:tcPr>
            <w:tcW w:w="2653" w:type="pct"/>
          </w:tcPr>
          <w:p w14:paraId="2A38C793" w14:textId="77777777" w:rsidR="0059604F" w:rsidRPr="00766063" w:rsidRDefault="0059604F" w:rsidP="00766063">
            <w:pPr>
              <w:pStyle w:val="TableText0"/>
              <w:keepNext w:val="0"/>
              <w:rPr>
                <w:szCs w:val="20"/>
              </w:rPr>
            </w:pPr>
            <w:r w:rsidRPr="00766063">
              <w:rPr>
                <w:szCs w:val="20"/>
              </w:rPr>
              <w:t xml:space="preserve">Targan SR, Hanauer SB, van Deventer SJ, Mayer L, Present DH, Braakman T, DeWoody KL, Schaible TF, Rutgeerts PJ. A short-term study of chimeric monoclonal antibody cA2 to tumor necrosis factor alpha for Crohn's disease. Crohn's Disease cA2 Study Group. </w:t>
            </w:r>
          </w:p>
        </w:tc>
        <w:tc>
          <w:tcPr>
            <w:tcW w:w="1431" w:type="pct"/>
          </w:tcPr>
          <w:p w14:paraId="5F4D1AC8" w14:textId="77777777" w:rsidR="0059604F" w:rsidRPr="00766063" w:rsidRDefault="0059604F" w:rsidP="00766063">
            <w:pPr>
              <w:pStyle w:val="TableText0"/>
              <w:keepNext w:val="0"/>
              <w:rPr>
                <w:iCs/>
                <w:szCs w:val="20"/>
              </w:rPr>
            </w:pPr>
            <w:r w:rsidRPr="00766063">
              <w:rPr>
                <w:szCs w:val="20"/>
              </w:rPr>
              <w:t>N Engl J Med. 1997 Oct 9;337(15):1029-35. doi: 10.1056/NEJM199710093371502. PMID: 9321530.</w:t>
            </w:r>
          </w:p>
        </w:tc>
      </w:tr>
      <w:tr w:rsidR="0059604F" w:rsidRPr="00766063" w14:paraId="7AE84033" w14:textId="77777777" w:rsidTr="00766063">
        <w:tc>
          <w:tcPr>
            <w:tcW w:w="916" w:type="pct"/>
          </w:tcPr>
          <w:p w14:paraId="7D41AF07" w14:textId="77777777" w:rsidR="0059604F" w:rsidRPr="00766063" w:rsidRDefault="0059604F" w:rsidP="00766063">
            <w:pPr>
              <w:pStyle w:val="TableText0"/>
              <w:rPr>
                <w:szCs w:val="20"/>
                <w:lang w:val="en-US"/>
              </w:rPr>
            </w:pPr>
            <w:r w:rsidRPr="00766063">
              <w:rPr>
                <w:szCs w:val="20"/>
              </w:rPr>
              <w:t>ACCENT I</w:t>
            </w:r>
          </w:p>
          <w:p w14:paraId="5BE48991" w14:textId="77777777" w:rsidR="0059604F" w:rsidRPr="00766063" w:rsidRDefault="0059604F" w:rsidP="00766063">
            <w:pPr>
              <w:pStyle w:val="TableText0"/>
              <w:keepNext w:val="0"/>
              <w:rPr>
                <w:szCs w:val="20"/>
              </w:rPr>
            </w:pPr>
            <w:r w:rsidRPr="00766063">
              <w:rPr>
                <w:szCs w:val="20"/>
              </w:rPr>
              <w:t>NCT00207662</w:t>
            </w:r>
          </w:p>
        </w:tc>
        <w:tc>
          <w:tcPr>
            <w:tcW w:w="2653" w:type="pct"/>
          </w:tcPr>
          <w:p w14:paraId="697E5A69" w14:textId="77777777" w:rsidR="0059604F" w:rsidRPr="00766063" w:rsidRDefault="0059604F" w:rsidP="00766063">
            <w:pPr>
              <w:pStyle w:val="TableText0"/>
              <w:keepNext w:val="0"/>
              <w:rPr>
                <w:szCs w:val="20"/>
              </w:rPr>
            </w:pPr>
            <w:r w:rsidRPr="00766063">
              <w:rPr>
                <w:szCs w:val="20"/>
              </w:rPr>
              <w:t xml:space="preserve">Hanauer SB, Feagan BG, Lichtenstein GR, Mayer LF, Schreiber S, Colombel JF, Rachmilewitz D, Wolf DC, Olson A, Bao W, Rutgeerts P; ACCENT I Study Group. Maintenance infliximab for Crohn's disease: the ACCENT I randomized trial. </w:t>
            </w:r>
          </w:p>
        </w:tc>
        <w:tc>
          <w:tcPr>
            <w:tcW w:w="1431" w:type="pct"/>
          </w:tcPr>
          <w:p w14:paraId="2F5F6D13" w14:textId="77777777" w:rsidR="0059604F" w:rsidRPr="00766063" w:rsidRDefault="0059604F" w:rsidP="00766063">
            <w:pPr>
              <w:pStyle w:val="TableText0"/>
              <w:keepNext w:val="0"/>
              <w:rPr>
                <w:iCs/>
                <w:szCs w:val="20"/>
              </w:rPr>
            </w:pPr>
            <w:r w:rsidRPr="00766063">
              <w:rPr>
                <w:szCs w:val="20"/>
              </w:rPr>
              <w:t>Lancet. 2002 May 4;359(9317):1541-9. doi: 10.1016/S0140-6736(02)08512-4. PMID: 12047962.</w:t>
            </w:r>
          </w:p>
        </w:tc>
      </w:tr>
      <w:tr w:rsidR="0059604F" w:rsidRPr="00766063" w14:paraId="187207FE" w14:textId="77777777" w:rsidTr="00766063">
        <w:tc>
          <w:tcPr>
            <w:tcW w:w="916" w:type="pct"/>
            <w:tcBorders>
              <w:right w:val="nil"/>
            </w:tcBorders>
          </w:tcPr>
          <w:p w14:paraId="3AF3DD9D" w14:textId="77777777" w:rsidR="0059604F" w:rsidRPr="00766063" w:rsidRDefault="0059604F" w:rsidP="00766063">
            <w:pPr>
              <w:pStyle w:val="TableText0"/>
              <w:rPr>
                <w:b/>
                <w:bCs w:val="0"/>
                <w:szCs w:val="20"/>
              </w:rPr>
            </w:pPr>
            <w:r w:rsidRPr="00766063">
              <w:rPr>
                <w:b/>
                <w:bCs w:val="0"/>
                <w:szCs w:val="20"/>
              </w:rPr>
              <w:t>Ustekinumab</w:t>
            </w:r>
          </w:p>
        </w:tc>
        <w:tc>
          <w:tcPr>
            <w:tcW w:w="2653" w:type="pct"/>
            <w:tcBorders>
              <w:left w:val="nil"/>
              <w:right w:val="nil"/>
            </w:tcBorders>
          </w:tcPr>
          <w:p w14:paraId="388997E4" w14:textId="77777777" w:rsidR="0059604F" w:rsidRPr="00766063" w:rsidRDefault="0059604F" w:rsidP="00766063">
            <w:pPr>
              <w:pStyle w:val="TableText0"/>
              <w:rPr>
                <w:szCs w:val="20"/>
              </w:rPr>
            </w:pPr>
          </w:p>
        </w:tc>
        <w:tc>
          <w:tcPr>
            <w:tcW w:w="1431" w:type="pct"/>
            <w:tcBorders>
              <w:left w:val="nil"/>
            </w:tcBorders>
          </w:tcPr>
          <w:p w14:paraId="1194E717" w14:textId="77777777" w:rsidR="0059604F" w:rsidRPr="00766063" w:rsidRDefault="0059604F" w:rsidP="00766063">
            <w:pPr>
              <w:pStyle w:val="TableText0"/>
              <w:rPr>
                <w:iCs/>
                <w:szCs w:val="20"/>
              </w:rPr>
            </w:pPr>
          </w:p>
        </w:tc>
      </w:tr>
      <w:tr w:rsidR="0059604F" w:rsidRPr="00766063" w14:paraId="7CC394F3" w14:textId="77777777" w:rsidTr="00766063">
        <w:tc>
          <w:tcPr>
            <w:tcW w:w="916" w:type="pct"/>
          </w:tcPr>
          <w:p w14:paraId="69A95C4F" w14:textId="77777777" w:rsidR="0059604F" w:rsidRPr="00766063" w:rsidRDefault="0059604F" w:rsidP="00766063">
            <w:pPr>
              <w:pStyle w:val="TableText0"/>
              <w:keepNext w:val="0"/>
              <w:rPr>
                <w:szCs w:val="20"/>
                <w:lang w:val="en-US"/>
              </w:rPr>
            </w:pPr>
            <w:r w:rsidRPr="00766063">
              <w:rPr>
                <w:szCs w:val="20"/>
              </w:rPr>
              <w:t>UNITI-I</w:t>
            </w:r>
          </w:p>
          <w:p w14:paraId="43EFFFD5" w14:textId="1C985481" w:rsidR="0059604F" w:rsidRPr="00766063" w:rsidRDefault="0059604F" w:rsidP="00766063">
            <w:pPr>
              <w:pStyle w:val="TableText0"/>
              <w:keepNext w:val="0"/>
              <w:rPr>
                <w:szCs w:val="20"/>
              </w:rPr>
            </w:pPr>
            <w:r w:rsidRPr="00766063">
              <w:rPr>
                <w:szCs w:val="20"/>
              </w:rPr>
              <w:t xml:space="preserve">NCT01369329 </w:t>
            </w:r>
          </w:p>
        </w:tc>
        <w:tc>
          <w:tcPr>
            <w:tcW w:w="2653" w:type="pct"/>
            <w:tcBorders>
              <w:bottom w:val="single" w:sz="4" w:space="0" w:color="auto"/>
            </w:tcBorders>
          </w:tcPr>
          <w:p w14:paraId="69367A0C" w14:textId="77777777" w:rsidR="0059604F" w:rsidRPr="00766063" w:rsidRDefault="0059604F" w:rsidP="00766063">
            <w:pPr>
              <w:pStyle w:val="TableText0"/>
              <w:keepNext w:val="0"/>
              <w:rPr>
                <w:szCs w:val="20"/>
              </w:rPr>
            </w:pPr>
            <w:r w:rsidRPr="00766063">
              <w:rPr>
                <w:szCs w:val="20"/>
              </w:rPr>
              <w:t xml:space="preserve">Feagan BG, Sandborn WJ, Gasink C, Jacobstein D, Lang Y, Friedman JR, et al. Ustekinumab as Induction and Maintenance Therapy for Crohn's Disease. </w:t>
            </w:r>
          </w:p>
        </w:tc>
        <w:tc>
          <w:tcPr>
            <w:tcW w:w="1431" w:type="pct"/>
            <w:tcBorders>
              <w:bottom w:val="single" w:sz="4" w:space="0" w:color="auto"/>
            </w:tcBorders>
          </w:tcPr>
          <w:p w14:paraId="69F51F3C" w14:textId="138AAA09" w:rsidR="0059604F" w:rsidRPr="00766063" w:rsidRDefault="0059604F" w:rsidP="00766063">
            <w:pPr>
              <w:pStyle w:val="TableText0"/>
              <w:keepNext w:val="0"/>
              <w:rPr>
                <w:szCs w:val="20"/>
              </w:rPr>
            </w:pPr>
            <w:r w:rsidRPr="00766063">
              <w:rPr>
                <w:szCs w:val="20"/>
              </w:rPr>
              <w:t>New England Journal of Medicine. 2016;375(20):1946-60</w:t>
            </w:r>
            <w:r w:rsidR="00BD27F1" w:rsidRPr="00766063">
              <w:rPr>
                <w:szCs w:val="20"/>
              </w:rPr>
              <w:t>.</w:t>
            </w:r>
          </w:p>
          <w:p w14:paraId="7BBC2AD1" w14:textId="77777777" w:rsidR="0059604F" w:rsidRPr="00766063" w:rsidRDefault="0059604F" w:rsidP="00766063">
            <w:pPr>
              <w:pStyle w:val="TableText0"/>
              <w:keepNext w:val="0"/>
              <w:rPr>
                <w:szCs w:val="20"/>
              </w:rPr>
            </w:pPr>
          </w:p>
        </w:tc>
      </w:tr>
      <w:tr w:rsidR="0059604F" w:rsidRPr="00766063" w14:paraId="690A3E8D" w14:textId="77777777" w:rsidTr="00766063">
        <w:tc>
          <w:tcPr>
            <w:tcW w:w="916" w:type="pct"/>
          </w:tcPr>
          <w:p w14:paraId="76362662" w14:textId="77777777" w:rsidR="0059604F" w:rsidRPr="00766063" w:rsidRDefault="0059604F" w:rsidP="00766063">
            <w:pPr>
              <w:pStyle w:val="TableText0"/>
              <w:keepNext w:val="0"/>
              <w:rPr>
                <w:szCs w:val="20"/>
                <w:lang w:val="en-US"/>
              </w:rPr>
            </w:pPr>
            <w:r w:rsidRPr="00766063">
              <w:rPr>
                <w:szCs w:val="20"/>
              </w:rPr>
              <w:t>UNITI-II</w:t>
            </w:r>
          </w:p>
          <w:p w14:paraId="35C30E34" w14:textId="4F46FDFB" w:rsidR="0059604F" w:rsidRPr="00766063" w:rsidRDefault="0059604F" w:rsidP="00766063">
            <w:pPr>
              <w:pStyle w:val="TableText0"/>
              <w:keepNext w:val="0"/>
              <w:rPr>
                <w:szCs w:val="20"/>
              </w:rPr>
            </w:pPr>
            <w:r w:rsidRPr="00766063">
              <w:rPr>
                <w:szCs w:val="20"/>
              </w:rPr>
              <w:t>NCT01369342</w:t>
            </w:r>
          </w:p>
        </w:tc>
        <w:tc>
          <w:tcPr>
            <w:tcW w:w="2653" w:type="pct"/>
            <w:tcBorders>
              <w:top w:val="single" w:sz="4" w:space="0" w:color="auto"/>
            </w:tcBorders>
          </w:tcPr>
          <w:p w14:paraId="1704AFDE" w14:textId="77777777" w:rsidR="0059604F" w:rsidRPr="00766063" w:rsidRDefault="0059604F" w:rsidP="00766063">
            <w:pPr>
              <w:pStyle w:val="TableText0"/>
              <w:keepNext w:val="0"/>
              <w:rPr>
                <w:szCs w:val="20"/>
              </w:rPr>
            </w:pPr>
            <w:r w:rsidRPr="00766063">
              <w:rPr>
                <w:szCs w:val="20"/>
              </w:rPr>
              <w:t xml:space="preserve">Sandborn WJ, Rutgeerts P, Gasink C, Jacobstein D, Zou B, Johanns J, Sands BE, Hanauer SB, Targan S, Ghosh S, de Villiers WJS, Colombel JF, Feagan BG. Long-term efficacy and safety of ustekinumab for Crohn's disease through the second year of therapy. </w:t>
            </w:r>
          </w:p>
        </w:tc>
        <w:tc>
          <w:tcPr>
            <w:tcW w:w="1431" w:type="pct"/>
            <w:tcBorders>
              <w:top w:val="single" w:sz="4" w:space="0" w:color="auto"/>
            </w:tcBorders>
          </w:tcPr>
          <w:p w14:paraId="29DB9C5C" w14:textId="77777777" w:rsidR="0059604F" w:rsidRPr="00766063" w:rsidRDefault="0059604F" w:rsidP="00766063">
            <w:pPr>
              <w:pStyle w:val="TableText0"/>
              <w:keepNext w:val="0"/>
              <w:rPr>
                <w:iCs/>
                <w:szCs w:val="20"/>
              </w:rPr>
            </w:pPr>
            <w:r w:rsidRPr="00766063">
              <w:rPr>
                <w:iCs/>
                <w:szCs w:val="20"/>
              </w:rPr>
              <w:t>Aliment Pharmacol Ther. 2018 Jul;48(1):65-77. doi: 10.1111/apt.14794. Epub 2018 May 24. PMID: 29797519; PMCID: PMC6032827.</w:t>
            </w:r>
          </w:p>
        </w:tc>
      </w:tr>
      <w:tr w:rsidR="0059604F" w:rsidRPr="00766063" w14:paraId="2016B934" w14:textId="77777777" w:rsidTr="00766063">
        <w:trPr>
          <w:trHeight w:val="37"/>
        </w:trPr>
        <w:tc>
          <w:tcPr>
            <w:tcW w:w="916" w:type="pct"/>
            <w:vMerge w:val="restart"/>
          </w:tcPr>
          <w:p w14:paraId="490E8BDA" w14:textId="77777777" w:rsidR="0059604F" w:rsidRPr="00766063" w:rsidRDefault="0059604F" w:rsidP="00766063">
            <w:pPr>
              <w:pStyle w:val="TableText0"/>
              <w:keepNext w:val="0"/>
              <w:rPr>
                <w:szCs w:val="20"/>
                <w:lang w:val="en-US"/>
              </w:rPr>
            </w:pPr>
            <w:r w:rsidRPr="00766063">
              <w:rPr>
                <w:szCs w:val="20"/>
              </w:rPr>
              <w:t>IM-UNITI</w:t>
            </w:r>
          </w:p>
          <w:p w14:paraId="4E1801DC" w14:textId="77777777" w:rsidR="0059604F" w:rsidRPr="00766063" w:rsidRDefault="0059604F" w:rsidP="00766063">
            <w:pPr>
              <w:pStyle w:val="TableText0"/>
              <w:keepNext w:val="0"/>
              <w:rPr>
                <w:szCs w:val="20"/>
              </w:rPr>
            </w:pPr>
            <w:r w:rsidRPr="00766063">
              <w:rPr>
                <w:szCs w:val="20"/>
              </w:rPr>
              <w:t>NCT01369355</w:t>
            </w:r>
          </w:p>
        </w:tc>
        <w:tc>
          <w:tcPr>
            <w:tcW w:w="2653" w:type="pct"/>
            <w:tcBorders>
              <w:bottom w:val="nil"/>
            </w:tcBorders>
          </w:tcPr>
          <w:p w14:paraId="0A0C42B2" w14:textId="77777777" w:rsidR="0059604F" w:rsidRPr="00766063" w:rsidRDefault="0059604F" w:rsidP="00766063">
            <w:pPr>
              <w:pStyle w:val="TableText0"/>
              <w:keepNext w:val="0"/>
              <w:rPr>
                <w:szCs w:val="20"/>
              </w:rPr>
            </w:pPr>
            <w:r w:rsidRPr="00766063">
              <w:rPr>
                <w:szCs w:val="20"/>
              </w:rPr>
              <w:t xml:space="preserve">Hanauer SB, Sandborn WJ, Feagan BG, Gasink C, Jacobstein D, Zou B, Johanns J, Adedokun OJ, Sands BE, Rutgeerts P, de Villiers WJS, Colombel JF, Ghosh S. IM-UNITI: Three-year Efficacy, Safety, and Immunogenicity of Ustekinumab Treatment of Crohn's Disease. </w:t>
            </w:r>
          </w:p>
        </w:tc>
        <w:tc>
          <w:tcPr>
            <w:tcW w:w="1431" w:type="pct"/>
            <w:tcBorders>
              <w:bottom w:val="nil"/>
            </w:tcBorders>
          </w:tcPr>
          <w:p w14:paraId="13675E1D" w14:textId="77777777" w:rsidR="0059604F" w:rsidRPr="00766063" w:rsidRDefault="0059604F" w:rsidP="00766063">
            <w:pPr>
              <w:pStyle w:val="TableText0"/>
              <w:keepNext w:val="0"/>
              <w:rPr>
                <w:szCs w:val="20"/>
              </w:rPr>
            </w:pPr>
            <w:r w:rsidRPr="00766063">
              <w:rPr>
                <w:szCs w:val="20"/>
              </w:rPr>
              <w:t>J Crohns Colitis. 2020 Jan 1;14(1):23-32. doi: 10.1093/ecco-jcc/jjz110. PMID: 31158271.</w:t>
            </w:r>
          </w:p>
          <w:p w14:paraId="7F9241E4" w14:textId="77777777" w:rsidR="0059604F" w:rsidRPr="00766063" w:rsidRDefault="0059604F" w:rsidP="00766063">
            <w:pPr>
              <w:pStyle w:val="TableText0"/>
              <w:keepNext w:val="0"/>
              <w:rPr>
                <w:szCs w:val="20"/>
              </w:rPr>
            </w:pPr>
          </w:p>
          <w:p w14:paraId="28F6D359" w14:textId="77777777" w:rsidR="0059604F" w:rsidRPr="00766063" w:rsidRDefault="0059604F" w:rsidP="00766063">
            <w:pPr>
              <w:pStyle w:val="TableText0"/>
              <w:keepNext w:val="0"/>
              <w:rPr>
                <w:iCs/>
                <w:szCs w:val="20"/>
              </w:rPr>
            </w:pPr>
          </w:p>
        </w:tc>
      </w:tr>
      <w:tr w:rsidR="0059604F" w:rsidRPr="00766063" w14:paraId="43BC2A06" w14:textId="77777777" w:rsidTr="00766063">
        <w:trPr>
          <w:trHeight w:val="574"/>
        </w:trPr>
        <w:tc>
          <w:tcPr>
            <w:tcW w:w="916" w:type="pct"/>
            <w:vMerge/>
          </w:tcPr>
          <w:p w14:paraId="22CBB863" w14:textId="77777777" w:rsidR="0059604F" w:rsidRPr="00766063" w:rsidRDefault="0059604F" w:rsidP="00766063">
            <w:pPr>
              <w:pStyle w:val="TableText0"/>
              <w:keepNext w:val="0"/>
              <w:rPr>
                <w:szCs w:val="20"/>
              </w:rPr>
            </w:pPr>
          </w:p>
        </w:tc>
        <w:tc>
          <w:tcPr>
            <w:tcW w:w="2653" w:type="pct"/>
            <w:tcBorders>
              <w:top w:val="nil"/>
            </w:tcBorders>
          </w:tcPr>
          <w:p w14:paraId="7C6D8627" w14:textId="77777777" w:rsidR="0059604F" w:rsidRPr="00766063" w:rsidRDefault="0059604F" w:rsidP="00766063">
            <w:pPr>
              <w:pStyle w:val="TableText0"/>
              <w:keepNext w:val="0"/>
              <w:rPr>
                <w:szCs w:val="20"/>
              </w:rPr>
            </w:pPr>
            <w:r w:rsidRPr="00766063">
              <w:rPr>
                <w:szCs w:val="20"/>
              </w:rPr>
              <w:t>Sandborn WJ, Rebuck R, Wang Y, Zou B, Adedokun OJ, Gasink C, Sands BE, Hanauer SB, Targan S, Ghosh S, de Villiers WJS, Colombel JF, Feagan BG, Lynch JP. Five-Year Efficacy and Safety of Ustekinumab Treatment in Crohn's Disease: The IM-UNITI Trial.</w:t>
            </w:r>
          </w:p>
        </w:tc>
        <w:tc>
          <w:tcPr>
            <w:tcW w:w="1431" w:type="pct"/>
            <w:tcBorders>
              <w:top w:val="nil"/>
            </w:tcBorders>
          </w:tcPr>
          <w:p w14:paraId="10C07E5B" w14:textId="77777777" w:rsidR="0059604F" w:rsidRPr="00766063" w:rsidRDefault="0059604F" w:rsidP="00766063">
            <w:pPr>
              <w:pStyle w:val="TableText0"/>
              <w:keepNext w:val="0"/>
              <w:rPr>
                <w:szCs w:val="20"/>
              </w:rPr>
            </w:pPr>
            <w:r w:rsidRPr="00766063">
              <w:rPr>
                <w:szCs w:val="20"/>
              </w:rPr>
              <w:t>Clin Gastroenterol Hepatol. 2022 Mar;20(3):578-590.e4. doi: 10.1016/j.cgh.2021.02.025. Epub 2021 Feb 19. PMID: 33618023; PMCID: PMC8374005.</w:t>
            </w:r>
          </w:p>
        </w:tc>
      </w:tr>
      <w:tr w:rsidR="0059604F" w:rsidRPr="00766063" w14:paraId="731A27F6" w14:textId="77777777" w:rsidTr="00766063">
        <w:tc>
          <w:tcPr>
            <w:tcW w:w="916" w:type="pct"/>
            <w:tcBorders>
              <w:right w:val="nil"/>
            </w:tcBorders>
          </w:tcPr>
          <w:p w14:paraId="24A4EE2A" w14:textId="77777777" w:rsidR="0059604F" w:rsidRPr="00766063" w:rsidRDefault="0059604F" w:rsidP="00766063">
            <w:pPr>
              <w:pStyle w:val="TableText0"/>
              <w:rPr>
                <w:b/>
                <w:bCs w:val="0"/>
                <w:szCs w:val="20"/>
              </w:rPr>
            </w:pPr>
            <w:r w:rsidRPr="00766063">
              <w:rPr>
                <w:b/>
                <w:bCs w:val="0"/>
                <w:szCs w:val="20"/>
              </w:rPr>
              <w:t>Vedolizumab</w:t>
            </w:r>
          </w:p>
        </w:tc>
        <w:tc>
          <w:tcPr>
            <w:tcW w:w="2653" w:type="pct"/>
            <w:tcBorders>
              <w:left w:val="nil"/>
              <w:right w:val="nil"/>
            </w:tcBorders>
          </w:tcPr>
          <w:p w14:paraId="66518DC2" w14:textId="77777777" w:rsidR="0059604F" w:rsidRPr="00766063" w:rsidRDefault="0059604F" w:rsidP="00766063">
            <w:pPr>
              <w:pStyle w:val="TableText0"/>
              <w:rPr>
                <w:szCs w:val="20"/>
              </w:rPr>
            </w:pPr>
          </w:p>
        </w:tc>
        <w:tc>
          <w:tcPr>
            <w:tcW w:w="1431" w:type="pct"/>
            <w:tcBorders>
              <w:left w:val="nil"/>
            </w:tcBorders>
          </w:tcPr>
          <w:p w14:paraId="61B836C6" w14:textId="77777777" w:rsidR="0059604F" w:rsidRPr="00766063" w:rsidRDefault="0059604F" w:rsidP="00766063">
            <w:pPr>
              <w:pStyle w:val="TableText0"/>
              <w:rPr>
                <w:iCs/>
                <w:szCs w:val="20"/>
              </w:rPr>
            </w:pPr>
          </w:p>
        </w:tc>
      </w:tr>
      <w:tr w:rsidR="0059604F" w:rsidRPr="00766063" w14:paraId="77EE9081" w14:textId="77777777" w:rsidTr="00766063">
        <w:trPr>
          <w:trHeight w:val="1209"/>
        </w:trPr>
        <w:tc>
          <w:tcPr>
            <w:tcW w:w="916" w:type="pct"/>
            <w:vMerge w:val="restart"/>
          </w:tcPr>
          <w:p w14:paraId="4D7C06FF" w14:textId="77777777" w:rsidR="0059604F" w:rsidRPr="00766063" w:rsidRDefault="0059604F" w:rsidP="00766063">
            <w:pPr>
              <w:pStyle w:val="TableText0"/>
              <w:keepNext w:val="0"/>
              <w:rPr>
                <w:szCs w:val="20"/>
              </w:rPr>
            </w:pPr>
            <w:r w:rsidRPr="00766063">
              <w:rPr>
                <w:szCs w:val="20"/>
              </w:rPr>
              <w:t>GEMINI II</w:t>
            </w:r>
          </w:p>
          <w:p w14:paraId="2A253D94" w14:textId="77777777" w:rsidR="0059604F" w:rsidRPr="00766063" w:rsidRDefault="0059604F" w:rsidP="00766063">
            <w:pPr>
              <w:pStyle w:val="TableText0"/>
              <w:keepNext w:val="0"/>
              <w:rPr>
                <w:szCs w:val="20"/>
              </w:rPr>
            </w:pPr>
            <w:r w:rsidRPr="00766063">
              <w:rPr>
                <w:szCs w:val="20"/>
              </w:rPr>
              <w:t>NCT00783692</w:t>
            </w:r>
          </w:p>
        </w:tc>
        <w:tc>
          <w:tcPr>
            <w:tcW w:w="2653" w:type="pct"/>
            <w:tcBorders>
              <w:bottom w:val="nil"/>
            </w:tcBorders>
          </w:tcPr>
          <w:p w14:paraId="3FEBB5FA" w14:textId="723DF2D0" w:rsidR="0059604F" w:rsidRPr="00766063" w:rsidRDefault="0059604F" w:rsidP="00766063">
            <w:pPr>
              <w:pStyle w:val="TableText0"/>
              <w:keepNext w:val="0"/>
              <w:rPr>
                <w:szCs w:val="20"/>
              </w:rPr>
            </w:pPr>
            <w:r w:rsidRPr="00766063">
              <w:rPr>
                <w:szCs w:val="20"/>
              </w:rPr>
              <w:t xml:space="preserve">Sandborn WJ, Feagan BG, Rutgeerts P, Hanauer S, Colombel JF, Sands BE, Lukas M, Fedorak RN, Lee S, Bressler B, Fox I, Rosario M, Sankoh S, Xu J, Stephens K, Milch C, Parikh A; GEMINI 2 Study Group. Vedolizumab as induction and maintenance therapy for Crohn's disease. </w:t>
            </w:r>
          </w:p>
        </w:tc>
        <w:tc>
          <w:tcPr>
            <w:tcW w:w="1431" w:type="pct"/>
            <w:tcBorders>
              <w:bottom w:val="nil"/>
            </w:tcBorders>
          </w:tcPr>
          <w:p w14:paraId="31982DBE" w14:textId="6936955A" w:rsidR="0059604F" w:rsidRPr="00766063" w:rsidRDefault="0059604F" w:rsidP="00766063">
            <w:pPr>
              <w:pStyle w:val="TableText0"/>
              <w:keepNext w:val="0"/>
              <w:rPr>
                <w:szCs w:val="20"/>
              </w:rPr>
            </w:pPr>
            <w:r w:rsidRPr="00766063">
              <w:rPr>
                <w:szCs w:val="20"/>
              </w:rPr>
              <w:t>N Engl J Med. 2013 Aug 22;369(8):711-21. doi: 10.1056/NEJMoa1215739. PMID: 23964933.</w:t>
            </w:r>
          </w:p>
          <w:p w14:paraId="361FAAF7" w14:textId="77777777" w:rsidR="0059604F" w:rsidRPr="00766063" w:rsidRDefault="0059604F" w:rsidP="00766063">
            <w:pPr>
              <w:pStyle w:val="TableText0"/>
              <w:keepNext w:val="0"/>
              <w:rPr>
                <w:iCs/>
                <w:szCs w:val="20"/>
              </w:rPr>
            </w:pPr>
          </w:p>
        </w:tc>
      </w:tr>
      <w:tr w:rsidR="0059604F" w:rsidRPr="00766063" w14:paraId="33A6A209" w14:textId="77777777" w:rsidTr="00766063">
        <w:trPr>
          <w:trHeight w:val="1127"/>
        </w:trPr>
        <w:tc>
          <w:tcPr>
            <w:tcW w:w="916" w:type="pct"/>
            <w:vMerge/>
          </w:tcPr>
          <w:p w14:paraId="162AAFB5" w14:textId="77777777" w:rsidR="0059604F" w:rsidRPr="00766063" w:rsidRDefault="0059604F" w:rsidP="00766063">
            <w:pPr>
              <w:pStyle w:val="TableText0"/>
              <w:keepNext w:val="0"/>
              <w:rPr>
                <w:szCs w:val="20"/>
              </w:rPr>
            </w:pPr>
          </w:p>
        </w:tc>
        <w:tc>
          <w:tcPr>
            <w:tcW w:w="2653" w:type="pct"/>
            <w:tcBorders>
              <w:top w:val="nil"/>
              <w:bottom w:val="nil"/>
            </w:tcBorders>
          </w:tcPr>
          <w:p w14:paraId="3195A39E" w14:textId="4D991829" w:rsidR="0059604F" w:rsidRPr="00766063" w:rsidRDefault="0059604F" w:rsidP="00766063">
            <w:pPr>
              <w:pStyle w:val="TableText0"/>
              <w:keepNext w:val="0"/>
              <w:rPr>
                <w:szCs w:val="20"/>
              </w:rPr>
            </w:pPr>
            <w:r w:rsidRPr="00766063">
              <w:rPr>
                <w:szCs w:val="20"/>
              </w:rPr>
              <w:t xml:space="preserve">Sands BE, Sandborn WJ, Van Assche G, Lukas M, Xu J, James A, Abhyankar B, Lasch K. Vedolizumab as Induction and Maintenance Therapy for Crohn's Disease in Patients Naïve to or Who Have Failed Tumor Necrosis Factor Antagonist Therapy. </w:t>
            </w:r>
          </w:p>
        </w:tc>
        <w:tc>
          <w:tcPr>
            <w:tcW w:w="1431" w:type="pct"/>
            <w:tcBorders>
              <w:top w:val="nil"/>
              <w:bottom w:val="nil"/>
            </w:tcBorders>
          </w:tcPr>
          <w:p w14:paraId="57D8CFBE" w14:textId="0540CDD1" w:rsidR="0059604F" w:rsidRPr="00766063" w:rsidRDefault="0059604F" w:rsidP="00766063">
            <w:pPr>
              <w:pStyle w:val="TableText0"/>
              <w:keepNext w:val="0"/>
              <w:rPr>
                <w:szCs w:val="20"/>
              </w:rPr>
            </w:pPr>
            <w:r w:rsidRPr="00766063">
              <w:rPr>
                <w:szCs w:val="20"/>
              </w:rPr>
              <w:t>Inflamm Bowel Dis. 2017 Jan;23(1):97-106. doi: 10.1097/MIB.0000000000000979. PMID: 27930408.</w:t>
            </w:r>
          </w:p>
        </w:tc>
      </w:tr>
      <w:tr w:rsidR="0059604F" w:rsidRPr="00766063" w14:paraId="697FD5DD" w14:textId="77777777" w:rsidTr="00766063">
        <w:trPr>
          <w:trHeight w:val="1197"/>
        </w:trPr>
        <w:tc>
          <w:tcPr>
            <w:tcW w:w="916" w:type="pct"/>
            <w:vMerge/>
          </w:tcPr>
          <w:p w14:paraId="1AA31055" w14:textId="77777777" w:rsidR="0059604F" w:rsidRPr="00766063" w:rsidRDefault="0059604F" w:rsidP="00766063">
            <w:pPr>
              <w:pStyle w:val="TableText0"/>
              <w:keepNext w:val="0"/>
              <w:rPr>
                <w:szCs w:val="20"/>
              </w:rPr>
            </w:pPr>
          </w:p>
        </w:tc>
        <w:tc>
          <w:tcPr>
            <w:tcW w:w="2653" w:type="pct"/>
            <w:tcBorders>
              <w:top w:val="nil"/>
            </w:tcBorders>
          </w:tcPr>
          <w:p w14:paraId="7CB65748" w14:textId="77777777" w:rsidR="0059604F" w:rsidRPr="00766063" w:rsidRDefault="0059604F" w:rsidP="00766063">
            <w:pPr>
              <w:pStyle w:val="TableText0"/>
              <w:rPr>
                <w:szCs w:val="20"/>
              </w:rPr>
            </w:pPr>
            <w:r w:rsidRPr="00766063">
              <w:rPr>
                <w:szCs w:val="20"/>
              </w:rPr>
              <w:t xml:space="preserve">Vermeire S, Loftus EV Jr, Colombel JF, Feagan BG, Sandborn WJ, Sands BE, Danese S, D'Haens GR, Kaser A, Panaccione R, Rubin DT, Shafran I, McAuliffe M, Kaviya A, Sankoh S, Mody R, Abhyankar B, Smyth M. Long-term Efficacy of Vedolizumab for Crohn's Disease. </w:t>
            </w:r>
          </w:p>
        </w:tc>
        <w:tc>
          <w:tcPr>
            <w:tcW w:w="1431" w:type="pct"/>
            <w:tcBorders>
              <w:top w:val="nil"/>
            </w:tcBorders>
          </w:tcPr>
          <w:p w14:paraId="7A3F4D27" w14:textId="77777777" w:rsidR="0059604F" w:rsidRPr="00766063" w:rsidRDefault="0059604F" w:rsidP="00766063">
            <w:pPr>
              <w:pStyle w:val="TableText0"/>
              <w:rPr>
                <w:szCs w:val="20"/>
              </w:rPr>
            </w:pPr>
            <w:r w:rsidRPr="00766063">
              <w:rPr>
                <w:szCs w:val="20"/>
              </w:rPr>
              <w:t>J Crohns Colitis. 2017 Apr 1;11(4):412-424. doi: 10.1093/ecco-jcc/jjw176. PMID: 27683798.</w:t>
            </w:r>
          </w:p>
        </w:tc>
      </w:tr>
      <w:tr w:rsidR="0059604F" w:rsidRPr="00766063" w14:paraId="5D534076" w14:textId="77777777" w:rsidTr="00766063">
        <w:trPr>
          <w:trHeight w:val="1048"/>
        </w:trPr>
        <w:tc>
          <w:tcPr>
            <w:tcW w:w="916" w:type="pct"/>
          </w:tcPr>
          <w:p w14:paraId="683C737F" w14:textId="77777777" w:rsidR="0059604F" w:rsidRPr="00766063" w:rsidRDefault="0059604F" w:rsidP="00766063">
            <w:pPr>
              <w:pStyle w:val="TableText0"/>
              <w:keepNext w:val="0"/>
              <w:rPr>
                <w:szCs w:val="20"/>
              </w:rPr>
            </w:pPr>
            <w:r w:rsidRPr="00766063">
              <w:rPr>
                <w:szCs w:val="20"/>
              </w:rPr>
              <w:t>GEMINI III</w:t>
            </w:r>
          </w:p>
          <w:p w14:paraId="7227C4C5" w14:textId="77777777" w:rsidR="0059604F" w:rsidRPr="00766063" w:rsidRDefault="0059604F" w:rsidP="00766063">
            <w:pPr>
              <w:pStyle w:val="TableText0"/>
              <w:keepNext w:val="0"/>
              <w:rPr>
                <w:szCs w:val="20"/>
              </w:rPr>
            </w:pPr>
            <w:r w:rsidRPr="00766063">
              <w:rPr>
                <w:szCs w:val="20"/>
              </w:rPr>
              <w:t>NCT01224171</w:t>
            </w:r>
          </w:p>
        </w:tc>
        <w:tc>
          <w:tcPr>
            <w:tcW w:w="2653" w:type="pct"/>
          </w:tcPr>
          <w:p w14:paraId="034A40AE" w14:textId="354A05FC" w:rsidR="0059604F" w:rsidRPr="00766063" w:rsidRDefault="0059604F" w:rsidP="00766063">
            <w:pPr>
              <w:pStyle w:val="TableText0"/>
              <w:keepNext w:val="0"/>
              <w:rPr>
                <w:szCs w:val="20"/>
              </w:rPr>
            </w:pPr>
            <w:r w:rsidRPr="00766063">
              <w:rPr>
                <w:szCs w:val="20"/>
              </w:rPr>
              <w:t>Sands BE, Feagan BG, Rutgeerts P, Colombel JF, Sandborn WJ, Sy R, D'Haens G, Ben-Horin S, Xu J, Rosario M, Fox I, Parikh A, Milch C, Hanauer S. Effects of vedolizumab induction therapy for patients with Crohn's disease in whom tumor necrosis factor antagonist treatment failed.</w:t>
            </w:r>
          </w:p>
        </w:tc>
        <w:tc>
          <w:tcPr>
            <w:tcW w:w="1431" w:type="pct"/>
          </w:tcPr>
          <w:p w14:paraId="529FF3A7" w14:textId="77777777" w:rsidR="0059604F" w:rsidRPr="00766063" w:rsidRDefault="0059604F" w:rsidP="00766063">
            <w:pPr>
              <w:pStyle w:val="TableText0"/>
              <w:keepNext w:val="0"/>
              <w:rPr>
                <w:iCs/>
                <w:szCs w:val="20"/>
              </w:rPr>
            </w:pPr>
            <w:r w:rsidRPr="00766063">
              <w:rPr>
                <w:iCs/>
                <w:szCs w:val="20"/>
              </w:rPr>
              <w:t>Gastroenterology. 2014 Sep;147(3):618-627.e3. doi: 10.1053/j.gastro.2014.05.008. Epub 2014 May 21. PMID: 2459203</w:t>
            </w:r>
          </w:p>
        </w:tc>
      </w:tr>
      <w:tr w:rsidR="0059604F" w:rsidRPr="00766063" w14:paraId="509E4E7B" w14:textId="77777777" w:rsidTr="00766063">
        <w:tc>
          <w:tcPr>
            <w:tcW w:w="916" w:type="pct"/>
          </w:tcPr>
          <w:p w14:paraId="5DDCC3D6" w14:textId="1756B9D4" w:rsidR="0059604F" w:rsidRPr="00766063" w:rsidRDefault="0059604F" w:rsidP="00766063">
            <w:pPr>
              <w:pStyle w:val="TableText0"/>
              <w:keepNext w:val="0"/>
              <w:rPr>
                <w:szCs w:val="20"/>
              </w:rPr>
            </w:pPr>
            <w:r w:rsidRPr="00766063">
              <w:rPr>
                <w:szCs w:val="20"/>
              </w:rPr>
              <w:t>VISIBLE 2</w:t>
            </w:r>
            <w:r w:rsidRPr="00766063">
              <w:rPr>
                <w:szCs w:val="20"/>
              </w:rPr>
              <w:br/>
              <w:t>NCT02611817</w:t>
            </w:r>
            <w:r w:rsidR="000C52FF" w:rsidRPr="00766063">
              <w:rPr>
                <w:szCs w:val="20"/>
              </w:rPr>
              <w:t xml:space="preserve"> </w:t>
            </w:r>
          </w:p>
          <w:p w14:paraId="7951C1D4" w14:textId="77777777" w:rsidR="0059604F" w:rsidRPr="00766063" w:rsidRDefault="0059604F" w:rsidP="00766063">
            <w:pPr>
              <w:pStyle w:val="TableText0"/>
              <w:keepNext w:val="0"/>
              <w:rPr>
                <w:szCs w:val="20"/>
              </w:rPr>
            </w:pPr>
          </w:p>
        </w:tc>
        <w:tc>
          <w:tcPr>
            <w:tcW w:w="2653" w:type="pct"/>
          </w:tcPr>
          <w:p w14:paraId="5085E118" w14:textId="77777777" w:rsidR="0059604F" w:rsidRPr="00766063" w:rsidRDefault="0059604F" w:rsidP="00766063">
            <w:pPr>
              <w:pStyle w:val="TableText0"/>
              <w:keepNext w:val="0"/>
              <w:rPr>
                <w:szCs w:val="20"/>
              </w:rPr>
            </w:pPr>
            <w:r w:rsidRPr="00766063">
              <w:rPr>
                <w:szCs w:val="20"/>
              </w:rPr>
              <w:t xml:space="preserve">Vermeire S, D'Haens G, Baert F, Danese S, Kobayashi T, Loftus EV, Bhatia S, Agboton C, Rosario M, Chen C, Zhang W, Kisfalvi K, Sandborn WJ. Efficacy and Safety of Subcutaneous Vedolizumab in Patients </w:t>
            </w:r>
            <w:proofErr w:type="gramStart"/>
            <w:r w:rsidRPr="00766063">
              <w:rPr>
                <w:szCs w:val="20"/>
              </w:rPr>
              <w:t>With</w:t>
            </w:r>
            <w:proofErr w:type="gramEnd"/>
            <w:r w:rsidRPr="00766063">
              <w:rPr>
                <w:szCs w:val="20"/>
              </w:rPr>
              <w:t xml:space="preserve"> Moderately to Severely Active Crohn's Disease: Results From the VISIBLE 2 Randomised Trial. </w:t>
            </w:r>
          </w:p>
        </w:tc>
        <w:tc>
          <w:tcPr>
            <w:tcW w:w="1431" w:type="pct"/>
          </w:tcPr>
          <w:p w14:paraId="3B1931F5" w14:textId="77777777" w:rsidR="0059604F" w:rsidRPr="00766063" w:rsidRDefault="0059604F" w:rsidP="00766063">
            <w:pPr>
              <w:pStyle w:val="TableText0"/>
              <w:keepNext w:val="0"/>
              <w:rPr>
                <w:iCs/>
                <w:szCs w:val="20"/>
              </w:rPr>
            </w:pPr>
            <w:r w:rsidRPr="00766063">
              <w:rPr>
                <w:iCs/>
                <w:szCs w:val="20"/>
              </w:rPr>
              <w:t>J Crohns Colitis. 2022 Jan 28;16(1):27-38. doi: 10.1093/ecco-jcc/jjab133. PMID: 34402887; PMCID: PMC8797168.</w:t>
            </w:r>
          </w:p>
        </w:tc>
      </w:tr>
      <w:tr w:rsidR="0059604F" w:rsidRPr="00766063" w14:paraId="73D2C219" w14:textId="77777777" w:rsidTr="00766063">
        <w:tc>
          <w:tcPr>
            <w:tcW w:w="916" w:type="pct"/>
          </w:tcPr>
          <w:p w14:paraId="6435B3A7" w14:textId="77777777" w:rsidR="0059604F" w:rsidRPr="00766063" w:rsidRDefault="0059604F" w:rsidP="00766063">
            <w:pPr>
              <w:pStyle w:val="TableText0"/>
              <w:keepNext w:val="0"/>
              <w:rPr>
                <w:szCs w:val="20"/>
              </w:rPr>
            </w:pPr>
            <w:r w:rsidRPr="00766063">
              <w:rPr>
                <w:szCs w:val="20"/>
              </w:rPr>
              <w:t>Watanabe 2020</w:t>
            </w:r>
          </w:p>
          <w:p w14:paraId="7B39E7E1" w14:textId="77777777" w:rsidR="0059604F" w:rsidRPr="00766063" w:rsidRDefault="0059604F" w:rsidP="00766063">
            <w:pPr>
              <w:pStyle w:val="TableText0"/>
              <w:keepNext w:val="0"/>
              <w:rPr>
                <w:szCs w:val="20"/>
              </w:rPr>
            </w:pPr>
            <w:r w:rsidRPr="00766063">
              <w:rPr>
                <w:szCs w:val="20"/>
                <w:lang w:val="x-none"/>
              </w:rPr>
              <w:t>NCT02038920</w:t>
            </w:r>
          </w:p>
        </w:tc>
        <w:tc>
          <w:tcPr>
            <w:tcW w:w="2653" w:type="pct"/>
          </w:tcPr>
          <w:p w14:paraId="77819740" w14:textId="77777777" w:rsidR="0059604F" w:rsidRPr="00766063" w:rsidRDefault="0059604F" w:rsidP="00766063">
            <w:pPr>
              <w:pStyle w:val="TableText0"/>
              <w:keepNext w:val="0"/>
              <w:rPr>
                <w:szCs w:val="20"/>
              </w:rPr>
            </w:pPr>
            <w:r w:rsidRPr="00766063">
              <w:rPr>
                <w:szCs w:val="20"/>
              </w:rPr>
              <w:t xml:space="preserve">Watanabe K, Motoya S, Ogata H, Kanai T, Matsui T, Suzuki Y, Shikamura M, Sugiura K, Oda K, Hori T, Araki T, Watanabe M, Hibi T. Effects of vedolizumab in Japanese patients with Crohn's disease: a prospective, multicenter, randomized, placebo-controlled Phase 3 trial with exploratory analyses. </w:t>
            </w:r>
          </w:p>
        </w:tc>
        <w:tc>
          <w:tcPr>
            <w:tcW w:w="1431" w:type="pct"/>
          </w:tcPr>
          <w:p w14:paraId="41945D79" w14:textId="77777777" w:rsidR="0059604F" w:rsidRPr="00766063" w:rsidRDefault="0059604F" w:rsidP="00766063">
            <w:pPr>
              <w:pStyle w:val="TableText0"/>
              <w:keepNext w:val="0"/>
              <w:rPr>
                <w:iCs/>
                <w:szCs w:val="20"/>
              </w:rPr>
            </w:pPr>
            <w:r w:rsidRPr="00766063">
              <w:rPr>
                <w:iCs/>
                <w:szCs w:val="20"/>
              </w:rPr>
              <w:t>J Gastroenterol. 2020 Mar;55(3):291-306. doi: 10.1007/s00535-019-01647-w. Epub 2019 Dec 13. PMID: 31836930; PMCID: PMC7026209.</w:t>
            </w:r>
          </w:p>
        </w:tc>
      </w:tr>
    </w:tbl>
    <w:p w14:paraId="776D1C6F" w14:textId="77777777" w:rsidR="0059604F" w:rsidRPr="00D605AC" w:rsidRDefault="0059604F" w:rsidP="00F71FF8">
      <w:pPr>
        <w:pStyle w:val="TableFigureFooter"/>
        <w:rPr>
          <w:sz w:val="20"/>
        </w:rPr>
      </w:pPr>
      <w:r w:rsidRPr="007B5FA8">
        <w:t>Source: Table 2.3, p3</w:t>
      </w:r>
      <w:r>
        <w:t>6</w:t>
      </w:r>
      <w:r w:rsidRPr="007B5FA8">
        <w:t xml:space="preserve"> of the submission.</w:t>
      </w:r>
    </w:p>
    <w:p w14:paraId="2FE8C922" w14:textId="35A23943" w:rsidR="0059604F" w:rsidRPr="00AE4296" w:rsidRDefault="0059604F" w:rsidP="00830F3C">
      <w:pPr>
        <w:pStyle w:val="3-BodyText"/>
        <w:rPr>
          <w:rStyle w:val="CommentReference"/>
          <w:rFonts w:cstheme="majorBidi"/>
        </w:rPr>
      </w:pPr>
      <w:r w:rsidRPr="00AE4296">
        <w:t xml:space="preserve">The key features of the randomised trials included in the submission are summarised in </w:t>
      </w:r>
      <w:bookmarkEnd w:id="30"/>
      <w:r w:rsidRPr="00AE4296">
        <w:fldChar w:fldCharType="begin" w:fldLock="1"/>
      </w:r>
      <w:r w:rsidRPr="00AE4296">
        <w:instrText xml:space="preserve"> REF _Ref121578429 \h </w:instrText>
      </w:r>
      <w:r w:rsidR="00AE4296" w:rsidRPr="00AE4296">
        <w:instrText xml:space="preserve"> \* MERGEFORMAT </w:instrText>
      </w:r>
      <w:r w:rsidRPr="00AE4296">
        <w:fldChar w:fldCharType="separate"/>
      </w:r>
      <w:r w:rsidR="0033335A" w:rsidRPr="00AE4296">
        <w:t xml:space="preserve">Table </w:t>
      </w:r>
      <w:r w:rsidR="0033335A" w:rsidRPr="00AE4296">
        <w:rPr>
          <w:noProof/>
        </w:rPr>
        <w:t>3</w:t>
      </w:r>
      <w:r w:rsidRPr="00AE4296">
        <w:fldChar w:fldCharType="end"/>
      </w:r>
      <w:r w:rsidRPr="00AE4296">
        <w:t xml:space="preserve">. </w:t>
      </w:r>
    </w:p>
    <w:p w14:paraId="1078EC1B" w14:textId="2905A19C" w:rsidR="0059604F" w:rsidRPr="00AE4296" w:rsidRDefault="0059604F" w:rsidP="00E0485C">
      <w:pPr>
        <w:pStyle w:val="TableFigureHeading"/>
      </w:pPr>
      <w:bookmarkStart w:id="34" w:name="_Ref121578429"/>
      <w:r w:rsidRPr="00AE4296">
        <w:t xml:space="preserve">Table </w:t>
      </w:r>
      <w:fldSimple w:instr=" SEQ Table \* ARABIC " w:fldLock="1">
        <w:r w:rsidR="0033335A" w:rsidRPr="00AE4296">
          <w:rPr>
            <w:noProof/>
          </w:rPr>
          <w:t>3</w:t>
        </w:r>
      </w:fldSimple>
      <w:bookmarkEnd w:id="34"/>
      <w:r w:rsidRPr="00AE4296">
        <w:rPr>
          <w:snapToGrid w:val="0"/>
        </w:rPr>
        <w:t>: Key features of the included evidence (upadacitinib and comparator trials)</w:t>
      </w:r>
    </w:p>
    <w:tbl>
      <w:tblPr>
        <w:tblStyle w:val="TableGrid1"/>
        <w:tblW w:w="9213" w:type="dxa"/>
        <w:tblLayout w:type="fixed"/>
        <w:tblCellMar>
          <w:left w:w="85" w:type="dxa"/>
          <w:right w:w="85" w:type="dxa"/>
        </w:tblCellMar>
        <w:tblLook w:val="04A0" w:firstRow="1" w:lastRow="0" w:firstColumn="1" w:lastColumn="0" w:noHBand="0" w:noVBand="1"/>
      </w:tblPr>
      <w:tblGrid>
        <w:gridCol w:w="1271"/>
        <w:gridCol w:w="851"/>
        <w:gridCol w:w="1275"/>
        <w:gridCol w:w="1418"/>
        <w:gridCol w:w="850"/>
        <w:gridCol w:w="2322"/>
        <w:gridCol w:w="1226"/>
      </w:tblGrid>
      <w:tr w:rsidR="0059604F" w:rsidRPr="00AE4296" w14:paraId="262B4352" w14:textId="77777777" w:rsidTr="00766063">
        <w:trPr>
          <w:tblHeader/>
        </w:trPr>
        <w:tc>
          <w:tcPr>
            <w:tcW w:w="1271" w:type="dxa"/>
          </w:tcPr>
          <w:p w14:paraId="0A06779E" w14:textId="77777777" w:rsidR="0059604F" w:rsidRPr="00AE4296" w:rsidRDefault="0059604F" w:rsidP="000625E1">
            <w:pPr>
              <w:pStyle w:val="TableText0"/>
              <w:keepNext w:val="0"/>
              <w:widowControl w:val="0"/>
              <w:jc w:val="center"/>
              <w:rPr>
                <w:b/>
                <w:bCs w:val="0"/>
                <w:snapToGrid w:val="0"/>
                <w:sz w:val="20"/>
                <w:szCs w:val="20"/>
              </w:rPr>
            </w:pPr>
            <w:bookmarkStart w:id="35" w:name="_Hlk121595013"/>
            <w:r w:rsidRPr="00AE4296">
              <w:rPr>
                <w:b/>
                <w:bCs w:val="0"/>
                <w:sz w:val="20"/>
                <w:szCs w:val="20"/>
              </w:rPr>
              <w:t>Trial</w:t>
            </w:r>
          </w:p>
        </w:tc>
        <w:tc>
          <w:tcPr>
            <w:tcW w:w="851" w:type="dxa"/>
          </w:tcPr>
          <w:p w14:paraId="35279788" w14:textId="77777777" w:rsidR="0059604F" w:rsidRPr="00AE4296" w:rsidRDefault="0059604F" w:rsidP="000625E1">
            <w:pPr>
              <w:pStyle w:val="TableText0"/>
              <w:keepNext w:val="0"/>
              <w:widowControl w:val="0"/>
              <w:jc w:val="center"/>
              <w:rPr>
                <w:b/>
                <w:bCs w:val="0"/>
                <w:snapToGrid w:val="0"/>
                <w:sz w:val="20"/>
                <w:szCs w:val="20"/>
              </w:rPr>
            </w:pPr>
            <w:r w:rsidRPr="00AE4296">
              <w:rPr>
                <w:b/>
                <w:bCs w:val="0"/>
                <w:sz w:val="20"/>
                <w:szCs w:val="20"/>
              </w:rPr>
              <w:t>N</w:t>
            </w:r>
          </w:p>
        </w:tc>
        <w:tc>
          <w:tcPr>
            <w:tcW w:w="1275" w:type="dxa"/>
          </w:tcPr>
          <w:p w14:paraId="4AECF98C" w14:textId="77777777" w:rsidR="0059604F" w:rsidRPr="00AE4296" w:rsidRDefault="0059604F" w:rsidP="000625E1">
            <w:pPr>
              <w:pStyle w:val="TableText0"/>
              <w:keepNext w:val="0"/>
              <w:widowControl w:val="0"/>
              <w:jc w:val="center"/>
              <w:rPr>
                <w:b/>
                <w:bCs w:val="0"/>
                <w:snapToGrid w:val="0"/>
                <w:sz w:val="20"/>
                <w:szCs w:val="20"/>
              </w:rPr>
            </w:pPr>
            <w:r w:rsidRPr="00AE4296">
              <w:rPr>
                <w:b/>
                <w:bCs w:val="0"/>
                <w:sz w:val="20"/>
                <w:szCs w:val="20"/>
              </w:rPr>
              <w:t>Design</w:t>
            </w:r>
          </w:p>
        </w:tc>
        <w:tc>
          <w:tcPr>
            <w:tcW w:w="1418" w:type="dxa"/>
          </w:tcPr>
          <w:p w14:paraId="002E5218" w14:textId="77777777" w:rsidR="0059604F" w:rsidRPr="00AE4296" w:rsidRDefault="0059604F" w:rsidP="000625E1">
            <w:pPr>
              <w:pStyle w:val="TableText0"/>
              <w:keepNext w:val="0"/>
              <w:widowControl w:val="0"/>
              <w:jc w:val="center"/>
              <w:rPr>
                <w:b/>
                <w:bCs w:val="0"/>
                <w:snapToGrid w:val="0"/>
                <w:sz w:val="20"/>
                <w:szCs w:val="20"/>
              </w:rPr>
            </w:pPr>
            <w:r w:rsidRPr="00AE4296">
              <w:rPr>
                <w:b/>
                <w:bCs w:val="0"/>
                <w:sz w:val="20"/>
                <w:szCs w:val="20"/>
              </w:rPr>
              <w:t>Duration (Assessment of outcomes)</w:t>
            </w:r>
          </w:p>
        </w:tc>
        <w:tc>
          <w:tcPr>
            <w:tcW w:w="850" w:type="dxa"/>
          </w:tcPr>
          <w:p w14:paraId="0C101B38" w14:textId="77777777" w:rsidR="0059604F" w:rsidRPr="00AE4296" w:rsidRDefault="0059604F" w:rsidP="000625E1">
            <w:pPr>
              <w:pStyle w:val="TableText0"/>
              <w:jc w:val="center"/>
              <w:rPr>
                <w:b/>
                <w:bCs w:val="0"/>
                <w:sz w:val="20"/>
                <w:szCs w:val="20"/>
              </w:rPr>
            </w:pPr>
            <w:r w:rsidRPr="00AE4296">
              <w:rPr>
                <w:b/>
                <w:bCs w:val="0"/>
                <w:sz w:val="20"/>
                <w:szCs w:val="20"/>
              </w:rPr>
              <w:t>Risk of bias</w:t>
            </w:r>
          </w:p>
        </w:tc>
        <w:tc>
          <w:tcPr>
            <w:tcW w:w="2322" w:type="dxa"/>
          </w:tcPr>
          <w:p w14:paraId="60F0E52C" w14:textId="77777777" w:rsidR="0059604F" w:rsidRPr="00AE4296" w:rsidRDefault="0059604F" w:rsidP="000625E1">
            <w:pPr>
              <w:pStyle w:val="TableText0"/>
              <w:keepNext w:val="0"/>
              <w:widowControl w:val="0"/>
              <w:jc w:val="center"/>
              <w:rPr>
                <w:b/>
                <w:bCs w:val="0"/>
                <w:snapToGrid w:val="0"/>
                <w:sz w:val="20"/>
                <w:szCs w:val="20"/>
              </w:rPr>
            </w:pPr>
            <w:r w:rsidRPr="00AE4296">
              <w:rPr>
                <w:b/>
                <w:bCs w:val="0"/>
                <w:sz w:val="20"/>
                <w:szCs w:val="20"/>
              </w:rPr>
              <w:t>Patient population</w:t>
            </w:r>
          </w:p>
        </w:tc>
        <w:tc>
          <w:tcPr>
            <w:tcW w:w="1226" w:type="dxa"/>
          </w:tcPr>
          <w:p w14:paraId="1494A930" w14:textId="77777777" w:rsidR="0059604F" w:rsidRPr="00AE4296" w:rsidRDefault="0059604F" w:rsidP="000625E1">
            <w:pPr>
              <w:pStyle w:val="TableText0"/>
              <w:keepNext w:val="0"/>
              <w:widowControl w:val="0"/>
              <w:jc w:val="center"/>
              <w:rPr>
                <w:b/>
                <w:bCs w:val="0"/>
                <w:snapToGrid w:val="0"/>
                <w:sz w:val="20"/>
                <w:szCs w:val="20"/>
              </w:rPr>
            </w:pPr>
            <w:r w:rsidRPr="00AE4296">
              <w:rPr>
                <w:b/>
                <w:bCs w:val="0"/>
                <w:sz w:val="20"/>
                <w:szCs w:val="20"/>
              </w:rPr>
              <w:t>Outcome(s)</w:t>
            </w:r>
          </w:p>
        </w:tc>
      </w:tr>
      <w:tr w:rsidR="0059604F" w:rsidRPr="00AE4296" w14:paraId="12C4F13A" w14:textId="77777777" w:rsidTr="00766063">
        <w:tc>
          <w:tcPr>
            <w:tcW w:w="9213" w:type="dxa"/>
            <w:gridSpan w:val="7"/>
          </w:tcPr>
          <w:p w14:paraId="64C2730F" w14:textId="77777777" w:rsidR="0059604F" w:rsidRPr="00AE4296" w:rsidRDefault="0059604F" w:rsidP="005413BD">
            <w:pPr>
              <w:pStyle w:val="TableText0"/>
              <w:keepNext w:val="0"/>
              <w:widowControl w:val="0"/>
              <w:rPr>
                <w:b/>
                <w:bCs w:val="0"/>
                <w:sz w:val="20"/>
                <w:szCs w:val="20"/>
              </w:rPr>
            </w:pPr>
            <w:r w:rsidRPr="00AE4296">
              <w:rPr>
                <w:b/>
                <w:bCs w:val="0"/>
                <w:sz w:val="20"/>
                <w:szCs w:val="20"/>
              </w:rPr>
              <w:t>Upadacitinib vs placebo</w:t>
            </w:r>
          </w:p>
        </w:tc>
      </w:tr>
      <w:tr w:rsidR="0059604F" w:rsidRPr="00AE4296" w14:paraId="73188628" w14:textId="77777777" w:rsidTr="00766063">
        <w:tc>
          <w:tcPr>
            <w:tcW w:w="1271" w:type="dxa"/>
          </w:tcPr>
          <w:p w14:paraId="2866EB54" w14:textId="77777777" w:rsidR="0059604F" w:rsidRPr="00AE4296" w:rsidRDefault="0059604F" w:rsidP="00341A21">
            <w:pPr>
              <w:pStyle w:val="TableText0"/>
              <w:keepNext w:val="0"/>
              <w:widowControl w:val="0"/>
              <w:ind w:right="178"/>
              <w:rPr>
                <w:sz w:val="20"/>
                <w:szCs w:val="20"/>
              </w:rPr>
            </w:pPr>
            <w:r w:rsidRPr="00AE4296">
              <w:rPr>
                <w:sz w:val="20"/>
                <w:szCs w:val="20"/>
              </w:rPr>
              <w:t>U-EXCEED</w:t>
            </w:r>
          </w:p>
        </w:tc>
        <w:tc>
          <w:tcPr>
            <w:tcW w:w="851" w:type="dxa"/>
          </w:tcPr>
          <w:p w14:paraId="0F5EC445" w14:textId="0AAFA1DF" w:rsidR="0059604F" w:rsidRPr="00AE4296" w:rsidRDefault="0059604F" w:rsidP="00341A21">
            <w:pPr>
              <w:pStyle w:val="TableText0"/>
              <w:keepNext w:val="0"/>
              <w:widowControl w:val="0"/>
              <w:rPr>
                <w:sz w:val="20"/>
                <w:szCs w:val="20"/>
              </w:rPr>
            </w:pPr>
            <w:r w:rsidRPr="00AE4296">
              <w:rPr>
                <w:sz w:val="20"/>
                <w:szCs w:val="20"/>
              </w:rPr>
              <w:t>495</w:t>
            </w:r>
          </w:p>
        </w:tc>
        <w:tc>
          <w:tcPr>
            <w:tcW w:w="1275" w:type="dxa"/>
            <w:vMerge w:val="restart"/>
          </w:tcPr>
          <w:p w14:paraId="78E9025D" w14:textId="08AE4D9C" w:rsidR="0059604F" w:rsidRPr="00AE4296" w:rsidRDefault="0059604F" w:rsidP="00341A21">
            <w:pPr>
              <w:pStyle w:val="TableText0"/>
              <w:keepNext w:val="0"/>
              <w:widowControl w:val="0"/>
              <w:rPr>
                <w:sz w:val="20"/>
                <w:szCs w:val="20"/>
              </w:rPr>
            </w:pPr>
            <w:r w:rsidRPr="00AE4296">
              <w:rPr>
                <w:sz w:val="20"/>
                <w:szCs w:val="20"/>
              </w:rPr>
              <w:t>Phase 3, MC, R, DB</w:t>
            </w:r>
          </w:p>
        </w:tc>
        <w:tc>
          <w:tcPr>
            <w:tcW w:w="1418" w:type="dxa"/>
            <w:vMerge w:val="restart"/>
          </w:tcPr>
          <w:p w14:paraId="6824122C" w14:textId="4045144A" w:rsidR="0059604F" w:rsidRPr="00AE4296" w:rsidRDefault="0059604F" w:rsidP="00341A21">
            <w:pPr>
              <w:pStyle w:val="TableText0"/>
              <w:keepNext w:val="0"/>
              <w:widowControl w:val="0"/>
              <w:rPr>
                <w:sz w:val="20"/>
                <w:szCs w:val="20"/>
              </w:rPr>
            </w:pPr>
            <w:r w:rsidRPr="00AE4296">
              <w:rPr>
                <w:sz w:val="20"/>
                <w:szCs w:val="20"/>
              </w:rPr>
              <w:t>IP: 12 weeks</w:t>
            </w:r>
          </w:p>
        </w:tc>
        <w:tc>
          <w:tcPr>
            <w:tcW w:w="850" w:type="dxa"/>
          </w:tcPr>
          <w:p w14:paraId="4ADA0125" w14:textId="77777777" w:rsidR="0059604F" w:rsidRPr="00AE4296" w:rsidRDefault="0059604F" w:rsidP="00341A21">
            <w:pPr>
              <w:pStyle w:val="TableText0"/>
              <w:keepNext w:val="0"/>
              <w:widowControl w:val="0"/>
              <w:rPr>
                <w:sz w:val="20"/>
                <w:szCs w:val="20"/>
              </w:rPr>
            </w:pPr>
            <w:r w:rsidRPr="00AE4296">
              <w:rPr>
                <w:sz w:val="20"/>
                <w:szCs w:val="20"/>
              </w:rPr>
              <w:t>Low</w:t>
            </w:r>
          </w:p>
        </w:tc>
        <w:tc>
          <w:tcPr>
            <w:tcW w:w="2322" w:type="dxa"/>
          </w:tcPr>
          <w:p w14:paraId="286AB625" w14:textId="2A1144F7" w:rsidR="0059604F" w:rsidRPr="00AE4296" w:rsidRDefault="0059604F" w:rsidP="00341A21">
            <w:pPr>
              <w:pStyle w:val="TableText0"/>
              <w:keepNext w:val="0"/>
              <w:widowControl w:val="0"/>
              <w:rPr>
                <w:sz w:val="20"/>
                <w:szCs w:val="20"/>
              </w:rPr>
            </w:pPr>
            <w:r w:rsidRPr="00AE4296">
              <w:rPr>
                <w:sz w:val="20"/>
                <w:szCs w:val="20"/>
              </w:rPr>
              <w:t>Bio-experienced and inadequate response/</w:t>
            </w:r>
            <w:r w:rsidR="007D5454" w:rsidRPr="00AE4296">
              <w:rPr>
                <w:sz w:val="20"/>
                <w:szCs w:val="20"/>
              </w:rPr>
              <w:t xml:space="preserve"> </w:t>
            </w:r>
            <w:r w:rsidRPr="00AE4296">
              <w:rPr>
                <w:sz w:val="20"/>
                <w:szCs w:val="20"/>
              </w:rPr>
              <w:t>intolerant biologic therapy</w:t>
            </w:r>
          </w:p>
        </w:tc>
        <w:tc>
          <w:tcPr>
            <w:tcW w:w="1226" w:type="dxa"/>
            <w:vMerge w:val="restart"/>
          </w:tcPr>
          <w:p w14:paraId="20DA6AC8" w14:textId="77777777" w:rsidR="0059604F" w:rsidRPr="00AE4296" w:rsidRDefault="0059604F" w:rsidP="00341A21">
            <w:pPr>
              <w:pStyle w:val="TableText0"/>
              <w:keepNext w:val="0"/>
              <w:widowControl w:val="0"/>
              <w:rPr>
                <w:sz w:val="20"/>
                <w:szCs w:val="20"/>
              </w:rPr>
            </w:pPr>
            <w:r w:rsidRPr="00AE4296">
              <w:rPr>
                <w:sz w:val="20"/>
                <w:szCs w:val="20"/>
              </w:rPr>
              <w:t xml:space="preserve">CDAI clinical remission </w:t>
            </w:r>
            <w:r w:rsidRPr="00AE4296">
              <w:rPr>
                <w:sz w:val="20"/>
                <w:szCs w:val="20"/>
                <w:vertAlign w:val="superscript"/>
              </w:rPr>
              <w:t>a, b</w:t>
            </w:r>
          </w:p>
          <w:p w14:paraId="763F3D1D" w14:textId="77777777" w:rsidR="0059604F" w:rsidRPr="00AE4296" w:rsidRDefault="0059604F" w:rsidP="00341A21">
            <w:pPr>
              <w:pStyle w:val="TableText0"/>
              <w:keepNext w:val="0"/>
              <w:widowControl w:val="0"/>
              <w:rPr>
                <w:sz w:val="20"/>
                <w:szCs w:val="20"/>
              </w:rPr>
            </w:pPr>
            <w:r w:rsidRPr="00AE4296">
              <w:rPr>
                <w:sz w:val="20"/>
                <w:szCs w:val="20"/>
              </w:rPr>
              <w:t xml:space="preserve">CDAI clinical response </w:t>
            </w:r>
            <w:r w:rsidRPr="00AE4296">
              <w:rPr>
                <w:sz w:val="20"/>
                <w:szCs w:val="20"/>
                <w:vertAlign w:val="superscript"/>
              </w:rPr>
              <w:t>c</w:t>
            </w:r>
          </w:p>
        </w:tc>
      </w:tr>
      <w:tr w:rsidR="0059604F" w:rsidRPr="00AE4296" w14:paraId="2A3DE45D" w14:textId="77777777" w:rsidTr="00766063">
        <w:tc>
          <w:tcPr>
            <w:tcW w:w="1271" w:type="dxa"/>
          </w:tcPr>
          <w:p w14:paraId="0EDF99DB" w14:textId="77777777" w:rsidR="0059604F" w:rsidRPr="00AE4296" w:rsidRDefault="0059604F" w:rsidP="00341A21">
            <w:pPr>
              <w:pStyle w:val="TableText0"/>
              <w:keepNext w:val="0"/>
              <w:widowControl w:val="0"/>
              <w:rPr>
                <w:sz w:val="20"/>
                <w:szCs w:val="20"/>
              </w:rPr>
            </w:pPr>
            <w:r w:rsidRPr="00AE4296">
              <w:rPr>
                <w:sz w:val="20"/>
                <w:szCs w:val="20"/>
              </w:rPr>
              <w:t>U-EXCEL</w:t>
            </w:r>
          </w:p>
        </w:tc>
        <w:tc>
          <w:tcPr>
            <w:tcW w:w="851" w:type="dxa"/>
          </w:tcPr>
          <w:p w14:paraId="331E1AA3" w14:textId="3A2D506D" w:rsidR="0059604F" w:rsidRPr="00AE4296" w:rsidRDefault="0059604F" w:rsidP="00341A21">
            <w:pPr>
              <w:pStyle w:val="TableText0"/>
              <w:keepNext w:val="0"/>
              <w:widowControl w:val="0"/>
              <w:rPr>
                <w:sz w:val="20"/>
                <w:szCs w:val="20"/>
              </w:rPr>
            </w:pPr>
            <w:r w:rsidRPr="00AE4296">
              <w:rPr>
                <w:sz w:val="20"/>
                <w:szCs w:val="20"/>
              </w:rPr>
              <w:t>526</w:t>
            </w:r>
          </w:p>
        </w:tc>
        <w:tc>
          <w:tcPr>
            <w:tcW w:w="1275" w:type="dxa"/>
            <w:vMerge/>
          </w:tcPr>
          <w:p w14:paraId="24F09BE9" w14:textId="77777777" w:rsidR="0059604F" w:rsidRPr="00AE4296" w:rsidRDefault="0059604F" w:rsidP="00341A21">
            <w:pPr>
              <w:pStyle w:val="TableText0"/>
              <w:keepNext w:val="0"/>
              <w:widowControl w:val="0"/>
              <w:rPr>
                <w:sz w:val="20"/>
                <w:szCs w:val="20"/>
              </w:rPr>
            </w:pPr>
          </w:p>
        </w:tc>
        <w:tc>
          <w:tcPr>
            <w:tcW w:w="1418" w:type="dxa"/>
            <w:vMerge/>
          </w:tcPr>
          <w:p w14:paraId="3D99F211" w14:textId="77777777" w:rsidR="0059604F" w:rsidRPr="00AE4296" w:rsidRDefault="0059604F" w:rsidP="00341A21">
            <w:pPr>
              <w:pStyle w:val="TableText0"/>
              <w:keepNext w:val="0"/>
              <w:widowControl w:val="0"/>
              <w:rPr>
                <w:sz w:val="20"/>
                <w:szCs w:val="20"/>
              </w:rPr>
            </w:pPr>
          </w:p>
        </w:tc>
        <w:tc>
          <w:tcPr>
            <w:tcW w:w="850" w:type="dxa"/>
          </w:tcPr>
          <w:p w14:paraId="55E84766" w14:textId="77777777" w:rsidR="0059604F" w:rsidRPr="00AE4296" w:rsidRDefault="0059604F" w:rsidP="00341A21">
            <w:pPr>
              <w:pStyle w:val="TableText0"/>
              <w:keepNext w:val="0"/>
              <w:widowControl w:val="0"/>
              <w:rPr>
                <w:sz w:val="20"/>
                <w:szCs w:val="20"/>
              </w:rPr>
            </w:pPr>
            <w:r w:rsidRPr="00AE4296">
              <w:rPr>
                <w:sz w:val="20"/>
                <w:szCs w:val="20"/>
              </w:rPr>
              <w:t>Low</w:t>
            </w:r>
          </w:p>
        </w:tc>
        <w:tc>
          <w:tcPr>
            <w:tcW w:w="2322" w:type="dxa"/>
          </w:tcPr>
          <w:p w14:paraId="4B07E9FF" w14:textId="0CD5B7BA" w:rsidR="0059604F" w:rsidRPr="00AE4296" w:rsidRDefault="0059604F" w:rsidP="00204373">
            <w:pPr>
              <w:pStyle w:val="TableText0"/>
              <w:widowControl w:val="0"/>
              <w:rPr>
                <w:sz w:val="20"/>
                <w:szCs w:val="20"/>
              </w:rPr>
            </w:pPr>
            <w:r w:rsidRPr="00AE4296">
              <w:rPr>
                <w:sz w:val="20"/>
                <w:szCs w:val="20"/>
              </w:rPr>
              <w:t>Bio-naïve (</w:t>
            </w:r>
            <w:r w:rsidR="00204373" w:rsidRPr="00AE4296">
              <w:rPr>
                <w:sz w:val="20"/>
                <w:szCs w:val="20"/>
              </w:rPr>
              <w:t>inadequate response or</w:t>
            </w:r>
            <w:r w:rsidR="00F126B1" w:rsidRPr="00AE4296">
              <w:rPr>
                <w:sz w:val="20"/>
                <w:szCs w:val="20"/>
              </w:rPr>
              <w:t xml:space="preserve"> </w:t>
            </w:r>
            <w:r w:rsidR="00204373" w:rsidRPr="00AE4296">
              <w:rPr>
                <w:sz w:val="20"/>
                <w:szCs w:val="20"/>
              </w:rPr>
              <w:t>intolerance to conventional therapies but had not failed biologic therapy</w:t>
            </w:r>
            <w:r w:rsidRPr="00AE4296">
              <w:rPr>
                <w:sz w:val="20"/>
                <w:szCs w:val="20"/>
              </w:rPr>
              <w:t xml:space="preserve">) and </w:t>
            </w:r>
            <w:r w:rsidR="00F126B1" w:rsidRPr="00AE4296">
              <w:rPr>
                <w:sz w:val="20"/>
                <w:szCs w:val="20"/>
              </w:rPr>
              <w:t>bio-</w:t>
            </w:r>
            <w:r w:rsidRPr="00AE4296">
              <w:rPr>
                <w:sz w:val="20"/>
                <w:szCs w:val="20"/>
              </w:rPr>
              <w:t>experienced patients (inadequate response/</w:t>
            </w:r>
            <w:r w:rsidR="00860062" w:rsidRPr="00AE4296">
              <w:rPr>
                <w:sz w:val="20"/>
                <w:szCs w:val="20"/>
              </w:rPr>
              <w:t xml:space="preserve"> </w:t>
            </w:r>
            <w:r w:rsidRPr="00AE4296">
              <w:rPr>
                <w:sz w:val="20"/>
                <w:szCs w:val="20"/>
              </w:rPr>
              <w:t>intolerant to biologic therapy)</w:t>
            </w:r>
          </w:p>
        </w:tc>
        <w:tc>
          <w:tcPr>
            <w:tcW w:w="1226" w:type="dxa"/>
            <w:vMerge/>
          </w:tcPr>
          <w:p w14:paraId="09A8C298" w14:textId="77777777" w:rsidR="0059604F" w:rsidRPr="00AE4296" w:rsidRDefault="0059604F" w:rsidP="00341A21">
            <w:pPr>
              <w:pStyle w:val="TableText0"/>
              <w:keepNext w:val="0"/>
              <w:widowControl w:val="0"/>
              <w:rPr>
                <w:sz w:val="20"/>
                <w:szCs w:val="20"/>
              </w:rPr>
            </w:pPr>
          </w:p>
        </w:tc>
      </w:tr>
      <w:tr w:rsidR="0059604F" w:rsidRPr="00AE4296" w14:paraId="263E2872" w14:textId="77777777" w:rsidTr="00766063">
        <w:tc>
          <w:tcPr>
            <w:tcW w:w="1271" w:type="dxa"/>
          </w:tcPr>
          <w:p w14:paraId="236E7E88" w14:textId="77777777" w:rsidR="0059604F" w:rsidRPr="00AE4296" w:rsidRDefault="0059604F" w:rsidP="005413BD">
            <w:pPr>
              <w:pStyle w:val="TableText0"/>
              <w:keepNext w:val="0"/>
              <w:widowControl w:val="0"/>
              <w:rPr>
                <w:sz w:val="20"/>
                <w:szCs w:val="20"/>
              </w:rPr>
            </w:pPr>
            <w:r w:rsidRPr="00AE4296">
              <w:rPr>
                <w:sz w:val="20"/>
                <w:szCs w:val="20"/>
              </w:rPr>
              <w:t>U-ENDURE</w:t>
            </w:r>
          </w:p>
        </w:tc>
        <w:tc>
          <w:tcPr>
            <w:tcW w:w="851" w:type="dxa"/>
          </w:tcPr>
          <w:p w14:paraId="60F8EA77" w14:textId="1237DD67" w:rsidR="0059604F" w:rsidRPr="00AE4296" w:rsidRDefault="0059604F" w:rsidP="005413BD">
            <w:pPr>
              <w:pStyle w:val="TableText0"/>
              <w:keepNext w:val="0"/>
              <w:widowControl w:val="0"/>
              <w:rPr>
                <w:sz w:val="20"/>
                <w:szCs w:val="20"/>
              </w:rPr>
            </w:pPr>
            <w:r w:rsidRPr="00AE4296">
              <w:rPr>
                <w:sz w:val="20"/>
                <w:szCs w:val="20"/>
              </w:rPr>
              <w:t>502</w:t>
            </w:r>
          </w:p>
        </w:tc>
        <w:tc>
          <w:tcPr>
            <w:tcW w:w="1275" w:type="dxa"/>
            <w:vMerge/>
          </w:tcPr>
          <w:p w14:paraId="4847C6E0" w14:textId="77777777" w:rsidR="0059604F" w:rsidRPr="00AE4296" w:rsidRDefault="0059604F" w:rsidP="005413BD">
            <w:pPr>
              <w:pStyle w:val="TableText0"/>
              <w:keepNext w:val="0"/>
              <w:widowControl w:val="0"/>
              <w:rPr>
                <w:sz w:val="20"/>
                <w:szCs w:val="20"/>
              </w:rPr>
            </w:pPr>
          </w:p>
        </w:tc>
        <w:tc>
          <w:tcPr>
            <w:tcW w:w="1418" w:type="dxa"/>
          </w:tcPr>
          <w:p w14:paraId="04A54B95" w14:textId="77777777" w:rsidR="0059604F" w:rsidRPr="00AE4296" w:rsidRDefault="0059604F" w:rsidP="005413BD">
            <w:pPr>
              <w:pStyle w:val="TableText0"/>
              <w:keepNext w:val="0"/>
              <w:widowControl w:val="0"/>
              <w:rPr>
                <w:sz w:val="20"/>
                <w:szCs w:val="20"/>
              </w:rPr>
            </w:pPr>
            <w:r w:rsidRPr="00AE4296">
              <w:rPr>
                <w:sz w:val="20"/>
                <w:szCs w:val="20"/>
              </w:rPr>
              <w:t>MP: 52 weeks</w:t>
            </w:r>
          </w:p>
        </w:tc>
        <w:tc>
          <w:tcPr>
            <w:tcW w:w="850" w:type="dxa"/>
          </w:tcPr>
          <w:p w14:paraId="54513C30" w14:textId="77777777" w:rsidR="0059604F" w:rsidRPr="00AE4296" w:rsidRDefault="0059604F" w:rsidP="005413BD">
            <w:pPr>
              <w:pStyle w:val="TableText0"/>
              <w:keepNext w:val="0"/>
              <w:widowControl w:val="0"/>
              <w:rPr>
                <w:sz w:val="20"/>
                <w:szCs w:val="20"/>
              </w:rPr>
            </w:pPr>
            <w:r w:rsidRPr="00AE4296">
              <w:rPr>
                <w:sz w:val="20"/>
                <w:szCs w:val="20"/>
              </w:rPr>
              <w:t>Low</w:t>
            </w:r>
          </w:p>
        </w:tc>
        <w:tc>
          <w:tcPr>
            <w:tcW w:w="2322" w:type="dxa"/>
          </w:tcPr>
          <w:p w14:paraId="4B7EEBF5" w14:textId="77777777" w:rsidR="0059604F" w:rsidRPr="00AE4296" w:rsidRDefault="0059604F" w:rsidP="005413BD">
            <w:pPr>
              <w:pStyle w:val="TableText0"/>
              <w:keepNext w:val="0"/>
              <w:widowControl w:val="0"/>
              <w:rPr>
                <w:sz w:val="20"/>
                <w:szCs w:val="20"/>
              </w:rPr>
            </w:pPr>
            <w:r w:rsidRPr="00AE4296">
              <w:rPr>
                <w:sz w:val="20"/>
                <w:szCs w:val="20"/>
              </w:rPr>
              <w:t>Patients that completed the U-EXCEED or U-EXCEL trials and achieved SF/APS clinical response, defined as ≥30% decrease in average daily SF and/or ≥30% decrease in APS.</w:t>
            </w:r>
          </w:p>
        </w:tc>
        <w:tc>
          <w:tcPr>
            <w:tcW w:w="1226" w:type="dxa"/>
            <w:vMerge/>
          </w:tcPr>
          <w:p w14:paraId="5F2EECC5" w14:textId="77777777" w:rsidR="0059604F" w:rsidRPr="00AE4296" w:rsidRDefault="0059604F" w:rsidP="005413BD">
            <w:pPr>
              <w:pStyle w:val="TableText0"/>
              <w:keepNext w:val="0"/>
              <w:widowControl w:val="0"/>
              <w:rPr>
                <w:sz w:val="20"/>
                <w:szCs w:val="20"/>
              </w:rPr>
            </w:pPr>
          </w:p>
        </w:tc>
      </w:tr>
      <w:tr w:rsidR="0059604F" w:rsidRPr="00AE4296" w14:paraId="2547D282" w14:textId="77777777" w:rsidTr="00766063">
        <w:tc>
          <w:tcPr>
            <w:tcW w:w="9213" w:type="dxa"/>
            <w:gridSpan w:val="7"/>
          </w:tcPr>
          <w:p w14:paraId="39A25FF3" w14:textId="77777777" w:rsidR="0059604F" w:rsidRPr="00AE4296" w:rsidRDefault="0059604F" w:rsidP="005413BD">
            <w:pPr>
              <w:pStyle w:val="TableText0"/>
              <w:keepNext w:val="0"/>
              <w:widowControl w:val="0"/>
              <w:rPr>
                <w:b/>
                <w:bCs w:val="0"/>
                <w:sz w:val="20"/>
                <w:szCs w:val="20"/>
              </w:rPr>
            </w:pPr>
            <w:r w:rsidRPr="00AE4296">
              <w:rPr>
                <w:b/>
                <w:bCs w:val="0"/>
                <w:sz w:val="20"/>
                <w:szCs w:val="20"/>
              </w:rPr>
              <w:t>Adalimumab vs placebo</w:t>
            </w:r>
          </w:p>
        </w:tc>
      </w:tr>
      <w:tr w:rsidR="0059604F" w:rsidRPr="00AE4296" w14:paraId="3B6528F2" w14:textId="77777777" w:rsidTr="00766063">
        <w:tc>
          <w:tcPr>
            <w:tcW w:w="1271" w:type="dxa"/>
          </w:tcPr>
          <w:p w14:paraId="4F6387EA" w14:textId="77777777" w:rsidR="0059604F" w:rsidRPr="00AE4296" w:rsidRDefault="0059604F" w:rsidP="005413BD">
            <w:pPr>
              <w:pStyle w:val="TableText0"/>
              <w:keepNext w:val="0"/>
              <w:widowControl w:val="0"/>
              <w:rPr>
                <w:sz w:val="20"/>
                <w:szCs w:val="20"/>
              </w:rPr>
            </w:pPr>
            <w:r w:rsidRPr="00AE4296">
              <w:rPr>
                <w:sz w:val="20"/>
                <w:szCs w:val="20"/>
              </w:rPr>
              <w:t>CLASSIC I</w:t>
            </w:r>
          </w:p>
        </w:tc>
        <w:tc>
          <w:tcPr>
            <w:tcW w:w="851" w:type="dxa"/>
          </w:tcPr>
          <w:p w14:paraId="3861E8CF" w14:textId="22543E7C" w:rsidR="0059604F" w:rsidRPr="00AE4296" w:rsidRDefault="0059604F" w:rsidP="005413BD">
            <w:pPr>
              <w:pStyle w:val="TableText0"/>
              <w:keepNext w:val="0"/>
              <w:widowControl w:val="0"/>
              <w:rPr>
                <w:sz w:val="20"/>
                <w:szCs w:val="20"/>
              </w:rPr>
            </w:pPr>
            <w:r w:rsidRPr="00AE4296">
              <w:rPr>
                <w:sz w:val="20"/>
                <w:szCs w:val="20"/>
              </w:rPr>
              <w:t>299</w:t>
            </w:r>
          </w:p>
        </w:tc>
        <w:tc>
          <w:tcPr>
            <w:tcW w:w="1275" w:type="dxa"/>
            <w:vMerge w:val="restart"/>
          </w:tcPr>
          <w:p w14:paraId="234AD048" w14:textId="2A8214BC" w:rsidR="0059604F" w:rsidRPr="00AE4296" w:rsidRDefault="0059604F" w:rsidP="005413BD">
            <w:pPr>
              <w:pStyle w:val="TableText0"/>
              <w:keepNext w:val="0"/>
              <w:widowControl w:val="0"/>
              <w:rPr>
                <w:sz w:val="20"/>
                <w:szCs w:val="20"/>
              </w:rPr>
            </w:pPr>
            <w:r w:rsidRPr="00AE4296">
              <w:rPr>
                <w:sz w:val="20"/>
                <w:szCs w:val="20"/>
              </w:rPr>
              <w:t>Phase 3, R, DB, PC, MC</w:t>
            </w:r>
          </w:p>
        </w:tc>
        <w:tc>
          <w:tcPr>
            <w:tcW w:w="1418" w:type="dxa"/>
            <w:vMerge w:val="restart"/>
          </w:tcPr>
          <w:p w14:paraId="1085F1A8" w14:textId="5D0C5CDA" w:rsidR="0059604F" w:rsidRPr="00AE4296" w:rsidRDefault="0059604F" w:rsidP="005413BD">
            <w:pPr>
              <w:pStyle w:val="TableText0"/>
              <w:keepNext w:val="0"/>
              <w:widowControl w:val="0"/>
              <w:rPr>
                <w:sz w:val="20"/>
                <w:szCs w:val="20"/>
              </w:rPr>
            </w:pPr>
            <w:r w:rsidRPr="00AE4296">
              <w:rPr>
                <w:sz w:val="20"/>
                <w:szCs w:val="20"/>
              </w:rPr>
              <w:t>IP: 4 weeks</w:t>
            </w:r>
          </w:p>
        </w:tc>
        <w:tc>
          <w:tcPr>
            <w:tcW w:w="850" w:type="dxa"/>
          </w:tcPr>
          <w:p w14:paraId="7D94712D" w14:textId="77777777" w:rsidR="0059604F" w:rsidRPr="00AE4296" w:rsidRDefault="0059604F" w:rsidP="005413BD">
            <w:pPr>
              <w:pStyle w:val="TableText0"/>
              <w:keepNext w:val="0"/>
              <w:widowControl w:val="0"/>
              <w:rPr>
                <w:sz w:val="20"/>
                <w:szCs w:val="20"/>
              </w:rPr>
            </w:pPr>
            <w:r w:rsidRPr="00AE4296">
              <w:rPr>
                <w:sz w:val="20"/>
                <w:szCs w:val="20"/>
              </w:rPr>
              <w:t>Low</w:t>
            </w:r>
          </w:p>
        </w:tc>
        <w:tc>
          <w:tcPr>
            <w:tcW w:w="2322" w:type="dxa"/>
          </w:tcPr>
          <w:p w14:paraId="42C6BF90" w14:textId="312BD64F" w:rsidR="0059604F" w:rsidRPr="00AE4296" w:rsidRDefault="0059604F" w:rsidP="005413BD">
            <w:pPr>
              <w:pStyle w:val="TableText0"/>
              <w:keepNext w:val="0"/>
              <w:widowControl w:val="0"/>
              <w:rPr>
                <w:sz w:val="20"/>
                <w:szCs w:val="20"/>
              </w:rPr>
            </w:pPr>
            <w:r w:rsidRPr="00AE4296">
              <w:rPr>
                <w:sz w:val="20"/>
                <w:szCs w:val="20"/>
              </w:rPr>
              <w:t xml:space="preserve">TNF </w:t>
            </w:r>
            <w:r w:rsidR="000C67A4" w:rsidRPr="00AE4296">
              <w:rPr>
                <w:sz w:val="20"/>
                <w:szCs w:val="20"/>
              </w:rPr>
              <w:t xml:space="preserve">naïve </w:t>
            </w:r>
          </w:p>
        </w:tc>
        <w:tc>
          <w:tcPr>
            <w:tcW w:w="1226" w:type="dxa"/>
            <w:vMerge w:val="restart"/>
          </w:tcPr>
          <w:p w14:paraId="5DAFC6A9" w14:textId="77777777" w:rsidR="0059604F" w:rsidRPr="00AE4296" w:rsidRDefault="0059604F" w:rsidP="005413BD">
            <w:pPr>
              <w:pStyle w:val="TableText0"/>
              <w:keepNext w:val="0"/>
              <w:widowControl w:val="0"/>
              <w:rPr>
                <w:sz w:val="20"/>
                <w:szCs w:val="20"/>
              </w:rPr>
            </w:pPr>
            <w:r w:rsidRPr="00AE4296">
              <w:rPr>
                <w:sz w:val="20"/>
                <w:szCs w:val="20"/>
              </w:rPr>
              <w:t>Proportion of patients with remission defined as a CDAI &lt;150</w:t>
            </w:r>
          </w:p>
        </w:tc>
      </w:tr>
      <w:tr w:rsidR="0059604F" w:rsidRPr="00AE4296" w14:paraId="4480A188" w14:textId="77777777" w:rsidTr="00766063">
        <w:tc>
          <w:tcPr>
            <w:tcW w:w="1271" w:type="dxa"/>
          </w:tcPr>
          <w:p w14:paraId="32E0A6CE" w14:textId="77777777" w:rsidR="0059604F" w:rsidRPr="00AE4296" w:rsidRDefault="0059604F" w:rsidP="005413BD">
            <w:pPr>
              <w:pStyle w:val="TableText0"/>
              <w:keepNext w:val="0"/>
              <w:widowControl w:val="0"/>
              <w:rPr>
                <w:sz w:val="20"/>
                <w:szCs w:val="20"/>
              </w:rPr>
            </w:pPr>
            <w:r w:rsidRPr="00AE4296">
              <w:rPr>
                <w:sz w:val="20"/>
                <w:szCs w:val="20"/>
              </w:rPr>
              <w:t>GAIN</w:t>
            </w:r>
          </w:p>
        </w:tc>
        <w:tc>
          <w:tcPr>
            <w:tcW w:w="851" w:type="dxa"/>
          </w:tcPr>
          <w:p w14:paraId="6F6BECF9" w14:textId="5FCDEE66" w:rsidR="0059604F" w:rsidRPr="00AE4296" w:rsidRDefault="0059604F" w:rsidP="005413BD">
            <w:pPr>
              <w:pStyle w:val="TableText0"/>
              <w:keepNext w:val="0"/>
              <w:widowControl w:val="0"/>
              <w:rPr>
                <w:sz w:val="20"/>
                <w:szCs w:val="20"/>
              </w:rPr>
            </w:pPr>
            <w:r w:rsidRPr="00AE4296">
              <w:rPr>
                <w:sz w:val="20"/>
                <w:szCs w:val="20"/>
              </w:rPr>
              <w:t>325</w:t>
            </w:r>
          </w:p>
        </w:tc>
        <w:tc>
          <w:tcPr>
            <w:tcW w:w="1275" w:type="dxa"/>
            <w:vMerge/>
          </w:tcPr>
          <w:p w14:paraId="1A6EF8E2" w14:textId="77777777" w:rsidR="0059604F" w:rsidRPr="00AE4296" w:rsidRDefault="0059604F" w:rsidP="005413BD">
            <w:pPr>
              <w:pStyle w:val="TableText0"/>
              <w:keepNext w:val="0"/>
              <w:widowControl w:val="0"/>
              <w:rPr>
                <w:sz w:val="20"/>
                <w:szCs w:val="20"/>
              </w:rPr>
            </w:pPr>
          </w:p>
        </w:tc>
        <w:tc>
          <w:tcPr>
            <w:tcW w:w="1418" w:type="dxa"/>
            <w:vMerge/>
          </w:tcPr>
          <w:p w14:paraId="2E4EA349" w14:textId="77777777" w:rsidR="0059604F" w:rsidRPr="00AE4296" w:rsidRDefault="0059604F" w:rsidP="005413BD">
            <w:pPr>
              <w:pStyle w:val="TableText0"/>
              <w:keepNext w:val="0"/>
              <w:widowControl w:val="0"/>
              <w:rPr>
                <w:sz w:val="20"/>
                <w:szCs w:val="20"/>
              </w:rPr>
            </w:pPr>
          </w:p>
        </w:tc>
        <w:tc>
          <w:tcPr>
            <w:tcW w:w="850" w:type="dxa"/>
          </w:tcPr>
          <w:p w14:paraId="19DAEF4E" w14:textId="77777777" w:rsidR="0059604F" w:rsidRPr="00AE4296" w:rsidRDefault="0059604F" w:rsidP="005413BD">
            <w:pPr>
              <w:pStyle w:val="TableText0"/>
              <w:keepNext w:val="0"/>
              <w:widowControl w:val="0"/>
              <w:rPr>
                <w:sz w:val="20"/>
                <w:szCs w:val="20"/>
              </w:rPr>
            </w:pPr>
            <w:r w:rsidRPr="00AE4296">
              <w:rPr>
                <w:sz w:val="20"/>
                <w:szCs w:val="20"/>
              </w:rPr>
              <w:t>Low</w:t>
            </w:r>
          </w:p>
        </w:tc>
        <w:tc>
          <w:tcPr>
            <w:tcW w:w="2322" w:type="dxa"/>
          </w:tcPr>
          <w:p w14:paraId="7F1B3742" w14:textId="77777777" w:rsidR="0059604F" w:rsidRPr="00AE4296" w:rsidRDefault="0059604F" w:rsidP="005413BD">
            <w:pPr>
              <w:pStyle w:val="TableText0"/>
              <w:keepNext w:val="0"/>
              <w:widowControl w:val="0"/>
              <w:rPr>
                <w:sz w:val="20"/>
                <w:szCs w:val="20"/>
              </w:rPr>
            </w:pPr>
            <w:r w:rsidRPr="00AE4296">
              <w:rPr>
                <w:sz w:val="20"/>
                <w:szCs w:val="20"/>
              </w:rPr>
              <w:t>TNF-experienced (infliximab) – intolerant or lost response</w:t>
            </w:r>
          </w:p>
        </w:tc>
        <w:tc>
          <w:tcPr>
            <w:tcW w:w="1226" w:type="dxa"/>
            <w:vMerge/>
          </w:tcPr>
          <w:p w14:paraId="5223DA75" w14:textId="77777777" w:rsidR="0059604F" w:rsidRPr="00AE4296" w:rsidRDefault="0059604F" w:rsidP="005413BD">
            <w:pPr>
              <w:pStyle w:val="TableText0"/>
              <w:keepNext w:val="0"/>
              <w:widowControl w:val="0"/>
              <w:rPr>
                <w:sz w:val="20"/>
                <w:szCs w:val="20"/>
              </w:rPr>
            </w:pPr>
          </w:p>
        </w:tc>
      </w:tr>
      <w:tr w:rsidR="0059604F" w:rsidRPr="00AE4296" w14:paraId="71BCDC29" w14:textId="77777777" w:rsidTr="00766063">
        <w:tc>
          <w:tcPr>
            <w:tcW w:w="1271" w:type="dxa"/>
          </w:tcPr>
          <w:p w14:paraId="15C1AEE2" w14:textId="77777777" w:rsidR="0059604F" w:rsidRPr="00AE4296" w:rsidRDefault="0059604F" w:rsidP="005413BD">
            <w:pPr>
              <w:pStyle w:val="TableText0"/>
              <w:keepNext w:val="0"/>
              <w:widowControl w:val="0"/>
              <w:rPr>
                <w:sz w:val="20"/>
                <w:szCs w:val="20"/>
              </w:rPr>
            </w:pPr>
            <w:r w:rsidRPr="00AE4296">
              <w:rPr>
                <w:sz w:val="20"/>
                <w:szCs w:val="20"/>
              </w:rPr>
              <w:t>CHARM</w:t>
            </w:r>
          </w:p>
        </w:tc>
        <w:tc>
          <w:tcPr>
            <w:tcW w:w="851" w:type="dxa"/>
          </w:tcPr>
          <w:p w14:paraId="425ECAB9" w14:textId="4CF732E8" w:rsidR="0059604F" w:rsidRPr="00AE4296" w:rsidRDefault="0059604F" w:rsidP="005413BD">
            <w:pPr>
              <w:pStyle w:val="TableText0"/>
              <w:keepNext w:val="0"/>
              <w:widowControl w:val="0"/>
              <w:rPr>
                <w:sz w:val="20"/>
                <w:szCs w:val="20"/>
              </w:rPr>
            </w:pPr>
            <w:r w:rsidRPr="00AE4296">
              <w:rPr>
                <w:sz w:val="20"/>
                <w:szCs w:val="20"/>
              </w:rPr>
              <w:t>778</w:t>
            </w:r>
          </w:p>
        </w:tc>
        <w:tc>
          <w:tcPr>
            <w:tcW w:w="1275" w:type="dxa"/>
          </w:tcPr>
          <w:p w14:paraId="49940501" w14:textId="6773DB0F" w:rsidR="0059604F" w:rsidRPr="00AE4296" w:rsidRDefault="0059604F" w:rsidP="005413BD">
            <w:pPr>
              <w:pStyle w:val="TableText0"/>
              <w:keepNext w:val="0"/>
              <w:widowControl w:val="0"/>
              <w:rPr>
                <w:sz w:val="20"/>
                <w:szCs w:val="20"/>
              </w:rPr>
            </w:pPr>
            <w:r w:rsidRPr="00AE4296">
              <w:rPr>
                <w:sz w:val="20"/>
                <w:szCs w:val="20"/>
              </w:rPr>
              <w:t xml:space="preserve">Phase 3, R, </w:t>
            </w:r>
            <w:r w:rsidR="00D113AD" w:rsidRPr="00AE4296">
              <w:rPr>
                <w:sz w:val="20"/>
                <w:szCs w:val="20"/>
              </w:rPr>
              <w:t xml:space="preserve">OL for IP, </w:t>
            </w:r>
            <w:r w:rsidRPr="00AE4296">
              <w:rPr>
                <w:sz w:val="20"/>
                <w:szCs w:val="20"/>
              </w:rPr>
              <w:t>DB for MP, PC, MC</w:t>
            </w:r>
          </w:p>
        </w:tc>
        <w:tc>
          <w:tcPr>
            <w:tcW w:w="1418" w:type="dxa"/>
            <w:vMerge w:val="restart"/>
          </w:tcPr>
          <w:p w14:paraId="4E90E37C" w14:textId="77777777" w:rsidR="0059604F" w:rsidRPr="00AE4296" w:rsidRDefault="0059604F" w:rsidP="005413BD">
            <w:pPr>
              <w:pStyle w:val="TableText0"/>
              <w:keepNext w:val="0"/>
              <w:widowControl w:val="0"/>
              <w:rPr>
                <w:sz w:val="20"/>
                <w:szCs w:val="20"/>
              </w:rPr>
            </w:pPr>
            <w:r w:rsidRPr="00AE4296">
              <w:rPr>
                <w:sz w:val="20"/>
                <w:szCs w:val="20"/>
              </w:rPr>
              <w:t>IP: 4 weeks</w:t>
            </w:r>
          </w:p>
          <w:p w14:paraId="24E52007" w14:textId="62A7B3D3" w:rsidR="0059604F" w:rsidRPr="00AE4296" w:rsidRDefault="0059604F" w:rsidP="005413BD">
            <w:pPr>
              <w:pStyle w:val="TableText0"/>
              <w:keepNext w:val="0"/>
              <w:widowControl w:val="0"/>
              <w:rPr>
                <w:sz w:val="20"/>
                <w:szCs w:val="20"/>
              </w:rPr>
            </w:pPr>
            <w:r w:rsidRPr="00AE4296">
              <w:rPr>
                <w:sz w:val="20"/>
                <w:szCs w:val="20"/>
              </w:rPr>
              <w:t>MP: 56 weeks</w:t>
            </w:r>
          </w:p>
        </w:tc>
        <w:tc>
          <w:tcPr>
            <w:tcW w:w="850" w:type="dxa"/>
          </w:tcPr>
          <w:p w14:paraId="050A6318" w14:textId="77777777" w:rsidR="0059604F" w:rsidRPr="00AE4296" w:rsidRDefault="0059604F" w:rsidP="005413BD">
            <w:pPr>
              <w:pStyle w:val="TableText0"/>
              <w:keepNext w:val="0"/>
              <w:widowControl w:val="0"/>
              <w:rPr>
                <w:sz w:val="20"/>
                <w:szCs w:val="20"/>
              </w:rPr>
            </w:pPr>
            <w:r w:rsidRPr="00AE4296">
              <w:rPr>
                <w:sz w:val="20"/>
                <w:szCs w:val="20"/>
              </w:rPr>
              <w:t>Low</w:t>
            </w:r>
          </w:p>
        </w:tc>
        <w:tc>
          <w:tcPr>
            <w:tcW w:w="2322" w:type="dxa"/>
          </w:tcPr>
          <w:p w14:paraId="7A884C2F" w14:textId="77777777" w:rsidR="0059604F" w:rsidRPr="00AE4296" w:rsidRDefault="0059604F" w:rsidP="005413BD">
            <w:pPr>
              <w:pStyle w:val="TableText0"/>
              <w:keepNext w:val="0"/>
              <w:widowControl w:val="0"/>
              <w:rPr>
                <w:sz w:val="20"/>
                <w:szCs w:val="20"/>
              </w:rPr>
            </w:pPr>
            <w:r w:rsidRPr="00AE4296">
              <w:rPr>
                <w:sz w:val="20"/>
                <w:szCs w:val="20"/>
              </w:rPr>
              <w:t>TNF-naïve and TNF-experienced (non-refractory)</w:t>
            </w:r>
          </w:p>
        </w:tc>
        <w:tc>
          <w:tcPr>
            <w:tcW w:w="1226" w:type="dxa"/>
            <w:vMerge/>
          </w:tcPr>
          <w:p w14:paraId="59DF9751" w14:textId="77777777" w:rsidR="0059604F" w:rsidRPr="00AE4296" w:rsidRDefault="0059604F" w:rsidP="005413BD">
            <w:pPr>
              <w:pStyle w:val="TableText0"/>
              <w:keepNext w:val="0"/>
              <w:widowControl w:val="0"/>
              <w:rPr>
                <w:sz w:val="20"/>
                <w:szCs w:val="20"/>
              </w:rPr>
            </w:pPr>
          </w:p>
        </w:tc>
      </w:tr>
      <w:tr w:rsidR="0059604F" w:rsidRPr="00AE4296" w14:paraId="695A97E4" w14:textId="77777777" w:rsidTr="00766063">
        <w:tc>
          <w:tcPr>
            <w:tcW w:w="1271" w:type="dxa"/>
          </w:tcPr>
          <w:p w14:paraId="7556F3A6" w14:textId="77777777" w:rsidR="0059604F" w:rsidRPr="00AE4296" w:rsidRDefault="0059604F" w:rsidP="005413BD">
            <w:pPr>
              <w:pStyle w:val="TableText0"/>
              <w:keepNext w:val="0"/>
              <w:widowControl w:val="0"/>
              <w:rPr>
                <w:sz w:val="20"/>
                <w:szCs w:val="20"/>
              </w:rPr>
            </w:pPr>
            <w:r w:rsidRPr="00AE4296">
              <w:rPr>
                <w:sz w:val="20"/>
                <w:szCs w:val="20"/>
              </w:rPr>
              <w:t>CLASSIC II</w:t>
            </w:r>
          </w:p>
        </w:tc>
        <w:tc>
          <w:tcPr>
            <w:tcW w:w="851" w:type="dxa"/>
          </w:tcPr>
          <w:p w14:paraId="23CE10BB" w14:textId="3F70D787" w:rsidR="0059604F" w:rsidRPr="00AE4296" w:rsidRDefault="0059604F" w:rsidP="005413BD">
            <w:pPr>
              <w:pStyle w:val="TableText0"/>
              <w:keepNext w:val="0"/>
              <w:widowControl w:val="0"/>
              <w:rPr>
                <w:sz w:val="20"/>
                <w:szCs w:val="20"/>
              </w:rPr>
            </w:pPr>
            <w:r w:rsidRPr="00AE4296">
              <w:rPr>
                <w:sz w:val="20"/>
                <w:szCs w:val="20"/>
              </w:rPr>
              <w:t>55</w:t>
            </w:r>
          </w:p>
        </w:tc>
        <w:tc>
          <w:tcPr>
            <w:tcW w:w="1275" w:type="dxa"/>
          </w:tcPr>
          <w:p w14:paraId="33649F4A" w14:textId="3A715555" w:rsidR="0059604F" w:rsidRPr="00AE4296" w:rsidRDefault="0059604F" w:rsidP="005413BD">
            <w:pPr>
              <w:pStyle w:val="TableText0"/>
              <w:keepNext w:val="0"/>
              <w:widowControl w:val="0"/>
              <w:rPr>
                <w:sz w:val="20"/>
                <w:szCs w:val="20"/>
              </w:rPr>
            </w:pPr>
            <w:r w:rsidRPr="00AE4296">
              <w:rPr>
                <w:sz w:val="20"/>
                <w:szCs w:val="20"/>
              </w:rPr>
              <w:t>Phase 3, MC R, DB</w:t>
            </w:r>
          </w:p>
        </w:tc>
        <w:tc>
          <w:tcPr>
            <w:tcW w:w="1418" w:type="dxa"/>
            <w:vMerge/>
          </w:tcPr>
          <w:p w14:paraId="363FAD0E" w14:textId="77777777" w:rsidR="0059604F" w:rsidRPr="00AE4296" w:rsidRDefault="0059604F" w:rsidP="005413BD">
            <w:pPr>
              <w:pStyle w:val="TableText0"/>
              <w:keepNext w:val="0"/>
              <w:widowControl w:val="0"/>
              <w:rPr>
                <w:sz w:val="20"/>
                <w:szCs w:val="20"/>
              </w:rPr>
            </w:pPr>
          </w:p>
        </w:tc>
        <w:tc>
          <w:tcPr>
            <w:tcW w:w="850" w:type="dxa"/>
          </w:tcPr>
          <w:p w14:paraId="43DEBD64" w14:textId="77777777" w:rsidR="0059604F" w:rsidRPr="00AE4296" w:rsidRDefault="0059604F" w:rsidP="005413BD">
            <w:pPr>
              <w:pStyle w:val="TableText0"/>
              <w:keepNext w:val="0"/>
              <w:widowControl w:val="0"/>
              <w:rPr>
                <w:sz w:val="20"/>
                <w:szCs w:val="20"/>
              </w:rPr>
            </w:pPr>
            <w:r w:rsidRPr="00AE4296">
              <w:rPr>
                <w:sz w:val="20"/>
                <w:szCs w:val="20"/>
              </w:rPr>
              <w:t>Low</w:t>
            </w:r>
          </w:p>
        </w:tc>
        <w:tc>
          <w:tcPr>
            <w:tcW w:w="2322" w:type="dxa"/>
          </w:tcPr>
          <w:p w14:paraId="53146DDC" w14:textId="77777777" w:rsidR="0059604F" w:rsidRPr="00AE4296" w:rsidRDefault="0059604F" w:rsidP="005413BD">
            <w:pPr>
              <w:pStyle w:val="TableText0"/>
              <w:keepNext w:val="0"/>
              <w:widowControl w:val="0"/>
              <w:rPr>
                <w:sz w:val="20"/>
                <w:szCs w:val="20"/>
              </w:rPr>
            </w:pPr>
            <w:r w:rsidRPr="00AE4296">
              <w:rPr>
                <w:sz w:val="20"/>
                <w:szCs w:val="20"/>
              </w:rPr>
              <w:t>Patients who achieved clinical response</w:t>
            </w:r>
          </w:p>
        </w:tc>
        <w:tc>
          <w:tcPr>
            <w:tcW w:w="1226" w:type="dxa"/>
            <w:vMerge/>
          </w:tcPr>
          <w:p w14:paraId="51C7642B" w14:textId="77777777" w:rsidR="0059604F" w:rsidRPr="00AE4296" w:rsidRDefault="0059604F" w:rsidP="005413BD">
            <w:pPr>
              <w:pStyle w:val="TableText0"/>
              <w:keepNext w:val="0"/>
              <w:widowControl w:val="0"/>
              <w:rPr>
                <w:sz w:val="20"/>
                <w:szCs w:val="20"/>
              </w:rPr>
            </w:pPr>
          </w:p>
        </w:tc>
      </w:tr>
      <w:tr w:rsidR="00092D19" w:rsidRPr="00AE4296" w14:paraId="00E6956E" w14:textId="77777777" w:rsidTr="00766063">
        <w:tc>
          <w:tcPr>
            <w:tcW w:w="1271" w:type="dxa"/>
            <w:vMerge w:val="restart"/>
          </w:tcPr>
          <w:p w14:paraId="5381F09A" w14:textId="77777777" w:rsidR="00092D19" w:rsidRPr="00AE4296" w:rsidRDefault="00092D19" w:rsidP="005413BD">
            <w:pPr>
              <w:pStyle w:val="TableText0"/>
              <w:keepNext w:val="0"/>
              <w:widowControl w:val="0"/>
              <w:rPr>
                <w:sz w:val="20"/>
                <w:szCs w:val="20"/>
              </w:rPr>
            </w:pPr>
            <w:r w:rsidRPr="00AE4296">
              <w:rPr>
                <w:sz w:val="20"/>
                <w:szCs w:val="20"/>
              </w:rPr>
              <w:t>Watanabe 2012</w:t>
            </w:r>
          </w:p>
        </w:tc>
        <w:tc>
          <w:tcPr>
            <w:tcW w:w="851" w:type="dxa"/>
          </w:tcPr>
          <w:p w14:paraId="3AF81791" w14:textId="4936B170" w:rsidR="00092D19" w:rsidRPr="00AE4296" w:rsidRDefault="00092D19" w:rsidP="005413BD">
            <w:pPr>
              <w:pStyle w:val="TableText0"/>
              <w:keepNext w:val="0"/>
              <w:widowControl w:val="0"/>
              <w:rPr>
                <w:sz w:val="20"/>
                <w:szCs w:val="20"/>
              </w:rPr>
            </w:pPr>
            <w:r w:rsidRPr="00AE4296">
              <w:rPr>
                <w:sz w:val="20"/>
                <w:szCs w:val="20"/>
              </w:rPr>
              <w:t>90</w:t>
            </w:r>
          </w:p>
        </w:tc>
        <w:tc>
          <w:tcPr>
            <w:tcW w:w="1275" w:type="dxa"/>
            <w:vMerge w:val="restart"/>
          </w:tcPr>
          <w:p w14:paraId="35C3FFC4" w14:textId="429215A0" w:rsidR="00092D19" w:rsidRPr="00AE4296" w:rsidRDefault="00092D19" w:rsidP="005413BD">
            <w:pPr>
              <w:pStyle w:val="TableText0"/>
              <w:keepNext w:val="0"/>
              <w:widowControl w:val="0"/>
              <w:rPr>
                <w:sz w:val="20"/>
                <w:szCs w:val="20"/>
              </w:rPr>
            </w:pPr>
            <w:r w:rsidRPr="00AE4296">
              <w:rPr>
                <w:sz w:val="20"/>
                <w:szCs w:val="20"/>
              </w:rPr>
              <w:t>Phase 2/3, R, DB</w:t>
            </w:r>
          </w:p>
        </w:tc>
        <w:tc>
          <w:tcPr>
            <w:tcW w:w="1418" w:type="dxa"/>
          </w:tcPr>
          <w:p w14:paraId="3B37D7B2" w14:textId="77777777" w:rsidR="00092D19" w:rsidRPr="00AE4296" w:rsidRDefault="00092D19" w:rsidP="005413BD">
            <w:pPr>
              <w:pStyle w:val="TableText0"/>
              <w:keepNext w:val="0"/>
              <w:widowControl w:val="0"/>
              <w:rPr>
                <w:sz w:val="20"/>
                <w:szCs w:val="20"/>
              </w:rPr>
            </w:pPr>
            <w:r w:rsidRPr="00AE4296">
              <w:rPr>
                <w:sz w:val="20"/>
                <w:szCs w:val="20"/>
              </w:rPr>
              <w:t>IP:8 weeks</w:t>
            </w:r>
          </w:p>
        </w:tc>
        <w:tc>
          <w:tcPr>
            <w:tcW w:w="850" w:type="dxa"/>
          </w:tcPr>
          <w:p w14:paraId="685AAB2B" w14:textId="77777777" w:rsidR="00092D19" w:rsidRPr="00AE4296" w:rsidRDefault="00092D19" w:rsidP="005413BD">
            <w:pPr>
              <w:pStyle w:val="TableText0"/>
              <w:keepNext w:val="0"/>
              <w:widowControl w:val="0"/>
              <w:rPr>
                <w:sz w:val="20"/>
                <w:szCs w:val="20"/>
              </w:rPr>
            </w:pPr>
            <w:r w:rsidRPr="00AE4296">
              <w:rPr>
                <w:sz w:val="20"/>
                <w:szCs w:val="20"/>
              </w:rPr>
              <w:t>Low</w:t>
            </w:r>
          </w:p>
        </w:tc>
        <w:tc>
          <w:tcPr>
            <w:tcW w:w="2322" w:type="dxa"/>
          </w:tcPr>
          <w:p w14:paraId="796572D9" w14:textId="77777777" w:rsidR="00092D19" w:rsidRPr="00AE4296" w:rsidRDefault="00092D19" w:rsidP="005413BD">
            <w:pPr>
              <w:pStyle w:val="TableText0"/>
              <w:keepNext w:val="0"/>
              <w:widowControl w:val="0"/>
              <w:rPr>
                <w:sz w:val="20"/>
                <w:szCs w:val="20"/>
              </w:rPr>
            </w:pPr>
            <w:r w:rsidRPr="00AE4296">
              <w:rPr>
                <w:sz w:val="20"/>
                <w:szCs w:val="20"/>
              </w:rPr>
              <w:t>TNF-naïve and TNF-experienced. non-responders to prior anti-TNF therapy were excluded</w:t>
            </w:r>
          </w:p>
        </w:tc>
        <w:tc>
          <w:tcPr>
            <w:tcW w:w="1226" w:type="dxa"/>
            <w:vMerge/>
          </w:tcPr>
          <w:p w14:paraId="43F3F40E" w14:textId="77777777" w:rsidR="00092D19" w:rsidRPr="00AE4296" w:rsidRDefault="00092D19" w:rsidP="005413BD">
            <w:pPr>
              <w:pStyle w:val="TableText0"/>
              <w:keepNext w:val="0"/>
              <w:widowControl w:val="0"/>
              <w:rPr>
                <w:sz w:val="20"/>
                <w:szCs w:val="20"/>
              </w:rPr>
            </w:pPr>
          </w:p>
        </w:tc>
      </w:tr>
      <w:tr w:rsidR="00092D19" w:rsidRPr="00AE4296" w14:paraId="388B65F9" w14:textId="77777777" w:rsidTr="00766063">
        <w:tc>
          <w:tcPr>
            <w:tcW w:w="1271" w:type="dxa"/>
            <w:vMerge/>
          </w:tcPr>
          <w:p w14:paraId="28FF565C" w14:textId="1B1E8AE6" w:rsidR="00092D19" w:rsidRPr="00AE4296" w:rsidRDefault="00092D19" w:rsidP="005413BD">
            <w:pPr>
              <w:pStyle w:val="TableText0"/>
              <w:keepNext w:val="0"/>
              <w:widowControl w:val="0"/>
              <w:rPr>
                <w:sz w:val="20"/>
                <w:szCs w:val="20"/>
              </w:rPr>
            </w:pPr>
          </w:p>
        </w:tc>
        <w:tc>
          <w:tcPr>
            <w:tcW w:w="851" w:type="dxa"/>
          </w:tcPr>
          <w:p w14:paraId="66A0C024" w14:textId="4B5DD898" w:rsidR="00092D19" w:rsidRPr="00AE4296" w:rsidRDefault="00092D19" w:rsidP="005413BD">
            <w:pPr>
              <w:pStyle w:val="TableText0"/>
              <w:keepNext w:val="0"/>
              <w:widowControl w:val="0"/>
              <w:rPr>
                <w:sz w:val="20"/>
                <w:szCs w:val="20"/>
              </w:rPr>
            </w:pPr>
            <w:r w:rsidRPr="00AE4296">
              <w:rPr>
                <w:sz w:val="20"/>
                <w:szCs w:val="20"/>
              </w:rPr>
              <w:t>50</w:t>
            </w:r>
          </w:p>
        </w:tc>
        <w:tc>
          <w:tcPr>
            <w:tcW w:w="1275" w:type="dxa"/>
            <w:vMerge/>
          </w:tcPr>
          <w:p w14:paraId="3FF81DAD" w14:textId="77777777" w:rsidR="00092D19" w:rsidRPr="00AE4296" w:rsidRDefault="00092D19" w:rsidP="005413BD">
            <w:pPr>
              <w:pStyle w:val="TableText0"/>
              <w:keepNext w:val="0"/>
              <w:widowControl w:val="0"/>
              <w:rPr>
                <w:sz w:val="20"/>
                <w:szCs w:val="20"/>
              </w:rPr>
            </w:pPr>
          </w:p>
        </w:tc>
        <w:tc>
          <w:tcPr>
            <w:tcW w:w="1418" w:type="dxa"/>
          </w:tcPr>
          <w:p w14:paraId="2C9749EB" w14:textId="77777777" w:rsidR="00092D19" w:rsidRPr="00AE4296" w:rsidRDefault="00092D19" w:rsidP="005413BD">
            <w:pPr>
              <w:pStyle w:val="TableText0"/>
              <w:keepNext w:val="0"/>
              <w:widowControl w:val="0"/>
              <w:rPr>
                <w:sz w:val="20"/>
                <w:szCs w:val="20"/>
              </w:rPr>
            </w:pPr>
            <w:r w:rsidRPr="00AE4296">
              <w:rPr>
                <w:sz w:val="20"/>
                <w:szCs w:val="20"/>
              </w:rPr>
              <w:t>MP: 52 weeks</w:t>
            </w:r>
          </w:p>
        </w:tc>
        <w:tc>
          <w:tcPr>
            <w:tcW w:w="850" w:type="dxa"/>
          </w:tcPr>
          <w:p w14:paraId="42FB8E91" w14:textId="77777777" w:rsidR="00092D19" w:rsidRPr="00AE4296" w:rsidRDefault="00092D19" w:rsidP="005413BD">
            <w:pPr>
              <w:pStyle w:val="TableText0"/>
              <w:keepNext w:val="0"/>
              <w:widowControl w:val="0"/>
              <w:rPr>
                <w:sz w:val="20"/>
                <w:szCs w:val="20"/>
              </w:rPr>
            </w:pPr>
            <w:r w:rsidRPr="00AE4296">
              <w:rPr>
                <w:sz w:val="20"/>
                <w:szCs w:val="20"/>
              </w:rPr>
              <w:t>Low</w:t>
            </w:r>
          </w:p>
        </w:tc>
        <w:tc>
          <w:tcPr>
            <w:tcW w:w="2322" w:type="dxa"/>
          </w:tcPr>
          <w:p w14:paraId="4799347B" w14:textId="77777777" w:rsidR="00092D19" w:rsidRPr="00AE4296" w:rsidRDefault="00092D19" w:rsidP="005413BD">
            <w:pPr>
              <w:pStyle w:val="TableText0"/>
              <w:keepNext w:val="0"/>
              <w:widowControl w:val="0"/>
              <w:rPr>
                <w:sz w:val="20"/>
                <w:szCs w:val="20"/>
              </w:rPr>
            </w:pPr>
            <w:r w:rsidRPr="00AE4296">
              <w:rPr>
                <w:sz w:val="20"/>
                <w:szCs w:val="20"/>
              </w:rPr>
              <w:t>TNF-experienced and achieving a clinical response in the induction phase</w:t>
            </w:r>
          </w:p>
        </w:tc>
        <w:tc>
          <w:tcPr>
            <w:tcW w:w="1226" w:type="dxa"/>
            <w:vMerge/>
          </w:tcPr>
          <w:p w14:paraId="5B7F2A6C" w14:textId="77777777" w:rsidR="00092D19" w:rsidRPr="00AE4296" w:rsidRDefault="00092D19" w:rsidP="005413BD">
            <w:pPr>
              <w:pStyle w:val="TableText0"/>
              <w:keepNext w:val="0"/>
              <w:widowControl w:val="0"/>
              <w:rPr>
                <w:sz w:val="20"/>
                <w:szCs w:val="20"/>
              </w:rPr>
            </w:pPr>
          </w:p>
        </w:tc>
      </w:tr>
      <w:tr w:rsidR="0059604F" w:rsidRPr="00AE4296" w14:paraId="188B048B" w14:textId="77777777" w:rsidTr="00766063">
        <w:tc>
          <w:tcPr>
            <w:tcW w:w="9213" w:type="dxa"/>
            <w:gridSpan w:val="7"/>
          </w:tcPr>
          <w:p w14:paraId="56D3DB25" w14:textId="77777777" w:rsidR="0059604F" w:rsidRPr="00AE4296" w:rsidRDefault="0059604F" w:rsidP="005413BD">
            <w:pPr>
              <w:pStyle w:val="TableText0"/>
              <w:keepNext w:val="0"/>
              <w:widowControl w:val="0"/>
              <w:rPr>
                <w:b/>
                <w:bCs w:val="0"/>
                <w:sz w:val="20"/>
                <w:szCs w:val="20"/>
              </w:rPr>
            </w:pPr>
            <w:r w:rsidRPr="00AE4296">
              <w:rPr>
                <w:b/>
                <w:bCs w:val="0"/>
                <w:sz w:val="20"/>
                <w:szCs w:val="20"/>
              </w:rPr>
              <w:t>Risankizumab vs placebo</w:t>
            </w:r>
          </w:p>
        </w:tc>
      </w:tr>
      <w:tr w:rsidR="0059604F" w:rsidRPr="00AE4296" w14:paraId="20F53256" w14:textId="77777777" w:rsidTr="00766063">
        <w:tc>
          <w:tcPr>
            <w:tcW w:w="1271" w:type="dxa"/>
          </w:tcPr>
          <w:p w14:paraId="283A03C4" w14:textId="77777777" w:rsidR="0059604F" w:rsidRPr="00AE4296" w:rsidRDefault="0059604F" w:rsidP="005413BD">
            <w:pPr>
              <w:pStyle w:val="TableText0"/>
              <w:keepNext w:val="0"/>
              <w:widowControl w:val="0"/>
              <w:rPr>
                <w:sz w:val="20"/>
                <w:szCs w:val="20"/>
              </w:rPr>
            </w:pPr>
            <w:r w:rsidRPr="00AE4296">
              <w:rPr>
                <w:sz w:val="20"/>
                <w:szCs w:val="20"/>
              </w:rPr>
              <w:lastRenderedPageBreak/>
              <w:t>M15-993</w:t>
            </w:r>
          </w:p>
        </w:tc>
        <w:tc>
          <w:tcPr>
            <w:tcW w:w="851" w:type="dxa"/>
          </w:tcPr>
          <w:p w14:paraId="54AF43AE" w14:textId="2DB59CF3" w:rsidR="0059604F" w:rsidRPr="00AE4296" w:rsidRDefault="0059604F" w:rsidP="005413BD">
            <w:pPr>
              <w:pStyle w:val="TableText0"/>
              <w:keepNext w:val="0"/>
              <w:widowControl w:val="0"/>
              <w:rPr>
                <w:sz w:val="20"/>
                <w:szCs w:val="20"/>
              </w:rPr>
            </w:pPr>
            <w:r w:rsidRPr="00AE4296">
              <w:rPr>
                <w:sz w:val="20"/>
                <w:szCs w:val="20"/>
              </w:rPr>
              <w:t>121</w:t>
            </w:r>
          </w:p>
        </w:tc>
        <w:tc>
          <w:tcPr>
            <w:tcW w:w="1275" w:type="dxa"/>
          </w:tcPr>
          <w:p w14:paraId="62C43D01" w14:textId="5217AEDB" w:rsidR="0059604F" w:rsidRPr="00AE4296" w:rsidRDefault="0059604F" w:rsidP="005413BD">
            <w:pPr>
              <w:pStyle w:val="TableText0"/>
              <w:keepNext w:val="0"/>
              <w:widowControl w:val="0"/>
              <w:rPr>
                <w:sz w:val="20"/>
                <w:szCs w:val="20"/>
              </w:rPr>
            </w:pPr>
            <w:r w:rsidRPr="00AE4296">
              <w:rPr>
                <w:sz w:val="20"/>
                <w:szCs w:val="20"/>
              </w:rPr>
              <w:t>Phase 2, R, DB, PC, MC</w:t>
            </w:r>
          </w:p>
        </w:tc>
        <w:tc>
          <w:tcPr>
            <w:tcW w:w="1418" w:type="dxa"/>
            <w:vMerge w:val="restart"/>
          </w:tcPr>
          <w:p w14:paraId="15DE44CC" w14:textId="708A92E2" w:rsidR="0059604F" w:rsidRPr="00AE4296" w:rsidRDefault="0059604F" w:rsidP="005413BD">
            <w:pPr>
              <w:pStyle w:val="TableText0"/>
              <w:keepNext w:val="0"/>
              <w:widowControl w:val="0"/>
              <w:rPr>
                <w:sz w:val="20"/>
                <w:szCs w:val="20"/>
              </w:rPr>
            </w:pPr>
            <w:r w:rsidRPr="00AE4296">
              <w:rPr>
                <w:sz w:val="20"/>
                <w:szCs w:val="20"/>
              </w:rPr>
              <w:t>IP: 12 weeks</w:t>
            </w:r>
          </w:p>
        </w:tc>
        <w:tc>
          <w:tcPr>
            <w:tcW w:w="850" w:type="dxa"/>
          </w:tcPr>
          <w:p w14:paraId="0B0203A1" w14:textId="77777777" w:rsidR="0059604F" w:rsidRPr="00AE4296" w:rsidRDefault="0059604F" w:rsidP="005413BD">
            <w:pPr>
              <w:pStyle w:val="TableText0"/>
              <w:keepNext w:val="0"/>
              <w:widowControl w:val="0"/>
              <w:rPr>
                <w:sz w:val="20"/>
                <w:szCs w:val="20"/>
              </w:rPr>
            </w:pPr>
            <w:r w:rsidRPr="00AE4296">
              <w:rPr>
                <w:sz w:val="20"/>
                <w:szCs w:val="20"/>
              </w:rPr>
              <w:t>Low</w:t>
            </w:r>
          </w:p>
        </w:tc>
        <w:tc>
          <w:tcPr>
            <w:tcW w:w="2322" w:type="dxa"/>
            <w:vMerge w:val="restart"/>
          </w:tcPr>
          <w:p w14:paraId="4D6AAEFF" w14:textId="45616EF5" w:rsidR="0059604F" w:rsidRPr="00AE4296" w:rsidRDefault="0059604F" w:rsidP="005413BD">
            <w:pPr>
              <w:pStyle w:val="TableText0"/>
              <w:keepNext w:val="0"/>
              <w:widowControl w:val="0"/>
              <w:rPr>
                <w:sz w:val="20"/>
                <w:szCs w:val="20"/>
              </w:rPr>
            </w:pPr>
            <w:r w:rsidRPr="00AE4296">
              <w:rPr>
                <w:sz w:val="20"/>
                <w:szCs w:val="20"/>
              </w:rPr>
              <w:t>Bio-naïve and experienced patients</w:t>
            </w:r>
          </w:p>
        </w:tc>
        <w:tc>
          <w:tcPr>
            <w:tcW w:w="1226" w:type="dxa"/>
            <w:vMerge w:val="restart"/>
          </w:tcPr>
          <w:p w14:paraId="10C846B4" w14:textId="77777777" w:rsidR="0059604F" w:rsidRPr="00AE4296" w:rsidRDefault="0059604F" w:rsidP="005413BD">
            <w:pPr>
              <w:pStyle w:val="TableText0"/>
              <w:keepNext w:val="0"/>
              <w:widowControl w:val="0"/>
              <w:rPr>
                <w:sz w:val="20"/>
                <w:szCs w:val="20"/>
              </w:rPr>
            </w:pPr>
            <w:r w:rsidRPr="00AE4296">
              <w:rPr>
                <w:sz w:val="20"/>
                <w:szCs w:val="20"/>
              </w:rPr>
              <w:t xml:space="preserve">CDAI clinical remission </w:t>
            </w:r>
            <w:r w:rsidRPr="00AE4296">
              <w:rPr>
                <w:sz w:val="20"/>
                <w:szCs w:val="20"/>
                <w:vertAlign w:val="superscript"/>
              </w:rPr>
              <w:t>a, b</w:t>
            </w:r>
          </w:p>
          <w:p w14:paraId="6E4D279A" w14:textId="77777777" w:rsidR="0059604F" w:rsidRPr="00AE4296" w:rsidRDefault="0059604F" w:rsidP="005413BD">
            <w:pPr>
              <w:pStyle w:val="TableText0"/>
              <w:keepNext w:val="0"/>
              <w:widowControl w:val="0"/>
              <w:rPr>
                <w:sz w:val="20"/>
                <w:szCs w:val="20"/>
              </w:rPr>
            </w:pPr>
            <w:r w:rsidRPr="00AE4296">
              <w:rPr>
                <w:sz w:val="20"/>
                <w:szCs w:val="20"/>
              </w:rPr>
              <w:t xml:space="preserve">CDAI clinical response </w:t>
            </w:r>
            <w:r w:rsidRPr="00AE4296">
              <w:rPr>
                <w:sz w:val="20"/>
                <w:szCs w:val="20"/>
                <w:vertAlign w:val="superscript"/>
              </w:rPr>
              <w:t>c</w:t>
            </w:r>
          </w:p>
        </w:tc>
      </w:tr>
      <w:tr w:rsidR="0059604F" w:rsidRPr="00AE4296" w14:paraId="373CE827" w14:textId="77777777" w:rsidTr="00766063">
        <w:tc>
          <w:tcPr>
            <w:tcW w:w="1271" w:type="dxa"/>
          </w:tcPr>
          <w:p w14:paraId="7998DC97" w14:textId="77777777" w:rsidR="0059604F" w:rsidRPr="00AE4296" w:rsidRDefault="0059604F" w:rsidP="005413BD">
            <w:pPr>
              <w:pStyle w:val="TableText0"/>
              <w:keepNext w:val="0"/>
              <w:widowControl w:val="0"/>
              <w:rPr>
                <w:sz w:val="20"/>
                <w:szCs w:val="20"/>
              </w:rPr>
            </w:pPr>
            <w:r w:rsidRPr="00AE4296">
              <w:rPr>
                <w:sz w:val="20"/>
                <w:szCs w:val="20"/>
              </w:rPr>
              <w:t>ADVANCE</w:t>
            </w:r>
          </w:p>
        </w:tc>
        <w:tc>
          <w:tcPr>
            <w:tcW w:w="851" w:type="dxa"/>
          </w:tcPr>
          <w:p w14:paraId="78537467" w14:textId="512E2A48" w:rsidR="0059604F" w:rsidRPr="00AE4296" w:rsidRDefault="0059604F" w:rsidP="005413BD">
            <w:pPr>
              <w:pStyle w:val="TableText0"/>
              <w:keepNext w:val="0"/>
              <w:widowControl w:val="0"/>
              <w:rPr>
                <w:sz w:val="20"/>
                <w:szCs w:val="20"/>
              </w:rPr>
            </w:pPr>
            <w:r w:rsidRPr="00AE4296">
              <w:rPr>
                <w:sz w:val="20"/>
                <w:szCs w:val="20"/>
              </w:rPr>
              <w:t>931</w:t>
            </w:r>
            <w:r w:rsidR="00436251" w:rsidRPr="00AE4296">
              <w:rPr>
                <w:sz w:val="20"/>
                <w:szCs w:val="20"/>
              </w:rPr>
              <w:t xml:space="preserve"> (926 random-ised)</w:t>
            </w:r>
          </w:p>
        </w:tc>
        <w:tc>
          <w:tcPr>
            <w:tcW w:w="1275" w:type="dxa"/>
            <w:vMerge w:val="restart"/>
          </w:tcPr>
          <w:p w14:paraId="4F4B0A70" w14:textId="0BF576D7" w:rsidR="0059604F" w:rsidRPr="00AE4296" w:rsidRDefault="0059604F" w:rsidP="003D326B">
            <w:pPr>
              <w:pStyle w:val="TableText0"/>
              <w:keepNext w:val="0"/>
              <w:widowControl w:val="0"/>
              <w:rPr>
                <w:sz w:val="20"/>
                <w:szCs w:val="20"/>
              </w:rPr>
            </w:pPr>
            <w:r w:rsidRPr="00AE4296">
              <w:rPr>
                <w:sz w:val="20"/>
                <w:szCs w:val="20"/>
              </w:rPr>
              <w:t>Phase 3, R, DB, PC, MC</w:t>
            </w:r>
          </w:p>
        </w:tc>
        <w:tc>
          <w:tcPr>
            <w:tcW w:w="1418" w:type="dxa"/>
            <w:vMerge/>
          </w:tcPr>
          <w:p w14:paraId="0CDC55D7" w14:textId="77777777" w:rsidR="0059604F" w:rsidRPr="00AE4296" w:rsidRDefault="0059604F" w:rsidP="005413BD">
            <w:pPr>
              <w:pStyle w:val="TableText0"/>
              <w:keepNext w:val="0"/>
              <w:widowControl w:val="0"/>
              <w:rPr>
                <w:sz w:val="20"/>
                <w:szCs w:val="20"/>
              </w:rPr>
            </w:pPr>
          </w:p>
        </w:tc>
        <w:tc>
          <w:tcPr>
            <w:tcW w:w="850" w:type="dxa"/>
          </w:tcPr>
          <w:p w14:paraId="7BD5C2D6" w14:textId="77777777" w:rsidR="0059604F" w:rsidRPr="00AE4296" w:rsidRDefault="0059604F" w:rsidP="005413BD">
            <w:pPr>
              <w:pStyle w:val="TableText0"/>
              <w:keepNext w:val="0"/>
              <w:widowControl w:val="0"/>
              <w:rPr>
                <w:sz w:val="20"/>
                <w:szCs w:val="20"/>
              </w:rPr>
            </w:pPr>
            <w:r w:rsidRPr="00AE4296">
              <w:rPr>
                <w:sz w:val="20"/>
                <w:szCs w:val="20"/>
              </w:rPr>
              <w:t>Low</w:t>
            </w:r>
          </w:p>
        </w:tc>
        <w:tc>
          <w:tcPr>
            <w:tcW w:w="2322" w:type="dxa"/>
            <w:vMerge/>
          </w:tcPr>
          <w:p w14:paraId="52A0929D" w14:textId="77777777" w:rsidR="0059604F" w:rsidRPr="00AE4296" w:rsidRDefault="0059604F" w:rsidP="005413BD">
            <w:pPr>
              <w:pStyle w:val="TableText0"/>
              <w:keepNext w:val="0"/>
              <w:widowControl w:val="0"/>
              <w:rPr>
                <w:sz w:val="20"/>
                <w:szCs w:val="20"/>
              </w:rPr>
            </w:pPr>
          </w:p>
        </w:tc>
        <w:tc>
          <w:tcPr>
            <w:tcW w:w="1226" w:type="dxa"/>
            <w:vMerge/>
          </w:tcPr>
          <w:p w14:paraId="75256913" w14:textId="77777777" w:rsidR="0059604F" w:rsidRPr="00AE4296" w:rsidRDefault="0059604F" w:rsidP="005413BD">
            <w:pPr>
              <w:pStyle w:val="TableText0"/>
              <w:keepNext w:val="0"/>
              <w:widowControl w:val="0"/>
              <w:rPr>
                <w:sz w:val="20"/>
                <w:szCs w:val="20"/>
              </w:rPr>
            </w:pPr>
          </w:p>
        </w:tc>
      </w:tr>
      <w:tr w:rsidR="0059604F" w:rsidRPr="00AE4296" w14:paraId="71FCB27C" w14:textId="77777777" w:rsidTr="00766063">
        <w:tc>
          <w:tcPr>
            <w:tcW w:w="1271" w:type="dxa"/>
          </w:tcPr>
          <w:p w14:paraId="36A2E986" w14:textId="77777777" w:rsidR="0059604F" w:rsidRPr="00AE4296" w:rsidRDefault="0059604F" w:rsidP="005413BD">
            <w:pPr>
              <w:pStyle w:val="TableText0"/>
              <w:keepNext w:val="0"/>
              <w:widowControl w:val="0"/>
              <w:rPr>
                <w:sz w:val="20"/>
                <w:szCs w:val="20"/>
              </w:rPr>
            </w:pPr>
            <w:r w:rsidRPr="00AE4296">
              <w:rPr>
                <w:sz w:val="20"/>
                <w:szCs w:val="20"/>
              </w:rPr>
              <w:t>MOTIVATE</w:t>
            </w:r>
          </w:p>
        </w:tc>
        <w:tc>
          <w:tcPr>
            <w:tcW w:w="851" w:type="dxa"/>
          </w:tcPr>
          <w:p w14:paraId="22E58CDA" w14:textId="75CAA1CE" w:rsidR="0059604F" w:rsidRPr="00AE4296" w:rsidRDefault="0059604F" w:rsidP="005413BD">
            <w:pPr>
              <w:pStyle w:val="TableText0"/>
              <w:keepNext w:val="0"/>
              <w:widowControl w:val="0"/>
              <w:rPr>
                <w:sz w:val="20"/>
                <w:szCs w:val="20"/>
              </w:rPr>
            </w:pPr>
            <w:r w:rsidRPr="00AE4296">
              <w:rPr>
                <w:sz w:val="20"/>
                <w:szCs w:val="20"/>
              </w:rPr>
              <w:t>618</w:t>
            </w:r>
            <w:r w:rsidR="00436251" w:rsidRPr="00AE4296">
              <w:rPr>
                <w:sz w:val="20"/>
                <w:szCs w:val="20"/>
              </w:rPr>
              <w:t xml:space="preserve"> (605 random-ised)</w:t>
            </w:r>
          </w:p>
        </w:tc>
        <w:tc>
          <w:tcPr>
            <w:tcW w:w="1275" w:type="dxa"/>
            <w:vMerge/>
          </w:tcPr>
          <w:p w14:paraId="5B59527F" w14:textId="77777777" w:rsidR="0059604F" w:rsidRPr="00AE4296" w:rsidRDefault="0059604F" w:rsidP="005413BD">
            <w:pPr>
              <w:pStyle w:val="TableText0"/>
              <w:keepNext w:val="0"/>
              <w:widowControl w:val="0"/>
              <w:rPr>
                <w:sz w:val="20"/>
                <w:szCs w:val="20"/>
              </w:rPr>
            </w:pPr>
          </w:p>
        </w:tc>
        <w:tc>
          <w:tcPr>
            <w:tcW w:w="1418" w:type="dxa"/>
            <w:vMerge/>
          </w:tcPr>
          <w:p w14:paraId="0CBEC109" w14:textId="77777777" w:rsidR="0059604F" w:rsidRPr="00AE4296" w:rsidRDefault="0059604F" w:rsidP="005413BD">
            <w:pPr>
              <w:pStyle w:val="TableText0"/>
              <w:keepNext w:val="0"/>
              <w:widowControl w:val="0"/>
              <w:rPr>
                <w:sz w:val="20"/>
                <w:szCs w:val="20"/>
              </w:rPr>
            </w:pPr>
          </w:p>
        </w:tc>
        <w:tc>
          <w:tcPr>
            <w:tcW w:w="850" w:type="dxa"/>
          </w:tcPr>
          <w:p w14:paraId="0D002328" w14:textId="77777777" w:rsidR="0059604F" w:rsidRPr="00AE4296" w:rsidRDefault="0059604F" w:rsidP="005413BD">
            <w:pPr>
              <w:pStyle w:val="TableText0"/>
              <w:keepNext w:val="0"/>
              <w:widowControl w:val="0"/>
              <w:rPr>
                <w:sz w:val="20"/>
                <w:szCs w:val="20"/>
              </w:rPr>
            </w:pPr>
            <w:r w:rsidRPr="00AE4296">
              <w:rPr>
                <w:sz w:val="20"/>
                <w:szCs w:val="20"/>
              </w:rPr>
              <w:t>Low</w:t>
            </w:r>
          </w:p>
        </w:tc>
        <w:tc>
          <w:tcPr>
            <w:tcW w:w="2322" w:type="dxa"/>
          </w:tcPr>
          <w:p w14:paraId="59516170" w14:textId="77777777" w:rsidR="0059604F" w:rsidRPr="00AE4296" w:rsidRDefault="0059604F" w:rsidP="005413BD">
            <w:pPr>
              <w:pStyle w:val="TableText0"/>
              <w:keepNext w:val="0"/>
              <w:widowControl w:val="0"/>
              <w:rPr>
                <w:sz w:val="20"/>
                <w:szCs w:val="20"/>
              </w:rPr>
            </w:pPr>
            <w:r w:rsidRPr="00AE4296">
              <w:rPr>
                <w:sz w:val="20"/>
                <w:szCs w:val="20"/>
              </w:rPr>
              <w:t>Bio-experienced and inadequate response/intolerant only</w:t>
            </w:r>
          </w:p>
        </w:tc>
        <w:tc>
          <w:tcPr>
            <w:tcW w:w="1226" w:type="dxa"/>
            <w:vMerge/>
          </w:tcPr>
          <w:p w14:paraId="2213F076" w14:textId="77777777" w:rsidR="0059604F" w:rsidRPr="00AE4296" w:rsidRDefault="0059604F" w:rsidP="005413BD">
            <w:pPr>
              <w:pStyle w:val="TableText0"/>
              <w:keepNext w:val="0"/>
              <w:widowControl w:val="0"/>
              <w:rPr>
                <w:sz w:val="20"/>
                <w:szCs w:val="20"/>
              </w:rPr>
            </w:pPr>
          </w:p>
        </w:tc>
      </w:tr>
      <w:tr w:rsidR="0059604F" w:rsidRPr="00AE4296" w14:paraId="4CF5F198" w14:textId="77777777" w:rsidTr="00766063">
        <w:tc>
          <w:tcPr>
            <w:tcW w:w="1271" w:type="dxa"/>
          </w:tcPr>
          <w:p w14:paraId="0658342A" w14:textId="77777777" w:rsidR="0059604F" w:rsidRPr="00AE4296" w:rsidRDefault="0059604F" w:rsidP="005413BD">
            <w:pPr>
              <w:pStyle w:val="TableText0"/>
              <w:keepNext w:val="0"/>
              <w:widowControl w:val="0"/>
              <w:rPr>
                <w:sz w:val="20"/>
                <w:szCs w:val="20"/>
              </w:rPr>
            </w:pPr>
            <w:r w:rsidRPr="00AE4296">
              <w:rPr>
                <w:sz w:val="20"/>
                <w:szCs w:val="20"/>
              </w:rPr>
              <w:t>FORTIFY</w:t>
            </w:r>
          </w:p>
        </w:tc>
        <w:tc>
          <w:tcPr>
            <w:tcW w:w="851" w:type="dxa"/>
          </w:tcPr>
          <w:p w14:paraId="27DE1E2E" w14:textId="7E31E41C" w:rsidR="0059604F" w:rsidRPr="00AE4296" w:rsidRDefault="00436251" w:rsidP="005413BD">
            <w:pPr>
              <w:pStyle w:val="TableText0"/>
              <w:keepNext w:val="0"/>
              <w:widowControl w:val="0"/>
              <w:rPr>
                <w:sz w:val="20"/>
                <w:szCs w:val="20"/>
              </w:rPr>
            </w:pPr>
            <w:r w:rsidRPr="00AE4296">
              <w:rPr>
                <w:sz w:val="20"/>
                <w:szCs w:val="20"/>
              </w:rPr>
              <w:t>542</w:t>
            </w:r>
          </w:p>
        </w:tc>
        <w:tc>
          <w:tcPr>
            <w:tcW w:w="1275" w:type="dxa"/>
          </w:tcPr>
          <w:p w14:paraId="0F3883BC" w14:textId="573AE5BC" w:rsidR="0059604F" w:rsidRPr="00AE4296" w:rsidRDefault="0059604F" w:rsidP="005413BD">
            <w:pPr>
              <w:pStyle w:val="TableText0"/>
              <w:keepNext w:val="0"/>
              <w:widowControl w:val="0"/>
              <w:rPr>
                <w:sz w:val="20"/>
                <w:szCs w:val="20"/>
              </w:rPr>
            </w:pPr>
            <w:r w:rsidRPr="00AE4296">
              <w:rPr>
                <w:sz w:val="20"/>
                <w:szCs w:val="20"/>
              </w:rPr>
              <w:t>Phase 2, R, DB, PC, MC</w:t>
            </w:r>
          </w:p>
        </w:tc>
        <w:tc>
          <w:tcPr>
            <w:tcW w:w="1418" w:type="dxa"/>
          </w:tcPr>
          <w:p w14:paraId="06228B0B" w14:textId="77777777" w:rsidR="0059604F" w:rsidRPr="00AE4296" w:rsidRDefault="0059604F" w:rsidP="005413BD">
            <w:pPr>
              <w:pStyle w:val="TableText0"/>
              <w:keepNext w:val="0"/>
              <w:widowControl w:val="0"/>
              <w:rPr>
                <w:sz w:val="20"/>
                <w:szCs w:val="20"/>
              </w:rPr>
            </w:pPr>
            <w:r w:rsidRPr="00AE4296">
              <w:rPr>
                <w:sz w:val="20"/>
                <w:szCs w:val="20"/>
              </w:rPr>
              <w:t xml:space="preserve">MP: 64 weeks </w:t>
            </w:r>
            <w:r w:rsidRPr="00AE4296">
              <w:rPr>
                <w:sz w:val="20"/>
                <w:szCs w:val="20"/>
                <w:vertAlign w:val="superscript"/>
              </w:rPr>
              <w:t>d</w:t>
            </w:r>
          </w:p>
        </w:tc>
        <w:tc>
          <w:tcPr>
            <w:tcW w:w="850" w:type="dxa"/>
          </w:tcPr>
          <w:p w14:paraId="763CE89E" w14:textId="77777777" w:rsidR="0059604F" w:rsidRPr="00AE4296" w:rsidRDefault="0059604F" w:rsidP="005413BD">
            <w:pPr>
              <w:pStyle w:val="TableText0"/>
              <w:keepNext w:val="0"/>
              <w:widowControl w:val="0"/>
              <w:rPr>
                <w:sz w:val="20"/>
                <w:szCs w:val="20"/>
              </w:rPr>
            </w:pPr>
            <w:r w:rsidRPr="00AE4296">
              <w:rPr>
                <w:sz w:val="20"/>
                <w:szCs w:val="20"/>
              </w:rPr>
              <w:t>Low</w:t>
            </w:r>
          </w:p>
        </w:tc>
        <w:tc>
          <w:tcPr>
            <w:tcW w:w="2322" w:type="dxa"/>
          </w:tcPr>
          <w:p w14:paraId="19B4DFC3" w14:textId="77777777" w:rsidR="0059604F" w:rsidRPr="00AE4296" w:rsidRDefault="0059604F" w:rsidP="005413BD">
            <w:pPr>
              <w:pStyle w:val="TableText0"/>
              <w:keepNext w:val="0"/>
              <w:widowControl w:val="0"/>
              <w:rPr>
                <w:sz w:val="20"/>
                <w:szCs w:val="20"/>
              </w:rPr>
            </w:pPr>
            <w:r w:rsidRPr="00AE4296">
              <w:rPr>
                <w:sz w:val="20"/>
                <w:szCs w:val="20"/>
              </w:rPr>
              <w:t>Responders from the ADVANCE and MOTIVATE trials (≥30% decrease in SF and/or ≥30% decrease in average daily AP score, and both not worse than the baseline of induction)</w:t>
            </w:r>
          </w:p>
        </w:tc>
        <w:tc>
          <w:tcPr>
            <w:tcW w:w="1226" w:type="dxa"/>
            <w:vMerge/>
          </w:tcPr>
          <w:p w14:paraId="4AF8FC5A" w14:textId="77777777" w:rsidR="0059604F" w:rsidRPr="00AE4296" w:rsidRDefault="0059604F" w:rsidP="005413BD">
            <w:pPr>
              <w:pStyle w:val="TableText0"/>
              <w:keepNext w:val="0"/>
              <w:widowControl w:val="0"/>
              <w:rPr>
                <w:sz w:val="20"/>
                <w:szCs w:val="20"/>
              </w:rPr>
            </w:pPr>
          </w:p>
        </w:tc>
      </w:tr>
      <w:tr w:rsidR="0059604F" w:rsidRPr="00AE4296" w14:paraId="11A2B377" w14:textId="77777777" w:rsidTr="00766063">
        <w:tc>
          <w:tcPr>
            <w:tcW w:w="9213" w:type="dxa"/>
            <w:gridSpan w:val="7"/>
          </w:tcPr>
          <w:p w14:paraId="12423973" w14:textId="77777777" w:rsidR="0059604F" w:rsidRPr="00AE4296" w:rsidRDefault="0059604F" w:rsidP="005413BD">
            <w:pPr>
              <w:pStyle w:val="TableText0"/>
              <w:keepNext w:val="0"/>
              <w:widowControl w:val="0"/>
              <w:rPr>
                <w:b/>
                <w:bCs w:val="0"/>
                <w:sz w:val="20"/>
                <w:szCs w:val="20"/>
              </w:rPr>
            </w:pPr>
            <w:r w:rsidRPr="00AE4296">
              <w:rPr>
                <w:b/>
                <w:bCs w:val="0"/>
                <w:sz w:val="20"/>
                <w:szCs w:val="20"/>
              </w:rPr>
              <w:t>Infliximab vs placebo</w:t>
            </w:r>
          </w:p>
        </w:tc>
      </w:tr>
      <w:tr w:rsidR="0059604F" w:rsidRPr="00AE4296" w14:paraId="79748C26" w14:textId="77777777" w:rsidTr="00766063">
        <w:tc>
          <w:tcPr>
            <w:tcW w:w="1271" w:type="dxa"/>
          </w:tcPr>
          <w:p w14:paraId="29CBA909" w14:textId="77777777" w:rsidR="0059604F" w:rsidRPr="00AE4296" w:rsidRDefault="0059604F" w:rsidP="005413BD">
            <w:pPr>
              <w:pStyle w:val="TableText0"/>
              <w:keepNext w:val="0"/>
              <w:widowControl w:val="0"/>
              <w:rPr>
                <w:sz w:val="20"/>
                <w:szCs w:val="20"/>
              </w:rPr>
            </w:pPr>
            <w:r w:rsidRPr="00AE4296">
              <w:rPr>
                <w:sz w:val="20"/>
                <w:szCs w:val="20"/>
              </w:rPr>
              <w:t>T16</w:t>
            </w:r>
          </w:p>
        </w:tc>
        <w:tc>
          <w:tcPr>
            <w:tcW w:w="851" w:type="dxa"/>
          </w:tcPr>
          <w:p w14:paraId="052078B8" w14:textId="14D28D1C" w:rsidR="0059604F" w:rsidRPr="00AE4296" w:rsidRDefault="0059604F" w:rsidP="005413BD">
            <w:pPr>
              <w:pStyle w:val="TableText0"/>
              <w:keepNext w:val="0"/>
              <w:widowControl w:val="0"/>
              <w:rPr>
                <w:sz w:val="20"/>
                <w:szCs w:val="20"/>
              </w:rPr>
            </w:pPr>
            <w:r w:rsidRPr="00AE4296">
              <w:rPr>
                <w:sz w:val="20"/>
                <w:szCs w:val="20"/>
              </w:rPr>
              <w:t>108</w:t>
            </w:r>
          </w:p>
        </w:tc>
        <w:tc>
          <w:tcPr>
            <w:tcW w:w="1275" w:type="dxa"/>
          </w:tcPr>
          <w:p w14:paraId="49C3D208" w14:textId="67570C48" w:rsidR="0059604F" w:rsidRPr="00AE4296" w:rsidRDefault="0059604F" w:rsidP="005413BD">
            <w:pPr>
              <w:pStyle w:val="TableText0"/>
              <w:keepNext w:val="0"/>
              <w:widowControl w:val="0"/>
              <w:rPr>
                <w:sz w:val="20"/>
                <w:szCs w:val="20"/>
              </w:rPr>
            </w:pPr>
            <w:r w:rsidRPr="00AE4296">
              <w:rPr>
                <w:sz w:val="20"/>
                <w:szCs w:val="20"/>
              </w:rPr>
              <w:t>MC, R, DB</w:t>
            </w:r>
          </w:p>
        </w:tc>
        <w:tc>
          <w:tcPr>
            <w:tcW w:w="1418" w:type="dxa"/>
          </w:tcPr>
          <w:p w14:paraId="785D56AB" w14:textId="77777777" w:rsidR="0059604F" w:rsidRPr="00AE4296" w:rsidRDefault="0059604F" w:rsidP="005413BD">
            <w:pPr>
              <w:pStyle w:val="TableText0"/>
              <w:keepNext w:val="0"/>
              <w:widowControl w:val="0"/>
              <w:rPr>
                <w:sz w:val="20"/>
                <w:szCs w:val="20"/>
              </w:rPr>
            </w:pPr>
            <w:r w:rsidRPr="00AE4296">
              <w:rPr>
                <w:sz w:val="20"/>
                <w:szCs w:val="20"/>
              </w:rPr>
              <w:t>IP: 12 weeks</w:t>
            </w:r>
          </w:p>
        </w:tc>
        <w:tc>
          <w:tcPr>
            <w:tcW w:w="850" w:type="dxa"/>
          </w:tcPr>
          <w:p w14:paraId="2FD2CF30" w14:textId="77777777" w:rsidR="0059604F" w:rsidRPr="00AE4296" w:rsidRDefault="0059604F" w:rsidP="005413BD">
            <w:pPr>
              <w:pStyle w:val="TableText0"/>
              <w:keepNext w:val="0"/>
              <w:widowControl w:val="0"/>
              <w:rPr>
                <w:sz w:val="20"/>
                <w:szCs w:val="20"/>
              </w:rPr>
            </w:pPr>
            <w:r w:rsidRPr="00AE4296">
              <w:rPr>
                <w:sz w:val="20"/>
                <w:szCs w:val="20"/>
              </w:rPr>
              <w:t>Low</w:t>
            </w:r>
          </w:p>
        </w:tc>
        <w:tc>
          <w:tcPr>
            <w:tcW w:w="2322" w:type="dxa"/>
          </w:tcPr>
          <w:p w14:paraId="45634206" w14:textId="77777777" w:rsidR="0059604F" w:rsidRPr="00AE4296" w:rsidRDefault="0059604F" w:rsidP="005413BD">
            <w:pPr>
              <w:pStyle w:val="TableText0"/>
              <w:keepNext w:val="0"/>
              <w:widowControl w:val="0"/>
              <w:rPr>
                <w:sz w:val="20"/>
                <w:szCs w:val="20"/>
              </w:rPr>
            </w:pPr>
            <w:r w:rsidRPr="00AE4296">
              <w:rPr>
                <w:sz w:val="20"/>
                <w:szCs w:val="20"/>
              </w:rPr>
              <w:t>TNF antagonist naïve patients</w:t>
            </w:r>
          </w:p>
        </w:tc>
        <w:tc>
          <w:tcPr>
            <w:tcW w:w="1226" w:type="dxa"/>
          </w:tcPr>
          <w:p w14:paraId="0BE8B501" w14:textId="77777777" w:rsidR="0059604F" w:rsidRPr="00AE4296" w:rsidRDefault="0059604F" w:rsidP="005413BD">
            <w:pPr>
              <w:pStyle w:val="TableText0"/>
              <w:keepNext w:val="0"/>
              <w:widowControl w:val="0"/>
              <w:rPr>
                <w:sz w:val="20"/>
                <w:szCs w:val="20"/>
              </w:rPr>
            </w:pPr>
            <w:r w:rsidRPr="00AE4296">
              <w:rPr>
                <w:sz w:val="20"/>
                <w:szCs w:val="20"/>
              </w:rPr>
              <w:t>Reduction in CDAI score of 70 or more at 4-week s</w:t>
            </w:r>
          </w:p>
        </w:tc>
      </w:tr>
      <w:tr w:rsidR="0059604F" w:rsidRPr="00AE4296" w14:paraId="631A6DC6" w14:textId="77777777" w:rsidTr="00766063">
        <w:tc>
          <w:tcPr>
            <w:tcW w:w="1271" w:type="dxa"/>
          </w:tcPr>
          <w:p w14:paraId="07319521" w14:textId="77777777" w:rsidR="0059604F" w:rsidRPr="00AE4296" w:rsidRDefault="0059604F" w:rsidP="005413BD">
            <w:pPr>
              <w:pStyle w:val="TableText0"/>
              <w:keepNext w:val="0"/>
              <w:widowControl w:val="0"/>
              <w:rPr>
                <w:sz w:val="20"/>
                <w:szCs w:val="20"/>
              </w:rPr>
            </w:pPr>
            <w:r w:rsidRPr="00AE4296">
              <w:rPr>
                <w:sz w:val="20"/>
                <w:szCs w:val="20"/>
              </w:rPr>
              <w:t>ACCENT 1</w:t>
            </w:r>
          </w:p>
        </w:tc>
        <w:tc>
          <w:tcPr>
            <w:tcW w:w="851" w:type="dxa"/>
          </w:tcPr>
          <w:p w14:paraId="1432C844" w14:textId="385189AE" w:rsidR="0059604F" w:rsidRPr="00AE4296" w:rsidRDefault="0059604F" w:rsidP="005413BD">
            <w:pPr>
              <w:pStyle w:val="TableText0"/>
              <w:keepNext w:val="0"/>
              <w:widowControl w:val="0"/>
              <w:rPr>
                <w:sz w:val="20"/>
                <w:szCs w:val="20"/>
              </w:rPr>
            </w:pPr>
            <w:r w:rsidRPr="00AE4296">
              <w:rPr>
                <w:sz w:val="20"/>
                <w:szCs w:val="20"/>
              </w:rPr>
              <w:t>573</w:t>
            </w:r>
          </w:p>
        </w:tc>
        <w:tc>
          <w:tcPr>
            <w:tcW w:w="1275" w:type="dxa"/>
          </w:tcPr>
          <w:p w14:paraId="7B3991CC" w14:textId="6E6F4C03" w:rsidR="0059604F" w:rsidRPr="00AE4296" w:rsidRDefault="0059604F" w:rsidP="005413BD">
            <w:pPr>
              <w:pStyle w:val="TableText0"/>
              <w:keepNext w:val="0"/>
              <w:widowControl w:val="0"/>
              <w:rPr>
                <w:sz w:val="20"/>
                <w:szCs w:val="20"/>
              </w:rPr>
            </w:pPr>
            <w:r w:rsidRPr="00AE4296">
              <w:rPr>
                <w:sz w:val="20"/>
                <w:szCs w:val="20"/>
              </w:rPr>
              <w:t>Phase 3, MC, R, DB</w:t>
            </w:r>
          </w:p>
        </w:tc>
        <w:tc>
          <w:tcPr>
            <w:tcW w:w="1418" w:type="dxa"/>
          </w:tcPr>
          <w:p w14:paraId="6A9B28AE" w14:textId="77777777" w:rsidR="0059604F" w:rsidRPr="00AE4296" w:rsidRDefault="0059604F" w:rsidP="005413BD">
            <w:pPr>
              <w:pStyle w:val="TableText0"/>
              <w:keepNext w:val="0"/>
              <w:widowControl w:val="0"/>
              <w:rPr>
                <w:sz w:val="20"/>
                <w:szCs w:val="20"/>
              </w:rPr>
            </w:pPr>
            <w:r w:rsidRPr="00AE4296">
              <w:rPr>
                <w:sz w:val="20"/>
                <w:szCs w:val="20"/>
              </w:rPr>
              <w:t>MP: 54 weeks</w:t>
            </w:r>
          </w:p>
        </w:tc>
        <w:tc>
          <w:tcPr>
            <w:tcW w:w="850" w:type="dxa"/>
          </w:tcPr>
          <w:p w14:paraId="5D7498DD" w14:textId="77777777" w:rsidR="0059604F" w:rsidRPr="00AE4296" w:rsidRDefault="0059604F" w:rsidP="005413BD">
            <w:pPr>
              <w:pStyle w:val="TableText0"/>
              <w:keepNext w:val="0"/>
              <w:widowControl w:val="0"/>
              <w:rPr>
                <w:sz w:val="20"/>
                <w:szCs w:val="20"/>
              </w:rPr>
            </w:pPr>
            <w:r w:rsidRPr="00AE4296">
              <w:rPr>
                <w:sz w:val="20"/>
                <w:szCs w:val="20"/>
              </w:rPr>
              <w:t>Low</w:t>
            </w:r>
          </w:p>
        </w:tc>
        <w:tc>
          <w:tcPr>
            <w:tcW w:w="2322" w:type="dxa"/>
          </w:tcPr>
          <w:p w14:paraId="5D194793" w14:textId="77777777" w:rsidR="0059604F" w:rsidRPr="00AE4296" w:rsidRDefault="0059604F" w:rsidP="005413BD">
            <w:pPr>
              <w:pStyle w:val="TableText0"/>
              <w:keepNext w:val="0"/>
              <w:widowControl w:val="0"/>
              <w:rPr>
                <w:sz w:val="20"/>
                <w:szCs w:val="20"/>
              </w:rPr>
            </w:pPr>
            <w:r w:rsidRPr="00AE4296">
              <w:rPr>
                <w:sz w:val="20"/>
                <w:szCs w:val="20"/>
              </w:rPr>
              <w:t>Patients who had a clinical response to IFX at 2 weeks during induction therapy</w:t>
            </w:r>
          </w:p>
        </w:tc>
        <w:tc>
          <w:tcPr>
            <w:tcW w:w="1226" w:type="dxa"/>
          </w:tcPr>
          <w:p w14:paraId="2DDBC4D2" w14:textId="77777777" w:rsidR="0059604F" w:rsidRPr="00AE4296" w:rsidRDefault="0059604F" w:rsidP="005413BD">
            <w:pPr>
              <w:pStyle w:val="TableText0"/>
              <w:keepNext w:val="0"/>
              <w:widowControl w:val="0"/>
              <w:rPr>
                <w:sz w:val="20"/>
                <w:szCs w:val="20"/>
              </w:rPr>
            </w:pPr>
            <w:r w:rsidRPr="00AE4296">
              <w:rPr>
                <w:sz w:val="20"/>
                <w:szCs w:val="20"/>
              </w:rPr>
              <w:t>Clinical remission at week 30 (defined as a CDAI &lt; 150)</w:t>
            </w:r>
          </w:p>
        </w:tc>
      </w:tr>
      <w:tr w:rsidR="0059604F" w:rsidRPr="00AE4296" w14:paraId="72E8CB51" w14:textId="77777777" w:rsidTr="00766063">
        <w:tc>
          <w:tcPr>
            <w:tcW w:w="9213" w:type="dxa"/>
            <w:gridSpan w:val="7"/>
          </w:tcPr>
          <w:p w14:paraId="07F23BB2" w14:textId="77777777" w:rsidR="0059604F" w:rsidRPr="00AE4296" w:rsidRDefault="0059604F" w:rsidP="005413BD">
            <w:pPr>
              <w:pStyle w:val="TableText0"/>
              <w:keepNext w:val="0"/>
              <w:widowControl w:val="0"/>
              <w:rPr>
                <w:b/>
                <w:bCs w:val="0"/>
                <w:sz w:val="20"/>
                <w:szCs w:val="20"/>
              </w:rPr>
            </w:pPr>
            <w:r w:rsidRPr="00AE4296">
              <w:rPr>
                <w:b/>
                <w:bCs w:val="0"/>
                <w:sz w:val="20"/>
                <w:szCs w:val="20"/>
              </w:rPr>
              <w:t>Vedolizumab vs placebo</w:t>
            </w:r>
          </w:p>
        </w:tc>
      </w:tr>
      <w:tr w:rsidR="0059604F" w:rsidRPr="00AE4296" w14:paraId="7D419715" w14:textId="77777777" w:rsidTr="00766063">
        <w:tc>
          <w:tcPr>
            <w:tcW w:w="1271" w:type="dxa"/>
          </w:tcPr>
          <w:p w14:paraId="67CCD058" w14:textId="77777777" w:rsidR="0059604F" w:rsidRPr="00AE4296" w:rsidRDefault="0059604F" w:rsidP="005413BD">
            <w:pPr>
              <w:pStyle w:val="TableText0"/>
              <w:keepNext w:val="0"/>
              <w:widowControl w:val="0"/>
              <w:rPr>
                <w:sz w:val="20"/>
                <w:szCs w:val="20"/>
              </w:rPr>
            </w:pPr>
            <w:r w:rsidRPr="00AE4296">
              <w:rPr>
                <w:sz w:val="20"/>
                <w:szCs w:val="20"/>
              </w:rPr>
              <w:t>GEMINI II</w:t>
            </w:r>
          </w:p>
        </w:tc>
        <w:tc>
          <w:tcPr>
            <w:tcW w:w="851" w:type="dxa"/>
          </w:tcPr>
          <w:p w14:paraId="3761ABCB" w14:textId="554EDBAE" w:rsidR="0059604F" w:rsidRPr="00AE4296" w:rsidRDefault="0059604F" w:rsidP="005413BD">
            <w:pPr>
              <w:pStyle w:val="TableText0"/>
              <w:keepNext w:val="0"/>
              <w:widowControl w:val="0"/>
              <w:rPr>
                <w:sz w:val="20"/>
                <w:szCs w:val="20"/>
              </w:rPr>
            </w:pPr>
            <w:r w:rsidRPr="00AE4296">
              <w:rPr>
                <w:sz w:val="20"/>
                <w:szCs w:val="20"/>
              </w:rPr>
              <w:t>368</w:t>
            </w:r>
          </w:p>
        </w:tc>
        <w:tc>
          <w:tcPr>
            <w:tcW w:w="1275" w:type="dxa"/>
            <w:vMerge w:val="restart"/>
          </w:tcPr>
          <w:p w14:paraId="3C67254F" w14:textId="3A89E875" w:rsidR="0059604F" w:rsidRPr="00AE4296" w:rsidRDefault="0059604F" w:rsidP="005413BD">
            <w:pPr>
              <w:pStyle w:val="TableText0"/>
              <w:keepNext w:val="0"/>
              <w:widowControl w:val="0"/>
              <w:rPr>
                <w:sz w:val="20"/>
                <w:szCs w:val="20"/>
              </w:rPr>
            </w:pPr>
            <w:r w:rsidRPr="00AE4296">
              <w:rPr>
                <w:sz w:val="20"/>
                <w:szCs w:val="20"/>
              </w:rPr>
              <w:t>Phase 3, MC, R, DB</w:t>
            </w:r>
          </w:p>
        </w:tc>
        <w:tc>
          <w:tcPr>
            <w:tcW w:w="1418" w:type="dxa"/>
          </w:tcPr>
          <w:p w14:paraId="5C0F1240" w14:textId="77777777" w:rsidR="0059604F" w:rsidRPr="00AE4296" w:rsidRDefault="0059604F" w:rsidP="005413BD">
            <w:pPr>
              <w:pStyle w:val="TableText0"/>
              <w:keepNext w:val="0"/>
              <w:widowControl w:val="0"/>
              <w:rPr>
                <w:sz w:val="20"/>
                <w:szCs w:val="20"/>
              </w:rPr>
            </w:pPr>
            <w:r w:rsidRPr="00AE4296">
              <w:rPr>
                <w:sz w:val="20"/>
                <w:szCs w:val="20"/>
              </w:rPr>
              <w:t>IP:6 weeks</w:t>
            </w:r>
          </w:p>
        </w:tc>
        <w:tc>
          <w:tcPr>
            <w:tcW w:w="850" w:type="dxa"/>
          </w:tcPr>
          <w:p w14:paraId="493C1730" w14:textId="77777777" w:rsidR="0059604F" w:rsidRPr="00AE4296" w:rsidRDefault="0059604F" w:rsidP="005413BD">
            <w:pPr>
              <w:pStyle w:val="TableText0"/>
              <w:keepNext w:val="0"/>
              <w:widowControl w:val="0"/>
              <w:rPr>
                <w:sz w:val="20"/>
                <w:szCs w:val="20"/>
              </w:rPr>
            </w:pPr>
            <w:r w:rsidRPr="00AE4296">
              <w:rPr>
                <w:sz w:val="20"/>
                <w:szCs w:val="20"/>
              </w:rPr>
              <w:t>Low</w:t>
            </w:r>
          </w:p>
        </w:tc>
        <w:tc>
          <w:tcPr>
            <w:tcW w:w="2322" w:type="dxa"/>
            <w:vMerge w:val="restart"/>
          </w:tcPr>
          <w:p w14:paraId="21526288" w14:textId="77777777" w:rsidR="0059604F" w:rsidRPr="00AE4296" w:rsidRDefault="0059604F" w:rsidP="005413BD">
            <w:pPr>
              <w:pStyle w:val="TableText0"/>
              <w:keepNext w:val="0"/>
              <w:widowControl w:val="0"/>
              <w:rPr>
                <w:sz w:val="20"/>
                <w:szCs w:val="20"/>
              </w:rPr>
            </w:pPr>
            <w:r w:rsidRPr="00AE4296">
              <w:rPr>
                <w:sz w:val="20"/>
                <w:szCs w:val="20"/>
              </w:rPr>
              <w:t>TNF antagonist naïve or experienced intolerant or no response</w:t>
            </w:r>
          </w:p>
        </w:tc>
        <w:tc>
          <w:tcPr>
            <w:tcW w:w="1226" w:type="dxa"/>
            <w:vMerge w:val="restart"/>
          </w:tcPr>
          <w:p w14:paraId="709AC9EE" w14:textId="77777777" w:rsidR="0059604F" w:rsidRPr="00AE4296" w:rsidRDefault="0059604F" w:rsidP="005413BD">
            <w:pPr>
              <w:pStyle w:val="TableText0"/>
              <w:keepNext w:val="0"/>
              <w:widowControl w:val="0"/>
              <w:rPr>
                <w:sz w:val="20"/>
                <w:szCs w:val="20"/>
              </w:rPr>
            </w:pPr>
            <w:r w:rsidRPr="00AE4296">
              <w:rPr>
                <w:sz w:val="20"/>
                <w:szCs w:val="20"/>
              </w:rPr>
              <w:t>Clinical remission (CDAI score of ≤150 points) and CDAI-100 response (≥100-point decrease</w:t>
            </w:r>
          </w:p>
        </w:tc>
      </w:tr>
      <w:tr w:rsidR="0059604F" w:rsidRPr="00AE4296" w14:paraId="57C9ADBA" w14:textId="77777777" w:rsidTr="00766063">
        <w:tc>
          <w:tcPr>
            <w:tcW w:w="1271" w:type="dxa"/>
          </w:tcPr>
          <w:p w14:paraId="584E08EC" w14:textId="25C756A6" w:rsidR="0059604F" w:rsidRPr="00AE4296" w:rsidRDefault="0059604F" w:rsidP="005413BD">
            <w:pPr>
              <w:pStyle w:val="TableText0"/>
              <w:keepNext w:val="0"/>
              <w:widowControl w:val="0"/>
              <w:rPr>
                <w:sz w:val="20"/>
                <w:szCs w:val="20"/>
              </w:rPr>
            </w:pPr>
            <w:r w:rsidRPr="00AE4296">
              <w:rPr>
                <w:sz w:val="20"/>
                <w:szCs w:val="20"/>
              </w:rPr>
              <w:t>GEMINI II</w:t>
            </w:r>
          </w:p>
        </w:tc>
        <w:tc>
          <w:tcPr>
            <w:tcW w:w="851" w:type="dxa"/>
          </w:tcPr>
          <w:p w14:paraId="44B92F29" w14:textId="43058360" w:rsidR="0059604F" w:rsidRPr="00AE4296" w:rsidRDefault="0059604F" w:rsidP="005413BD">
            <w:pPr>
              <w:pStyle w:val="TableText0"/>
              <w:keepNext w:val="0"/>
              <w:widowControl w:val="0"/>
              <w:rPr>
                <w:sz w:val="20"/>
                <w:szCs w:val="20"/>
              </w:rPr>
            </w:pPr>
            <w:r w:rsidRPr="00AE4296">
              <w:rPr>
                <w:sz w:val="20"/>
                <w:szCs w:val="20"/>
              </w:rPr>
              <w:t>461</w:t>
            </w:r>
          </w:p>
        </w:tc>
        <w:tc>
          <w:tcPr>
            <w:tcW w:w="1275" w:type="dxa"/>
            <w:vMerge/>
          </w:tcPr>
          <w:p w14:paraId="0F53012D" w14:textId="77777777" w:rsidR="0059604F" w:rsidRPr="00AE4296" w:rsidRDefault="0059604F" w:rsidP="005413BD">
            <w:pPr>
              <w:pStyle w:val="TableText0"/>
              <w:keepNext w:val="0"/>
              <w:widowControl w:val="0"/>
              <w:rPr>
                <w:sz w:val="20"/>
                <w:szCs w:val="20"/>
              </w:rPr>
            </w:pPr>
          </w:p>
        </w:tc>
        <w:tc>
          <w:tcPr>
            <w:tcW w:w="1418" w:type="dxa"/>
          </w:tcPr>
          <w:p w14:paraId="7E60E78C" w14:textId="77777777" w:rsidR="0059604F" w:rsidRPr="00AE4296" w:rsidRDefault="0059604F" w:rsidP="005413BD">
            <w:pPr>
              <w:pStyle w:val="TableText0"/>
              <w:keepNext w:val="0"/>
              <w:widowControl w:val="0"/>
              <w:rPr>
                <w:sz w:val="20"/>
                <w:szCs w:val="20"/>
              </w:rPr>
            </w:pPr>
            <w:r w:rsidRPr="00AE4296">
              <w:rPr>
                <w:sz w:val="20"/>
                <w:szCs w:val="20"/>
              </w:rPr>
              <w:t>MP: 52 weeks</w:t>
            </w:r>
          </w:p>
        </w:tc>
        <w:tc>
          <w:tcPr>
            <w:tcW w:w="850" w:type="dxa"/>
          </w:tcPr>
          <w:p w14:paraId="669FDBA5" w14:textId="77777777" w:rsidR="0059604F" w:rsidRPr="00AE4296" w:rsidRDefault="0059604F" w:rsidP="005413BD">
            <w:pPr>
              <w:pStyle w:val="TableText0"/>
              <w:keepNext w:val="0"/>
              <w:widowControl w:val="0"/>
              <w:rPr>
                <w:sz w:val="20"/>
                <w:szCs w:val="20"/>
              </w:rPr>
            </w:pPr>
            <w:r w:rsidRPr="00AE4296">
              <w:rPr>
                <w:sz w:val="20"/>
                <w:szCs w:val="20"/>
              </w:rPr>
              <w:t>Low</w:t>
            </w:r>
          </w:p>
        </w:tc>
        <w:tc>
          <w:tcPr>
            <w:tcW w:w="2322" w:type="dxa"/>
            <w:vMerge/>
          </w:tcPr>
          <w:p w14:paraId="1DBA3777" w14:textId="77777777" w:rsidR="0059604F" w:rsidRPr="00AE4296" w:rsidRDefault="0059604F" w:rsidP="005413BD">
            <w:pPr>
              <w:pStyle w:val="TableText0"/>
              <w:keepNext w:val="0"/>
              <w:widowControl w:val="0"/>
              <w:rPr>
                <w:sz w:val="20"/>
                <w:szCs w:val="20"/>
              </w:rPr>
            </w:pPr>
          </w:p>
        </w:tc>
        <w:tc>
          <w:tcPr>
            <w:tcW w:w="1226" w:type="dxa"/>
            <w:vMerge/>
          </w:tcPr>
          <w:p w14:paraId="0BEE80A3" w14:textId="77777777" w:rsidR="0059604F" w:rsidRPr="00AE4296" w:rsidRDefault="0059604F" w:rsidP="005413BD">
            <w:pPr>
              <w:pStyle w:val="TableText0"/>
              <w:keepNext w:val="0"/>
              <w:widowControl w:val="0"/>
              <w:rPr>
                <w:sz w:val="20"/>
                <w:szCs w:val="20"/>
              </w:rPr>
            </w:pPr>
          </w:p>
        </w:tc>
      </w:tr>
      <w:tr w:rsidR="0059604F" w:rsidRPr="00AE4296" w14:paraId="4AAF619F" w14:textId="77777777" w:rsidTr="00766063">
        <w:tc>
          <w:tcPr>
            <w:tcW w:w="1271" w:type="dxa"/>
          </w:tcPr>
          <w:p w14:paraId="6F1AA178" w14:textId="77777777" w:rsidR="0059604F" w:rsidRPr="00AE4296" w:rsidRDefault="0059604F" w:rsidP="005413BD">
            <w:pPr>
              <w:pStyle w:val="TableText0"/>
              <w:keepNext w:val="0"/>
              <w:widowControl w:val="0"/>
              <w:rPr>
                <w:sz w:val="20"/>
                <w:szCs w:val="20"/>
              </w:rPr>
            </w:pPr>
            <w:r w:rsidRPr="00AE4296">
              <w:rPr>
                <w:sz w:val="20"/>
                <w:szCs w:val="20"/>
              </w:rPr>
              <w:t>GEMINI III</w:t>
            </w:r>
          </w:p>
        </w:tc>
        <w:tc>
          <w:tcPr>
            <w:tcW w:w="851" w:type="dxa"/>
          </w:tcPr>
          <w:p w14:paraId="6BB15DD2" w14:textId="31906F4D" w:rsidR="0059604F" w:rsidRPr="00AE4296" w:rsidRDefault="0059604F" w:rsidP="005413BD">
            <w:pPr>
              <w:pStyle w:val="TableText0"/>
              <w:keepNext w:val="0"/>
              <w:widowControl w:val="0"/>
              <w:rPr>
                <w:sz w:val="20"/>
                <w:szCs w:val="20"/>
              </w:rPr>
            </w:pPr>
            <w:r w:rsidRPr="00AE4296">
              <w:rPr>
                <w:sz w:val="20"/>
                <w:szCs w:val="20"/>
              </w:rPr>
              <w:t>416</w:t>
            </w:r>
          </w:p>
        </w:tc>
        <w:tc>
          <w:tcPr>
            <w:tcW w:w="1275" w:type="dxa"/>
            <w:vMerge/>
          </w:tcPr>
          <w:p w14:paraId="0E692A6B" w14:textId="77777777" w:rsidR="0059604F" w:rsidRPr="00AE4296" w:rsidRDefault="0059604F" w:rsidP="005413BD">
            <w:pPr>
              <w:pStyle w:val="TableText0"/>
              <w:keepNext w:val="0"/>
              <w:widowControl w:val="0"/>
              <w:rPr>
                <w:sz w:val="20"/>
                <w:szCs w:val="20"/>
              </w:rPr>
            </w:pPr>
          </w:p>
        </w:tc>
        <w:tc>
          <w:tcPr>
            <w:tcW w:w="1418" w:type="dxa"/>
          </w:tcPr>
          <w:p w14:paraId="738CF85A" w14:textId="77777777" w:rsidR="0059604F" w:rsidRPr="00AE4296" w:rsidRDefault="0059604F" w:rsidP="005413BD">
            <w:pPr>
              <w:pStyle w:val="TableText0"/>
              <w:keepNext w:val="0"/>
              <w:widowControl w:val="0"/>
              <w:rPr>
                <w:sz w:val="20"/>
                <w:szCs w:val="20"/>
              </w:rPr>
            </w:pPr>
            <w:r w:rsidRPr="00AE4296">
              <w:rPr>
                <w:sz w:val="20"/>
                <w:szCs w:val="20"/>
              </w:rPr>
              <w:t>IP: 10 weeks</w:t>
            </w:r>
          </w:p>
        </w:tc>
        <w:tc>
          <w:tcPr>
            <w:tcW w:w="850" w:type="dxa"/>
          </w:tcPr>
          <w:p w14:paraId="0220785B" w14:textId="77777777" w:rsidR="0059604F" w:rsidRPr="00AE4296" w:rsidRDefault="0059604F" w:rsidP="005413BD">
            <w:pPr>
              <w:pStyle w:val="TableText0"/>
              <w:keepNext w:val="0"/>
              <w:widowControl w:val="0"/>
              <w:rPr>
                <w:sz w:val="20"/>
                <w:szCs w:val="20"/>
              </w:rPr>
            </w:pPr>
            <w:r w:rsidRPr="00AE4296">
              <w:rPr>
                <w:sz w:val="20"/>
                <w:szCs w:val="20"/>
              </w:rPr>
              <w:t>Low</w:t>
            </w:r>
          </w:p>
        </w:tc>
        <w:tc>
          <w:tcPr>
            <w:tcW w:w="2322" w:type="dxa"/>
          </w:tcPr>
          <w:p w14:paraId="32B5DEA7" w14:textId="77777777" w:rsidR="0059604F" w:rsidRPr="00AE4296" w:rsidRDefault="0059604F" w:rsidP="005413BD">
            <w:pPr>
              <w:pStyle w:val="TableText0"/>
              <w:keepNext w:val="0"/>
              <w:widowControl w:val="0"/>
              <w:rPr>
                <w:sz w:val="20"/>
                <w:szCs w:val="20"/>
              </w:rPr>
            </w:pPr>
            <w:r w:rsidRPr="00AE4296">
              <w:rPr>
                <w:sz w:val="20"/>
                <w:szCs w:val="20"/>
              </w:rPr>
              <w:t>TNF antagonist naïve or experienced intolerant or no response</w:t>
            </w:r>
          </w:p>
        </w:tc>
        <w:tc>
          <w:tcPr>
            <w:tcW w:w="1226" w:type="dxa"/>
          </w:tcPr>
          <w:p w14:paraId="062B6ADD" w14:textId="77777777" w:rsidR="0059604F" w:rsidRPr="00AE4296" w:rsidRDefault="0059604F" w:rsidP="005413BD">
            <w:pPr>
              <w:pStyle w:val="TableText0"/>
              <w:keepNext w:val="0"/>
              <w:widowControl w:val="0"/>
              <w:rPr>
                <w:sz w:val="20"/>
                <w:szCs w:val="20"/>
              </w:rPr>
            </w:pPr>
            <w:r w:rsidRPr="00AE4296">
              <w:rPr>
                <w:sz w:val="20"/>
                <w:szCs w:val="20"/>
              </w:rPr>
              <w:t>Clinical remission defined as a CDAI score ≤150 at week 6 restricted to patients with prior TNF antagonist failure</w:t>
            </w:r>
          </w:p>
        </w:tc>
      </w:tr>
      <w:tr w:rsidR="00092D19" w:rsidRPr="00AE4296" w14:paraId="7FEDC6D7" w14:textId="77777777" w:rsidTr="00766063">
        <w:tc>
          <w:tcPr>
            <w:tcW w:w="1271" w:type="dxa"/>
            <w:vMerge w:val="restart"/>
          </w:tcPr>
          <w:p w14:paraId="4540F996" w14:textId="77777777" w:rsidR="00092D19" w:rsidRPr="00AE4296" w:rsidRDefault="00092D19" w:rsidP="005413BD">
            <w:pPr>
              <w:pStyle w:val="TableText0"/>
              <w:keepNext w:val="0"/>
              <w:widowControl w:val="0"/>
              <w:rPr>
                <w:sz w:val="20"/>
                <w:szCs w:val="20"/>
              </w:rPr>
            </w:pPr>
            <w:r w:rsidRPr="00AE4296">
              <w:rPr>
                <w:sz w:val="20"/>
                <w:szCs w:val="20"/>
              </w:rPr>
              <w:t>Watanabe 2020</w:t>
            </w:r>
          </w:p>
        </w:tc>
        <w:tc>
          <w:tcPr>
            <w:tcW w:w="851" w:type="dxa"/>
          </w:tcPr>
          <w:p w14:paraId="68B3CDC0" w14:textId="1ACBB8D0" w:rsidR="00092D19" w:rsidRPr="00AE4296" w:rsidRDefault="00092D19" w:rsidP="005413BD">
            <w:pPr>
              <w:pStyle w:val="TableText0"/>
              <w:keepNext w:val="0"/>
              <w:widowControl w:val="0"/>
              <w:rPr>
                <w:sz w:val="20"/>
                <w:szCs w:val="20"/>
              </w:rPr>
            </w:pPr>
            <w:r w:rsidRPr="00AE4296">
              <w:rPr>
                <w:sz w:val="20"/>
                <w:szCs w:val="20"/>
              </w:rPr>
              <w:t>157</w:t>
            </w:r>
          </w:p>
        </w:tc>
        <w:tc>
          <w:tcPr>
            <w:tcW w:w="1275" w:type="dxa"/>
            <w:vMerge w:val="restart"/>
          </w:tcPr>
          <w:p w14:paraId="1046C92A" w14:textId="049817B5" w:rsidR="00092D19" w:rsidRPr="00AE4296" w:rsidRDefault="00092D19" w:rsidP="005413BD">
            <w:pPr>
              <w:pStyle w:val="TableText0"/>
              <w:keepNext w:val="0"/>
              <w:widowControl w:val="0"/>
              <w:rPr>
                <w:sz w:val="20"/>
                <w:szCs w:val="20"/>
              </w:rPr>
            </w:pPr>
            <w:r w:rsidRPr="00AE4296">
              <w:rPr>
                <w:snapToGrid w:val="0"/>
                <w:sz w:val="20"/>
                <w:szCs w:val="20"/>
                <w:lang w:val="en-US"/>
              </w:rPr>
              <w:t>Phase 3, R, DB</w:t>
            </w:r>
          </w:p>
        </w:tc>
        <w:tc>
          <w:tcPr>
            <w:tcW w:w="1418" w:type="dxa"/>
          </w:tcPr>
          <w:p w14:paraId="06A00E3A" w14:textId="77777777" w:rsidR="00092D19" w:rsidRPr="00AE4296" w:rsidRDefault="00092D19" w:rsidP="005413BD">
            <w:pPr>
              <w:pStyle w:val="TableText0"/>
              <w:keepNext w:val="0"/>
              <w:widowControl w:val="0"/>
              <w:rPr>
                <w:sz w:val="20"/>
                <w:szCs w:val="20"/>
              </w:rPr>
            </w:pPr>
            <w:r w:rsidRPr="00AE4296">
              <w:rPr>
                <w:sz w:val="20"/>
                <w:szCs w:val="20"/>
              </w:rPr>
              <w:t>IP: 14 weeks</w:t>
            </w:r>
          </w:p>
        </w:tc>
        <w:tc>
          <w:tcPr>
            <w:tcW w:w="850" w:type="dxa"/>
          </w:tcPr>
          <w:p w14:paraId="454E82DD" w14:textId="77777777" w:rsidR="00092D19" w:rsidRPr="00AE4296" w:rsidRDefault="00092D19" w:rsidP="005413BD">
            <w:pPr>
              <w:pStyle w:val="TableText0"/>
              <w:keepNext w:val="0"/>
              <w:widowControl w:val="0"/>
              <w:rPr>
                <w:sz w:val="20"/>
                <w:szCs w:val="20"/>
              </w:rPr>
            </w:pPr>
            <w:r w:rsidRPr="00AE4296">
              <w:rPr>
                <w:sz w:val="20"/>
                <w:szCs w:val="20"/>
              </w:rPr>
              <w:t>Low</w:t>
            </w:r>
          </w:p>
        </w:tc>
        <w:tc>
          <w:tcPr>
            <w:tcW w:w="2322" w:type="dxa"/>
          </w:tcPr>
          <w:p w14:paraId="6FFF302C" w14:textId="77777777" w:rsidR="00092D19" w:rsidRPr="00AE4296" w:rsidRDefault="00092D19" w:rsidP="005413BD">
            <w:pPr>
              <w:pStyle w:val="TableText0"/>
              <w:keepNext w:val="0"/>
              <w:widowControl w:val="0"/>
              <w:rPr>
                <w:sz w:val="20"/>
                <w:szCs w:val="20"/>
              </w:rPr>
            </w:pPr>
            <w:r w:rsidRPr="00AE4296">
              <w:rPr>
                <w:sz w:val="20"/>
                <w:szCs w:val="20"/>
              </w:rPr>
              <w:t>TNF antagonist naïve or experienced intolerant or lost or inadequate response</w:t>
            </w:r>
          </w:p>
        </w:tc>
        <w:tc>
          <w:tcPr>
            <w:tcW w:w="1226" w:type="dxa"/>
            <w:vMerge w:val="restart"/>
          </w:tcPr>
          <w:p w14:paraId="2BE80AA9" w14:textId="77777777" w:rsidR="00092D19" w:rsidRPr="00AE4296" w:rsidRDefault="00092D19" w:rsidP="005413BD">
            <w:pPr>
              <w:pStyle w:val="TableText0"/>
              <w:keepNext w:val="0"/>
              <w:widowControl w:val="0"/>
              <w:rPr>
                <w:sz w:val="20"/>
                <w:szCs w:val="20"/>
              </w:rPr>
            </w:pPr>
            <w:r w:rsidRPr="00AE4296">
              <w:rPr>
                <w:sz w:val="20"/>
                <w:szCs w:val="20"/>
              </w:rPr>
              <w:t>Clinical remission is defined as a ≥150-point decrease in the CDAI score</w:t>
            </w:r>
          </w:p>
        </w:tc>
      </w:tr>
      <w:tr w:rsidR="00092D19" w:rsidRPr="00AE4296" w14:paraId="26D5B01D" w14:textId="77777777" w:rsidTr="00766063">
        <w:tc>
          <w:tcPr>
            <w:tcW w:w="1271" w:type="dxa"/>
            <w:vMerge/>
          </w:tcPr>
          <w:p w14:paraId="5FF210F4" w14:textId="63FDCD77" w:rsidR="00092D19" w:rsidRPr="00AE4296" w:rsidRDefault="00092D19" w:rsidP="005413BD">
            <w:pPr>
              <w:pStyle w:val="TableText0"/>
              <w:keepNext w:val="0"/>
              <w:widowControl w:val="0"/>
              <w:rPr>
                <w:sz w:val="20"/>
                <w:szCs w:val="20"/>
              </w:rPr>
            </w:pPr>
          </w:p>
        </w:tc>
        <w:tc>
          <w:tcPr>
            <w:tcW w:w="851" w:type="dxa"/>
          </w:tcPr>
          <w:p w14:paraId="64813B60" w14:textId="4E4EACFB" w:rsidR="00092D19" w:rsidRPr="00AE4296" w:rsidRDefault="00092D19" w:rsidP="005413BD">
            <w:pPr>
              <w:pStyle w:val="TableText0"/>
              <w:keepNext w:val="0"/>
              <w:widowControl w:val="0"/>
              <w:rPr>
                <w:sz w:val="20"/>
                <w:szCs w:val="20"/>
              </w:rPr>
            </w:pPr>
            <w:r w:rsidRPr="00AE4296">
              <w:rPr>
                <w:sz w:val="20"/>
                <w:szCs w:val="20"/>
              </w:rPr>
              <w:t>24</w:t>
            </w:r>
          </w:p>
        </w:tc>
        <w:tc>
          <w:tcPr>
            <w:tcW w:w="1275" w:type="dxa"/>
            <w:vMerge/>
          </w:tcPr>
          <w:p w14:paraId="4CCFD0CE" w14:textId="77777777" w:rsidR="00092D19" w:rsidRPr="00AE4296" w:rsidRDefault="00092D19" w:rsidP="005413BD">
            <w:pPr>
              <w:pStyle w:val="TableText0"/>
              <w:keepNext w:val="0"/>
              <w:widowControl w:val="0"/>
              <w:rPr>
                <w:sz w:val="20"/>
                <w:szCs w:val="20"/>
              </w:rPr>
            </w:pPr>
          </w:p>
        </w:tc>
        <w:tc>
          <w:tcPr>
            <w:tcW w:w="1418" w:type="dxa"/>
          </w:tcPr>
          <w:p w14:paraId="5B8A3D22" w14:textId="77777777" w:rsidR="00092D19" w:rsidRPr="00AE4296" w:rsidRDefault="00092D19" w:rsidP="005413BD">
            <w:pPr>
              <w:pStyle w:val="TableText0"/>
              <w:keepNext w:val="0"/>
              <w:widowControl w:val="0"/>
              <w:rPr>
                <w:sz w:val="20"/>
                <w:szCs w:val="20"/>
              </w:rPr>
            </w:pPr>
            <w:r w:rsidRPr="00AE4296">
              <w:rPr>
                <w:sz w:val="20"/>
                <w:szCs w:val="20"/>
              </w:rPr>
              <w:t>MP: 60 weeks</w:t>
            </w:r>
          </w:p>
        </w:tc>
        <w:tc>
          <w:tcPr>
            <w:tcW w:w="850" w:type="dxa"/>
          </w:tcPr>
          <w:p w14:paraId="61583A6F" w14:textId="77777777" w:rsidR="00092D19" w:rsidRPr="00AE4296" w:rsidRDefault="00092D19" w:rsidP="005413BD">
            <w:pPr>
              <w:pStyle w:val="TableText0"/>
              <w:keepNext w:val="0"/>
              <w:widowControl w:val="0"/>
              <w:rPr>
                <w:sz w:val="20"/>
                <w:szCs w:val="20"/>
              </w:rPr>
            </w:pPr>
            <w:r w:rsidRPr="00AE4296">
              <w:rPr>
                <w:sz w:val="20"/>
                <w:szCs w:val="20"/>
              </w:rPr>
              <w:t>Low</w:t>
            </w:r>
          </w:p>
        </w:tc>
        <w:tc>
          <w:tcPr>
            <w:tcW w:w="2322" w:type="dxa"/>
          </w:tcPr>
          <w:p w14:paraId="10C6A28C" w14:textId="77777777" w:rsidR="00092D19" w:rsidRPr="00AE4296" w:rsidRDefault="00092D19" w:rsidP="005413BD">
            <w:pPr>
              <w:pStyle w:val="TableText0"/>
              <w:keepNext w:val="0"/>
              <w:widowControl w:val="0"/>
              <w:rPr>
                <w:sz w:val="20"/>
                <w:szCs w:val="20"/>
              </w:rPr>
            </w:pPr>
            <w:r w:rsidRPr="00AE4296">
              <w:rPr>
                <w:sz w:val="20"/>
                <w:szCs w:val="20"/>
              </w:rPr>
              <w:t>TNF experienced intolerant or lost or inadequate response</w:t>
            </w:r>
          </w:p>
        </w:tc>
        <w:tc>
          <w:tcPr>
            <w:tcW w:w="1226" w:type="dxa"/>
            <w:vMerge/>
          </w:tcPr>
          <w:p w14:paraId="2F568FC1" w14:textId="77777777" w:rsidR="00092D19" w:rsidRPr="00AE4296" w:rsidRDefault="00092D19" w:rsidP="005413BD">
            <w:pPr>
              <w:pStyle w:val="TableText0"/>
              <w:keepNext w:val="0"/>
              <w:widowControl w:val="0"/>
              <w:rPr>
                <w:sz w:val="20"/>
                <w:szCs w:val="20"/>
              </w:rPr>
            </w:pPr>
          </w:p>
        </w:tc>
      </w:tr>
      <w:tr w:rsidR="0059604F" w:rsidRPr="00AE4296" w14:paraId="655C6643" w14:textId="77777777" w:rsidTr="00766063">
        <w:tc>
          <w:tcPr>
            <w:tcW w:w="1271" w:type="dxa"/>
          </w:tcPr>
          <w:p w14:paraId="6ED20992" w14:textId="77777777" w:rsidR="0059604F" w:rsidRPr="00AE4296" w:rsidRDefault="0059604F" w:rsidP="005413BD">
            <w:pPr>
              <w:pStyle w:val="TableText0"/>
              <w:keepNext w:val="0"/>
              <w:widowControl w:val="0"/>
              <w:rPr>
                <w:rFonts w:cs="Calibri"/>
                <w:sz w:val="20"/>
                <w:szCs w:val="20"/>
              </w:rPr>
            </w:pPr>
            <w:r w:rsidRPr="00AE4296">
              <w:rPr>
                <w:rFonts w:cs="Calibri"/>
                <w:sz w:val="20"/>
                <w:szCs w:val="20"/>
              </w:rPr>
              <w:t>Visible 2</w:t>
            </w:r>
          </w:p>
          <w:p w14:paraId="0AC6195B" w14:textId="77777777" w:rsidR="0059604F" w:rsidRPr="00AE4296" w:rsidRDefault="0059604F" w:rsidP="005413BD">
            <w:pPr>
              <w:pStyle w:val="TableText0"/>
              <w:keepNext w:val="0"/>
              <w:widowControl w:val="0"/>
              <w:rPr>
                <w:sz w:val="20"/>
                <w:szCs w:val="20"/>
              </w:rPr>
            </w:pPr>
            <w:r w:rsidRPr="00AE4296">
              <w:rPr>
                <w:sz w:val="20"/>
                <w:szCs w:val="20"/>
              </w:rPr>
              <w:lastRenderedPageBreak/>
              <w:t>(VDZ SC)</w:t>
            </w:r>
          </w:p>
        </w:tc>
        <w:tc>
          <w:tcPr>
            <w:tcW w:w="851" w:type="dxa"/>
          </w:tcPr>
          <w:p w14:paraId="6CC78083" w14:textId="0974BDB6" w:rsidR="0059604F" w:rsidRPr="00AE4296" w:rsidRDefault="0059604F" w:rsidP="005413BD">
            <w:pPr>
              <w:pStyle w:val="TableText0"/>
              <w:keepNext w:val="0"/>
              <w:widowControl w:val="0"/>
              <w:rPr>
                <w:sz w:val="20"/>
                <w:szCs w:val="20"/>
              </w:rPr>
            </w:pPr>
            <w:r w:rsidRPr="00AE4296">
              <w:rPr>
                <w:sz w:val="20"/>
                <w:szCs w:val="20"/>
              </w:rPr>
              <w:lastRenderedPageBreak/>
              <w:t>410</w:t>
            </w:r>
          </w:p>
        </w:tc>
        <w:tc>
          <w:tcPr>
            <w:tcW w:w="1275" w:type="dxa"/>
          </w:tcPr>
          <w:p w14:paraId="3C9A143B" w14:textId="15F1715F" w:rsidR="0059604F" w:rsidRPr="00AE4296" w:rsidRDefault="0059604F" w:rsidP="005413BD">
            <w:pPr>
              <w:pStyle w:val="TableText0"/>
              <w:keepNext w:val="0"/>
              <w:widowControl w:val="0"/>
              <w:rPr>
                <w:sz w:val="20"/>
                <w:szCs w:val="20"/>
              </w:rPr>
            </w:pPr>
            <w:r w:rsidRPr="00AE4296">
              <w:rPr>
                <w:snapToGrid w:val="0"/>
                <w:sz w:val="20"/>
                <w:szCs w:val="20"/>
                <w:lang w:val="en-US"/>
              </w:rPr>
              <w:t xml:space="preserve">Phase 3, MC, </w:t>
            </w:r>
            <w:r w:rsidRPr="00AE4296">
              <w:rPr>
                <w:snapToGrid w:val="0"/>
                <w:sz w:val="20"/>
                <w:szCs w:val="20"/>
                <w:lang w:val="en-US"/>
              </w:rPr>
              <w:lastRenderedPageBreak/>
              <w:t>R, DB</w:t>
            </w:r>
          </w:p>
        </w:tc>
        <w:tc>
          <w:tcPr>
            <w:tcW w:w="1418" w:type="dxa"/>
          </w:tcPr>
          <w:p w14:paraId="7E06F1F9" w14:textId="77777777" w:rsidR="0059604F" w:rsidRPr="00AE4296" w:rsidRDefault="0059604F" w:rsidP="005413BD">
            <w:pPr>
              <w:pStyle w:val="TableText0"/>
              <w:keepNext w:val="0"/>
              <w:widowControl w:val="0"/>
              <w:rPr>
                <w:sz w:val="20"/>
                <w:szCs w:val="20"/>
              </w:rPr>
            </w:pPr>
            <w:r w:rsidRPr="00AE4296">
              <w:rPr>
                <w:sz w:val="20"/>
                <w:szCs w:val="20"/>
              </w:rPr>
              <w:lastRenderedPageBreak/>
              <w:t>MP: 52 weeks</w:t>
            </w:r>
          </w:p>
        </w:tc>
        <w:tc>
          <w:tcPr>
            <w:tcW w:w="850" w:type="dxa"/>
          </w:tcPr>
          <w:p w14:paraId="6B7DD5CA" w14:textId="77777777" w:rsidR="0059604F" w:rsidRPr="00AE4296" w:rsidRDefault="0059604F" w:rsidP="005413BD">
            <w:pPr>
              <w:pStyle w:val="TableText0"/>
              <w:keepNext w:val="0"/>
              <w:widowControl w:val="0"/>
              <w:rPr>
                <w:sz w:val="20"/>
                <w:szCs w:val="20"/>
              </w:rPr>
            </w:pPr>
            <w:r w:rsidRPr="00AE4296">
              <w:rPr>
                <w:sz w:val="20"/>
                <w:szCs w:val="20"/>
              </w:rPr>
              <w:t>Low</w:t>
            </w:r>
          </w:p>
        </w:tc>
        <w:tc>
          <w:tcPr>
            <w:tcW w:w="2322" w:type="dxa"/>
          </w:tcPr>
          <w:p w14:paraId="557F9BCB" w14:textId="77777777" w:rsidR="0059604F" w:rsidRPr="00AE4296" w:rsidRDefault="0059604F" w:rsidP="005413BD">
            <w:pPr>
              <w:pStyle w:val="TableText0"/>
              <w:keepNext w:val="0"/>
              <w:widowControl w:val="0"/>
              <w:rPr>
                <w:sz w:val="20"/>
                <w:szCs w:val="20"/>
              </w:rPr>
            </w:pPr>
            <w:r w:rsidRPr="00AE4296">
              <w:rPr>
                <w:sz w:val="20"/>
                <w:szCs w:val="20"/>
              </w:rPr>
              <w:t xml:space="preserve">TNF experienced intolerant </w:t>
            </w:r>
            <w:r w:rsidRPr="00AE4296">
              <w:rPr>
                <w:sz w:val="20"/>
                <w:szCs w:val="20"/>
              </w:rPr>
              <w:lastRenderedPageBreak/>
              <w:t>or lost or inadequate response</w:t>
            </w:r>
          </w:p>
        </w:tc>
        <w:tc>
          <w:tcPr>
            <w:tcW w:w="1226" w:type="dxa"/>
            <w:vMerge/>
          </w:tcPr>
          <w:p w14:paraId="1B88ACDD" w14:textId="77777777" w:rsidR="0059604F" w:rsidRPr="00AE4296" w:rsidRDefault="0059604F" w:rsidP="005413BD">
            <w:pPr>
              <w:pStyle w:val="TableText0"/>
              <w:keepNext w:val="0"/>
              <w:widowControl w:val="0"/>
              <w:rPr>
                <w:sz w:val="20"/>
                <w:szCs w:val="20"/>
              </w:rPr>
            </w:pPr>
          </w:p>
        </w:tc>
      </w:tr>
      <w:tr w:rsidR="0059604F" w:rsidRPr="00AE4296" w14:paraId="4024D43A" w14:textId="77777777" w:rsidTr="00766063">
        <w:tc>
          <w:tcPr>
            <w:tcW w:w="9213" w:type="dxa"/>
            <w:gridSpan w:val="7"/>
          </w:tcPr>
          <w:p w14:paraId="24CBF939" w14:textId="77777777" w:rsidR="0059604F" w:rsidRPr="00AE4296" w:rsidRDefault="0059604F" w:rsidP="005413BD">
            <w:pPr>
              <w:pStyle w:val="TableText0"/>
              <w:keepNext w:val="0"/>
              <w:widowControl w:val="0"/>
              <w:rPr>
                <w:b/>
                <w:bCs w:val="0"/>
                <w:sz w:val="20"/>
                <w:szCs w:val="20"/>
              </w:rPr>
            </w:pPr>
            <w:r w:rsidRPr="00AE4296">
              <w:rPr>
                <w:b/>
                <w:bCs w:val="0"/>
                <w:sz w:val="20"/>
                <w:szCs w:val="20"/>
              </w:rPr>
              <w:t>Ustekinumab vs placebo</w:t>
            </w:r>
          </w:p>
        </w:tc>
      </w:tr>
      <w:tr w:rsidR="0059604F" w:rsidRPr="00AE4296" w14:paraId="7D3F9B0E" w14:textId="77777777" w:rsidTr="00766063">
        <w:tc>
          <w:tcPr>
            <w:tcW w:w="1271" w:type="dxa"/>
          </w:tcPr>
          <w:p w14:paraId="5FEE8AB6" w14:textId="77777777" w:rsidR="0059604F" w:rsidRPr="00AE4296" w:rsidRDefault="0059604F" w:rsidP="005413BD">
            <w:pPr>
              <w:pStyle w:val="TableText0"/>
              <w:keepNext w:val="0"/>
              <w:widowControl w:val="0"/>
              <w:rPr>
                <w:sz w:val="20"/>
                <w:szCs w:val="20"/>
              </w:rPr>
            </w:pPr>
            <w:r w:rsidRPr="00AE4296">
              <w:rPr>
                <w:sz w:val="20"/>
                <w:szCs w:val="20"/>
              </w:rPr>
              <w:t>UNITI-I</w:t>
            </w:r>
          </w:p>
        </w:tc>
        <w:tc>
          <w:tcPr>
            <w:tcW w:w="851" w:type="dxa"/>
          </w:tcPr>
          <w:p w14:paraId="5D4C598F" w14:textId="0F3F9343" w:rsidR="0059604F" w:rsidRPr="00AE4296" w:rsidRDefault="0059604F" w:rsidP="005413BD">
            <w:pPr>
              <w:pStyle w:val="TableText0"/>
              <w:keepNext w:val="0"/>
              <w:widowControl w:val="0"/>
              <w:rPr>
                <w:sz w:val="20"/>
                <w:szCs w:val="20"/>
              </w:rPr>
            </w:pPr>
            <w:r w:rsidRPr="00AE4296">
              <w:rPr>
                <w:sz w:val="20"/>
                <w:szCs w:val="20"/>
              </w:rPr>
              <w:t>741</w:t>
            </w:r>
          </w:p>
        </w:tc>
        <w:tc>
          <w:tcPr>
            <w:tcW w:w="1275" w:type="dxa"/>
            <w:vMerge w:val="restart"/>
          </w:tcPr>
          <w:p w14:paraId="12D582CD" w14:textId="04AD3B67" w:rsidR="0059604F" w:rsidRPr="00AE4296" w:rsidRDefault="0059604F" w:rsidP="00DB19D4">
            <w:pPr>
              <w:pStyle w:val="TableText0"/>
              <w:keepNext w:val="0"/>
              <w:widowControl w:val="0"/>
              <w:rPr>
                <w:sz w:val="20"/>
                <w:szCs w:val="20"/>
              </w:rPr>
            </w:pPr>
            <w:r w:rsidRPr="00AE4296">
              <w:rPr>
                <w:sz w:val="20"/>
                <w:szCs w:val="20"/>
              </w:rPr>
              <w:t>Phase 3, R, DB, PC, MC</w:t>
            </w:r>
          </w:p>
        </w:tc>
        <w:tc>
          <w:tcPr>
            <w:tcW w:w="1418" w:type="dxa"/>
            <w:vMerge w:val="restart"/>
          </w:tcPr>
          <w:p w14:paraId="5328BBF3" w14:textId="04CC829D" w:rsidR="0059604F" w:rsidRPr="00AE4296" w:rsidRDefault="0059604F" w:rsidP="00DB19D4">
            <w:pPr>
              <w:pStyle w:val="TableText0"/>
              <w:keepNext w:val="0"/>
              <w:widowControl w:val="0"/>
              <w:rPr>
                <w:sz w:val="20"/>
                <w:szCs w:val="20"/>
              </w:rPr>
            </w:pPr>
            <w:r w:rsidRPr="00AE4296">
              <w:rPr>
                <w:sz w:val="20"/>
                <w:szCs w:val="20"/>
              </w:rPr>
              <w:t>IP: 8 weeks</w:t>
            </w:r>
          </w:p>
        </w:tc>
        <w:tc>
          <w:tcPr>
            <w:tcW w:w="850" w:type="dxa"/>
          </w:tcPr>
          <w:p w14:paraId="5CBF4459" w14:textId="77777777" w:rsidR="0059604F" w:rsidRPr="00AE4296" w:rsidRDefault="0059604F" w:rsidP="005413BD">
            <w:pPr>
              <w:pStyle w:val="TableText0"/>
              <w:keepNext w:val="0"/>
              <w:widowControl w:val="0"/>
              <w:rPr>
                <w:sz w:val="20"/>
                <w:szCs w:val="20"/>
              </w:rPr>
            </w:pPr>
            <w:r w:rsidRPr="00AE4296">
              <w:rPr>
                <w:sz w:val="20"/>
                <w:szCs w:val="20"/>
              </w:rPr>
              <w:t>Low</w:t>
            </w:r>
          </w:p>
        </w:tc>
        <w:tc>
          <w:tcPr>
            <w:tcW w:w="2322" w:type="dxa"/>
          </w:tcPr>
          <w:p w14:paraId="30ADF9D4" w14:textId="77777777" w:rsidR="0059604F" w:rsidRPr="00AE4296" w:rsidRDefault="0059604F" w:rsidP="005413BD">
            <w:pPr>
              <w:pStyle w:val="TableText0"/>
              <w:keepNext w:val="0"/>
              <w:widowControl w:val="0"/>
              <w:rPr>
                <w:sz w:val="20"/>
                <w:szCs w:val="20"/>
              </w:rPr>
            </w:pPr>
            <w:r w:rsidRPr="00AE4296">
              <w:rPr>
                <w:sz w:val="20"/>
                <w:szCs w:val="20"/>
              </w:rPr>
              <w:t>TNF antagonist refractory</w:t>
            </w:r>
          </w:p>
        </w:tc>
        <w:tc>
          <w:tcPr>
            <w:tcW w:w="1226" w:type="dxa"/>
            <w:vMerge w:val="restart"/>
          </w:tcPr>
          <w:p w14:paraId="1D55F849" w14:textId="77777777" w:rsidR="0059604F" w:rsidRPr="00AE4296" w:rsidRDefault="0059604F" w:rsidP="005413BD">
            <w:pPr>
              <w:pStyle w:val="TableText0"/>
              <w:keepNext w:val="0"/>
              <w:widowControl w:val="0"/>
              <w:rPr>
                <w:sz w:val="20"/>
                <w:szCs w:val="20"/>
              </w:rPr>
            </w:pPr>
            <w:r w:rsidRPr="00AE4296">
              <w:rPr>
                <w:sz w:val="20"/>
                <w:szCs w:val="20"/>
              </w:rPr>
              <w:t xml:space="preserve">CDAI clinical response </w:t>
            </w:r>
            <w:r w:rsidRPr="00AE4296">
              <w:rPr>
                <w:sz w:val="20"/>
                <w:szCs w:val="20"/>
                <w:vertAlign w:val="superscript"/>
              </w:rPr>
              <w:t>b, c</w:t>
            </w:r>
          </w:p>
          <w:p w14:paraId="0622B9D4" w14:textId="77777777" w:rsidR="0059604F" w:rsidRPr="00AE4296" w:rsidRDefault="0059604F" w:rsidP="005413BD">
            <w:pPr>
              <w:pStyle w:val="TableText0"/>
              <w:keepNext w:val="0"/>
              <w:widowControl w:val="0"/>
              <w:rPr>
                <w:sz w:val="20"/>
                <w:szCs w:val="20"/>
              </w:rPr>
            </w:pPr>
            <w:r w:rsidRPr="00AE4296">
              <w:rPr>
                <w:sz w:val="20"/>
                <w:szCs w:val="20"/>
              </w:rPr>
              <w:t xml:space="preserve">CDAI clinical remission </w:t>
            </w:r>
            <w:r w:rsidRPr="00AE4296">
              <w:rPr>
                <w:sz w:val="20"/>
                <w:szCs w:val="20"/>
                <w:vertAlign w:val="superscript"/>
              </w:rPr>
              <w:t>a</w:t>
            </w:r>
          </w:p>
        </w:tc>
      </w:tr>
      <w:tr w:rsidR="0059604F" w:rsidRPr="00AE4296" w14:paraId="17053E46" w14:textId="77777777" w:rsidTr="00766063">
        <w:tc>
          <w:tcPr>
            <w:tcW w:w="1271" w:type="dxa"/>
          </w:tcPr>
          <w:p w14:paraId="0C2C6C43" w14:textId="77777777" w:rsidR="0059604F" w:rsidRPr="00AE4296" w:rsidRDefault="0059604F" w:rsidP="005413BD">
            <w:pPr>
              <w:pStyle w:val="TableText0"/>
              <w:keepNext w:val="0"/>
              <w:widowControl w:val="0"/>
              <w:rPr>
                <w:sz w:val="20"/>
                <w:szCs w:val="20"/>
              </w:rPr>
            </w:pPr>
            <w:r w:rsidRPr="00AE4296">
              <w:rPr>
                <w:sz w:val="20"/>
                <w:szCs w:val="20"/>
              </w:rPr>
              <w:t>UNITI-II</w:t>
            </w:r>
          </w:p>
        </w:tc>
        <w:tc>
          <w:tcPr>
            <w:tcW w:w="851" w:type="dxa"/>
          </w:tcPr>
          <w:p w14:paraId="1F4209B4" w14:textId="40CACCB7" w:rsidR="0059604F" w:rsidRPr="00AE4296" w:rsidRDefault="0059604F" w:rsidP="005413BD">
            <w:pPr>
              <w:pStyle w:val="TableText0"/>
              <w:keepNext w:val="0"/>
              <w:widowControl w:val="0"/>
              <w:rPr>
                <w:sz w:val="20"/>
                <w:szCs w:val="20"/>
              </w:rPr>
            </w:pPr>
            <w:r w:rsidRPr="00AE4296">
              <w:rPr>
                <w:sz w:val="20"/>
                <w:szCs w:val="20"/>
              </w:rPr>
              <w:t>628</w:t>
            </w:r>
          </w:p>
        </w:tc>
        <w:tc>
          <w:tcPr>
            <w:tcW w:w="1275" w:type="dxa"/>
            <w:vMerge/>
          </w:tcPr>
          <w:p w14:paraId="437AFD2E" w14:textId="77777777" w:rsidR="0059604F" w:rsidRPr="00AE4296" w:rsidRDefault="0059604F" w:rsidP="005413BD">
            <w:pPr>
              <w:pStyle w:val="TableText0"/>
              <w:keepNext w:val="0"/>
              <w:widowControl w:val="0"/>
              <w:rPr>
                <w:sz w:val="20"/>
                <w:szCs w:val="20"/>
              </w:rPr>
            </w:pPr>
          </w:p>
        </w:tc>
        <w:tc>
          <w:tcPr>
            <w:tcW w:w="1418" w:type="dxa"/>
            <w:vMerge/>
          </w:tcPr>
          <w:p w14:paraId="604FAFCA" w14:textId="77777777" w:rsidR="0059604F" w:rsidRPr="00AE4296" w:rsidRDefault="0059604F" w:rsidP="005413BD">
            <w:pPr>
              <w:pStyle w:val="TableText0"/>
              <w:keepNext w:val="0"/>
              <w:widowControl w:val="0"/>
              <w:rPr>
                <w:sz w:val="20"/>
                <w:szCs w:val="20"/>
              </w:rPr>
            </w:pPr>
          </w:p>
        </w:tc>
        <w:tc>
          <w:tcPr>
            <w:tcW w:w="850" w:type="dxa"/>
          </w:tcPr>
          <w:p w14:paraId="6C17CFAB" w14:textId="77777777" w:rsidR="0059604F" w:rsidRPr="00AE4296" w:rsidRDefault="0059604F" w:rsidP="005413BD">
            <w:pPr>
              <w:pStyle w:val="TableText0"/>
              <w:keepNext w:val="0"/>
              <w:widowControl w:val="0"/>
              <w:rPr>
                <w:szCs w:val="20"/>
              </w:rPr>
            </w:pPr>
            <w:r w:rsidRPr="00AE4296">
              <w:rPr>
                <w:sz w:val="20"/>
                <w:szCs w:val="18"/>
              </w:rPr>
              <w:t>Low</w:t>
            </w:r>
          </w:p>
        </w:tc>
        <w:tc>
          <w:tcPr>
            <w:tcW w:w="2322" w:type="dxa"/>
          </w:tcPr>
          <w:p w14:paraId="6886B38D" w14:textId="77777777" w:rsidR="0059604F" w:rsidRPr="00AE4296" w:rsidRDefault="0059604F" w:rsidP="005413BD">
            <w:pPr>
              <w:pStyle w:val="TableText0"/>
              <w:keepNext w:val="0"/>
              <w:widowControl w:val="0"/>
              <w:rPr>
                <w:sz w:val="20"/>
                <w:szCs w:val="20"/>
              </w:rPr>
            </w:pPr>
            <w:r w:rsidRPr="00AE4296">
              <w:rPr>
                <w:sz w:val="20"/>
                <w:szCs w:val="20"/>
              </w:rPr>
              <w:t>TNF naïve and TNF experienced (but non-refractory)</w:t>
            </w:r>
          </w:p>
        </w:tc>
        <w:tc>
          <w:tcPr>
            <w:tcW w:w="1226" w:type="dxa"/>
            <w:vMerge/>
          </w:tcPr>
          <w:p w14:paraId="12A31FBD" w14:textId="77777777" w:rsidR="0059604F" w:rsidRPr="00AE4296" w:rsidRDefault="0059604F" w:rsidP="005413BD">
            <w:pPr>
              <w:pStyle w:val="TableText0"/>
              <w:keepNext w:val="0"/>
              <w:widowControl w:val="0"/>
              <w:rPr>
                <w:sz w:val="20"/>
                <w:szCs w:val="20"/>
              </w:rPr>
            </w:pPr>
          </w:p>
        </w:tc>
      </w:tr>
      <w:tr w:rsidR="0059604F" w:rsidRPr="00AE4296" w14:paraId="4238C328" w14:textId="77777777" w:rsidTr="00766063">
        <w:tc>
          <w:tcPr>
            <w:tcW w:w="1271" w:type="dxa"/>
          </w:tcPr>
          <w:p w14:paraId="3F32C824" w14:textId="77777777" w:rsidR="0059604F" w:rsidRPr="00AE4296" w:rsidRDefault="0059604F" w:rsidP="005413BD">
            <w:pPr>
              <w:pStyle w:val="TableText0"/>
              <w:keepNext w:val="0"/>
              <w:widowControl w:val="0"/>
              <w:rPr>
                <w:sz w:val="20"/>
                <w:szCs w:val="20"/>
              </w:rPr>
            </w:pPr>
            <w:r w:rsidRPr="00AE4296">
              <w:rPr>
                <w:sz w:val="20"/>
                <w:szCs w:val="20"/>
              </w:rPr>
              <w:t>IM-UNITI</w:t>
            </w:r>
          </w:p>
        </w:tc>
        <w:tc>
          <w:tcPr>
            <w:tcW w:w="851" w:type="dxa"/>
          </w:tcPr>
          <w:p w14:paraId="1A34D636" w14:textId="3F53D299" w:rsidR="0059604F" w:rsidRPr="00AE4296" w:rsidRDefault="0059604F" w:rsidP="005413BD">
            <w:pPr>
              <w:pStyle w:val="TableText0"/>
              <w:keepNext w:val="0"/>
              <w:widowControl w:val="0"/>
              <w:rPr>
                <w:sz w:val="20"/>
                <w:szCs w:val="20"/>
              </w:rPr>
            </w:pPr>
            <w:r w:rsidRPr="00AE4296">
              <w:rPr>
                <w:sz w:val="20"/>
                <w:szCs w:val="20"/>
              </w:rPr>
              <w:t>397</w:t>
            </w:r>
          </w:p>
        </w:tc>
        <w:tc>
          <w:tcPr>
            <w:tcW w:w="1275" w:type="dxa"/>
          </w:tcPr>
          <w:p w14:paraId="780A93E1" w14:textId="29041B1C" w:rsidR="0059604F" w:rsidRPr="00AE4296" w:rsidRDefault="0059604F" w:rsidP="005413BD">
            <w:pPr>
              <w:pStyle w:val="TableText0"/>
              <w:keepNext w:val="0"/>
              <w:widowControl w:val="0"/>
              <w:rPr>
                <w:sz w:val="20"/>
                <w:szCs w:val="20"/>
              </w:rPr>
            </w:pPr>
            <w:r w:rsidRPr="00AE4296">
              <w:rPr>
                <w:sz w:val="20"/>
                <w:szCs w:val="20"/>
              </w:rPr>
              <w:t xml:space="preserve">Phase 3, R, DB, PC, MC </w:t>
            </w:r>
          </w:p>
        </w:tc>
        <w:tc>
          <w:tcPr>
            <w:tcW w:w="1418" w:type="dxa"/>
          </w:tcPr>
          <w:p w14:paraId="48D81CC4" w14:textId="77777777" w:rsidR="0059604F" w:rsidRPr="00AE4296" w:rsidRDefault="0059604F" w:rsidP="005413BD">
            <w:pPr>
              <w:pStyle w:val="TableText0"/>
              <w:keepNext w:val="0"/>
              <w:widowControl w:val="0"/>
              <w:rPr>
                <w:sz w:val="20"/>
                <w:szCs w:val="20"/>
              </w:rPr>
            </w:pPr>
            <w:r w:rsidRPr="00AE4296">
              <w:rPr>
                <w:sz w:val="20"/>
                <w:szCs w:val="20"/>
              </w:rPr>
              <w:t xml:space="preserve">MP: 52 weeks </w:t>
            </w:r>
            <w:r w:rsidRPr="00AE4296">
              <w:rPr>
                <w:sz w:val="20"/>
                <w:szCs w:val="20"/>
                <w:vertAlign w:val="superscript"/>
              </w:rPr>
              <w:t>d</w:t>
            </w:r>
          </w:p>
        </w:tc>
        <w:tc>
          <w:tcPr>
            <w:tcW w:w="850" w:type="dxa"/>
          </w:tcPr>
          <w:p w14:paraId="25D47920" w14:textId="77777777" w:rsidR="0059604F" w:rsidRPr="00AE4296" w:rsidRDefault="0059604F" w:rsidP="005413BD">
            <w:pPr>
              <w:pStyle w:val="TableText0"/>
              <w:keepNext w:val="0"/>
              <w:widowControl w:val="0"/>
              <w:rPr>
                <w:szCs w:val="20"/>
              </w:rPr>
            </w:pPr>
            <w:r w:rsidRPr="00AE4296">
              <w:rPr>
                <w:sz w:val="20"/>
                <w:szCs w:val="18"/>
              </w:rPr>
              <w:t>Low</w:t>
            </w:r>
          </w:p>
        </w:tc>
        <w:tc>
          <w:tcPr>
            <w:tcW w:w="2322" w:type="dxa"/>
          </w:tcPr>
          <w:p w14:paraId="63378602" w14:textId="1F3B7AFC" w:rsidR="0059604F" w:rsidRPr="00AE4296" w:rsidRDefault="0059604F" w:rsidP="005413BD">
            <w:pPr>
              <w:pStyle w:val="TableText0"/>
              <w:keepNext w:val="0"/>
              <w:widowControl w:val="0"/>
              <w:rPr>
                <w:sz w:val="20"/>
                <w:szCs w:val="20"/>
              </w:rPr>
            </w:pPr>
            <w:r w:rsidRPr="00AE4296">
              <w:rPr>
                <w:sz w:val="20"/>
                <w:szCs w:val="20"/>
              </w:rPr>
              <w:t>Patients with a response (CR-100) to UST induction at W8 of UNITI</w:t>
            </w:r>
            <w:r w:rsidRPr="00AE4296">
              <w:rPr>
                <w:sz w:val="20"/>
                <w:szCs w:val="20"/>
              </w:rPr>
              <w:noBreakHyphen/>
            </w:r>
            <w:r w:rsidR="00C252E2" w:rsidRPr="00AE4296">
              <w:rPr>
                <w:sz w:val="20"/>
                <w:szCs w:val="20"/>
              </w:rPr>
              <w:t xml:space="preserve">I </w:t>
            </w:r>
            <w:r w:rsidRPr="00AE4296">
              <w:rPr>
                <w:sz w:val="20"/>
                <w:szCs w:val="20"/>
              </w:rPr>
              <w:t>or UNITI</w:t>
            </w:r>
            <w:r w:rsidRPr="00AE4296">
              <w:rPr>
                <w:sz w:val="20"/>
                <w:szCs w:val="20"/>
              </w:rPr>
              <w:noBreakHyphen/>
            </w:r>
            <w:r w:rsidR="00C252E2" w:rsidRPr="00AE4296">
              <w:rPr>
                <w:sz w:val="20"/>
                <w:szCs w:val="20"/>
              </w:rPr>
              <w:t>II</w:t>
            </w:r>
          </w:p>
        </w:tc>
        <w:tc>
          <w:tcPr>
            <w:tcW w:w="1226" w:type="dxa"/>
            <w:vMerge/>
          </w:tcPr>
          <w:p w14:paraId="641CDC35" w14:textId="77777777" w:rsidR="0059604F" w:rsidRPr="00AE4296" w:rsidRDefault="0059604F" w:rsidP="005413BD">
            <w:pPr>
              <w:pStyle w:val="TableText0"/>
              <w:keepNext w:val="0"/>
              <w:widowControl w:val="0"/>
              <w:rPr>
                <w:sz w:val="20"/>
                <w:szCs w:val="20"/>
              </w:rPr>
            </w:pPr>
          </w:p>
        </w:tc>
      </w:tr>
    </w:tbl>
    <w:p w14:paraId="16A3B092" w14:textId="77777777" w:rsidR="0059604F" w:rsidRPr="00AE4296" w:rsidRDefault="0059604F" w:rsidP="000F4B8F">
      <w:pPr>
        <w:pStyle w:val="TableFigureFooter"/>
      </w:pPr>
      <w:bookmarkStart w:id="36" w:name="_Hlk120290840"/>
      <w:bookmarkEnd w:id="35"/>
      <w:r w:rsidRPr="00AE4296">
        <w:t xml:space="preserve">Source: Compiled during the evaluation from Table 1 and Table 4 of Attachment 2.5 of the submission and Table 2.6, p50 of the submission. </w:t>
      </w:r>
    </w:p>
    <w:p w14:paraId="2B92C0D5" w14:textId="0774E948" w:rsidR="00984364" w:rsidRPr="00AE4296" w:rsidRDefault="0059604F" w:rsidP="000F4B8F">
      <w:pPr>
        <w:pStyle w:val="TableFigureFooter"/>
      </w:pPr>
      <w:r w:rsidRPr="00AE4296">
        <w:t xml:space="preserve">AP= abdominal pain; CDAI= </w:t>
      </w:r>
      <w:bookmarkStart w:id="37" w:name="_Hlk121482046"/>
      <w:r w:rsidRPr="00AE4296">
        <w:t>Crohn’s Disease Activity Index</w:t>
      </w:r>
      <w:bookmarkEnd w:id="37"/>
      <w:r w:rsidRPr="00AE4296">
        <w:t xml:space="preserve">; CR-100= clinical response as defined by attaining; DB= double blind; </w:t>
      </w:r>
      <w:r w:rsidR="00D46F2F" w:rsidRPr="00AE4296">
        <w:t xml:space="preserve">IFX= infliximab; </w:t>
      </w:r>
      <w:r w:rsidRPr="00AE4296">
        <w:t>IP= induction phase; MC= multicentre, MP= maintenance phase; PC= placebo-controlled; R= randomised; SC= subcutaneous; SF= stool frequency; TNF= tumour necrosis factor; UST= ustekinumab; VDZ= vedolizumab.</w:t>
      </w:r>
    </w:p>
    <w:p w14:paraId="0C19FFB8" w14:textId="77777777" w:rsidR="0059604F" w:rsidRPr="00AE4296" w:rsidRDefault="0059604F" w:rsidP="000F4B8F">
      <w:pPr>
        <w:pStyle w:val="TableFigureFooter"/>
      </w:pPr>
      <w:r w:rsidRPr="00AE4296">
        <w:rPr>
          <w:vertAlign w:val="superscript"/>
        </w:rPr>
        <w:t>a</w:t>
      </w:r>
      <w:r w:rsidRPr="00AE4296">
        <w:t xml:space="preserve"> CDAI clinical remission was classified as CDAI &lt; 150. </w:t>
      </w:r>
    </w:p>
    <w:p w14:paraId="5C73E3B3" w14:textId="77777777" w:rsidR="0059604F" w:rsidRPr="00AE4296" w:rsidRDefault="0059604F" w:rsidP="000F4B8F">
      <w:pPr>
        <w:pStyle w:val="TableFigureFooter"/>
      </w:pPr>
      <w:r w:rsidRPr="00AE4296">
        <w:rPr>
          <w:vertAlign w:val="superscript"/>
        </w:rPr>
        <w:t>b</w:t>
      </w:r>
      <w:r w:rsidRPr="00AE4296">
        <w:t xml:space="preserve"> Denotes the primary trial outcome. </w:t>
      </w:r>
    </w:p>
    <w:p w14:paraId="64F32A29" w14:textId="77777777" w:rsidR="0059604F" w:rsidRPr="00AE4296" w:rsidRDefault="0059604F" w:rsidP="000F4B8F">
      <w:pPr>
        <w:pStyle w:val="TableFigureFooter"/>
      </w:pPr>
      <w:r w:rsidRPr="00AE4296">
        <w:rPr>
          <w:vertAlign w:val="superscript"/>
        </w:rPr>
        <w:t>c</w:t>
      </w:r>
      <w:r w:rsidRPr="00AE4296">
        <w:t xml:space="preserve"> CDAI clinical response defined by a CDAI ≥ </w:t>
      </w:r>
      <w:proofErr w:type="gramStart"/>
      <w:r w:rsidRPr="00AE4296">
        <w:t>100 point</w:t>
      </w:r>
      <w:proofErr w:type="gramEnd"/>
      <w:r w:rsidRPr="00AE4296">
        <w:t xml:space="preserve"> reduction from baseline.</w:t>
      </w:r>
    </w:p>
    <w:p w14:paraId="61F35AFE" w14:textId="5D9D9DF1" w:rsidR="0059604F" w:rsidRPr="00AE4296" w:rsidRDefault="0059604F" w:rsidP="00D05346">
      <w:pPr>
        <w:pStyle w:val="TableFigureFooter"/>
      </w:pPr>
      <w:r w:rsidRPr="00AE4296">
        <w:rPr>
          <w:vertAlign w:val="superscript"/>
        </w:rPr>
        <w:t>d</w:t>
      </w:r>
      <w:r w:rsidRPr="00AE4296">
        <w:t xml:space="preserve"> Counted from the start of induction therapy</w:t>
      </w:r>
      <w:bookmarkEnd w:id="36"/>
      <w:r w:rsidRPr="00AE4296">
        <w:t>.</w:t>
      </w:r>
    </w:p>
    <w:p w14:paraId="137F3C36" w14:textId="7C0B81E7" w:rsidR="00216559" w:rsidRPr="00AE4296" w:rsidRDefault="00216559" w:rsidP="00137FF3">
      <w:pPr>
        <w:pStyle w:val="3-BodyText"/>
        <w:rPr>
          <w:color w:val="000000" w:themeColor="text1"/>
        </w:rPr>
      </w:pPr>
      <w:r w:rsidRPr="00AE4296">
        <w:rPr>
          <w:color w:val="000000" w:themeColor="text1"/>
        </w:rPr>
        <w:t>The upadacitinib trials were double-blind</w:t>
      </w:r>
      <w:r w:rsidR="003D326B" w:rsidRPr="00AE4296">
        <w:rPr>
          <w:color w:val="000000" w:themeColor="text1"/>
        </w:rPr>
        <w:t>,</w:t>
      </w:r>
      <w:r w:rsidRPr="00AE4296">
        <w:rPr>
          <w:color w:val="000000" w:themeColor="text1"/>
        </w:rPr>
        <w:t xml:space="preserve"> all efficacy analyses were based on the intention-to-treat population</w:t>
      </w:r>
      <w:r w:rsidR="003D326B" w:rsidRPr="00AE4296">
        <w:rPr>
          <w:color w:val="000000" w:themeColor="text1"/>
        </w:rPr>
        <w:t xml:space="preserve">, and </w:t>
      </w:r>
      <w:r w:rsidR="003D326B" w:rsidRPr="00AE4296">
        <w:t>loss to follow-up across trials was minimal (&lt;</w:t>
      </w:r>
      <w:r w:rsidR="00766063">
        <w:t> </w:t>
      </w:r>
      <w:r w:rsidR="003D326B" w:rsidRPr="00AE4296">
        <w:t>2%) and balanced</w:t>
      </w:r>
      <w:r w:rsidRPr="00AE4296">
        <w:rPr>
          <w:color w:val="000000" w:themeColor="text1"/>
        </w:rPr>
        <w:t xml:space="preserve">. The submission described upadacitinib trials as having a low risk of bias. </w:t>
      </w:r>
    </w:p>
    <w:p w14:paraId="328933A7" w14:textId="4786B82C" w:rsidR="003D326B" w:rsidRPr="00AE4296" w:rsidRDefault="0059604F" w:rsidP="00137FF3">
      <w:pPr>
        <w:pStyle w:val="3-BodyText"/>
        <w:rPr>
          <w:color w:val="000000" w:themeColor="text1"/>
        </w:rPr>
      </w:pPr>
      <w:r w:rsidRPr="00AE4296">
        <w:rPr>
          <w:color w:val="000000" w:themeColor="text1"/>
        </w:rPr>
        <w:t xml:space="preserve">The PBAC previously considered the low risk of bias in the </w:t>
      </w:r>
      <w:r w:rsidRPr="00AE4296">
        <w:t>adalimumab (CLASSIC I, GAIN, Watanabe 2012, CLASSIC II, CHARM), ustekinumab (UNIT</w:t>
      </w:r>
      <w:r w:rsidR="00997F84" w:rsidRPr="00AE4296">
        <w:t>I</w:t>
      </w:r>
      <w:r w:rsidR="00204373" w:rsidRPr="00AE4296">
        <w:t>-I</w:t>
      </w:r>
      <w:r w:rsidRPr="00AE4296">
        <w:t>, UNIT</w:t>
      </w:r>
      <w:r w:rsidR="00997F84" w:rsidRPr="00AE4296">
        <w:t>I</w:t>
      </w:r>
      <w:r w:rsidRPr="00AE4296">
        <w:t>-</w:t>
      </w:r>
      <w:r w:rsidR="00997F84" w:rsidRPr="00AE4296">
        <w:t>II</w:t>
      </w:r>
      <w:r w:rsidRPr="00AE4296">
        <w:t xml:space="preserve">, IM-UNITI), infliximab (T16, ACCENT I), and vedolizumab (GEMINI II, GEMINI III) trials (Paragraph 6.11, Ustekinumab, </w:t>
      </w:r>
      <w:r w:rsidR="00507D16">
        <w:t>PSD</w:t>
      </w:r>
      <w:r w:rsidRPr="00AE4296">
        <w:t>, March 2017 PBAC meeting</w:t>
      </w:r>
      <w:r w:rsidR="00216559" w:rsidRPr="00AE4296">
        <w:t>)</w:t>
      </w:r>
      <w:r w:rsidRPr="00AE4296">
        <w:t xml:space="preserve">. The risankizumab trials (M15, ADVANCE, MOTIVATE, FORTIFY) were also considered to be at low risk of bias by the PBAC (Paragraph 6.10, Risankizumab, </w:t>
      </w:r>
      <w:r w:rsidR="00507D16">
        <w:t>PSD</w:t>
      </w:r>
      <w:r w:rsidRPr="00AE4296">
        <w:t>, July 2022 PBAC meeting).</w:t>
      </w:r>
    </w:p>
    <w:p w14:paraId="39EA1E85" w14:textId="257CEC2B" w:rsidR="003D326B" w:rsidRPr="00AE4296" w:rsidRDefault="003D326B" w:rsidP="00137FF3">
      <w:pPr>
        <w:pStyle w:val="3-BodyText"/>
        <w:rPr>
          <w:color w:val="000000" w:themeColor="text1"/>
        </w:rPr>
      </w:pPr>
      <w:r w:rsidRPr="00AE4296">
        <w:t xml:space="preserve">The PBAC </w:t>
      </w:r>
      <w:r w:rsidR="00DE0631">
        <w:t xml:space="preserve">had </w:t>
      </w:r>
      <w:r w:rsidRPr="00AE4296">
        <w:t>not previously consider</w:t>
      </w:r>
      <w:r w:rsidR="00DE0631">
        <w:t>ed</w:t>
      </w:r>
      <w:r w:rsidRPr="00AE4296">
        <w:t xml:space="preserve"> the VISIBLE 2 and Watanabe 2020 trials of vedolizumab. The </w:t>
      </w:r>
      <w:r w:rsidR="00B20189" w:rsidRPr="00AE4296">
        <w:t xml:space="preserve">submission considered low </w:t>
      </w:r>
      <w:r w:rsidRPr="00AE4296">
        <w:t>risk of bias for the VISIBLE 2 and Watanabe 2020 trials.</w:t>
      </w:r>
      <w:r w:rsidR="00B20189" w:rsidRPr="00AE4296">
        <w:t xml:space="preserve"> </w:t>
      </w:r>
    </w:p>
    <w:p w14:paraId="4FF6AFF8" w14:textId="1E1A89BF" w:rsidR="0059604F" w:rsidRPr="00AE4296" w:rsidRDefault="0059604F" w:rsidP="00137FF3">
      <w:pPr>
        <w:pStyle w:val="3-BodyText"/>
        <w:rPr>
          <w:color w:val="000000" w:themeColor="text1"/>
        </w:rPr>
      </w:pPr>
      <w:r w:rsidRPr="00AE4296">
        <w:t xml:space="preserve">Overall, the risk of bias </w:t>
      </w:r>
      <w:r w:rsidR="00905087" w:rsidRPr="00AE4296">
        <w:t>was</w:t>
      </w:r>
      <w:r w:rsidRPr="00AE4296">
        <w:t xml:space="preserve"> low across all trials</w:t>
      </w:r>
      <w:r w:rsidR="00905087" w:rsidRPr="00AE4296">
        <w:t>, however some trials included open label components (see Table 3)</w:t>
      </w:r>
      <w:r w:rsidRPr="00AE4296">
        <w:t>.</w:t>
      </w:r>
    </w:p>
    <w:p w14:paraId="45C993F0" w14:textId="0DD11683" w:rsidR="0059604F" w:rsidRPr="00AE4296" w:rsidRDefault="0059604F" w:rsidP="00137FF3">
      <w:pPr>
        <w:pStyle w:val="3-BodyText"/>
        <w:rPr>
          <w:color w:val="000000" w:themeColor="text1"/>
        </w:rPr>
      </w:pPr>
      <w:bookmarkStart w:id="38" w:name="_Hlk121685857"/>
      <w:bookmarkStart w:id="39" w:name="_Ref127188426"/>
      <w:r w:rsidRPr="00AE4296">
        <w:t>The mean CDAI scores in the upadacitinib trials range from 292 to 312. The proposed PBS listing is for severe CD (CDAI score ≥</w:t>
      </w:r>
      <w:r w:rsidR="00766063">
        <w:t> </w:t>
      </w:r>
      <w:r w:rsidRPr="00AE4296">
        <w:t>300</w:t>
      </w:r>
      <w:r w:rsidR="00384E03" w:rsidRPr="00AE4296">
        <w:t xml:space="preserve"> or CDAI ≥</w:t>
      </w:r>
      <w:r w:rsidR="00766063">
        <w:t> </w:t>
      </w:r>
      <w:r w:rsidR="00384E03" w:rsidRPr="00AE4296">
        <w:t>220 with extensive small intestine disease</w:t>
      </w:r>
      <w:r w:rsidRPr="00AE4296">
        <w:t xml:space="preserve">), and CDAI </w:t>
      </w:r>
      <w:r w:rsidRPr="00AE4296">
        <w:rPr>
          <w:rFonts w:cstheme="minorHAnsi"/>
        </w:rPr>
        <w:t>scores &gt;</w:t>
      </w:r>
      <w:r w:rsidR="00766063">
        <w:rPr>
          <w:rFonts w:cstheme="minorHAnsi"/>
        </w:rPr>
        <w:t> </w:t>
      </w:r>
      <w:r w:rsidRPr="00AE4296">
        <w:rPr>
          <w:rFonts w:cstheme="minorHAnsi"/>
        </w:rPr>
        <w:t>450</w:t>
      </w:r>
      <w:r w:rsidRPr="00AE4296">
        <w:rPr>
          <w:rStyle w:val="FootnoteReference"/>
          <w:rFonts w:cstheme="minorHAnsi"/>
        </w:rPr>
        <w:footnoteReference w:id="2"/>
      </w:r>
      <w:r w:rsidRPr="00AE4296">
        <w:rPr>
          <w:rFonts w:cstheme="minorHAnsi"/>
        </w:rPr>
        <w:t xml:space="preserve"> define severely active disease</w:t>
      </w:r>
      <w:r w:rsidRPr="00AE4296">
        <w:t xml:space="preserve">. </w:t>
      </w:r>
      <w:bookmarkEnd w:id="38"/>
      <w:r w:rsidR="00384E03" w:rsidRPr="00AE4296">
        <w:t>Therefore, the upadacitinib trials were likely to include moderate CD patients not eligible for the proposed PBS indication and exclude</w:t>
      </w:r>
      <w:r w:rsidR="00BF3250" w:rsidRPr="00AE4296">
        <w:t>d</w:t>
      </w:r>
      <w:r w:rsidR="00384E03" w:rsidRPr="00AE4296">
        <w:t xml:space="preserve"> severe CD patients who may be treated with upadacitinib under the PBS.</w:t>
      </w:r>
      <w:r w:rsidRPr="00AE4296">
        <w:t xml:space="preserve"> </w:t>
      </w:r>
      <w:r w:rsidR="009433E6" w:rsidRPr="00AE4296">
        <w:t xml:space="preserve">The </w:t>
      </w:r>
      <w:r w:rsidR="00766063">
        <w:t>Pre-Sub-Committee Response (</w:t>
      </w:r>
      <w:r w:rsidR="009433E6" w:rsidRPr="00AE4296">
        <w:t>PSCR</w:t>
      </w:r>
      <w:r w:rsidR="00766063">
        <w:t>)</w:t>
      </w:r>
      <w:r w:rsidR="00AC7735" w:rsidRPr="00AE4296">
        <w:t xml:space="preserve"> </w:t>
      </w:r>
      <w:r w:rsidR="009433E6" w:rsidRPr="00AE4296">
        <w:t>claimed that post-hoc analyses of the adalimumab</w:t>
      </w:r>
      <w:r w:rsidR="009111D9" w:rsidRPr="00AE4296">
        <w:t>, risankizumab</w:t>
      </w:r>
      <w:r w:rsidR="009433E6" w:rsidRPr="00AE4296">
        <w:t xml:space="preserve"> </w:t>
      </w:r>
      <w:r w:rsidR="009111D9" w:rsidRPr="00AE4296">
        <w:t>and upadacitinib</w:t>
      </w:r>
      <w:r w:rsidR="009433E6" w:rsidRPr="00AE4296">
        <w:t xml:space="preserve"> </w:t>
      </w:r>
      <w:r w:rsidR="009111D9" w:rsidRPr="00AE4296">
        <w:t>studies</w:t>
      </w:r>
      <w:r w:rsidR="009433E6" w:rsidRPr="00AE4296">
        <w:t xml:space="preserve"> demonstrated that the U-EXCEL and U-EXCEED inclusion criteria were met by 85-92% </w:t>
      </w:r>
      <w:r w:rsidR="009433E6" w:rsidRPr="00AE4296">
        <w:lastRenderedPageBreak/>
        <w:t>of patients with a baseline CDAI of 220 to 450. The PBAC has previously considered trials that included moderate to severe CD (CDAI score of ≥</w:t>
      </w:r>
      <w:r w:rsidR="00766063">
        <w:t> </w:t>
      </w:r>
      <w:r w:rsidR="009433E6" w:rsidRPr="00AE4296">
        <w:t>220 and ≤</w:t>
      </w:r>
      <w:r w:rsidR="00766063">
        <w:t> </w:t>
      </w:r>
      <w:r w:rsidR="009433E6" w:rsidRPr="00AE4296">
        <w:t>450) to support the clinical and safety claims for severe CD for risankizumab, ustekinumab and vedolizumab (</w:t>
      </w:r>
      <w:r w:rsidR="002D304F" w:rsidRPr="00AE4296">
        <w:t>para</w:t>
      </w:r>
      <w:r w:rsidR="009111D9" w:rsidRPr="00AE4296">
        <w:t>graph</w:t>
      </w:r>
      <w:r w:rsidR="002D304F" w:rsidRPr="00AE4296">
        <w:t xml:space="preserve"> 6.11, </w:t>
      </w:r>
      <w:r w:rsidR="009433E6" w:rsidRPr="00AE4296">
        <w:t>risankizumab PSD</w:t>
      </w:r>
      <w:r w:rsidR="00DE0631">
        <w:t>,</w:t>
      </w:r>
      <w:r w:rsidR="009433E6" w:rsidRPr="00AE4296">
        <w:t xml:space="preserve"> July 2022</w:t>
      </w:r>
      <w:r w:rsidR="002D304F" w:rsidRPr="00AE4296">
        <w:t xml:space="preserve"> PBAC meeting</w:t>
      </w:r>
      <w:r w:rsidR="009433E6" w:rsidRPr="00AE4296">
        <w:t xml:space="preserve">). </w:t>
      </w:r>
      <w:bookmarkEnd w:id="39"/>
    </w:p>
    <w:p w14:paraId="613D25AB" w14:textId="31C31A71" w:rsidR="0059604F" w:rsidRPr="00AE4296" w:rsidRDefault="0059604F" w:rsidP="003560BA">
      <w:pPr>
        <w:pStyle w:val="3-BodyText"/>
        <w:rPr>
          <w:color w:val="000000" w:themeColor="text1"/>
        </w:rPr>
      </w:pPr>
      <w:r w:rsidRPr="00AE4296">
        <w:rPr>
          <w:color w:val="000000" w:themeColor="text1"/>
        </w:rPr>
        <w:t xml:space="preserve">Some noticeable differences between </w:t>
      </w:r>
      <w:r w:rsidR="004D42B8" w:rsidRPr="00AE4296">
        <w:rPr>
          <w:color w:val="000000" w:themeColor="text1"/>
        </w:rPr>
        <w:t xml:space="preserve">the </w:t>
      </w:r>
      <w:r w:rsidRPr="00AE4296">
        <w:rPr>
          <w:color w:val="000000" w:themeColor="text1"/>
        </w:rPr>
        <w:t>upadacitinib and comparator trials</w:t>
      </w:r>
      <w:r w:rsidR="004D42B8" w:rsidRPr="00AE4296">
        <w:rPr>
          <w:color w:val="000000" w:themeColor="text1"/>
        </w:rPr>
        <w:t xml:space="preserve"> that may affect transitivity</w:t>
      </w:r>
      <w:r w:rsidR="0004332C" w:rsidRPr="00AE4296">
        <w:rPr>
          <w:color w:val="000000" w:themeColor="text1"/>
        </w:rPr>
        <w:t xml:space="preserve"> in the indirect comparisons</w:t>
      </w:r>
      <w:r w:rsidRPr="00AE4296">
        <w:rPr>
          <w:color w:val="000000" w:themeColor="text1"/>
        </w:rPr>
        <w:t xml:space="preserve"> were:</w:t>
      </w:r>
    </w:p>
    <w:p w14:paraId="58B057F7" w14:textId="3B28B71A" w:rsidR="003B699A" w:rsidRPr="00AE4296" w:rsidRDefault="003B699A" w:rsidP="003B699A">
      <w:pPr>
        <w:pStyle w:val="ListParagraph"/>
        <w:rPr>
          <w:color w:val="000000" w:themeColor="text1"/>
        </w:rPr>
      </w:pPr>
      <w:bookmarkStart w:id="40" w:name="_Hlk121720402"/>
      <w:r w:rsidRPr="00AE4296">
        <w:rPr>
          <w:color w:val="000000" w:themeColor="text1"/>
        </w:rPr>
        <w:t>Prior medication: The U-EXCEL trial included patients who showed an inadequate response to one or more conventional therapies or biologics. In contrast, the U</w:t>
      </w:r>
      <w:r w:rsidR="001538FE" w:rsidRPr="00AE4296">
        <w:rPr>
          <w:color w:val="000000" w:themeColor="text1"/>
        </w:rPr>
        <w:noBreakHyphen/>
      </w:r>
      <w:r w:rsidRPr="00AE4296">
        <w:rPr>
          <w:color w:val="000000" w:themeColor="text1"/>
        </w:rPr>
        <w:t>EXCEED trial only included patients with an inadequate response or intolerance to biologics. Comparator trials used a mix of naïve, non-responsive or intolerant to ≥</w:t>
      </w:r>
      <w:r w:rsidR="00766063">
        <w:rPr>
          <w:color w:val="000000" w:themeColor="text1"/>
        </w:rPr>
        <w:t> </w:t>
      </w:r>
      <w:r w:rsidRPr="00AE4296">
        <w:rPr>
          <w:color w:val="000000" w:themeColor="text1"/>
        </w:rPr>
        <w:t>1 anti-TNF patients (M15-993), intolerant/inadequate response to ≥</w:t>
      </w:r>
      <w:r w:rsidR="00766063">
        <w:rPr>
          <w:color w:val="000000" w:themeColor="text1"/>
        </w:rPr>
        <w:t> </w:t>
      </w:r>
      <w:r w:rsidRPr="00AE4296">
        <w:rPr>
          <w:color w:val="000000" w:themeColor="text1"/>
        </w:rPr>
        <w:t>1 biologic (ADVANCE, MOTIVATE), refractory or intolerant to ≥</w:t>
      </w:r>
      <w:r w:rsidR="00766063">
        <w:rPr>
          <w:color w:val="000000" w:themeColor="text1"/>
        </w:rPr>
        <w:t> </w:t>
      </w:r>
      <w:r w:rsidRPr="00AE4296">
        <w:rPr>
          <w:color w:val="000000" w:themeColor="text1"/>
        </w:rPr>
        <w:t>1 anti-TNF (UNITI-I), refractory or intolerant to immunomodulators (UNITI-II). Consequently, t</w:t>
      </w:r>
      <w:r w:rsidRPr="00AE4296">
        <w:t>he proportion of patients with no TNF failure in the upadacitinib trials ranges from 4.1% to 57.4%. The U-EXCEL trial included significantly more non-TNF failure patients compared to the trials of risankizumab (3.2% to 7.3%).</w:t>
      </w:r>
      <w:bookmarkEnd w:id="40"/>
      <w:r w:rsidR="00450277" w:rsidRPr="00AE4296">
        <w:t xml:space="preserve"> </w:t>
      </w:r>
    </w:p>
    <w:p w14:paraId="53F6B382" w14:textId="6272C93E" w:rsidR="003B699A" w:rsidRPr="00AE4296" w:rsidRDefault="003B699A" w:rsidP="003B699A">
      <w:pPr>
        <w:pStyle w:val="ListParagraph"/>
        <w:rPr>
          <w:color w:val="000000" w:themeColor="text1"/>
        </w:rPr>
      </w:pPr>
      <w:bookmarkStart w:id="41" w:name="_Hlk121720461"/>
      <w:r w:rsidRPr="00AE4296">
        <w:rPr>
          <w:color w:val="000000" w:themeColor="text1"/>
        </w:rPr>
        <w:t>Therapies used at baseline: Corticosteroids were used by approximately 33.3% to 36.4% of patients at baseline in the upadacitinib trials, compared to 17.6% to 53.0% in the comparator trials. Immunomodulator use was reported in 1.7% to 7.6% of patients in the upadacitinib trials at baseline, compared to between 18.8% to 51.0% in the comparator trials. The proportion of patients using prednisone was higher in the U-ENDURE trial arms (treatment 37.5% and placebo 37.3%) compared to the U-EXCEED (treatment 14.8% and placebo 17.5%) and U-EXCEL (treatment 16.6% and placebo 14.8%) trial arms</w:t>
      </w:r>
      <w:r w:rsidR="00AC7735" w:rsidRPr="00AE4296">
        <w:rPr>
          <w:color w:val="000000" w:themeColor="text1"/>
        </w:rPr>
        <w:t xml:space="preserve">, which the ESC considered was </w:t>
      </w:r>
      <w:r w:rsidR="007E7820" w:rsidRPr="00AE4296">
        <w:rPr>
          <w:color w:val="000000" w:themeColor="text1"/>
        </w:rPr>
        <w:t>clinically inconsistent with the other outcomes</w:t>
      </w:r>
      <w:r w:rsidR="00AC7735" w:rsidRPr="00AE4296">
        <w:rPr>
          <w:color w:val="000000" w:themeColor="text1"/>
        </w:rPr>
        <w:t>, however noted the results reported in the U-ENDURE clinical study report were not the same as reported in the submission</w:t>
      </w:r>
      <w:bookmarkEnd w:id="41"/>
      <w:r w:rsidR="000C52FF">
        <w:rPr>
          <w:color w:val="000000" w:themeColor="text1"/>
        </w:rPr>
        <w:t xml:space="preserve"> </w:t>
      </w:r>
      <w:r w:rsidR="00882FC6">
        <w:rPr>
          <w:color w:val="000000" w:themeColor="text1"/>
        </w:rPr>
        <w:t xml:space="preserve">The </w:t>
      </w:r>
      <w:r w:rsidR="00CE6463">
        <w:rPr>
          <w:color w:val="000000" w:themeColor="text1"/>
        </w:rPr>
        <w:t>P</w:t>
      </w:r>
      <w:r w:rsidR="00882FC6">
        <w:rPr>
          <w:color w:val="000000" w:themeColor="text1"/>
        </w:rPr>
        <w:t xml:space="preserve">re-PBAC </w:t>
      </w:r>
      <w:r w:rsidR="001A10A3">
        <w:rPr>
          <w:color w:val="000000" w:themeColor="text1"/>
        </w:rPr>
        <w:t>R</w:t>
      </w:r>
      <w:r w:rsidR="00882FC6">
        <w:rPr>
          <w:color w:val="000000" w:themeColor="text1"/>
        </w:rPr>
        <w:t>esponse</w:t>
      </w:r>
      <w:r w:rsidR="001A10A3">
        <w:rPr>
          <w:color w:val="000000" w:themeColor="text1"/>
        </w:rPr>
        <w:t xml:space="preserve"> </w:t>
      </w:r>
      <w:r w:rsidR="00882FC6">
        <w:rPr>
          <w:color w:val="000000" w:themeColor="text1"/>
        </w:rPr>
        <w:t>c</w:t>
      </w:r>
      <w:r w:rsidR="00882FC6" w:rsidRPr="00882FC6">
        <w:rPr>
          <w:color w:val="000000" w:themeColor="text1"/>
        </w:rPr>
        <w:t xml:space="preserve">larified the issue raised by the ESC </w:t>
      </w:r>
      <w:r w:rsidR="00CE6463">
        <w:rPr>
          <w:color w:val="000000" w:themeColor="text1"/>
        </w:rPr>
        <w:t xml:space="preserve">and presented additional information </w:t>
      </w:r>
      <w:r w:rsidR="00882FC6" w:rsidRPr="00882FC6">
        <w:rPr>
          <w:color w:val="000000" w:themeColor="text1"/>
        </w:rPr>
        <w:t>to incorporate time of entry into the U-ENDURE (maintenance) study</w:t>
      </w:r>
      <w:r w:rsidR="001A10A3">
        <w:rPr>
          <w:color w:val="000000" w:themeColor="text1"/>
        </w:rPr>
        <w:t>, and reported the proportions using prednisone was 6.5% in the upadacitinib 30 mg arm, 4.1% in the 15 mg and 4.8% in the placebo arm.</w:t>
      </w:r>
    </w:p>
    <w:p w14:paraId="69E10A0F" w14:textId="689F41F0" w:rsidR="0059604F" w:rsidRPr="00AE4296" w:rsidRDefault="0059604F" w:rsidP="00204373">
      <w:pPr>
        <w:pStyle w:val="ListParagraph"/>
        <w:rPr>
          <w:color w:val="000000" w:themeColor="text1"/>
        </w:rPr>
      </w:pPr>
      <w:r w:rsidRPr="00AE4296">
        <w:rPr>
          <w:color w:val="000000" w:themeColor="text1"/>
        </w:rPr>
        <w:t xml:space="preserve">Duration of drug exposure: The mean duration for drug exposure in the U-EXCEED and U-EXCEL trials (induction) was 84 days. </w:t>
      </w:r>
      <w:r w:rsidR="00626386" w:rsidRPr="00AE4296">
        <w:t>In some of the comparator trials, the mean duration of drug exposure was shorter (CLASSIC I and GAIN: 28 days; UNITI</w:t>
      </w:r>
      <w:r w:rsidR="001538FE" w:rsidRPr="00AE4296">
        <w:noBreakHyphen/>
      </w:r>
      <w:r w:rsidR="00626386" w:rsidRPr="00AE4296">
        <w:t>I and UNITI</w:t>
      </w:r>
      <w:r w:rsidR="001538FE" w:rsidRPr="00AE4296">
        <w:noBreakHyphen/>
      </w:r>
      <w:r w:rsidR="00626386" w:rsidRPr="00AE4296">
        <w:t>II: 56 days; GEMINI III: 70 days) than in upadacitinib trials in the induction phase.</w:t>
      </w:r>
      <w:r w:rsidR="00626386" w:rsidRPr="00AE4296">
        <w:rPr>
          <w:color w:val="000000" w:themeColor="text1"/>
        </w:rPr>
        <w:t xml:space="preserve"> The mean duration for drug exposure in the U-ENDURE trials (maintenance) was 56 weeks (337 days for upadacitinib 30 mg and 288 days for upadacitinib 15 mg). In some of the comparator trials, the mean duration for drug exposure was longer (CHARM: 392 days; Watanabe 2020: 420 days; VISIBLE 2: </w:t>
      </w:r>
      <w:r w:rsidR="00766063" w:rsidRPr="00AE4296">
        <w:rPr>
          <w:color w:val="000000" w:themeColor="text1"/>
        </w:rPr>
        <w:t>392</w:t>
      </w:r>
      <w:r w:rsidR="00766063">
        <w:rPr>
          <w:color w:val="000000" w:themeColor="text1"/>
        </w:rPr>
        <w:t> </w:t>
      </w:r>
      <w:r w:rsidR="00626386" w:rsidRPr="00AE4296">
        <w:rPr>
          <w:color w:val="000000" w:themeColor="text1"/>
        </w:rPr>
        <w:t>days; M15-993 trial: 469 days) than upadacitinib in the maintenance phase.</w:t>
      </w:r>
      <w:r w:rsidR="00C7267C" w:rsidRPr="00AE4296">
        <w:rPr>
          <w:color w:val="000000" w:themeColor="text1"/>
        </w:rPr>
        <w:t xml:space="preserve"> The ESC considered the</w:t>
      </w:r>
      <w:r w:rsidR="00B17F10" w:rsidRPr="00AE4296">
        <w:rPr>
          <w:color w:val="000000" w:themeColor="text1"/>
        </w:rPr>
        <w:t xml:space="preserve"> </w:t>
      </w:r>
      <w:r w:rsidR="00C7267C" w:rsidRPr="00AE4296">
        <w:rPr>
          <w:color w:val="000000" w:themeColor="text1"/>
        </w:rPr>
        <w:t xml:space="preserve">impact </w:t>
      </w:r>
      <w:r w:rsidR="00B17F10" w:rsidRPr="00AE4296">
        <w:rPr>
          <w:color w:val="000000" w:themeColor="text1"/>
        </w:rPr>
        <w:t xml:space="preserve">was </w:t>
      </w:r>
      <w:r w:rsidR="00C7267C" w:rsidRPr="00AE4296">
        <w:rPr>
          <w:color w:val="000000" w:themeColor="text1"/>
        </w:rPr>
        <w:t>unclear, noting different</w:t>
      </w:r>
      <w:r w:rsidR="00AC7735" w:rsidRPr="00AE4296">
        <w:rPr>
          <w:color w:val="000000" w:themeColor="text1"/>
        </w:rPr>
        <w:t xml:space="preserve"> trial</w:t>
      </w:r>
      <w:r w:rsidR="00C7267C" w:rsidRPr="00AE4296">
        <w:rPr>
          <w:color w:val="000000" w:themeColor="text1"/>
        </w:rPr>
        <w:t xml:space="preserve"> durations within studies of the same drug. </w:t>
      </w:r>
    </w:p>
    <w:p w14:paraId="67971653" w14:textId="40B17C0A" w:rsidR="00204373" w:rsidRPr="00AE4296" w:rsidRDefault="00626386" w:rsidP="003560BA">
      <w:pPr>
        <w:pStyle w:val="ListParagraph"/>
        <w:rPr>
          <w:color w:val="000000" w:themeColor="text1"/>
        </w:rPr>
      </w:pPr>
      <w:r w:rsidRPr="00AE4296">
        <w:lastRenderedPageBreak/>
        <w:t>Duration of follow-up: The follow-up duration in the upadacitinib trials (52 weeks plus 30 days after the last dose of the study drug) was shorter than the proposed PBS restriction. In addition, the duration of follow-up was longer in the adalimumab (52 weeks plus 70 days from the last dose of the study drug), risankizumab (52 weeks plus 140 days after the last dose of the study drug), ustekinumab (40 weeks plus 140 days from induction dose) and vedolizumab (</w:t>
      </w:r>
      <w:r w:rsidR="00766063" w:rsidRPr="00AE4296">
        <w:t>60</w:t>
      </w:r>
      <w:r w:rsidR="00766063">
        <w:t> </w:t>
      </w:r>
      <w:r w:rsidRPr="00AE4296">
        <w:t>weeks plus 112 days after the last dose) trials compared to the upadacitinib trials.</w:t>
      </w:r>
      <w:r w:rsidR="00C7267C" w:rsidRPr="00AE4296">
        <w:t xml:space="preserve"> The ESC noted </w:t>
      </w:r>
      <w:r w:rsidR="000A5438" w:rsidRPr="00AE4296">
        <w:t xml:space="preserve">the likely impact </w:t>
      </w:r>
      <w:r w:rsidR="00B17F10" w:rsidRPr="00AE4296">
        <w:t xml:space="preserve">of the </w:t>
      </w:r>
      <w:r w:rsidR="000A5438" w:rsidRPr="00AE4296">
        <w:t xml:space="preserve">half-life </w:t>
      </w:r>
      <w:r w:rsidR="00B17F10" w:rsidRPr="00AE4296">
        <w:t xml:space="preserve">of the </w:t>
      </w:r>
      <w:r w:rsidR="000A5438" w:rsidRPr="00AE4296">
        <w:t>medications (bDMARD</w:t>
      </w:r>
      <w:r w:rsidR="0074778F" w:rsidRPr="00AE4296">
        <w:t>s</w:t>
      </w:r>
      <w:r w:rsidR="000A5438" w:rsidRPr="00AE4296">
        <w:t xml:space="preserve"> vs tsDMARD)</w:t>
      </w:r>
      <w:r w:rsidR="00B17F10" w:rsidRPr="00AE4296">
        <w:t xml:space="preserve"> on follow up</w:t>
      </w:r>
      <w:r w:rsidR="000A5438" w:rsidRPr="00AE4296">
        <w:t xml:space="preserve">, </w:t>
      </w:r>
      <w:r w:rsidR="00AC7735" w:rsidRPr="00AE4296">
        <w:t>however considered these differences were unlikely to be impactful on the exchangeability of the clinical trials.</w:t>
      </w:r>
      <w:r w:rsidR="000A5438" w:rsidRPr="00AE4296">
        <w:t xml:space="preserve"> </w:t>
      </w:r>
    </w:p>
    <w:p w14:paraId="794BD702" w14:textId="3E80AF19" w:rsidR="0059604F" w:rsidRPr="00AE4296" w:rsidRDefault="003A6480" w:rsidP="003560BA">
      <w:pPr>
        <w:pStyle w:val="ListParagraph"/>
        <w:rPr>
          <w:color w:val="000000" w:themeColor="text1"/>
        </w:rPr>
      </w:pPr>
      <w:bookmarkStart w:id="42" w:name="_Hlk121720522"/>
      <w:r w:rsidRPr="00AE4296">
        <w:rPr>
          <w:color w:val="000000" w:themeColor="text1"/>
        </w:rPr>
        <w:t>Concomitant therapies:</w:t>
      </w:r>
      <w:r w:rsidR="0059604F" w:rsidRPr="00AE4296">
        <w:rPr>
          <w:color w:val="000000" w:themeColor="text1"/>
        </w:rPr>
        <w:t xml:space="preserve"> </w:t>
      </w:r>
      <w:r w:rsidR="007A2665" w:rsidRPr="00AE4296">
        <w:rPr>
          <w:color w:val="000000" w:themeColor="text1"/>
        </w:rPr>
        <w:t xml:space="preserve">Across the trials, there were differences in the protocols on use of concomitant treatments, particularly in the time when tapering or adjustments were allowed. </w:t>
      </w:r>
      <w:r w:rsidR="000A5438" w:rsidRPr="00AE4296">
        <w:rPr>
          <w:color w:val="000000" w:themeColor="text1"/>
        </w:rPr>
        <w:t>The ESC agreed</w:t>
      </w:r>
      <w:r w:rsidR="00B17F10" w:rsidRPr="00AE4296">
        <w:rPr>
          <w:color w:val="000000" w:themeColor="text1"/>
        </w:rPr>
        <w:t xml:space="preserve"> with the evaluation that</w:t>
      </w:r>
      <w:r w:rsidR="000A5438" w:rsidRPr="00AE4296">
        <w:rPr>
          <w:color w:val="000000" w:themeColor="text1"/>
        </w:rPr>
        <w:t xml:space="preserve"> t</w:t>
      </w:r>
      <w:r w:rsidR="007A2665" w:rsidRPr="00AE4296">
        <w:rPr>
          <w:color w:val="000000" w:themeColor="text1"/>
        </w:rPr>
        <w:t xml:space="preserve">his could impact the comparability between trials, but the direction of impact is unclear. </w:t>
      </w:r>
    </w:p>
    <w:bookmarkEnd w:id="42"/>
    <w:p w14:paraId="7970D458" w14:textId="670774EC" w:rsidR="00A25268" w:rsidRPr="00AE4296" w:rsidRDefault="00A25268" w:rsidP="00A25268">
      <w:pPr>
        <w:pStyle w:val="ListParagraph"/>
        <w:rPr>
          <w:color w:val="000000" w:themeColor="text1"/>
        </w:rPr>
      </w:pPr>
      <w:r w:rsidRPr="00AE4296">
        <w:rPr>
          <w:color w:val="000000" w:themeColor="text1"/>
        </w:rPr>
        <w:t>Definition of clinical response: The definition of clinical response varied between trials, with the upadacitinib and risankizumab trials defining response as ≥</w:t>
      </w:r>
      <w:r w:rsidR="00766063">
        <w:rPr>
          <w:color w:val="000000" w:themeColor="text1"/>
        </w:rPr>
        <w:t> </w:t>
      </w:r>
      <w:r w:rsidRPr="00AE4296">
        <w:rPr>
          <w:color w:val="000000" w:themeColor="text1"/>
        </w:rPr>
        <w:t>30% decrease in average daily stool frequency and/or ≥</w:t>
      </w:r>
      <w:r w:rsidR="00766063">
        <w:rPr>
          <w:color w:val="000000" w:themeColor="text1"/>
        </w:rPr>
        <w:t> </w:t>
      </w:r>
      <w:r w:rsidRPr="00AE4296">
        <w:rPr>
          <w:color w:val="000000" w:themeColor="text1"/>
        </w:rPr>
        <w:t xml:space="preserve">30% decrease in abdominal pain score. IM-UNITI defined clinical response as a decrease from baseline in CDAI score </w:t>
      </w:r>
      <w:r w:rsidR="00766063" w:rsidRPr="00AE4296">
        <w:rPr>
          <w:color w:val="000000" w:themeColor="text1"/>
        </w:rPr>
        <w:t>≥</w:t>
      </w:r>
      <w:r w:rsidR="00766063">
        <w:rPr>
          <w:color w:val="000000" w:themeColor="text1"/>
        </w:rPr>
        <w:t> </w:t>
      </w:r>
      <w:r w:rsidRPr="00AE4296">
        <w:rPr>
          <w:color w:val="000000" w:themeColor="text1"/>
        </w:rPr>
        <w:t xml:space="preserve">100 points or a total CDAI of </w:t>
      </w:r>
      <w:r w:rsidR="00766063" w:rsidRPr="00AE4296">
        <w:rPr>
          <w:color w:val="000000" w:themeColor="text1"/>
        </w:rPr>
        <w:t>&lt;</w:t>
      </w:r>
      <w:r w:rsidR="00766063">
        <w:rPr>
          <w:color w:val="000000" w:themeColor="text1"/>
        </w:rPr>
        <w:t> </w:t>
      </w:r>
      <w:r w:rsidRPr="00AE4296">
        <w:rPr>
          <w:color w:val="000000" w:themeColor="text1"/>
        </w:rPr>
        <w:t>150. All other trials defined clinical response as a decrease from baseline CDAI of ≥</w:t>
      </w:r>
      <w:r w:rsidR="00766063">
        <w:rPr>
          <w:color w:val="000000" w:themeColor="text1"/>
        </w:rPr>
        <w:t> </w:t>
      </w:r>
      <w:r w:rsidRPr="00AE4296">
        <w:rPr>
          <w:color w:val="000000" w:themeColor="text1"/>
        </w:rPr>
        <w:t xml:space="preserve">70 points. Clinical remission in CLASSIC II was described as a CDAI score of </w:t>
      </w:r>
      <w:r w:rsidR="0050078B" w:rsidRPr="00AE4296">
        <w:rPr>
          <w:color w:val="000000" w:themeColor="text1"/>
        </w:rPr>
        <w:t>fewer</w:t>
      </w:r>
      <w:r w:rsidRPr="00AE4296">
        <w:rPr>
          <w:color w:val="000000" w:themeColor="text1"/>
        </w:rPr>
        <w:t xml:space="preserve"> than 150 points.</w:t>
      </w:r>
      <w:r w:rsidR="000A5438" w:rsidRPr="00AE4296">
        <w:rPr>
          <w:color w:val="000000" w:themeColor="text1"/>
        </w:rPr>
        <w:t xml:space="preserve"> </w:t>
      </w:r>
    </w:p>
    <w:p w14:paraId="1DF58639" w14:textId="21E91E42" w:rsidR="00A44775" w:rsidRPr="00AE4296" w:rsidRDefault="008D2555" w:rsidP="008D2555">
      <w:pPr>
        <w:pStyle w:val="ListParagraph"/>
      </w:pPr>
      <w:bookmarkStart w:id="43" w:name="_Hlk121720573"/>
      <w:r w:rsidRPr="00AE4296">
        <w:rPr>
          <w:color w:val="000000" w:themeColor="text1"/>
        </w:rPr>
        <w:t>Timing of assessment: The timing of assessment differed between upadacitinib and comparator trials. For induction, upadacitinib assessment was at week 12</w:t>
      </w:r>
      <w:r w:rsidR="0050078B" w:rsidRPr="00AE4296">
        <w:rPr>
          <w:color w:val="000000" w:themeColor="text1"/>
        </w:rPr>
        <w:t>,</w:t>
      </w:r>
      <w:r w:rsidRPr="00AE4296">
        <w:rPr>
          <w:color w:val="000000" w:themeColor="text1"/>
        </w:rPr>
        <w:t xml:space="preserve"> and ustekinumab </w:t>
      </w:r>
      <w:r w:rsidR="00E318D0" w:rsidRPr="00AE4296">
        <w:rPr>
          <w:color w:val="000000" w:themeColor="text1"/>
        </w:rPr>
        <w:t xml:space="preserve">was </w:t>
      </w:r>
      <w:r w:rsidRPr="00AE4296">
        <w:rPr>
          <w:color w:val="000000" w:themeColor="text1"/>
        </w:rPr>
        <w:t xml:space="preserve">at week 8. For maintenance, upadacitinib was at week 52, risankizumab assessment was at week 64 and ustekinumab at week 52. </w:t>
      </w:r>
      <w:r w:rsidR="000A5438" w:rsidRPr="00AE4296">
        <w:rPr>
          <w:color w:val="000000" w:themeColor="text1"/>
        </w:rPr>
        <w:t xml:space="preserve">The ESC agreed </w:t>
      </w:r>
      <w:r w:rsidR="00B17F10" w:rsidRPr="00AE4296">
        <w:rPr>
          <w:color w:val="000000" w:themeColor="text1"/>
        </w:rPr>
        <w:t xml:space="preserve">with the evaluation that </w:t>
      </w:r>
      <w:r w:rsidR="000A5438" w:rsidRPr="00AE4296">
        <w:rPr>
          <w:color w:val="000000" w:themeColor="text1"/>
        </w:rPr>
        <w:t>t</w:t>
      </w:r>
      <w:r w:rsidRPr="00AE4296">
        <w:rPr>
          <w:color w:val="000000" w:themeColor="text1"/>
        </w:rPr>
        <w:t>his could impact the comparability between trials; however, the direction of impact is unclear.</w:t>
      </w:r>
    </w:p>
    <w:bookmarkEnd w:id="43"/>
    <w:p w14:paraId="72A96E7E" w14:textId="241D6FA8" w:rsidR="0009561F" w:rsidRPr="00AE4296" w:rsidRDefault="00A44775" w:rsidP="00FA379B">
      <w:pPr>
        <w:pStyle w:val="3-BodyText"/>
        <w:rPr>
          <w:color w:val="000000" w:themeColor="text1"/>
        </w:rPr>
      </w:pPr>
      <w:r w:rsidRPr="00AE4296">
        <w:rPr>
          <w:color w:val="000000" w:themeColor="text1"/>
        </w:rPr>
        <w:t xml:space="preserve">No non-inferiority margin or </w:t>
      </w:r>
      <w:r w:rsidRPr="00AE4296">
        <w:t xml:space="preserve">minimal clinically important difference (MCID) </w:t>
      </w:r>
      <w:r w:rsidRPr="00AE4296">
        <w:rPr>
          <w:color w:val="000000" w:themeColor="text1"/>
        </w:rPr>
        <w:t>was nominated by the submission to assist with the interpretation of the efficacy evidence.</w:t>
      </w:r>
      <w:r w:rsidR="0074778F" w:rsidRPr="00AE4296">
        <w:rPr>
          <w:color w:val="000000" w:themeColor="text1"/>
        </w:rPr>
        <w:t xml:space="preserve"> The PSCR acknowledged these issues and agreed there was uncertainty with the indirect comparison results presented, however noted the PBAC’s previous consideration of risankizumab also highlighted transitivity issues including prior exposure to biologics, concomitant use of other therapies, differences in placebo response rates and differences in primary outcome measures, which the PBAC considered and was of the view the analyses in that submission were generally reliable for informing a comparison of risankizumab and ustekinumab. On that basis, the PSCR argued the indirect comparisons in the upadacitinib submission should also be considered generally reliable for informing a comparison of upadacitinib and the nominated comparison. </w:t>
      </w:r>
    </w:p>
    <w:p w14:paraId="6D8467B4" w14:textId="77777777" w:rsidR="0059604F" w:rsidRPr="00C9624D" w:rsidRDefault="0059604F" w:rsidP="00EC5836">
      <w:pPr>
        <w:pStyle w:val="4-SubsectionHeading"/>
      </w:pPr>
      <w:bookmarkStart w:id="44" w:name="_Toc22897641"/>
      <w:bookmarkStart w:id="45" w:name="_Toc22898853"/>
      <w:bookmarkStart w:id="46" w:name="_Toc124863502"/>
      <w:r w:rsidRPr="00C9624D">
        <w:lastRenderedPageBreak/>
        <w:t>Comparative effectiveness</w:t>
      </w:r>
      <w:bookmarkEnd w:id="44"/>
      <w:bookmarkEnd w:id="45"/>
      <w:bookmarkEnd w:id="46"/>
    </w:p>
    <w:p w14:paraId="0B8B4786" w14:textId="1851456B" w:rsidR="0059604F" w:rsidRPr="00E50289" w:rsidRDefault="0059604F" w:rsidP="007C233C">
      <w:pPr>
        <w:pStyle w:val="3-BodyText"/>
        <w:rPr>
          <w:color w:val="000000" w:themeColor="text1"/>
        </w:rPr>
      </w:pPr>
      <w:r w:rsidRPr="00E50289">
        <w:t xml:space="preserve">The submission nominated clinical remission (defined by </w:t>
      </w:r>
      <w:r w:rsidRPr="00E50289">
        <w:rPr>
          <w:color w:val="000000" w:themeColor="text1"/>
        </w:rPr>
        <w:t xml:space="preserve">CDAI </w:t>
      </w:r>
      <w:r w:rsidR="00766063" w:rsidRPr="00E50289">
        <w:rPr>
          <w:color w:val="000000" w:themeColor="text1"/>
        </w:rPr>
        <w:t>&lt;</w:t>
      </w:r>
      <w:r w:rsidR="00766063">
        <w:rPr>
          <w:color w:val="000000" w:themeColor="text1"/>
        </w:rPr>
        <w:t> </w:t>
      </w:r>
      <w:r w:rsidRPr="00E50289">
        <w:rPr>
          <w:color w:val="000000" w:themeColor="text1"/>
        </w:rPr>
        <w:t>150) as the primary outcome for the induction and maintenance phases. This outcome definition is consistent with the continuation criteria for PBS treatment. The submission also reported the outcome of</w:t>
      </w:r>
      <w:r w:rsidRPr="00E50289">
        <w:t xml:space="preserve"> clinical response defined by the reduction of &gt;</w:t>
      </w:r>
      <w:r w:rsidR="00766063">
        <w:t> </w:t>
      </w:r>
      <w:r w:rsidRPr="00E50289">
        <w:t>100 points in CDAI score from baseline. The PBAC previously considered these outcomes in the March 2017 submission for ustekinumab and July 2022</w:t>
      </w:r>
      <w:r w:rsidR="00A276D3" w:rsidRPr="00E50289">
        <w:t xml:space="preserve"> submission</w:t>
      </w:r>
      <w:r w:rsidRPr="00E50289">
        <w:t xml:space="preserve"> for risankizumab.</w:t>
      </w:r>
    </w:p>
    <w:p w14:paraId="131AD4F2" w14:textId="77777777" w:rsidR="00765F02" w:rsidRPr="00E50289" w:rsidRDefault="009A2E3E" w:rsidP="00765F02">
      <w:pPr>
        <w:pStyle w:val="3-BodyText"/>
      </w:pPr>
      <w:r w:rsidRPr="00E50289">
        <w:t xml:space="preserve">Indirect comparisons were performed using the Bucher single pairwise method. </w:t>
      </w:r>
    </w:p>
    <w:p w14:paraId="2D663B6E" w14:textId="1DF67608" w:rsidR="0070794A" w:rsidRPr="00E50289" w:rsidRDefault="0070794A" w:rsidP="00E32369">
      <w:pPr>
        <w:pStyle w:val="3-BodyText"/>
        <w:numPr>
          <w:ilvl w:val="0"/>
          <w:numId w:val="0"/>
        </w:numPr>
        <w:rPr>
          <w:color w:val="000000" w:themeColor="text1"/>
          <w:u w:val="single"/>
        </w:rPr>
      </w:pPr>
      <w:r w:rsidRPr="00E50289">
        <w:rPr>
          <w:color w:val="000000" w:themeColor="text1"/>
          <w:u w:val="single"/>
        </w:rPr>
        <w:t>Efficacy: clinical remission</w:t>
      </w:r>
    </w:p>
    <w:p w14:paraId="2ED92D2B" w14:textId="630FDF48" w:rsidR="00D05346" w:rsidRPr="00E50289" w:rsidRDefault="0059604F" w:rsidP="00F720C2">
      <w:pPr>
        <w:pStyle w:val="3-BodyText"/>
      </w:pPr>
      <w:r w:rsidRPr="00E50289">
        <w:fldChar w:fldCharType="begin" w:fldLock="1"/>
      </w:r>
      <w:r w:rsidRPr="00E50289">
        <w:instrText xml:space="preserve"> REF _Ref121578458 \h </w:instrText>
      </w:r>
      <w:r w:rsidR="00922DBA" w:rsidRPr="00E50289">
        <w:instrText xml:space="preserve"> \* MERGEFORMAT </w:instrText>
      </w:r>
      <w:r w:rsidRPr="00E50289">
        <w:fldChar w:fldCharType="separate"/>
      </w:r>
      <w:r w:rsidR="0033335A" w:rsidRPr="00E50289">
        <w:t>Table 4</w:t>
      </w:r>
      <w:r w:rsidRPr="00E50289">
        <w:fldChar w:fldCharType="end"/>
      </w:r>
      <w:r w:rsidRPr="00E50289">
        <w:t xml:space="preserve"> and </w:t>
      </w:r>
      <w:r w:rsidR="00BA36B1" w:rsidRPr="00E50289">
        <w:fldChar w:fldCharType="begin" w:fldLock="1"/>
      </w:r>
      <w:r w:rsidR="00BA36B1" w:rsidRPr="00E50289">
        <w:instrText xml:space="preserve"> REF _Ref121767987 \h </w:instrText>
      </w:r>
      <w:r w:rsidR="00E50289" w:rsidRPr="00E50289">
        <w:instrText xml:space="preserve"> \* MERGEFORMAT </w:instrText>
      </w:r>
      <w:r w:rsidR="00BA36B1" w:rsidRPr="00E50289">
        <w:fldChar w:fldCharType="separate"/>
      </w:r>
      <w:r w:rsidR="0033335A" w:rsidRPr="00E50289">
        <w:t xml:space="preserve">Table </w:t>
      </w:r>
      <w:r w:rsidR="0033335A" w:rsidRPr="00E50289">
        <w:rPr>
          <w:noProof/>
        </w:rPr>
        <w:t>5</w:t>
      </w:r>
      <w:r w:rsidR="00BA36B1" w:rsidRPr="00E50289">
        <w:fldChar w:fldCharType="end"/>
      </w:r>
      <w:r w:rsidRPr="00E50289">
        <w:t xml:space="preserve"> present the results for clinical remission across the trials for the induction and maintenance phases, respectively. </w:t>
      </w:r>
      <w:r w:rsidR="00EB7032" w:rsidRPr="00E50289">
        <w:t>M</w:t>
      </w:r>
      <w:r w:rsidRPr="00E50289">
        <w:t>eta-analysed (pooled) results for the induction trials and results of the indirect comparisons between upadacitinib and comparators</w:t>
      </w:r>
      <w:r w:rsidR="00EB7032" w:rsidRPr="00E50289">
        <w:t xml:space="preserve"> are also included in the tables</w:t>
      </w:r>
      <w:r w:rsidRPr="00E50289">
        <w:t>.</w:t>
      </w:r>
    </w:p>
    <w:p w14:paraId="0B43FC04" w14:textId="5A21DC9A" w:rsidR="00D47555" w:rsidRPr="00E50289" w:rsidRDefault="00D47555">
      <w:pPr>
        <w:jc w:val="left"/>
        <w:rPr>
          <w:rFonts w:ascii="Arial Narrow" w:eastAsiaTheme="majorEastAsia" w:hAnsi="Arial Narrow" w:cstheme="majorBidi"/>
          <w:b/>
          <w:bCs/>
          <w:sz w:val="20"/>
        </w:rPr>
      </w:pPr>
      <w:bookmarkStart w:id="47" w:name="_Ref121578458"/>
    </w:p>
    <w:p w14:paraId="39263B91" w14:textId="331016B5" w:rsidR="0059604F" w:rsidRPr="00E50289" w:rsidRDefault="0059604F" w:rsidP="00826E45">
      <w:pPr>
        <w:pStyle w:val="TableFigureHeading"/>
        <w:keepLines/>
      </w:pPr>
      <w:r w:rsidRPr="00E50289">
        <w:t xml:space="preserve">Table </w:t>
      </w:r>
      <w:fldSimple w:instr=" SEQ Table \* ARABIC " w:fldLock="1">
        <w:r w:rsidR="0033335A" w:rsidRPr="00E50289">
          <w:rPr>
            <w:noProof/>
          </w:rPr>
          <w:t>4</w:t>
        </w:r>
      </w:fldSimple>
      <w:bookmarkEnd w:id="47"/>
      <w:r w:rsidRPr="00E50289">
        <w:t>: Clinical remission, induction phase: trial and indirect comparison results of upadacitinib vs comparators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6"/>
        <w:gridCol w:w="1277"/>
        <w:gridCol w:w="1701"/>
        <w:gridCol w:w="1558"/>
        <w:gridCol w:w="1652"/>
      </w:tblGrid>
      <w:tr w:rsidR="0059604F" w:rsidRPr="00E50289" w14:paraId="19939DFD" w14:textId="77777777" w:rsidTr="004D7890">
        <w:trPr>
          <w:trHeight w:val="20"/>
          <w:tblHeader/>
        </w:trPr>
        <w:tc>
          <w:tcPr>
            <w:tcW w:w="784" w:type="pct"/>
            <w:tcBorders>
              <w:bottom w:val="single" w:sz="4" w:space="0" w:color="auto"/>
            </w:tcBorders>
            <w:shd w:val="clear" w:color="auto" w:fill="auto"/>
            <w:noWrap/>
          </w:tcPr>
          <w:p w14:paraId="0AC7F954" w14:textId="77777777" w:rsidR="0059604F" w:rsidRPr="00E50289" w:rsidRDefault="0059604F" w:rsidP="00826E45">
            <w:pPr>
              <w:pStyle w:val="Tabletext"/>
              <w:keepNext/>
              <w:keepLines/>
              <w:jc w:val="center"/>
              <w:rPr>
                <w:rFonts w:eastAsiaTheme="majorEastAsia"/>
                <w:b/>
                <w:bCs/>
                <w:szCs w:val="20"/>
              </w:rPr>
            </w:pPr>
            <w:r w:rsidRPr="00E50289">
              <w:rPr>
                <w:rFonts w:eastAsiaTheme="majorEastAsia"/>
                <w:b/>
                <w:bCs/>
                <w:szCs w:val="20"/>
              </w:rPr>
              <w:t>Intervention / Trial ID</w:t>
            </w:r>
          </w:p>
        </w:tc>
        <w:tc>
          <w:tcPr>
            <w:tcW w:w="785" w:type="pct"/>
            <w:tcBorders>
              <w:bottom w:val="single" w:sz="4" w:space="0" w:color="auto"/>
            </w:tcBorders>
            <w:shd w:val="clear" w:color="auto" w:fill="auto"/>
          </w:tcPr>
          <w:p w14:paraId="34B4C237" w14:textId="77777777" w:rsidR="0059604F" w:rsidRPr="00E50289" w:rsidRDefault="0059604F" w:rsidP="00826E45">
            <w:pPr>
              <w:pStyle w:val="Tabletext"/>
              <w:keepNext/>
              <w:keepLines/>
              <w:jc w:val="center"/>
              <w:rPr>
                <w:rFonts w:eastAsiaTheme="majorEastAsia"/>
                <w:b/>
                <w:bCs/>
                <w:szCs w:val="20"/>
              </w:rPr>
            </w:pPr>
            <w:r w:rsidRPr="00E50289">
              <w:rPr>
                <w:rFonts w:eastAsiaTheme="majorEastAsia"/>
                <w:b/>
                <w:bCs/>
                <w:szCs w:val="20"/>
              </w:rPr>
              <w:t>Active treatment</w:t>
            </w:r>
          </w:p>
          <w:p w14:paraId="158B8263" w14:textId="77777777" w:rsidR="0059604F" w:rsidRPr="00E50289" w:rsidRDefault="0059604F" w:rsidP="00826E45">
            <w:pPr>
              <w:pStyle w:val="Tabletext"/>
              <w:keepNext/>
              <w:keepLines/>
              <w:jc w:val="center"/>
              <w:rPr>
                <w:rFonts w:eastAsiaTheme="majorEastAsia"/>
                <w:b/>
                <w:bCs/>
                <w:szCs w:val="20"/>
              </w:rPr>
            </w:pPr>
            <w:r w:rsidRPr="00E50289">
              <w:rPr>
                <w:rFonts w:eastAsiaTheme="majorEastAsia"/>
                <w:b/>
                <w:bCs/>
                <w:szCs w:val="20"/>
              </w:rPr>
              <w:t>n/N (%)</w:t>
            </w:r>
          </w:p>
        </w:tc>
        <w:tc>
          <w:tcPr>
            <w:tcW w:w="708" w:type="pct"/>
            <w:tcBorders>
              <w:bottom w:val="single" w:sz="4" w:space="0" w:color="auto"/>
            </w:tcBorders>
            <w:shd w:val="clear" w:color="auto" w:fill="auto"/>
          </w:tcPr>
          <w:p w14:paraId="2415D19B" w14:textId="77777777" w:rsidR="0059604F" w:rsidRPr="00E50289" w:rsidRDefault="0059604F" w:rsidP="00826E45">
            <w:pPr>
              <w:pStyle w:val="Tabletext"/>
              <w:keepNext/>
              <w:keepLines/>
              <w:jc w:val="center"/>
              <w:rPr>
                <w:rFonts w:eastAsiaTheme="majorEastAsia"/>
                <w:b/>
                <w:bCs/>
                <w:szCs w:val="20"/>
              </w:rPr>
            </w:pPr>
            <w:r w:rsidRPr="00E50289">
              <w:rPr>
                <w:rFonts w:eastAsiaTheme="majorEastAsia"/>
                <w:b/>
                <w:bCs/>
                <w:szCs w:val="20"/>
              </w:rPr>
              <w:t>PBO</w:t>
            </w:r>
          </w:p>
          <w:p w14:paraId="7416DF47" w14:textId="77777777" w:rsidR="0059604F" w:rsidRPr="00E50289" w:rsidRDefault="0059604F" w:rsidP="00826E45">
            <w:pPr>
              <w:pStyle w:val="Tabletext"/>
              <w:keepNext/>
              <w:keepLines/>
              <w:jc w:val="center"/>
              <w:rPr>
                <w:rFonts w:eastAsiaTheme="majorEastAsia"/>
                <w:b/>
                <w:bCs/>
                <w:szCs w:val="20"/>
              </w:rPr>
            </w:pPr>
            <w:r w:rsidRPr="00E50289">
              <w:rPr>
                <w:rFonts w:eastAsiaTheme="majorEastAsia"/>
                <w:b/>
                <w:bCs/>
                <w:szCs w:val="20"/>
              </w:rPr>
              <w:t>n/N (%)</w:t>
            </w:r>
          </w:p>
        </w:tc>
        <w:tc>
          <w:tcPr>
            <w:tcW w:w="943" w:type="pct"/>
            <w:tcBorders>
              <w:bottom w:val="single" w:sz="4" w:space="0" w:color="auto"/>
            </w:tcBorders>
            <w:shd w:val="clear" w:color="auto" w:fill="auto"/>
          </w:tcPr>
          <w:p w14:paraId="2C809AEF" w14:textId="55F01221" w:rsidR="0059604F" w:rsidRPr="00E50289" w:rsidRDefault="0059604F" w:rsidP="00826E45">
            <w:pPr>
              <w:pStyle w:val="Tabletext"/>
              <w:keepNext/>
              <w:keepLines/>
              <w:jc w:val="center"/>
              <w:rPr>
                <w:rFonts w:eastAsiaTheme="majorEastAsia"/>
                <w:b/>
                <w:bCs/>
                <w:szCs w:val="20"/>
              </w:rPr>
            </w:pPr>
            <w:r w:rsidRPr="00E50289">
              <w:rPr>
                <w:rFonts w:eastAsiaTheme="majorEastAsia"/>
                <w:b/>
                <w:bCs/>
                <w:szCs w:val="20"/>
              </w:rPr>
              <w:t>OR (</w:t>
            </w:r>
            <w:r w:rsidR="000565B3" w:rsidRPr="00E50289">
              <w:rPr>
                <w:rFonts w:eastAsiaTheme="majorEastAsia"/>
                <w:b/>
                <w:bCs/>
                <w:szCs w:val="20"/>
              </w:rPr>
              <w:t>95% CI</w:t>
            </w:r>
            <w:r w:rsidRPr="00E50289">
              <w:rPr>
                <w:rFonts w:eastAsiaTheme="majorEastAsia"/>
                <w:b/>
                <w:bCs/>
                <w:szCs w:val="20"/>
              </w:rPr>
              <w:t>)</w:t>
            </w:r>
            <w:r w:rsidR="00EB7032" w:rsidRPr="00E50289">
              <w:rPr>
                <w:rFonts w:eastAsiaTheme="majorEastAsia"/>
                <w:b/>
                <w:bCs/>
                <w:szCs w:val="20"/>
              </w:rPr>
              <w:t>,</w:t>
            </w:r>
          </w:p>
          <w:p w14:paraId="5CC48B47" w14:textId="1557EAE9" w:rsidR="0059604F" w:rsidRPr="00E50289" w:rsidRDefault="0059604F" w:rsidP="00826E45">
            <w:pPr>
              <w:pStyle w:val="Tabletext"/>
              <w:keepNext/>
              <w:keepLines/>
              <w:jc w:val="center"/>
              <w:rPr>
                <w:rFonts w:eastAsiaTheme="majorEastAsia"/>
                <w:b/>
                <w:bCs/>
                <w:szCs w:val="20"/>
              </w:rPr>
            </w:pPr>
            <w:r w:rsidRPr="00E50289">
              <w:rPr>
                <w:rFonts w:eastAsiaTheme="majorEastAsia"/>
                <w:b/>
                <w:bCs/>
                <w:szCs w:val="20"/>
              </w:rPr>
              <w:t>result &gt;1 favours intervention</w:t>
            </w:r>
          </w:p>
        </w:tc>
        <w:tc>
          <w:tcPr>
            <w:tcW w:w="864" w:type="pct"/>
            <w:tcBorders>
              <w:bottom w:val="single" w:sz="4" w:space="0" w:color="auto"/>
            </w:tcBorders>
            <w:shd w:val="clear" w:color="auto" w:fill="auto"/>
          </w:tcPr>
          <w:p w14:paraId="7B20156E" w14:textId="75F45B25" w:rsidR="0059604F" w:rsidRPr="00E50289" w:rsidRDefault="0059604F" w:rsidP="00826E45">
            <w:pPr>
              <w:pStyle w:val="Tabletext"/>
              <w:keepNext/>
              <w:keepLines/>
              <w:jc w:val="center"/>
              <w:rPr>
                <w:rFonts w:eastAsiaTheme="majorEastAsia"/>
                <w:b/>
                <w:bCs/>
                <w:szCs w:val="20"/>
              </w:rPr>
            </w:pPr>
            <w:r w:rsidRPr="00E50289">
              <w:rPr>
                <w:rFonts w:eastAsiaTheme="majorEastAsia"/>
                <w:b/>
                <w:bCs/>
                <w:szCs w:val="20"/>
              </w:rPr>
              <w:t>RR (</w:t>
            </w:r>
            <w:r w:rsidR="000565B3" w:rsidRPr="00E50289">
              <w:rPr>
                <w:rFonts w:eastAsiaTheme="majorEastAsia"/>
                <w:b/>
                <w:bCs/>
                <w:szCs w:val="20"/>
              </w:rPr>
              <w:t>95% CI</w:t>
            </w:r>
            <w:r w:rsidRPr="00E50289">
              <w:rPr>
                <w:rFonts w:eastAsiaTheme="majorEastAsia"/>
                <w:b/>
                <w:bCs/>
                <w:szCs w:val="20"/>
              </w:rPr>
              <w:t>)</w:t>
            </w:r>
            <w:r w:rsidR="00EB7032" w:rsidRPr="00E50289">
              <w:rPr>
                <w:rFonts w:eastAsiaTheme="majorEastAsia"/>
                <w:b/>
                <w:bCs/>
                <w:szCs w:val="20"/>
              </w:rPr>
              <w:t>,</w:t>
            </w:r>
          </w:p>
          <w:p w14:paraId="18E319B8" w14:textId="68DB9A80" w:rsidR="0059604F" w:rsidRPr="00E50289" w:rsidRDefault="0059604F" w:rsidP="00826E45">
            <w:pPr>
              <w:pStyle w:val="Tabletext"/>
              <w:keepNext/>
              <w:keepLines/>
              <w:jc w:val="center"/>
              <w:rPr>
                <w:rFonts w:eastAsiaTheme="majorEastAsia"/>
                <w:b/>
                <w:bCs/>
                <w:szCs w:val="20"/>
              </w:rPr>
            </w:pPr>
            <w:r w:rsidRPr="00E50289">
              <w:rPr>
                <w:rFonts w:eastAsiaTheme="majorEastAsia"/>
                <w:b/>
                <w:bCs/>
                <w:szCs w:val="20"/>
              </w:rPr>
              <w:t>result &gt;1 favours intervention</w:t>
            </w:r>
          </w:p>
        </w:tc>
        <w:tc>
          <w:tcPr>
            <w:tcW w:w="915" w:type="pct"/>
            <w:tcBorders>
              <w:bottom w:val="single" w:sz="4" w:space="0" w:color="auto"/>
            </w:tcBorders>
            <w:shd w:val="clear" w:color="auto" w:fill="auto"/>
          </w:tcPr>
          <w:p w14:paraId="5B5E6BF4" w14:textId="3A598E82" w:rsidR="0059604F" w:rsidRPr="00E50289" w:rsidRDefault="0059604F" w:rsidP="00826E45">
            <w:pPr>
              <w:pStyle w:val="Tabletext"/>
              <w:keepNext/>
              <w:keepLines/>
              <w:jc w:val="center"/>
              <w:rPr>
                <w:rFonts w:eastAsiaTheme="majorEastAsia"/>
                <w:b/>
                <w:bCs/>
                <w:szCs w:val="20"/>
              </w:rPr>
            </w:pPr>
            <w:r w:rsidRPr="00E50289">
              <w:rPr>
                <w:rFonts w:eastAsiaTheme="majorEastAsia"/>
                <w:b/>
                <w:bCs/>
                <w:szCs w:val="20"/>
              </w:rPr>
              <w:t>RD (</w:t>
            </w:r>
            <w:r w:rsidR="000565B3" w:rsidRPr="00E50289">
              <w:rPr>
                <w:rFonts w:eastAsiaTheme="majorEastAsia"/>
                <w:b/>
                <w:bCs/>
                <w:szCs w:val="20"/>
              </w:rPr>
              <w:t>95% CI</w:t>
            </w:r>
            <w:r w:rsidRPr="00E50289">
              <w:rPr>
                <w:rFonts w:eastAsiaTheme="majorEastAsia"/>
                <w:b/>
                <w:bCs/>
                <w:szCs w:val="20"/>
              </w:rPr>
              <w:t>)</w:t>
            </w:r>
            <w:r w:rsidR="00EB7032" w:rsidRPr="00E50289">
              <w:rPr>
                <w:rFonts w:eastAsiaTheme="majorEastAsia"/>
                <w:b/>
                <w:bCs/>
                <w:szCs w:val="20"/>
              </w:rPr>
              <w:t>,</w:t>
            </w:r>
          </w:p>
          <w:p w14:paraId="50604DC0" w14:textId="6DC114FF" w:rsidR="0059604F" w:rsidRPr="00E50289" w:rsidRDefault="0059604F" w:rsidP="00826E45">
            <w:pPr>
              <w:pStyle w:val="Tabletext"/>
              <w:keepNext/>
              <w:keepLines/>
              <w:jc w:val="center"/>
              <w:rPr>
                <w:rFonts w:eastAsiaTheme="majorEastAsia"/>
                <w:b/>
                <w:bCs/>
                <w:szCs w:val="20"/>
              </w:rPr>
            </w:pPr>
            <w:r w:rsidRPr="00E50289">
              <w:rPr>
                <w:rFonts w:eastAsiaTheme="majorEastAsia"/>
                <w:b/>
                <w:bCs/>
                <w:szCs w:val="20"/>
              </w:rPr>
              <w:t>result &gt;0 favours intervention</w:t>
            </w:r>
          </w:p>
        </w:tc>
      </w:tr>
      <w:tr w:rsidR="0059604F" w:rsidRPr="00E50289" w14:paraId="31D59E90" w14:textId="77777777" w:rsidTr="00097C1E">
        <w:trPr>
          <w:trHeight w:val="23"/>
        </w:trPr>
        <w:tc>
          <w:tcPr>
            <w:tcW w:w="5000" w:type="pct"/>
            <w:gridSpan w:val="6"/>
            <w:shd w:val="clear" w:color="auto" w:fill="auto"/>
            <w:noWrap/>
          </w:tcPr>
          <w:p w14:paraId="4F20A137" w14:textId="77777777" w:rsidR="0059604F" w:rsidRPr="00E50289" w:rsidRDefault="0059604F" w:rsidP="00826E45">
            <w:pPr>
              <w:pStyle w:val="Tabletext"/>
              <w:keepNext/>
              <w:keepLines/>
              <w:rPr>
                <w:rFonts w:eastAsiaTheme="majorEastAsia"/>
                <w:b/>
                <w:szCs w:val="20"/>
              </w:rPr>
            </w:pPr>
            <w:r w:rsidRPr="00E50289">
              <w:rPr>
                <w:rFonts w:eastAsiaTheme="majorEastAsia"/>
                <w:b/>
                <w:szCs w:val="20"/>
              </w:rPr>
              <w:t>UPA (45 mg) vs PBO– week 12 results</w:t>
            </w:r>
          </w:p>
        </w:tc>
      </w:tr>
      <w:tr w:rsidR="0059604F" w:rsidRPr="00E50289" w14:paraId="08F8D802" w14:textId="77777777" w:rsidTr="00214E3B">
        <w:trPr>
          <w:trHeight w:val="23"/>
        </w:trPr>
        <w:tc>
          <w:tcPr>
            <w:tcW w:w="784" w:type="pct"/>
            <w:shd w:val="clear" w:color="auto" w:fill="auto"/>
            <w:noWrap/>
            <w:vAlign w:val="center"/>
          </w:tcPr>
          <w:p w14:paraId="6B30BD25" w14:textId="77777777" w:rsidR="0059604F" w:rsidRPr="00E50289" w:rsidRDefault="0059604F" w:rsidP="00826E45">
            <w:pPr>
              <w:pStyle w:val="Tabletext"/>
              <w:keepNext/>
              <w:keepLines/>
              <w:jc w:val="both"/>
              <w:rPr>
                <w:rFonts w:eastAsiaTheme="majorEastAsia"/>
                <w:szCs w:val="20"/>
              </w:rPr>
            </w:pPr>
            <w:r w:rsidRPr="00E50289">
              <w:rPr>
                <w:rFonts w:eastAsiaTheme="majorEastAsia"/>
                <w:szCs w:val="20"/>
              </w:rPr>
              <w:t>U-EXCEED</w:t>
            </w:r>
          </w:p>
        </w:tc>
        <w:tc>
          <w:tcPr>
            <w:tcW w:w="785" w:type="pct"/>
            <w:shd w:val="clear" w:color="auto" w:fill="auto"/>
          </w:tcPr>
          <w:p w14:paraId="47D5358B"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126/324 (38.9)</w:t>
            </w:r>
          </w:p>
        </w:tc>
        <w:tc>
          <w:tcPr>
            <w:tcW w:w="708" w:type="pct"/>
            <w:shd w:val="clear" w:color="auto" w:fill="auto"/>
          </w:tcPr>
          <w:p w14:paraId="5973EE23"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36/171 (21.1)</w:t>
            </w:r>
          </w:p>
        </w:tc>
        <w:tc>
          <w:tcPr>
            <w:tcW w:w="943" w:type="pct"/>
            <w:shd w:val="clear" w:color="auto" w:fill="auto"/>
          </w:tcPr>
          <w:p w14:paraId="4F8389FC" w14:textId="594B6E62" w:rsidR="00A81E1D" w:rsidRPr="00E50289" w:rsidRDefault="00A81E1D" w:rsidP="00826E45">
            <w:pPr>
              <w:pStyle w:val="Tabletext"/>
              <w:keepNext/>
              <w:keepLines/>
              <w:jc w:val="center"/>
              <w:rPr>
                <w:rFonts w:eastAsiaTheme="majorEastAsia"/>
                <w:b/>
                <w:szCs w:val="20"/>
              </w:rPr>
            </w:pPr>
            <w:r w:rsidRPr="00E50289">
              <w:rPr>
                <w:rFonts w:eastAsiaTheme="majorEastAsia"/>
                <w:b/>
                <w:szCs w:val="20"/>
              </w:rPr>
              <w:t xml:space="preserve">2.39 (1.55, </w:t>
            </w:r>
            <w:proofErr w:type="gramStart"/>
            <w:r w:rsidRPr="00E50289">
              <w:rPr>
                <w:rFonts w:eastAsiaTheme="majorEastAsia"/>
                <w:b/>
                <w:szCs w:val="20"/>
              </w:rPr>
              <w:t>3.67)</w:t>
            </w:r>
            <w:r w:rsidRPr="00E50289">
              <w:rPr>
                <w:rFonts w:eastAsiaTheme="majorEastAsia"/>
                <w:b/>
                <w:szCs w:val="20"/>
                <w:vertAlign w:val="superscript"/>
              </w:rPr>
              <w:t>a</w:t>
            </w:r>
            <w:proofErr w:type="gramEnd"/>
          </w:p>
        </w:tc>
        <w:tc>
          <w:tcPr>
            <w:tcW w:w="864" w:type="pct"/>
            <w:shd w:val="clear" w:color="auto" w:fill="auto"/>
          </w:tcPr>
          <w:p w14:paraId="04515727"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1.85 (1.34, 2.55)</w:t>
            </w:r>
          </w:p>
        </w:tc>
        <w:tc>
          <w:tcPr>
            <w:tcW w:w="915" w:type="pct"/>
            <w:shd w:val="clear" w:color="auto" w:fill="auto"/>
            <w:noWrap/>
          </w:tcPr>
          <w:p w14:paraId="3F891509"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0.18 (0.10, 0.26)</w:t>
            </w:r>
          </w:p>
        </w:tc>
      </w:tr>
      <w:tr w:rsidR="0059604F" w:rsidRPr="00E50289" w14:paraId="28FD57B5" w14:textId="77777777" w:rsidTr="00214E3B">
        <w:trPr>
          <w:trHeight w:val="23"/>
        </w:trPr>
        <w:tc>
          <w:tcPr>
            <w:tcW w:w="784" w:type="pct"/>
            <w:shd w:val="clear" w:color="auto" w:fill="auto"/>
            <w:noWrap/>
            <w:vAlign w:val="center"/>
          </w:tcPr>
          <w:p w14:paraId="4D83811E" w14:textId="77777777" w:rsidR="0059604F" w:rsidRPr="00E50289" w:rsidRDefault="0059604F" w:rsidP="00826E45">
            <w:pPr>
              <w:pStyle w:val="Tabletext"/>
              <w:keepNext/>
              <w:keepLines/>
              <w:jc w:val="both"/>
              <w:rPr>
                <w:rFonts w:eastAsiaTheme="majorEastAsia"/>
                <w:szCs w:val="20"/>
              </w:rPr>
            </w:pPr>
            <w:r w:rsidRPr="00E50289">
              <w:rPr>
                <w:rFonts w:eastAsiaTheme="majorEastAsia"/>
                <w:szCs w:val="20"/>
              </w:rPr>
              <w:t>U-EXCEL</w:t>
            </w:r>
          </w:p>
        </w:tc>
        <w:tc>
          <w:tcPr>
            <w:tcW w:w="785" w:type="pct"/>
            <w:shd w:val="clear" w:color="auto" w:fill="auto"/>
          </w:tcPr>
          <w:p w14:paraId="48FD452C"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173/350 (49.5)</w:t>
            </w:r>
          </w:p>
        </w:tc>
        <w:tc>
          <w:tcPr>
            <w:tcW w:w="708" w:type="pct"/>
            <w:shd w:val="clear" w:color="auto" w:fill="auto"/>
          </w:tcPr>
          <w:p w14:paraId="37538AB1"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51/176 (29.1)</w:t>
            </w:r>
          </w:p>
        </w:tc>
        <w:tc>
          <w:tcPr>
            <w:tcW w:w="943" w:type="pct"/>
            <w:shd w:val="clear" w:color="auto" w:fill="auto"/>
          </w:tcPr>
          <w:p w14:paraId="1AFC7CBF" w14:textId="04F20E9D" w:rsidR="00A81E1D" w:rsidRPr="00E50289" w:rsidRDefault="00A81E1D" w:rsidP="00826E45">
            <w:pPr>
              <w:pStyle w:val="Tabletext"/>
              <w:keepNext/>
              <w:keepLines/>
              <w:jc w:val="center"/>
              <w:rPr>
                <w:rFonts w:eastAsiaTheme="majorEastAsia"/>
                <w:b/>
                <w:szCs w:val="20"/>
              </w:rPr>
            </w:pPr>
            <w:r w:rsidRPr="00E50289">
              <w:rPr>
                <w:rFonts w:eastAsiaTheme="majorEastAsia"/>
                <w:b/>
                <w:szCs w:val="20"/>
              </w:rPr>
              <w:t xml:space="preserve">2.40 (1.63, </w:t>
            </w:r>
            <w:proofErr w:type="gramStart"/>
            <w:r w:rsidRPr="00E50289">
              <w:rPr>
                <w:rFonts w:eastAsiaTheme="majorEastAsia"/>
                <w:b/>
                <w:szCs w:val="20"/>
              </w:rPr>
              <w:t>3.53)</w:t>
            </w:r>
            <w:r w:rsidRPr="00E50289">
              <w:rPr>
                <w:rFonts w:eastAsiaTheme="majorEastAsia"/>
                <w:b/>
                <w:szCs w:val="20"/>
                <w:vertAlign w:val="superscript"/>
              </w:rPr>
              <w:t>a</w:t>
            </w:r>
            <w:proofErr w:type="gramEnd"/>
          </w:p>
        </w:tc>
        <w:tc>
          <w:tcPr>
            <w:tcW w:w="864" w:type="pct"/>
            <w:shd w:val="clear" w:color="auto" w:fill="auto"/>
          </w:tcPr>
          <w:p w14:paraId="634A7A0F"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1.71 (1.32, 2.20)</w:t>
            </w:r>
          </w:p>
        </w:tc>
        <w:tc>
          <w:tcPr>
            <w:tcW w:w="915" w:type="pct"/>
            <w:shd w:val="clear" w:color="auto" w:fill="auto"/>
            <w:noWrap/>
          </w:tcPr>
          <w:p w14:paraId="3B398703"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0.20 (0.12, 0.29)</w:t>
            </w:r>
          </w:p>
        </w:tc>
      </w:tr>
      <w:tr w:rsidR="0059604F" w:rsidRPr="00E50289" w14:paraId="12372FB7" w14:textId="77777777" w:rsidTr="00214E3B">
        <w:trPr>
          <w:trHeight w:val="23"/>
        </w:trPr>
        <w:tc>
          <w:tcPr>
            <w:tcW w:w="784" w:type="pct"/>
            <w:shd w:val="clear" w:color="auto" w:fill="auto"/>
            <w:noWrap/>
            <w:vAlign w:val="center"/>
          </w:tcPr>
          <w:p w14:paraId="1A1A7786" w14:textId="77777777" w:rsidR="0059604F" w:rsidRPr="00E50289" w:rsidRDefault="0059604F" w:rsidP="00826E45">
            <w:pPr>
              <w:pStyle w:val="Tabletext"/>
              <w:keepNext/>
              <w:keepLines/>
              <w:jc w:val="both"/>
              <w:rPr>
                <w:rFonts w:eastAsiaTheme="majorEastAsia"/>
                <w:szCs w:val="20"/>
              </w:rPr>
            </w:pPr>
            <w:r w:rsidRPr="00E50289">
              <w:rPr>
                <w:rFonts w:eastAsiaTheme="majorEastAsia"/>
                <w:bCs/>
                <w:szCs w:val="20"/>
              </w:rPr>
              <w:t>Pooled</w:t>
            </w:r>
          </w:p>
        </w:tc>
        <w:tc>
          <w:tcPr>
            <w:tcW w:w="785" w:type="pct"/>
            <w:shd w:val="clear" w:color="auto" w:fill="auto"/>
          </w:tcPr>
          <w:p w14:paraId="04680F13" w14:textId="77777777" w:rsidR="0059604F" w:rsidRPr="00E50289" w:rsidRDefault="0059604F" w:rsidP="00826E45">
            <w:pPr>
              <w:pStyle w:val="Tabletext"/>
              <w:keepNext/>
              <w:keepLines/>
              <w:jc w:val="center"/>
              <w:rPr>
                <w:rFonts w:eastAsiaTheme="majorEastAsia"/>
                <w:szCs w:val="20"/>
              </w:rPr>
            </w:pPr>
            <w:r w:rsidRPr="00E50289">
              <w:rPr>
                <w:rFonts w:eastAsiaTheme="majorEastAsia"/>
                <w:bCs/>
                <w:szCs w:val="20"/>
              </w:rPr>
              <w:t>299/674 (44.4)</w:t>
            </w:r>
          </w:p>
        </w:tc>
        <w:tc>
          <w:tcPr>
            <w:tcW w:w="708" w:type="pct"/>
            <w:shd w:val="clear" w:color="auto" w:fill="auto"/>
          </w:tcPr>
          <w:p w14:paraId="366753E5" w14:textId="1854519B" w:rsidR="0059604F" w:rsidRPr="00E50289" w:rsidRDefault="0059604F" w:rsidP="00826E45">
            <w:pPr>
              <w:pStyle w:val="Tabletext"/>
              <w:keepNext/>
              <w:keepLines/>
              <w:jc w:val="center"/>
              <w:rPr>
                <w:rFonts w:eastAsiaTheme="majorEastAsia"/>
                <w:szCs w:val="20"/>
              </w:rPr>
            </w:pPr>
            <w:r w:rsidRPr="00E50289">
              <w:rPr>
                <w:rFonts w:eastAsiaTheme="majorEastAsia"/>
                <w:szCs w:val="20"/>
              </w:rPr>
              <w:t>87/347 (</w:t>
            </w:r>
            <w:proofErr w:type="gramStart"/>
            <w:r w:rsidRPr="00E50289">
              <w:rPr>
                <w:rFonts w:eastAsiaTheme="majorEastAsia"/>
                <w:szCs w:val="20"/>
              </w:rPr>
              <w:t>2</w:t>
            </w:r>
            <w:r w:rsidR="003B696E" w:rsidRPr="00E50289">
              <w:rPr>
                <w:rFonts w:eastAsiaTheme="majorEastAsia"/>
                <w:szCs w:val="20"/>
              </w:rPr>
              <w:t>5.1</w:t>
            </w:r>
            <w:r w:rsidRPr="00E50289">
              <w:rPr>
                <w:rFonts w:eastAsiaTheme="majorEastAsia"/>
                <w:szCs w:val="20"/>
              </w:rPr>
              <w:t>)</w:t>
            </w:r>
            <w:r w:rsidRPr="00E50289">
              <w:rPr>
                <w:rFonts w:eastAsiaTheme="majorEastAsia"/>
                <w:szCs w:val="20"/>
                <w:vertAlign w:val="superscript"/>
              </w:rPr>
              <w:t>a</w:t>
            </w:r>
            <w:proofErr w:type="gramEnd"/>
          </w:p>
        </w:tc>
        <w:tc>
          <w:tcPr>
            <w:tcW w:w="943" w:type="pct"/>
            <w:shd w:val="clear" w:color="auto" w:fill="auto"/>
          </w:tcPr>
          <w:p w14:paraId="350A5B9F"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2.39 (1.79, 3.19)</w:t>
            </w:r>
          </w:p>
        </w:tc>
        <w:tc>
          <w:tcPr>
            <w:tcW w:w="864" w:type="pct"/>
            <w:shd w:val="clear" w:color="auto" w:fill="auto"/>
          </w:tcPr>
          <w:p w14:paraId="6969BE06"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1.76 (1.44, 2.15)</w:t>
            </w:r>
          </w:p>
        </w:tc>
        <w:tc>
          <w:tcPr>
            <w:tcW w:w="915" w:type="pct"/>
            <w:shd w:val="clear" w:color="auto" w:fill="auto"/>
            <w:noWrap/>
          </w:tcPr>
          <w:p w14:paraId="18ABCF2A"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0.19 (0.13, 0.25)</w:t>
            </w:r>
          </w:p>
        </w:tc>
      </w:tr>
      <w:tr w:rsidR="0059604F" w:rsidRPr="00E50289" w14:paraId="08B93A70" w14:textId="77777777" w:rsidTr="00097C1E">
        <w:trPr>
          <w:trHeight w:val="23"/>
        </w:trPr>
        <w:tc>
          <w:tcPr>
            <w:tcW w:w="5000" w:type="pct"/>
            <w:gridSpan w:val="6"/>
            <w:shd w:val="clear" w:color="auto" w:fill="auto"/>
            <w:noWrap/>
          </w:tcPr>
          <w:p w14:paraId="6A2E2E75" w14:textId="77777777" w:rsidR="0059604F" w:rsidRPr="00E50289" w:rsidRDefault="0059604F" w:rsidP="00826E45">
            <w:pPr>
              <w:pStyle w:val="Tabletext"/>
              <w:keepNext/>
              <w:keepLines/>
              <w:jc w:val="both"/>
              <w:rPr>
                <w:rFonts w:eastAsiaTheme="majorEastAsia"/>
                <w:b/>
                <w:bCs/>
                <w:szCs w:val="20"/>
              </w:rPr>
            </w:pPr>
            <w:r w:rsidRPr="00E50289">
              <w:rPr>
                <w:rFonts w:eastAsiaTheme="majorEastAsia"/>
                <w:b/>
                <w:bCs/>
                <w:szCs w:val="20"/>
              </w:rPr>
              <w:t>ADA (week 0: 160 mg, week 2: 80 mg) vs PBO– week 4 results</w:t>
            </w:r>
          </w:p>
        </w:tc>
      </w:tr>
      <w:tr w:rsidR="0059604F" w:rsidRPr="00E50289" w14:paraId="5C818C95" w14:textId="77777777" w:rsidTr="00214E3B">
        <w:trPr>
          <w:trHeight w:val="23"/>
        </w:trPr>
        <w:tc>
          <w:tcPr>
            <w:tcW w:w="784" w:type="pct"/>
            <w:shd w:val="clear" w:color="auto" w:fill="auto"/>
            <w:noWrap/>
          </w:tcPr>
          <w:p w14:paraId="45039ECC" w14:textId="35BE36E9" w:rsidR="0059604F" w:rsidRPr="00E50289" w:rsidRDefault="0059604F" w:rsidP="00826E45">
            <w:pPr>
              <w:pStyle w:val="Tabletext"/>
              <w:keepNext/>
              <w:keepLines/>
              <w:jc w:val="both"/>
              <w:rPr>
                <w:rFonts w:eastAsiaTheme="majorEastAsia"/>
                <w:szCs w:val="20"/>
              </w:rPr>
            </w:pPr>
            <w:r w:rsidRPr="00E50289">
              <w:rPr>
                <w:rFonts w:eastAsiaTheme="majorEastAsia"/>
                <w:szCs w:val="20"/>
              </w:rPr>
              <w:t>CLASSIC</w:t>
            </w:r>
            <w:r w:rsidR="001538FE" w:rsidRPr="00E50289">
              <w:rPr>
                <w:rFonts w:eastAsiaTheme="majorEastAsia"/>
                <w:szCs w:val="20"/>
              </w:rPr>
              <w:t xml:space="preserve"> </w:t>
            </w:r>
            <w:r w:rsidRPr="00E50289">
              <w:rPr>
                <w:rFonts w:eastAsiaTheme="majorEastAsia"/>
                <w:szCs w:val="20"/>
              </w:rPr>
              <w:t>I</w:t>
            </w:r>
          </w:p>
        </w:tc>
        <w:tc>
          <w:tcPr>
            <w:tcW w:w="785" w:type="pct"/>
            <w:shd w:val="clear" w:color="auto" w:fill="auto"/>
            <w:vAlign w:val="center"/>
          </w:tcPr>
          <w:p w14:paraId="36EFD638"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27/76 (35.5)</w:t>
            </w:r>
          </w:p>
        </w:tc>
        <w:tc>
          <w:tcPr>
            <w:tcW w:w="708" w:type="pct"/>
            <w:shd w:val="clear" w:color="auto" w:fill="auto"/>
            <w:vAlign w:val="center"/>
          </w:tcPr>
          <w:p w14:paraId="29FA0194"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9/74 (12.2)</w:t>
            </w:r>
          </w:p>
        </w:tc>
        <w:tc>
          <w:tcPr>
            <w:tcW w:w="943" w:type="pct"/>
            <w:shd w:val="clear" w:color="auto" w:fill="auto"/>
            <w:vAlign w:val="center"/>
          </w:tcPr>
          <w:p w14:paraId="771B5F6E"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3.98 (1.72, 9.22)</w:t>
            </w:r>
          </w:p>
        </w:tc>
        <w:tc>
          <w:tcPr>
            <w:tcW w:w="864" w:type="pct"/>
            <w:shd w:val="clear" w:color="auto" w:fill="auto"/>
            <w:vAlign w:val="center"/>
          </w:tcPr>
          <w:p w14:paraId="702908E7"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2.92 (1.48, 5.78)</w:t>
            </w:r>
          </w:p>
        </w:tc>
        <w:tc>
          <w:tcPr>
            <w:tcW w:w="915" w:type="pct"/>
            <w:shd w:val="clear" w:color="auto" w:fill="auto"/>
            <w:noWrap/>
            <w:vAlign w:val="center"/>
          </w:tcPr>
          <w:p w14:paraId="71476F31"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0.23 (0.10, 0.36)</w:t>
            </w:r>
          </w:p>
        </w:tc>
      </w:tr>
      <w:tr w:rsidR="0059604F" w:rsidRPr="00E50289" w14:paraId="0E1104DE" w14:textId="77777777" w:rsidTr="00214E3B">
        <w:trPr>
          <w:trHeight w:val="23"/>
        </w:trPr>
        <w:tc>
          <w:tcPr>
            <w:tcW w:w="784" w:type="pct"/>
            <w:shd w:val="clear" w:color="auto" w:fill="auto"/>
            <w:noWrap/>
          </w:tcPr>
          <w:p w14:paraId="70FB0B9D" w14:textId="77777777" w:rsidR="0059604F" w:rsidRPr="00E50289" w:rsidRDefault="0059604F" w:rsidP="00826E45">
            <w:pPr>
              <w:pStyle w:val="Tabletext"/>
              <w:keepNext/>
              <w:keepLines/>
              <w:jc w:val="both"/>
              <w:rPr>
                <w:rFonts w:eastAsiaTheme="majorEastAsia"/>
                <w:szCs w:val="20"/>
              </w:rPr>
            </w:pPr>
            <w:r w:rsidRPr="00E50289">
              <w:rPr>
                <w:rFonts w:eastAsiaTheme="majorEastAsia"/>
                <w:szCs w:val="20"/>
              </w:rPr>
              <w:t>GAIN</w:t>
            </w:r>
          </w:p>
        </w:tc>
        <w:tc>
          <w:tcPr>
            <w:tcW w:w="785" w:type="pct"/>
            <w:shd w:val="clear" w:color="auto" w:fill="auto"/>
            <w:vAlign w:val="center"/>
          </w:tcPr>
          <w:p w14:paraId="69F97DEB"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34/159 (21.4)</w:t>
            </w:r>
          </w:p>
        </w:tc>
        <w:tc>
          <w:tcPr>
            <w:tcW w:w="708" w:type="pct"/>
            <w:shd w:val="clear" w:color="auto" w:fill="auto"/>
            <w:vAlign w:val="center"/>
          </w:tcPr>
          <w:p w14:paraId="23609230"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12/166 (7.2)</w:t>
            </w:r>
          </w:p>
        </w:tc>
        <w:tc>
          <w:tcPr>
            <w:tcW w:w="943" w:type="pct"/>
            <w:shd w:val="clear" w:color="auto" w:fill="auto"/>
            <w:vAlign w:val="center"/>
          </w:tcPr>
          <w:p w14:paraId="4AD511E8"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3.49 (1.73, 7.02)</w:t>
            </w:r>
          </w:p>
        </w:tc>
        <w:tc>
          <w:tcPr>
            <w:tcW w:w="864" w:type="pct"/>
            <w:shd w:val="clear" w:color="auto" w:fill="auto"/>
            <w:vAlign w:val="center"/>
          </w:tcPr>
          <w:p w14:paraId="6B1CBC48"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2.96 (1.59, 5.51)</w:t>
            </w:r>
          </w:p>
        </w:tc>
        <w:tc>
          <w:tcPr>
            <w:tcW w:w="915" w:type="pct"/>
            <w:shd w:val="clear" w:color="auto" w:fill="auto"/>
            <w:noWrap/>
            <w:vAlign w:val="center"/>
          </w:tcPr>
          <w:p w14:paraId="48700F8A"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0.14 (0.07, 0.22)</w:t>
            </w:r>
          </w:p>
        </w:tc>
      </w:tr>
      <w:tr w:rsidR="0059604F" w:rsidRPr="00E50289" w14:paraId="505CC4C1" w14:textId="77777777" w:rsidTr="00214E3B">
        <w:trPr>
          <w:trHeight w:val="23"/>
        </w:trPr>
        <w:tc>
          <w:tcPr>
            <w:tcW w:w="784" w:type="pct"/>
            <w:shd w:val="clear" w:color="auto" w:fill="auto"/>
            <w:noWrap/>
          </w:tcPr>
          <w:p w14:paraId="3DF4630F" w14:textId="77777777" w:rsidR="0059604F" w:rsidRPr="00E50289" w:rsidRDefault="0059604F" w:rsidP="00826E45">
            <w:pPr>
              <w:pStyle w:val="Tabletext"/>
              <w:keepNext/>
              <w:keepLines/>
              <w:jc w:val="both"/>
              <w:rPr>
                <w:rFonts w:eastAsiaTheme="majorEastAsia"/>
                <w:szCs w:val="20"/>
              </w:rPr>
            </w:pPr>
            <w:r w:rsidRPr="00E50289">
              <w:rPr>
                <w:rFonts w:eastAsiaTheme="majorEastAsia"/>
                <w:szCs w:val="20"/>
              </w:rPr>
              <w:t>Watanabe 2012</w:t>
            </w:r>
          </w:p>
        </w:tc>
        <w:tc>
          <w:tcPr>
            <w:tcW w:w="785" w:type="pct"/>
            <w:shd w:val="clear" w:color="auto" w:fill="auto"/>
            <w:vAlign w:val="center"/>
          </w:tcPr>
          <w:p w14:paraId="638908F2"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11/33 (33.3)</w:t>
            </w:r>
          </w:p>
        </w:tc>
        <w:tc>
          <w:tcPr>
            <w:tcW w:w="708" w:type="pct"/>
            <w:shd w:val="clear" w:color="auto" w:fill="auto"/>
            <w:vAlign w:val="center"/>
          </w:tcPr>
          <w:p w14:paraId="1B29053B"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3/23 (13.0)</w:t>
            </w:r>
          </w:p>
        </w:tc>
        <w:tc>
          <w:tcPr>
            <w:tcW w:w="943" w:type="pct"/>
            <w:shd w:val="clear" w:color="auto" w:fill="auto"/>
            <w:vAlign w:val="center"/>
          </w:tcPr>
          <w:p w14:paraId="0FBA6FB2"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szCs w:val="20"/>
              </w:rPr>
              <w:t>3.33 (0.81, 13.69)</w:t>
            </w:r>
          </w:p>
        </w:tc>
        <w:tc>
          <w:tcPr>
            <w:tcW w:w="864" w:type="pct"/>
            <w:shd w:val="clear" w:color="auto" w:fill="auto"/>
            <w:vAlign w:val="center"/>
          </w:tcPr>
          <w:p w14:paraId="7E5BA92C"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szCs w:val="20"/>
              </w:rPr>
              <w:t>2.56 (0.80, 8.15)</w:t>
            </w:r>
          </w:p>
        </w:tc>
        <w:tc>
          <w:tcPr>
            <w:tcW w:w="915" w:type="pct"/>
            <w:shd w:val="clear" w:color="auto" w:fill="auto"/>
            <w:noWrap/>
            <w:vAlign w:val="center"/>
          </w:tcPr>
          <w:p w14:paraId="1D75EEF4"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szCs w:val="20"/>
              </w:rPr>
              <w:t>0.20 (-0.01, 0.41)</w:t>
            </w:r>
          </w:p>
        </w:tc>
      </w:tr>
      <w:tr w:rsidR="0059604F" w:rsidRPr="00E50289" w14:paraId="534EBC00" w14:textId="77777777" w:rsidTr="00214E3B">
        <w:trPr>
          <w:trHeight w:val="23"/>
        </w:trPr>
        <w:tc>
          <w:tcPr>
            <w:tcW w:w="784" w:type="pct"/>
            <w:shd w:val="clear" w:color="auto" w:fill="auto"/>
            <w:noWrap/>
          </w:tcPr>
          <w:p w14:paraId="11F51036" w14:textId="77777777" w:rsidR="0059604F" w:rsidRPr="00E50289" w:rsidRDefault="0059604F" w:rsidP="00826E45">
            <w:pPr>
              <w:pStyle w:val="Tabletext"/>
              <w:keepNext/>
              <w:keepLines/>
              <w:jc w:val="both"/>
              <w:rPr>
                <w:rFonts w:eastAsiaTheme="majorEastAsia"/>
                <w:szCs w:val="20"/>
              </w:rPr>
            </w:pPr>
            <w:r w:rsidRPr="00E50289">
              <w:rPr>
                <w:rFonts w:eastAsiaTheme="majorEastAsia"/>
                <w:szCs w:val="20"/>
              </w:rPr>
              <w:t>Pooled</w:t>
            </w:r>
          </w:p>
        </w:tc>
        <w:tc>
          <w:tcPr>
            <w:tcW w:w="785" w:type="pct"/>
            <w:shd w:val="clear" w:color="auto" w:fill="auto"/>
            <w:vAlign w:val="center"/>
          </w:tcPr>
          <w:p w14:paraId="017B90E8"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72/268 (26.9)</w:t>
            </w:r>
          </w:p>
        </w:tc>
        <w:tc>
          <w:tcPr>
            <w:tcW w:w="708" w:type="pct"/>
            <w:shd w:val="clear" w:color="auto" w:fill="auto"/>
            <w:vAlign w:val="center"/>
          </w:tcPr>
          <w:p w14:paraId="7C72CAFA"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24/263 (9.1)</w:t>
            </w:r>
          </w:p>
        </w:tc>
        <w:tc>
          <w:tcPr>
            <w:tcW w:w="943" w:type="pct"/>
            <w:shd w:val="clear" w:color="auto" w:fill="auto"/>
            <w:vAlign w:val="center"/>
          </w:tcPr>
          <w:p w14:paraId="5AE1C996"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3.63 (2.20, 6.01)</w:t>
            </w:r>
          </w:p>
        </w:tc>
        <w:tc>
          <w:tcPr>
            <w:tcW w:w="864" w:type="pct"/>
            <w:shd w:val="clear" w:color="auto" w:fill="auto"/>
            <w:vAlign w:val="center"/>
          </w:tcPr>
          <w:p w14:paraId="22FF731C"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2.89 (1.88, 4.42)</w:t>
            </w:r>
          </w:p>
        </w:tc>
        <w:tc>
          <w:tcPr>
            <w:tcW w:w="915" w:type="pct"/>
            <w:shd w:val="clear" w:color="auto" w:fill="auto"/>
            <w:noWrap/>
            <w:vAlign w:val="center"/>
          </w:tcPr>
          <w:p w14:paraId="3CEFB710"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0.17 (0.11, 0.23)</w:t>
            </w:r>
          </w:p>
        </w:tc>
      </w:tr>
      <w:tr w:rsidR="0059604F" w:rsidRPr="00E50289" w14:paraId="24FED707" w14:textId="77777777" w:rsidTr="00097C1E">
        <w:trPr>
          <w:trHeight w:val="23"/>
        </w:trPr>
        <w:tc>
          <w:tcPr>
            <w:tcW w:w="5000" w:type="pct"/>
            <w:gridSpan w:val="6"/>
            <w:tcBorders>
              <w:bottom w:val="single" w:sz="4" w:space="0" w:color="auto"/>
            </w:tcBorders>
            <w:shd w:val="clear" w:color="auto" w:fill="auto"/>
            <w:noWrap/>
          </w:tcPr>
          <w:p w14:paraId="0E8F2804" w14:textId="77777777" w:rsidR="0059604F" w:rsidRPr="00E50289" w:rsidRDefault="0059604F" w:rsidP="00826E45">
            <w:pPr>
              <w:pStyle w:val="Tabletext"/>
              <w:keepNext/>
              <w:keepLines/>
              <w:jc w:val="both"/>
              <w:rPr>
                <w:rFonts w:eastAsiaTheme="majorEastAsia"/>
                <w:b/>
                <w:bCs/>
                <w:szCs w:val="20"/>
              </w:rPr>
            </w:pPr>
            <w:r w:rsidRPr="00E50289">
              <w:rPr>
                <w:rFonts w:eastAsiaTheme="majorEastAsia"/>
                <w:b/>
                <w:bCs/>
                <w:szCs w:val="20"/>
              </w:rPr>
              <w:t>RISA (600 mg) vs PBO- week 12 results</w:t>
            </w:r>
          </w:p>
        </w:tc>
      </w:tr>
      <w:tr w:rsidR="0059604F" w:rsidRPr="00E50289" w14:paraId="5149C084" w14:textId="77777777" w:rsidTr="00214E3B">
        <w:trPr>
          <w:trHeight w:val="23"/>
        </w:trPr>
        <w:tc>
          <w:tcPr>
            <w:tcW w:w="784" w:type="pct"/>
            <w:tcBorders>
              <w:bottom w:val="single" w:sz="4" w:space="0" w:color="auto"/>
            </w:tcBorders>
            <w:shd w:val="clear" w:color="auto" w:fill="auto"/>
            <w:noWrap/>
          </w:tcPr>
          <w:p w14:paraId="5F8BFC83" w14:textId="77777777" w:rsidR="0059604F" w:rsidRPr="00E50289" w:rsidRDefault="0059604F" w:rsidP="00826E45">
            <w:pPr>
              <w:pStyle w:val="Tabletext"/>
              <w:keepNext/>
              <w:keepLines/>
              <w:jc w:val="both"/>
              <w:rPr>
                <w:rFonts w:eastAsiaTheme="majorEastAsia"/>
                <w:szCs w:val="20"/>
              </w:rPr>
            </w:pPr>
            <w:r w:rsidRPr="00E50289">
              <w:rPr>
                <w:rFonts w:eastAsiaTheme="majorEastAsia"/>
                <w:szCs w:val="20"/>
              </w:rPr>
              <w:t>M15-993</w:t>
            </w:r>
          </w:p>
        </w:tc>
        <w:tc>
          <w:tcPr>
            <w:tcW w:w="785" w:type="pct"/>
            <w:tcBorders>
              <w:bottom w:val="single" w:sz="4" w:space="0" w:color="auto"/>
            </w:tcBorders>
            <w:shd w:val="clear" w:color="auto" w:fill="auto"/>
            <w:vAlign w:val="center"/>
          </w:tcPr>
          <w:p w14:paraId="186306AF"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15/41 (36.6)</w:t>
            </w:r>
          </w:p>
        </w:tc>
        <w:tc>
          <w:tcPr>
            <w:tcW w:w="708" w:type="pct"/>
            <w:tcBorders>
              <w:bottom w:val="single" w:sz="4" w:space="0" w:color="auto"/>
            </w:tcBorders>
            <w:shd w:val="clear" w:color="auto" w:fill="auto"/>
            <w:vAlign w:val="center"/>
          </w:tcPr>
          <w:p w14:paraId="2A0419ED"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6/39 (15.4)</w:t>
            </w:r>
          </w:p>
        </w:tc>
        <w:tc>
          <w:tcPr>
            <w:tcW w:w="943" w:type="pct"/>
            <w:tcBorders>
              <w:bottom w:val="single" w:sz="4" w:space="0" w:color="auto"/>
            </w:tcBorders>
            <w:shd w:val="clear" w:color="auto" w:fill="auto"/>
            <w:vAlign w:val="center"/>
          </w:tcPr>
          <w:p w14:paraId="7A637555"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3.17 (1.08, 9.32)</w:t>
            </w:r>
          </w:p>
        </w:tc>
        <w:tc>
          <w:tcPr>
            <w:tcW w:w="864" w:type="pct"/>
            <w:tcBorders>
              <w:bottom w:val="single" w:sz="4" w:space="0" w:color="auto"/>
            </w:tcBorders>
            <w:shd w:val="clear" w:color="auto" w:fill="auto"/>
            <w:vAlign w:val="center"/>
          </w:tcPr>
          <w:p w14:paraId="54992EB8"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2.38 (1.03, 5.50)</w:t>
            </w:r>
          </w:p>
        </w:tc>
        <w:tc>
          <w:tcPr>
            <w:tcW w:w="915" w:type="pct"/>
            <w:tcBorders>
              <w:bottom w:val="single" w:sz="4" w:space="0" w:color="auto"/>
            </w:tcBorders>
            <w:shd w:val="clear" w:color="auto" w:fill="auto"/>
            <w:noWrap/>
            <w:vAlign w:val="center"/>
          </w:tcPr>
          <w:p w14:paraId="13A237F7"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0.21 (0.03, 0.40)</w:t>
            </w:r>
          </w:p>
        </w:tc>
      </w:tr>
      <w:tr w:rsidR="0059604F" w:rsidRPr="00E50289" w14:paraId="5B2F0AF0" w14:textId="77777777" w:rsidTr="00214E3B">
        <w:trPr>
          <w:trHeight w:val="23"/>
        </w:trPr>
        <w:tc>
          <w:tcPr>
            <w:tcW w:w="784" w:type="pct"/>
            <w:tcBorders>
              <w:bottom w:val="single" w:sz="4" w:space="0" w:color="auto"/>
            </w:tcBorders>
            <w:shd w:val="clear" w:color="auto" w:fill="auto"/>
            <w:noWrap/>
          </w:tcPr>
          <w:p w14:paraId="156B743A" w14:textId="77777777" w:rsidR="0059604F" w:rsidRPr="00E50289" w:rsidRDefault="0059604F" w:rsidP="00826E45">
            <w:pPr>
              <w:pStyle w:val="Tabletext"/>
              <w:keepNext/>
              <w:keepLines/>
              <w:jc w:val="both"/>
              <w:rPr>
                <w:rFonts w:eastAsiaTheme="majorEastAsia"/>
                <w:szCs w:val="20"/>
              </w:rPr>
            </w:pPr>
            <w:r w:rsidRPr="00E50289">
              <w:rPr>
                <w:rFonts w:eastAsiaTheme="majorEastAsia"/>
                <w:szCs w:val="20"/>
              </w:rPr>
              <w:t>ADVANCE</w:t>
            </w:r>
          </w:p>
        </w:tc>
        <w:tc>
          <w:tcPr>
            <w:tcW w:w="785" w:type="pct"/>
            <w:tcBorders>
              <w:bottom w:val="single" w:sz="4" w:space="0" w:color="auto"/>
            </w:tcBorders>
            <w:shd w:val="clear" w:color="auto" w:fill="auto"/>
            <w:vAlign w:val="center"/>
          </w:tcPr>
          <w:p w14:paraId="56569A9A"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152/336 (45.2)</w:t>
            </w:r>
          </w:p>
        </w:tc>
        <w:tc>
          <w:tcPr>
            <w:tcW w:w="708" w:type="pct"/>
            <w:tcBorders>
              <w:bottom w:val="single" w:sz="4" w:space="0" w:color="auto"/>
            </w:tcBorders>
            <w:shd w:val="clear" w:color="auto" w:fill="auto"/>
            <w:vAlign w:val="center"/>
          </w:tcPr>
          <w:p w14:paraId="5375F55D"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43/175 (24.6)</w:t>
            </w:r>
          </w:p>
        </w:tc>
        <w:tc>
          <w:tcPr>
            <w:tcW w:w="943" w:type="pct"/>
            <w:tcBorders>
              <w:bottom w:val="single" w:sz="4" w:space="0" w:color="auto"/>
            </w:tcBorders>
            <w:shd w:val="clear" w:color="auto" w:fill="auto"/>
            <w:vAlign w:val="center"/>
          </w:tcPr>
          <w:p w14:paraId="6F52CE71"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2.54 (1.69, 3.80)</w:t>
            </w:r>
          </w:p>
        </w:tc>
        <w:tc>
          <w:tcPr>
            <w:tcW w:w="864" w:type="pct"/>
            <w:tcBorders>
              <w:bottom w:val="single" w:sz="4" w:space="0" w:color="auto"/>
            </w:tcBorders>
            <w:shd w:val="clear" w:color="auto" w:fill="auto"/>
            <w:vAlign w:val="center"/>
          </w:tcPr>
          <w:p w14:paraId="56C6C733"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1.84 (1.38, 2.45)</w:t>
            </w:r>
          </w:p>
        </w:tc>
        <w:tc>
          <w:tcPr>
            <w:tcW w:w="915" w:type="pct"/>
            <w:tcBorders>
              <w:bottom w:val="single" w:sz="4" w:space="0" w:color="auto"/>
            </w:tcBorders>
            <w:shd w:val="clear" w:color="auto" w:fill="auto"/>
            <w:noWrap/>
            <w:vAlign w:val="center"/>
          </w:tcPr>
          <w:p w14:paraId="22D4DD00"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0.21 (0.12, 0.29)</w:t>
            </w:r>
          </w:p>
        </w:tc>
      </w:tr>
      <w:tr w:rsidR="0059604F" w:rsidRPr="00E50289" w14:paraId="70F6E414" w14:textId="77777777" w:rsidTr="00214E3B">
        <w:trPr>
          <w:trHeight w:val="23"/>
        </w:trPr>
        <w:tc>
          <w:tcPr>
            <w:tcW w:w="784" w:type="pct"/>
            <w:tcBorders>
              <w:bottom w:val="single" w:sz="4" w:space="0" w:color="auto"/>
            </w:tcBorders>
            <w:shd w:val="clear" w:color="auto" w:fill="auto"/>
            <w:noWrap/>
          </w:tcPr>
          <w:p w14:paraId="36C36D08" w14:textId="77777777" w:rsidR="0059604F" w:rsidRPr="00E50289" w:rsidRDefault="0059604F" w:rsidP="00826E45">
            <w:pPr>
              <w:pStyle w:val="Tabletext"/>
              <w:keepNext/>
              <w:keepLines/>
              <w:jc w:val="both"/>
              <w:rPr>
                <w:rFonts w:eastAsiaTheme="majorEastAsia"/>
                <w:szCs w:val="20"/>
              </w:rPr>
            </w:pPr>
            <w:r w:rsidRPr="00E50289">
              <w:rPr>
                <w:rFonts w:eastAsiaTheme="majorEastAsia"/>
                <w:szCs w:val="20"/>
              </w:rPr>
              <w:t>MOTIVATE</w:t>
            </w:r>
          </w:p>
        </w:tc>
        <w:tc>
          <w:tcPr>
            <w:tcW w:w="785" w:type="pct"/>
            <w:tcBorders>
              <w:bottom w:val="single" w:sz="4" w:space="0" w:color="auto"/>
            </w:tcBorders>
            <w:shd w:val="clear" w:color="auto" w:fill="auto"/>
            <w:vAlign w:val="center"/>
          </w:tcPr>
          <w:p w14:paraId="023AAF91"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80/191 (41.9)</w:t>
            </w:r>
          </w:p>
        </w:tc>
        <w:tc>
          <w:tcPr>
            <w:tcW w:w="708" w:type="pct"/>
            <w:tcBorders>
              <w:bottom w:val="single" w:sz="4" w:space="0" w:color="auto"/>
            </w:tcBorders>
            <w:shd w:val="clear" w:color="auto" w:fill="auto"/>
            <w:vAlign w:val="center"/>
          </w:tcPr>
          <w:p w14:paraId="206DF11E"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37/187 (19.8)</w:t>
            </w:r>
          </w:p>
        </w:tc>
        <w:tc>
          <w:tcPr>
            <w:tcW w:w="943" w:type="pct"/>
            <w:tcBorders>
              <w:bottom w:val="single" w:sz="4" w:space="0" w:color="auto"/>
            </w:tcBorders>
            <w:shd w:val="clear" w:color="auto" w:fill="auto"/>
            <w:vAlign w:val="center"/>
          </w:tcPr>
          <w:p w14:paraId="34C7E285" w14:textId="77777777" w:rsidR="0059604F" w:rsidRPr="00E50289" w:rsidRDefault="0059604F" w:rsidP="00826E45">
            <w:pPr>
              <w:pStyle w:val="Tabletext"/>
              <w:keepNext/>
              <w:keepLines/>
              <w:jc w:val="center"/>
              <w:rPr>
                <w:rFonts w:eastAsiaTheme="majorEastAsia"/>
                <w:szCs w:val="20"/>
              </w:rPr>
            </w:pPr>
            <w:r w:rsidRPr="00E50289">
              <w:rPr>
                <w:rFonts w:eastAsiaTheme="majorEastAsia"/>
                <w:b/>
                <w:szCs w:val="20"/>
              </w:rPr>
              <w:t>2.92 (1.84, 4.63)</w:t>
            </w:r>
          </w:p>
        </w:tc>
        <w:tc>
          <w:tcPr>
            <w:tcW w:w="864" w:type="pct"/>
            <w:tcBorders>
              <w:bottom w:val="single" w:sz="4" w:space="0" w:color="auto"/>
            </w:tcBorders>
            <w:shd w:val="clear" w:color="auto" w:fill="auto"/>
            <w:vAlign w:val="center"/>
          </w:tcPr>
          <w:p w14:paraId="7349D1E5" w14:textId="77777777" w:rsidR="0059604F" w:rsidRPr="00E50289" w:rsidRDefault="0059604F" w:rsidP="00826E45">
            <w:pPr>
              <w:pStyle w:val="Tabletext"/>
              <w:keepNext/>
              <w:keepLines/>
              <w:jc w:val="center"/>
              <w:rPr>
                <w:rFonts w:eastAsiaTheme="majorEastAsia"/>
                <w:szCs w:val="20"/>
              </w:rPr>
            </w:pPr>
            <w:r w:rsidRPr="00E50289">
              <w:rPr>
                <w:rFonts w:eastAsiaTheme="majorEastAsia"/>
                <w:b/>
                <w:szCs w:val="20"/>
              </w:rPr>
              <w:t>2.12 (1.52, 2.95)</w:t>
            </w:r>
          </w:p>
        </w:tc>
        <w:tc>
          <w:tcPr>
            <w:tcW w:w="915" w:type="pct"/>
            <w:tcBorders>
              <w:bottom w:val="single" w:sz="4" w:space="0" w:color="auto"/>
            </w:tcBorders>
            <w:shd w:val="clear" w:color="auto" w:fill="auto"/>
            <w:noWrap/>
            <w:vAlign w:val="center"/>
          </w:tcPr>
          <w:p w14:paraId="72062644" w14:textId="77777777" w:rsidR="0059604F" w:rsidRPr="00E50289" w:rsidRDefault="0059604F" w:rsidP="00826E45">
            <w:pPr>
              <w:pStyle w:val="Tabletext"/>
              <w:keepNext/>
              <w:keepLines/>
              <w:jc w:val="center"/>
              <w:rPr>
                <w:rFonts w:eastAsiaTheme="majorEastAsia"/>
                <w:szCs w:val="20"/>
              </w:rPr>
            </w:pPr>
            <w:r w:rsidRPr="00E50289">
              <w:rPr>
                <w:rFonts w:eastAsiaTheme="majorEastAsia"/>
                <w:b/>
                <w:szCs w:val="20"/>
              </w:rPr>
              <w:t>0.22 (0.13, 0.31)</w:t>
            </w:r>
          </w:p>
        </w:tc>
      </w:tr>
      <w:tr w:rsidR="0059604F" w:rsidRPr="00E50289" w14:paraId="3E719EC5" w14:textId="77777777" w:rsidTr="00214E3B">
        <w:trPr>
          <w:trHeight w:val="23"/>
        </w:trPr>
        <w:tc>
          <w:tcPr>
            <w:tcW w:w="784" w:type="pct"/>
            <w:tcBorders>
              <w:bottom w:val="single" w:sz="4" w:space="0" w:color="auto"/>
            </w:tcBorders>
            <w:shd w:val="clear" w:color="auto" w:fill="auto"/>
            <w:noWrap/>
          </w:tcPr>
          <w:p w14:paraId="4A98CA54" w14:textId="77777777" w:rsidR="0059604F" w:rsidRPr="00E50289" w:rsidRDefault="0059604F" w:rsidP="00826E45">
            <w:pPr>
              <w:pStyle w:val="Tabletext"/>
              <w:keepNext/>
              <w:keepLines/>
              <w:jc w:val="both"/>
              <w:rPr>
                <w:rFonts w:eastAsiaTheme="majorEastAsia"/>
                <w:szCs w:val="20"/>
              </w:rPr>
            </w:pPr>
            <w:r w:rsidRPr="00E50289">
              <w:rPr>
                <w:rFonts w:eastAsiaTheme="majorEastAsia"/>
                <w:szCs w:val="20"/>
              </w:rPr>
              <w:t>Pooled</w:t>
            </w:r>
          </w:p>
        </w:tc>
        <w:tc>
          <w:tcPr>
            <w:tcW w:w="785" w:type="pct"/>
            <w:tcBorders>
              <w:bottom w:val="single" w:sz="4" w:space="0" w:color="auto"/>
            </w:tcBorders>
            <w:shd w:val="clear" w:color="auto" w:fill="auto"/>
            <w:vAlign w:val="center"/>
          </w:tcPr>
          <w:p w14:paraId="6296C41E"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247/568 (43.5)</w:t>
            </w:r>
          </w:p>
        </w:tc>
        <w:tc>
          <w:tcPr>
            <w:tcW w:w="708" w:type="pct"/>
            <w:tcBorders>
              <w:bottom w:val="single" w:sz="4" w:space="0" w:color="auto"/>
            </w:tcBorders>
            <w:shd w:val="clear" w:color="auto" w:fill="auto"/>
            <w:vAlign w:val="center"/>
          </w:tcPr>
          <w:p w14:paraId="4CEE974D"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86/401 (21.4)</w:t>
            </w:r>
          </w:p>
        </w:tc>
        <w:tc>
          <w:tcPr>
            <w:tcW w:w="943" w:type="pct"/>
            <w:tcBorders>
              <w:bottom w:val="single" w:sz="4" w:space="0" w:color="auto"/>
            </w:tcBorders>
            <w:shd w:val="clear" w:color="auto" w:fill="auto"/>
            <w:vAlign w:val="center"/>
          </w:tcPr>
          <w:p w14:paraId="782F4E18"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2.73 (2.04, 3.66)</w:t>
            </w:r>
          </w:p>
        </w:tc>
        <w:tc>
          <w:tcPr>
            <w:tcW w:w="864" w:type="pct"/>
            <w:tcBorders>
              <w:bottom w:val="single" w:sz="4" w:space="0" w:color="auto"/>
            </w:tcBorders>
            <w:shd w:val="clear" w:color="auto" w:fill="auto"/>
            <w:vAlign w:val="center"/>
          </w:tcPr>
          <w:p w14:paraId="49D3E8DA"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1.98 (1.6, 2.44)</w:t>
            </w:r>
          </w:p>
        </w:tc>
        <w:tc>
          <w:tcPr>
            <w:tcW w:w="915" w:type="pct"/>
            <w:tcBorders>
              <w:bottom w:val="single" w:sz="4" w:space="0" w:color="auto"/>
            </w:tcBorders>
            <w:shd w:val="clear" w:color="auto" w:fill="auto"/>
            <w:noWrap/>
            <w:vAlign w:val="center"/>
          </w:tcPr>
          <w:p w14:paraId="6198D008"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0.21 (0.16, 0.27)</w:t>
            </w:r>
          </w:p>
        </w:tc>
      </w:tr>
      <w:tr w:rsidR="0059604F" w:rsidRPr="00E50289" w14:paraId="0CAFCCE4" w14:textId="77777777" w:rsidTr="00097C1E">
        <w:trPr>
          <w:trHeight w:val="23"/>
        </w:trPr>
        <w:tc>
          <w:tcPr>
            <w:tcW w:w="5000" w:type="pct"/>
            <w:gridSpan w:val="6"/>
            <w:tcBorders>
              <w:bottom w:val="single" w:sz="4" w:space="0" w:color="auto"/>
            </w:tcBorders>
            <w:shd w:val="clear" w:color="auto" w:fill="auto"/>
            <w:noWrap/>
          </w:tcPr>
          <w:p w14:paraId="27E4B992" w14:textId="77777777" w:rsidR="0059604F" w:rsidRPr="00E50289" w:rsidRDefault="0059604F" w:rsidP="00826E45">
            <w:pPr>
              <w:pStyle w:val="Tabletext"/>
              <w:keepNext/>
              <w:keepLines/>
              <w:jc w:val="both"/>
              <w:rPr>
                <w:rFonts w:eastAsiaTheme="majorEastAsia"/>
                <w:b/>
                <w:bCs/>
                <w:szCs w:val="20"/>
              </w:rPr>
            </w:pPr>
            <w:r w:rsidRPr="00E50289">
              <w:rPr>
                <w:rFonts w:eastAsiaTheme="majorEastAsia"/>
                <w:b/>
                <w:bCs/>
                <w:szCs w:val="20"/>
              </w:rPr>
              <w:t>IFX (week 0: 5mg/kg) – week 4 results</w:t>
            </w:r>
          </w:p>
        </w:tc>
      </w:tr>
      <w:tr w:rsidR="0059604F" w:rsidRPr="00E50289" w14:paraId="3B4CD6C6" w14:textId="77777777" w:rsidTr="00214E3B">
        <w:trPr>
          <w:trHeight w:val="23"/>
        </w:trPr>
        <w:tc>
          <w:tcPr>
            <w:tcW w:w="784" w:type="pct"/>
            <w:tcBorders>
              <w:bottom w:val="single" w:sz="4" w:space="0" w:color="auto"/>
            </w:tcBorders>
            <w:shd w:val="clear" w:color="auto" w:fill="auto"/>
            <w:noWrap/>
          </w:tcPr>
          <w:p w14:paraId="4F53F8CE" w14:textId="77777777" w:rsidR="0059604F" w:rsidRPr="00E50289" w:rsidRDefault="0059604F" w:rsidP="00826E45">
            <w:pPr>
              <w:pStyle w:val="Tabletext"/>
              <w:keepNext/>
              <w:keepLines/>
              <w:jc w:val="both"/>
              <w:rPr>
                <w:rFonts w:eastAsiaTheme="majorEastAsia"/>
                <w:szCs w:val="20"/>
              </w:rPr>
            </w:pPr>
            <w:r w:rsidRPr="00E50289">
              <w:rPr>
                <w:rFonts w:eastAsiaTheme="majorEastAsia"/>
                <w:szCs w:val="20"/>
              </w:rPr>
              <w:t>T16</w:t>
            </w:r>
          </w:p>
        </w:tc>
        <w:tc>
          <w:tcPr>
            <w:tcW w:w="785" w:type="pct"/>
            <w:tcBorders>
              <w:bottom w:val="single" w:sz="4" w:space="0" w:color="auto"/>
            </w:tcBorders>
            <w:shd w:val="clear" w:color="auto" w:fill="auto"/>
            <w:vAlign w:val="center"/>
          </w:tcPr>
          <w:p w14:paraId="637CD698"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13/27 (48.1)</w:t>
            </w:r>
          </w:p>
        </w:tc>
        <w:tc>
          <w:tcPr>
            <w:tcW w:w="708" w:type="pct"/>
            <w:tcBorders>
              <w:bottom w:val="single" w:sz="4" w:space="0" w:color="auto"/>
            </w:tcBorders>
            <w:shd w:val="clear" w:color="auto" w:fill="auto"/>
            <w:vAlign w:val="center"/>
          </w:tcPr>
          <w:p w14:paraId="4741644D"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1/24 (4.2)</w:t>
            </w:r>
          </w:p>
        </w:tc>
        <w:tc>
          <w:tcPr>
            <w:tcW w:w="943" w:type="pct"/>
            <w:tcBorders>
              <w:bottom w:val="single" w:sz="4" w:space="0" w:color="auto"/>
            </w:tcBorders>
            <w:shd w:val="clear" w:color="auto" w:fill="auto"/>
            <w:vAlign w:val="center"/>
          </w:tcPr>
          <w:p w14:paraId="32B1CB12" w14:textId="016A78E2"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21.36</w:t>
            </w:r>
            <w:r w:rsidR="00214E3B" w:rsidRPr="00E50289">
              <w:rPr>
                <w:rFonts w:eastAsiaTheme="majorEastAsia"/>
                <w:b/>
                <w:szCs w:val="20"/>
              </w:rPr>
              <w:t xml:space="preserve"> </w:t>
            </w:r>
            <w:r w:rsidRPr="00E50289">
              <w:rPr>
                <w:rFonts w:eastAsiaTheme="majorEastAsia"/>
                <w:b/>
                <w:szCs w:val="20"/>
              </w:rPr>
              <w:t>(2.51,181.4)</w:t>
            </w:r>
          </w:p>
        </w:tc>
        <w:tc>
          <w:tcPr>
            <w:tcW w:w="864" w:type="pct"/>
            <w:tcBorders>
              <w:bottom w:val="single" w:sz="4" w:space="0" w:color="auto"/>
            </w:tcBorders>
            <w:shd w:val="clear" w:color="auto" w:fill="auto"/>
            <w:vAlign w:val="center"/>
          </w:tcPr>
          <w:p w14:paraId="69C836FF"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11.56 (1.63,81.89)</w:t>
            </w:r>
          </w:p>
        </w:tc>
        <w:tc>
          <w:tcPr>
            <w:tcW w:w="915" w:type="pct"/>
            <w:tcBorders>
              <w:bottom w:val="single" w:sz="4" w:space="0" w:color="auto"/>
            </w:tcBorders>
            <w:shd w:val="clear" w:color="auto" w:fill="auto"/>
            <w:noWrap/>
            <w:vAlign w:val="center"/>
          </w:tcPr>
          <w:p w14:paraId="40F2BD16"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0.44 (0.24, 0.64)</w:t>
            </w:r>
          </w:p>
        </w:tc>
      </w:tr>
      <w:tr w:rsidR="0059604F" w:rsidRPr="00E50289" w14:paraId="3CE90B86" w14:textId="77777777" w:rsidTr="00097C1E">
        <w:trPr>
          <w:trHeight w:val="23"/>
        </w:trPr>
        <w:tc>
          <w:tcPr>
            <w:tcW w:w="5000" w:type="pct"/>
            <w:gridSpan w:val="6"/>
            <w:tcBorders>
              <w:bottom w:val="single" w:sz="4" w:space="0" w:color="auto"/>
            </w:tcBorders>
            <w:shd w:val="clear" w:color="auto" w:fill="auto"/>
            <w:noWrap/>
          </w:tcPr>
          <w:p w14:paraId="0DD84558" w14:textId="77777777" w:rsidR="0059604F" w:rsidRPr="00E50289" w:rsidRDefault="0059604F" w:rsidP="00826E45">
            <w:pPr>
              <w:pStyle w:val="Tabletext"/>
              <w:keepNext/>
              <w:keepLines/>
              <w:jc w:val="both"/>
              <w:rPr>
                <w:rFonts w:eastAsiaTheme="majorEastAsia"/>
                <w:b/>
                <w:bCs/>
                <w:szCs w:val="20"/>
              </w:rPr>
            </w:pPr>
            <w:r w:rsidRPr="00E50289">
              <w:rPr>
                <w:rFonts w:eastAsiaTheme="majorEastAsia"/>
                <w:b/>
                <w:bCs/>
                <w:szCs w:val="20"/>
              </w:rPr>
              <w:t>VDZ (week 0: 300mg, week2:300mg) vs PBO – week 6 results</w:t>
            </w:r>
          </w:p>
        </w:tc>
      </w:tr>
      <w:tr w:rsidR="0059604F" w:rsidRPr="00E50289" w14:paraId="06577514" w14:textId="77777777" w:rsidTr="00214E3B">
        <w:trPr>
          <w:trHeight w:val="23"/>
        </w:trPr>
        <w:tc>
          <w:tcPr>
            <w:tcW w:w="784" w:type="pct"/>
            <w:tcBorders>
              <w:bottom w:val="single" w:sz="4" w:space="0" w:color="auto"/>
            </w:tcBorders>
            <w:shd w:val="clear" w:color="auto" w:fill="auto"/>
            <w:noWrap/>
          </w:tcPr>
          <w:p w14:paraId="536BE341" w14:textId="77777777" w:rsidR="0059604F" w:rsidRPr="00E50289" w:rsidRDefault="0059604F" w:rsidP="00826E45">
            <w:pPr>
              <w:pStyle w:val="Tabletext"/>
              <w:keepNext/>
              <w:keepLines/>
              <w:jc w:val="both"/>
              <w:rPr>
                <w:rFonts w:eastAsiaTheme="majorEastAsia"/>
                <w:szCs w:val="20"/>
              </w:rPr>
            </w:pPr>
            <w:r w:rsidRPr="00E50289">
              <w:rPr>
                <w:rFonts w:eastAsiaTheme="majorEastAsia"/>
                <w:szCs w:val="20"/>
              </w:rPr>
              <w:t>GEMINI II</w:t>
            </w:r>
          </w:p>
        </w:tc>
        <w:tc>
          <w:tcPr>
            <w:tcW w:w="785" w:type="pct"/>
            <w:tcBorders>
              <w:bottom w:val="single" w:sz="4" w:space="0" w:color="auto"/>
            </w:tcBorders>
            <w:shd w:val="clear" w:color="auto" w:fill="auto"/>
            <w:vAlign w:val="center"/>
          </w:tcPr>
          <w:p w14:paraId="6CFA0AB4"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32/220 (14.5)</w:t>
            </w:r>
          </w:p>
        </w:tc>
        <w:tc>
          <w:tcPr>
            <w:tcW w:w="708" w:type="pct"/>
            <w:tcBorders>
              <w:bottom w:val="single" w:sz="4" w:space="0" w:color="auto"/>
            </w:tcBorders>
            <w:shd w:val="clear" w:color="auto" w:fill="auto"/>
            <w:vAlign w:val="center"/>
          </w:tcPr>
          <w:p w14:paraId="4F799047"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10/148 (6.8)</w:t>
            </w:r>
          </w:p>
        </w:tc>
        <w:tc>
          <w:tcPr>
            <w:tcW w:w="943" w:type="pct"/>
            <w:tcBorders>
              <w:bottom w:val="single" w:sz="4" w:space="0" w:color="auto"/>
            </w:tcBorders>
            <w:shd w:val="clear" w:color="auto" w:fill="auto"/>
            <w:vAlign w:val="center"/>
          </w:tcPr>
          <w:p w14:paraId="05A0DB6C"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2.35 (1.12, 4.94)</w:t>
            </w:r>
          </w:p>
        </w:tc>
        <w:tc>
          <w:tcPr>
            <w:tcW w:w="864" w:type="pct"/>
            <w:tcBorders>
              <w:bottom w:val="single" w:sz="4" w:space="0" w:color="auto"/>
            </w:tcBorders>
            <w:shd w:val="clear" w:color="auto" w:fill="auto"/>
            <w:vAlign w:val="center"/>
          </w:tcPr>
          <w:p w14:paraId="070E79BB"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2.15 (1.09, 4.24)</w:t>
            </w:r>
          </w:p>
        </w:tc>
        <w:tc>
          <w:tcPr>
            <w:tcW w:w="915" w:type="pct"/>
            <w:tcBorders>
              <w:bottom w:val="single" w:sz="4" w:space="0" w:color="auto"/>
            </w:tcBorders>
            <w:shd w:val="clear" w:color="auto" w:fill="auto"/>
            <w:noWrap/>
            <w:vAlign w:val="center"/>
          </w:tcPr>
          <w:p w14:paraId="5160B6F3"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0.08 (0.02, 0.14)</w:t>
            </w:r>
          </w:p>
        </w:tc>
      </w:tr>
      <w:tr w:rsidR="0059604F" w:rsidRPr="00E50289" w14:paraId="61E06169" w14:textId="77777777" w:rsidTr="00214E3B">
        <w:trPr>
          <w:trHeight w:val="23"/>
        </w:trPr>
        <w:tc>
          <w:tcPr>
            <w:tcW w:w="784" w:type="pct"/>
            <w:tcBorders>
              <w:bottom w:val="single" w:sz="4" w:space="0" w:color="auto"/>
            </w:tcBorders>
            <w:shd w:val="clear" w:color="auto" w:fill="auto"/>
            <w:noWrap/>
          </w:tcPr>
          <w:p w14:paraId="643329D9" w14:textId="77777777" w:rsidR="0059604F" w:rsidRPr="00E50289" w:rsidRDefault="0059604F" w:rsidP="00826E45">
            <w:pPr>
              <w:pStyle w:val="Tabletext"/>
              <w:keepNext/>
              <w:keepLines/>
              <w:jc w:val="both"/>
              <w:rPr>
                <w:rFonts w:eastAsiaTheme="majorEastAsia"/>
                <w:szCs w:val="20"/>
              </w:rPr>
            </w:pPr>
            <w:r w:rsidRPr="00E50289">
              <w:rPr>
                <w:rFonts w:eastAsiaTheme="majorEastAsia"/>
                <w:szCs w:val="20"/>
              </w:rPr>
              <w:t>GEMINI III</w:t>
            </w:r>
          </w:p>
        </w:tc>
        <w:tc>
          <w:tcPr>
            <w:tcW w:w="785" w:type="pct"/>
            <w:tcBorders>
              <w:bottom w:val="single" w:sz="4" w:space="0" w:color="auto"/>
            </w:tcBorders>
            <w:shd w:val="clear" w:color="auto" w:fill="auto"/>
            <w:vAlign w:val="center"/>
          </w:tcPr>
          <w:p w14:paraId="19D962C5"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40/209 (19.1)</w:t>
            </w:r>
          </w:p>
        </w:tc>
        <w:tc>
          <w:tcPr>
            <w:tcW w:w="708" w:type="pct"/>
            <w:tcBorders>
              <w:bottom w:val="single" w:sz="4" w:space="0" w:color="auto"/>
            </w:tcBorders>
            <w:shd w:val="clear" w:color="auto" w:fill="auto"/>
            <w:vAlign w:val="center"/>
          </w:tcPr>
          <w:p w14:paraId="43AED97C"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25/207 (12.1)</w:t>
            </w:r>
          </w:p>
        </w:tc>
        <w:tc>
          <w:tcPr>
            <w:tcW w:w="943" w:type="pct"/>
            <w:tcBorders>
              <w:bottom w:val="single" w:sz="4" w:space="0" w:color="auto"/>
            </w:tcBorders>
            <w:shd w:val="clear" w:color="auto" w:fill="auto"/>
            <w:vAlign w:val="center"/>
          </w:tcPr>
          <w:p w14:paraId="25DA538C"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1.72 (1.00, 2.96)</w:t>
            </w:r>
          </w:p>
        </w:tc>
        <w:tc>
          <w:tcPr>
            <w:tcW w:w="864" w:type="pct"/>
            <w:tcBorders>
              <w:bottom w:val="single" w:sz="4" w:space="0" w:color="auto"/>
            </w:tcBorders>
            <w:shd w:val="clear" w:color="auto" w:fill="auto"/>
            <w:vAlign w:val="center"/>
          </w:tcPr>
          <w:p w14:paraId="43C3F21C"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1.58 (1.00, 2.51)</w:t>
            </w:r>
          </w:p>
        </w:tc>
        <w:tc>
          <w:tcPr>
            <w:tcW w:w="915" w:type="pct"/>
            <w:tcBorders>
              <w:bottom w:val="single" w:sz="4" w:space="0" w:color="auto"/>
            </w:tcBorders>
            <w:shd w:val="clear" w:color="auto" w:fill="auto"/>
            <w:noWrap/>
            <w:vAlign w:val="center"/>
          </w:tcPr>
          <w:p w14:paraId="4F2BE441"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0.07 (0.00, 0.14)</w:t>
            </w:r>
          </w:p>
        </w:tc>
      </w:tr>
      <w:tr w:rsidR="0059604F" w:rsidRPr="00E50289" w14:paraId="2CEE1D99" w14:textId="77777777" w:rsidTr="00214E3B">
        <w:trPr>
          <w:trHeight w:val="23"/>
        </w:trPr>
        <w:tc>
          <w:tcPr>
            <w:tcW w:w="784" w:type="pct"/>
            <w:tcBorders>
              <w:bottom w:val="single" w:sz="4" w:space="0" w:color="auto"/>
            </w:tcBorders>
            <w:shd w:val="clear" w:color="auto" w:fill="auto"/>
            <w:noWrap/>
          </w:tcPr>
          <w:p w14:paraId="7805E424" w14:textId="77777777" w:rsidR="0059604F" w:rsidRPr="00E50289" w:rsidRDefault="0059604F" w:rsidP="00826E45">
            <w:pPr>
              <w:pStyle w:val="Tabletext"/>
              <w:keepNext/>
              <w:keepLines/>
              <w:jc w:val="both"/>
              <w:rPr>
                <w:rFonts w:eastAsiaTheme="majorEastAsia"/>
                <w:szCs w:val="20"/>
              </w:rPr>
            </w:pPr>
            <w:r w:rsidRPr="00E50289">
              <w:rPr>
                <w:rFonts w:eastAsiaTheme="majorEastAsia"/>
                <w:szCs w:val="20"/>
              </w:rPr>
              <w:t>Watanabe 2020</w:t>
            </w:r>
          </w:p>
        </w:tc>
        <w:tc>
          <w:tcPr>
            <w:tcW w:w="785" w:type="pct"/>
            <w:tcBorders>
              <w:bottom w:val="single" w:sz="4" w:space="0" w:color="auto"/>
            </w:tcBorders>
            <w:shd w:val="clear" w:color="auto" w:fill="auto"/>
            <w:vAlign w:val="center"/>
          </w:tcPr>
          <w:p w14:paraId="150E219B"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14/79 (17.7)</w:t>
            </w:r>
          </w:p>
        </w:tc>
        <w:tc>
          <w:tcPr>
            <w:tcW w:w="708" w:type="pct"/>
            <w:tcBorders>
              <w:bottom w:val="single" w:sz="4" w:space="0" w:color="auto"/>
            </w:tcBorders>
            <w:shd w:val="clear" w:color="auto" w:fill="auto"/>
            <w:vAlign w:val="center"/>
          </w:tcPr>
          <w:p w14:paraId="5A2BF9C5"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8/78 (10.3)</w:t>
            </w:r>
          </w:p>
        </w:tc>
        <w:tc>
          <w:tcPr>
            <w:tcW w:w="943" w:type="pct"/>
            <w:tcBorders>
              <w:bottom w:val="single" w:sz="4" w:space="0" w:color="auto"/>
            </w:tcBorders>
            <w:shd w:val="clear" w:color="auto" w:fill="auto"/>
            <w:vAlign w:val="center"/>
          </w:tcPr>
          <w:p w14:paraId="6419D8D3"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1.88 (0.74, 4.79)</w:t>
            </w:r>
          </w:p>
        </w:tc>
        <w:tc>
          <w:tcPr>
            <w:tcW w:w="864" w:type="pct"/>
            <w:tcBorders>
              <w:bottom w:val="single" w:sz="4" w:space="0" w:color="auto"/>
            </w:tcBorders>
            <w:shd w:val="clear" w:color="auto" w:fill="auto"/>
            <w:vAlign w:val="center"/>
          </w:tcPr>
          <w:p w14:paraId="4EA003D3"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1.73 (0.77, 3.89)</w:t>
            </w:r>
          </w:p>
        </w:tc>
        <w:tc>
          <w:tcPr>
            <w:tcW w:w="915" w:type="pct"/>
            <w:tcBorders>
              <w:bottom w:val="single" w:sz="4" w:space="0" w:color="auto"/>
            </w:tcBorders>
            <w:shd w:val="clear" w:color="auto" w:fill="auto"/>
            <w:noWrap/>
            <w:vAlign w:val="center"/>
          </w:tcPr>
          <w:p w14:paraId="6BBF8214"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0.07 (-0.03, 0.18)</w:t>
            </w:r>
          </w:p>
        </w:tc>
      </w:tr>
      <w:tr w:rsidR="0059604F" w:rsidRPr="00E50289" w14:paraId="5B171F1A" w14:textId="77777777" w:rsidTr="00214E3B">
        <w:trPr>
          <w:trHeight w:val="23"/>
        </w:trPr>
        <w:tc>
          <w:tcPr>
            <w:tcW w:w="784" w:type="pct"/>
            <w:tcBorders>
              <w:bottom w:val="single" w:sz="4" w:space="0" w:color="auto"/>
            </w:tcBorders>
            <w:shd w:val="clear" w:color="auto" w:fill="auto"/>
            <w:noWrap/>
          </w:tcPr>
          <w:p w14:paraId="45F23273" w14:textId="77777777" w:rsidR="0059604F" w:rsidRPr="00E50289" w:rsidRDefault="0059604F" w:rsidP="00826E45">
            <w:pPr>
              <w:pStyle w:val="Tabletext"/>
              <w:keepNext/>
              <w:keepLines/>
              <w:jc w:val="both"/>
              <w:rPr>
                <w:rFonts w:eastAsiaTheme="majorEastAsia"/>
                <w:szCs w:val="20"/>
              </w:rPr>
            </w:pPr>
            <w:r w:rsidRPr="00E50289">
              <w:rPr>
                <w:rFonts w:eastAsiaTheme="majorEastAsia"/>
                <w:szCs w:val="20"/>
              </w:rPr>
              <w:t>Pooled</w:t>
            </w:r>
          </w:p>
        </w:tc>
        <w:tc>
          <w:tcPr>
            <w:tcW w:w="785" w:type="pct"/>
            <w:tcBorders>
              <w:bottom w:val="single" w:sz="4" w:space="0" w:color="auto"/>
            </w:tcBorders>
            <w:shd w:val="clear" w:color="auto" w:fill="auto"/>
            <w:vAlign w:val="center"/>
          </w:tcPr>
          <w:p w14:paraId="778644A2"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86/508 (16.9)</w:t>
            </w:r>
          </w:p>
        </w:tc>
        <w:tc>
          <w:tcPr>
            <w:tcW w:w="708" w:type="pct"/>
            <w:tcBorders>
              <w:bottom w:val="single" w:sz="4" w:space="0" w:color="auto"/>
            </w:tcBorders>
            <w:shd w:val="clear" w:color="auto" w:fill="auto"/>
            <w:vAlign w:val="center"/>
          </w:tcPr>
          <w:p w14:paraId="7503F967"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43/433 (9.9)</w:t>
            </w:r>
          </w:p>
        </w:tc>
        <w:tc>
          <w:tcPr>
            <w:tcW w:w="943" w:type="pct"/>
            <w:tcBorders>
              <w:bottom w:val="single" w:sz="4" w:space="0" w:color="auto"/>
            </w:tcBorders>
            <w:shd w:val="clear" w:color="auto" w:fill="auto"/>
            <w:vAlign w:val="center"/>
          </w:tcPr>
          <w:p w14:paraId="3483DCAE"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1.92 (1.30, 2.86)</w:t>
            </w:r>
          </w:p>
        </w:tc>
        <w:tc>
          <w:tcPr>
            <w:tcW w:w="864" w:type="pct"/>
            <w:tcBorders>
              <w:bottom w:val="single" w:sz="4" w:space="0" w:color="auto"/>
            </w:tcBorders>
            <w:shd w:val="clear" w:color="auto" w:fill="auto"/>
            <w:vAlign w:val="center"/>
          </w:tcPr>
          <w:p w14:paraId="41B5C738"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1.76 (1.25, 2.49)</w:t>
            </w:r>
          </w:p>
        </w:tc>
        <w:tc>
          <w:tcPr>
            <w:tcW w:w="915" w:type="pct"/>
            <w:tcBorders>
              <w:bottom w:val="single" w:sz="4" w:space="0" w:color="auto"/>
            </w:tcBorders>
            <w:shd w:val="clear" w:color="auto" w:fill="auto"/>
            <w:noWrap/>
            <w:vAlign w:val="center"/>
          </w:tcPr>
          <w:p w14:paraId="75A8782C"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0.07 (0.03, 0.12)</w:t>
            </w:r>
          </w:p>
        </w:tc>
      </w:tr>
      <w:tr w:rsidR="0059604F" w:rsidRPr="00E50289" w14:paraId="26B9635D" w14:textId="77777777" w:rsidTr="00097C1E">
        <w:trPr>
          <w:trHeight w:val="23"/>
        </w:trPr>
        <w:tc>
          <w:tcPr>
            <w:tcW w:w="5000" w:type="pct"/>
            <w:gridSpan w:val="6"/>
            <w:tcBorders>
              <w:bottom w:val="single" w:sz="4" w:space="0" w:color="auto"/>
            </w:tcBorders>
            <w:shd w:val="clear" w:color="auto" w:fill="auto"/>
            <w:noWrap/>
          </w:tcPr>
          <w:p w14:paraId="211110AC" w14:textId="77777777" w:rsidR="0059604F" w:rsidRPr="00E50289" w:rsidRDefault="0059604F" w:rsidP="00826E45">
            <w:pPr>
              <w:pStyle w:val="Tabletext"/>
              <w:keepNext/>
              <w:keepLines/>
              <w:jc w:val="both"/>
              <w:rPr>
                <w:rFonts w:eastAsiaTheme="majorEastAsia"/>
                <w:b/>
                <w:bCs/>
                <w:szCs w:val="20"/>
              </w:rPr>
            </w:pPr>
            <w:r w:rsidRPr="00E50289">
              <w:rPr>
                <w:rFonts w:eastAsiaTheme="majorEastAsia"/>
                <w:b/>
                <w:bCs/>
                <w:szCs w:val="20"/>
              </w:rPr>
              <w:t>UST (week 0: tiered dose/kg) vs PBO – week 8 results</w:t>
            </w:r>
          </w:p>
        </w:tc>
      </w:tr>
      <w:tr w:rsidR="0059604F" w:rsidRPr="00E50289" w14:paraId="7BB82584" w14:textId="77777777" w:rsidTr="00214E3B">
        <w:trPr>
          <w:trHeight w:val="23"/>
        </w:trPr>
        <w:tc>
          <w:tcPr>
            <w:tcW w:w="784" w:type="pct"/>
            <w:tcBorders>
              <w:bottom w:val="single" w:sz="4" w:space="0" w:color="auto"/>
            </w:tcBorders>
            <w:shd w:val="clear" w:color="auto" w:fill="auto"/>
            <w:noWrap/>
          </w:tcPr>
          <w:p w14:paraId="3125A833" w14:textId="77777777" w:rsidR="0059604F" w:rsidRPr="00E50289" w:rsidRDefault="0059604F" w:rsidP="00826E45">
            <w:pPr>
              <w:pStyle w:val="Tabletext"/>
              <w:keepNext/>
              <w:keepLines/>
              <w:jc w:val="both"/>
              <w:rPr>
                <w:rFonts w:eastAsiaTheme="majorEastAsia"/>
                <w:szCs w:val="20"/>
              </w:rPr>
            </w:pPr>
            <w:r w:rsidRPr="00E50289">
              <w:rPr>
                <w:rFonts w:eastAsiaTheme="majorEastAsia"/>
                <w:szCs w:val="20"/>
              </w:rPr>
              <w:t>UNITI-I</w:t>
            </w:r>
          </w:p>
        </w:tc>
        <w:tc>
          <w:tcPr>
            <w:tcW w:w="785" w:type="pct"/>
            <w:tcBorders>
              <w:bottom w:val="single" w:sz="4" w:space="0" w:color="auto"/>
            </w:tcBorders>
            <w:shd w:val="clear" w:color="auto" w:fill="auto"/>
            <w:vAlign w:val="center"/>
          </w:tcPr>
          <w:p w14:paraId="0CB275F6"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52/249 (20.9)</w:t>
            </w:r>
          </w:p>
        </w:tc>
        <w:tc>
          <w:tcPr>
            <w:tcW w:w="708" w:type="pct"/>
            <w:tcBorders>
              <w:bottom w:val="single" w:sz="4" w:space="0" w:color="auto"/>
            </w:tcBorders>
            <w:shd w:val="clear" w:color="auto" w:fill="auto"/>
            <w:vAlign w:val="center"/>
          </w:tcPr>
          <w:p w14:paraId="35641225"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18/247 (7.3)</w:t>
            </w:r>
          </w:p>
        </w:tc>
        <w:tc>
          <w:tcPr>
            <w:tcW w:w="943" w:type="pct"/>
            <w:tcBorders>
              <w:bottom w:val="single" w:sz="4" w:space="0" w:color="auto"/>
            </w:tcBorders>
            <w:shd w:val="clear" w:color="auto" w:fill="auto"/>
            <w:vAlign w:val="center"/>
          </w:tcPr>
          <w:p w14:paraId="5B18DC9F"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3.36 (1.90, 5.93)</w:t>
            </w:r>
          </w:p>
        </w:tc>
        <w:tc>
          <w:tcPr>
            <w:tcW w:w="864" w:type="pct"/>
            <w:tcBorders>
              <w:bottom w:val="single" w:sz="4" w:space="0" w:color="auto"/>
            </w:tcBorders>
            <w:shd w:val="clear" w:color="auto" w:fill="auto"/>
            <w:vAlign w:val="center"/>
          </w:tcPr>
          <w:p w14:paraId="63D4AF07"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2.87 (1.73, 4.75)</w:t>
            </w:r>
          </w:p>
        </w:tc>
        <w:tc>
          <w:tcPr>
            <w:tcW w:w="915" w:type="pct"/>
            <w:tcBorders>
              <w:bottom w:val="single" w:sz="4" w:space="0" w:color="auto"/>
            </w:tcBorders>
            <w:shd w:val="clear" w:color="auto" w:fill="auto"/>
            <w:noWrap/>
            <w:vAlign w:val="center"/>
          </w:tcPr>
          <w:p w14:paraId="714B95A1"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0.14 (0.08, 0.20)</w:t>
            </w:r>
          </w:p>
        </w:tc>
      </w:tr>
      <w:tr w:rsidR="0059604F" w:rsidRPr="00E50289" w14:paraId="50B93456" w14:textId="77777777" w:rsidTr="00214E3B">
        <w:trPr>
          <w:trHeight w:val="23"/>
        </w:trPr>
        <w:tc>
          <w:tcPr>
            <w:tcW w:w="784" w:type="pct"/>
            <w:tcBorders>
              <w:bottom w:val="single" w:sz="4" w:space="0" w:color="auto"/>
            </w:tcBorders>
            <w:shd w:val="clear" w:color="auto" w:fill="auto"/>
            <w:noWrap/>
          </w:tcPr>
          <w:p w14:paraId="628425AC" w14:textId="77777777" w:rsidR="0059604F" w:rsidRPr="00E50289" w:rsidRDefault="0059604F" w:rsidP="00826E45">
            <w:pPr>
              <w:pStyle w:val="Tabletext"/>
              <w:keepNext/>
              <w:keepLines/>
              <w:jc w:val="both"/>
              <w:rPr>
                <w:rFonts w:eastAsiaTheme="majorEastAsia"/>
                <w:szCs w:val="20"/>
              </w:rPr>
            </w:pPr>
            <w:r w:rsidRPr="00E50289">
              <w:rPr>
                <w:rFonts w:eastAsiaTheme="majorEastAsia"/>
                <w:szCs w:val="20"/>
              </w:rPr>
              <w:t>UNITI-II</w:t>
            </w:r>
          </w:p>
        </w:tc>
        <w:tc>
          <w:tcPr>
            <w:tcW w:w="785" w:type="pct"/>
            <w:tcBorders>
              <w:bottom w:val="single" w:sz="4" w:space="0" w:color="auto"/>
            </w:tcBorders>
            <w:shd w:val="clear" w:color="auto" w:fill="auto"/>
            <w:vAlign w:val="center"/>
          </w:tcPr>
          <w:p w14:paraId="02A626E8"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84/209 (40.2)</w:t>
            </w:r>
          </w:p>
        </w:tc>
        <w:tc>
          <w:tcPr>
            <w:tcW w:w="708" w:type="pct"/>
            <w:tcBorders>
              <w:bottom w:val="single" w:sz="4" w:space="0" w:color="auto"/>
            </w:tcBorders>
            <w:shd w:val="clear" w:color="auto" w:fill="auto"/>
            <w:vAlign w:val="center"/>
          </w:tcPr>
          <w:p w14:paraId="3B2F4994"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41/209 (19.6)</w:t>
            </w:r>
          </w:p>
        </w:tc>
        <w:tc>
          <w:tcPr>
            <w:tcW w:w="943" w:type="pct"/>
            <w:tcBorders>
              <w:bottom w:val="single" w:sz="4" w:space="0" w:color="auto"/>
            </w:tcBorders>
            <w:shd w:val="clear" w:color="auto" w:fill="auto"/>
            <w:vAlign w:val="center"/>
          </w:tcPr>
          <w:p w14:paraId="20268E8F"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2.77 (1.79, 4.30)</w:t>
            </w:r>
          </w:p>
        </w:tc>
        <w:tc>
          <w:tcPr>
            <w:tcW w:w="864" w:type="pct"/>
            <w:tcBorders>
              <w:bottom w:val="single" w:sz="4" w:space="0" w:color="auto"/>
            </w:tcBorders>
            <w:shd w:val="clear" w:color="auto" w:fill="auto"/>
            <w:vAlign w:val="center"/>
          </w:tcPr>
          <w:p w14:paraId="0237BBA0"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2.05 (1.49, 2.82)</w:t>
            </w:r>
          </w:p>
        </w:tc>
        <w:tc>
          <w:tcPr>
            <w:tcW w:w="915" w:type="pct"/>
            <w:tcBorders>
              <w:bottom w:val="single" w:sz="4" w:space="0" w:color="auto"/>
            </w:tcBorders>
            <w:shd w:val="clear" w:color="auto" w:fill="auto"/>
            <w:noWrap/>
            <w:vAlign w:val="center"/>
          </w:tcPr>
          <w:p w14:paraId="2F259B07"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0.21 (0.12, 0.29)</w:t>
            </w:r>
          </w:p>
        </w:tc>
      </w:tr>
      <w:tr w:rsidR="0059604F" w:rsidRPr="00E50289" w14:paraId="0FE375AE" w14:textId="77777777" w:rsidTr="00214E3B">
        <w:trPr>
          <w:trHeight w:val="23"/>
        </w:trPr>
        <w:tc>
          <w:tcPr>
            <w:tcW w:w="784" w:type="pct"/>
            <w:tcBorders>
              <w:bottom w:val="single" w:sz="4" w:space="0" w:color="auto"/>
            </w:tcBorders>
            <w:shd w:val="clear" w:color="auto" w:fill="auto"/>
            <w:noWrap/>
          </w:tcPr>
          <w:p w14:paraId="6C199B16" w14:textId="77777777" w:rsidR="0059604F" w:rsidRPr="00E50289" w:rsidRDefault="0059604F" w:rsidP="00826E45">
            <w:pPr>
              <w:pStyle w:val="Tabletext"/>
              <w:keepNext/>
              <w:keepLines/>
              <w:jc w:val="both"/>
              <w:rPr>
                <w:rFonts w:eastAsiaTheme="majorEastAsia"/>
                <w:szCs w:val="20"/>
              </w:rPr>
            </w:pPr>
            <w:r w:rsidRPr="00E50289">
              <w:rPr>
                <w:rFonts w:eastAsiaTheme="majorEastAsia"/>
                <w:szCs w:val="20"/>
              </w:rPr>
              <w:t>Pooled</w:t>
            </w:r>
          </w:p>
        </w:tc>
        <w:tc>
          <w:tcPr>
            <w:tcW w:w="785" w:type="pct"/>
            <w:tcBorders>
              <w:bottom w:val="single" w:sz="4" w:space="0" w:color="auto"/>
            </w:tcBorders>
            <w:shd w:val="clear" w:color="auto" w:fill="auto"/>
            <w:vAlign w:val="center"/>
          </w:tcPr>
          <w:p w14:paraId="2D5F7EA6"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136/458 (29.7)</w:t>
            </w:r>
          </w:p>
        </w:tc>
        <w:tc>
          <w:tcPr>
            <w:tcW w:w="708" w:type="pct"/>
            <w:tcBorders>
              <w:bottom w:val="single" w:sz="4" w:space="0" w:color="auto"/>
            </w:tcBorders>
            <w:shd w:val="clear" w:color="auto" w:fill="auto"/>
            <w:vAlign w:val="center"/>
          </w:tcPr>
          <w:p w14:paraId="438A7042"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59/456 (12.9)</w:t>
            </w:r>
          </w:p>
        </w:tc>
        <w:tc>
          <w:tcPr>
            <w:tcW w:w="943" w:type="pct"/>
            <w:tcBorders>
              <w:bottom w:val="single" w:sz="4" w:space="0" w:color="auto"/>
            </w:tcBorders>
            <w:shd w:val="clear" w:color="auto" w:fill="auto"/>
            <w:vAlign w:val="center"/>
          </w:tcPr>
          <w:p w14:paraId="31017888"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2.98 (2.10, 4.21)</w:t>
            </w:r>
          </w:p>
        </w:tc>
        <w:tc>
          <w:tcPr>
            <w:tcW w:w="864" w:type="pct"/>
            <w:tcBorders>
              <w:bottom w:val="single" w:sz="4" w:space="0" w:color="auto"/>
            </w:tcBorders>
            <w:shd w:val="clear" w:color="auto" w:fill="auto"/>
            <w:vAlign w:val="center"/>
          </w:tcPr>
          <w:p w14:paraId="2079CA1B"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2.30 (1.75, 3.02)</w:t>
            </w:r>
          </w:p>
        </w:tc>
        <w:tc>
          <w:tcPr>
            <w:tcW w:w="915" w:type="pct"/>
            <w:tcBorders>
              <w:bottom w:val="single" w:sz="4" w:space="0" w:color="auto"/>
            </w:tcBorders>
            <w:shd w:val="clear" w:color="auto" w:fill="auto"/>
            <w:noWrap/>
            <w:vAlign w:val="center"/>
          </w:tcPr>
          <w:p w14:paraId="7B4B3955"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0.17 (0.12, 0.22)</w:t>
            </w:r>
          </w:p>
        </w:tc>
      </w:tr>
      <w:tr w:rsidR="0059604F" w:rsidRPr="00E50289" w14:paraId="5133F082" w14:textId="77777777" w:rsidTr="00214E3B">
        <w:trPr>
          <w:trHeight w:val="23"/>
        </w:trPr>
        <w:tc>
          <w:tcPr>
            <w:tcW w:w="1569" w:type="pct"/>
            <w:gridSpan w:val="2"/>
            <w:vMerge w:val="restart"/>
            <w:shd w:val="clear" w:color="auto" w:fill="auto"/>
            <w:noWrap/>
          </w:tcPr>
          <w:p w14:paraId="28FDE62A" w14:textId="77777777" w:rsidR="003E79F5" w:rsidRPr="00E50289" w:rsidRDefault="0059604F" w:rsidP="00826E45">
            <w:pPr>
              <w:pStyle w:val="Tabletext"/>
              <w:keepNext/>
              <w:keepLines/>
              <w:rPr>
                <w:rFonts w:eastAsiaTheme="majorEastAsia"/>
                <w:b/>
                <w:bCs/>
                <w:szCs w:val="20"/>
              </w:rPr>
            </w:pPr>
            <w:r w:rsidRPr="00E50289">
              <w:rPr>
                <w:rFonts w:eastAsiaTheme="majorEastAsia"/>
                <w:b/>
                <w:bCs/>
                <w:szCs w:val="20"/>
              </w:rPr>
              <w:t>Indirect comparison</w:t>
            </w:r>
            <w:r w:rsidR="00EB7032" w:rsidRPr="00E50289">
              <w:rPr>
                <w:rFonts w:eastAsiaTheme="majorEastAsia"/>
                <w:b/>
                <w:bCs/>
                <w:szCs w:val="20"/>
              </w:rPr>
              <w:t xml:space="preserve">s: </w:t>
            </w:r>
          </w:p>
          <w:p w14:paraId="24265B2C" w14:textId="533EBDA3" w:rsidR="0059604F" w:rsidRPr="00E50289" w:rsidRDefault="00EB7032" w:rsidP="00826E45">
            <w:pPr>
              <w:pStyle w:val="Tabletext"/>
              <w:keepNext/>
              <w:keepLines/>
              <w:rPr>
                <w:rFonts w:eastAsiaTheme="majorEastAsia"/>
                <w:b/>
                <w:bCs/>
                <w:szCs w:val="20"/>
              </w:rPr>
            </w:pPr>
            <w:r w:rsidRPr="00E50289">
              <w:rPr>
                <w:rFonts w:eastAsiaTheme="majorEastAsia"/>
                <w:b/>
                <w:bCs/>
                <w:szCs w:val="20"/>
              </w:rPr>
              <w:t>UPA vs comparators</w:t>
            </w:r>
            <w:r w:rsidR="0059604F" w:rsidRPr="00E50289">
              <w:rPr>
                <w:rFonts w:eastAsiaTheme="majorEastAsia"/>
                <w:b/>
                <w:bCs/>
                <w:szCs w:val="20"/>
              </w:rPr>
              <w:t xml:space="preserve"> </w:t>
            </w:r>
          </w:p>
        </w:tc>
        <w:tc>
          <w:tcPr>
            <w:tcW w:w="708" w:type="pct"/>
            <w:tcBorders>
              <w:bottom w:val="single" w:sz="4" w:space="0" w:color="auto"/>
            </w:tcBorders>
            <w:shd w:val="clear" w:color="auto" w:fill="auto"/>
            <w:vAlign w:val="center"/>
          </w:tcPr>
          <w:p w14:paraId="6E845AFB" w14:textId="12534858" w:rsidR="0059604F" w:rsidRPr="00E50289" w:rsidRDefault="0059604F" w:rsidP="00826E45">
            <w:pPr>
              <w:pStyle w:val="Tabletext"/>
              <w:keepNext/>
              <w:keepLines/>
              <w:rPr>
                <w:rFonts w:eastAsiaTheme="majorEastAsia"/>
                <w:szCs w:val="20"/>
              </w:rPr>
            </w:pPr>
            <w:r w:rsidRPr="00E50289">
              <w:rPr>
                <w:rFonts w:eastAsiaTheme="majorEastAsia"/>
                <w:szCs w:val="20"/>
              </w:rPr>
              <w:t>UPA vs ADA</w:t>
            </w:r>
          </w:p>
        </w:tc>
        <w:tc>
          <w:tcPr>
            <w:tcW w:w="943" w:type="pct"/>
            <w:tcBorders>
              <w:bottom w:val="single" w:sz="4" w:space="0" w:color="auto"/>
            </w:tcBorders>
            <w:shd w:val="clear" w:color="auto" w:fill="auto"/>
            <w:vAlign w:val="center"/>
          </w:tcPr>
          <w:p w14:paraId="66A351A2"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0.66 (0.37, 1.18)</w:t>
            </w:r>
          </w:p>
        </w:tc>
        <w:tc>
          <w:tcPr>
            <w:tcW w:w="864" w:type="pct"/>
            <w:tcBorders>
              <w:bottom w:val="single" w:sz="4" w:space="0" w:color="auto"/>
            </w:tcBorders>
            <w:shd w:val="clear" w:color="auto" w:fill="auto"/>
            <w:vAlign w:val="center"/>
          </w:tcPr>
          <w:p w14:paraId="227F96D5" w14:textId="77777777" w:rsidR="0059604F" w:rsidRPr="00E50289" w:rsidRDefault="0059604F" w:rsidP="00826E45">
            <w:pPr>
              <w:pStyle w:val="Tabletext"/>
              <w:keepNext/>
              <w:keepLines/>
              <w:jc w:val="center"/>
              <w:rPr>
                <w:rFonts w:eastAsiaTheme="majorEastAsia"/>
                <w:szCs w:val="20"/>
              </w:rPr>
            </w:pPr>
            <w:r w:rsidRPr="00E50289">
              <w:rPr>
                <w:rFonts w:eastAsiaTheme="majorEastAsia"/>
                <w:b/>
                <w:color w:val="FF0000"/>
                <w:szCs w:val="20"/>
              </w:rPr>
              <w:t>0.61 (0.38, 0.98)</w:t>
            </w:r>
          </w:p>
        </w:tc>
        <w:tc>
          <w:tcPr>
            <w:tcW w:w="915" w:type="pct"/>
            <w:tcBorders>
              <w:bottom w:val="single" w:sz="4" w:space="0" w:color="auto"/>
            </w:tcBorders>
            <w:shd w:val="clear" w:color="auto" w:fill="auto"/>
            <w:noWrap/>
            <w:vAlign w:val="center"/>
          </w:tcPr>
          <w:p w14:paraId="13CA4133"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0.02 (-0.0, 0.11)</w:t>
            </w:r>
          </w:p>
        </w:tc>
      </w:tr>
      <w:tr w:rsidR="0059604F" w:rsidRPr="00E50289" w14:paraId="0D9EBC3B" w14:textId="77777777" w:rsidTr="00214E3B">
        <w:trPr>
          <w:trHeight w:val="23"/>
        </w:trPr>
        <w:tc>
          <w:tcPr>
            <w:tcW w:w="1569" w:type="pct"/>
            <w:gridSpan w:val="2"/>
            <w:vMerge/>
            <w:shd w:val="clear" w:color="auto" w:fill="auto"/>
            <w:noWrap/>
          </w:tcPr>
          <w:p w14:paraId="509E80CB" w14:textId="77777777" w:rsidR="0059604F" w:rsidRPr="00E50289" w:rsidRDefault="0059604F" w:rsidP="00826E45">
            <w:pPr>
              <w:pStyle w:val="Tabletext"/>
              <w:keepNext/>
              <w:keepLines/>
              <w:rPr>
                <w:rFonts w:eastAsiaTheme="majorEastAsia"/>
                <w:szCs w:val="20"/>
              </w:rPr>
            </w:pPr>
          </w:p>
        </w:tc>
        <w:tc>
          <w:tcPr>
            <w:tcW w:w="708" w:type="pct"/>
            <w:tcBorders>
              <w:bottom w:val="single" w:sz="4" w:space="0" w:color="auto"/>
            </w:tcBorders>
            <w:shd w:val="clear" w:color="auto" w:fill="auto"/>
            <w:vAlign w:val="center"/>
          </w:tcPr>
          <w:p w14:paraId="6BBFD638" w14:textId="200B071A" w:rsidR="0059604F" w:rsidRPr="00E50289" w:rsidRDefault="0059604F" w:rsidP="00826E45">
            <w:pPr>
              <w:pStyle w:val="Tabletext"/>
              <w:keepNext/>
              <w:keepLines/>
              <w:rPr>
                <w:rFonts w:eastAsiaTheme="majorEastAsia"/>
                <w:szCs w:val="20"/>
              </w:rPr>
            </w:pPr>
            <w:r w:rsidRPr="00E50289">
              <w:rPr>
                <w:rFonts w:eastAsiaTheme="majorEastAsia"/>
                <w:szCs w:val="20"/>
              </w:rPr>
              <w:t>UPA vs RISA</w:t>
            </w:r>
          </w:p>
        </w:tc>
        <w:tc>
          <w:tcPr>
            <w:tcW w:w="943" w:type="pct"/>
            <w:tcBorders>
              <w:bottom w:val="single" w:sz="4" w:space="0" w:color="auto"/>
            </w:tcBorders>
            <w:shd w:val="clear" w:color="auto" w:fill="auto"/>
            <w:vAlign w:val="center"/>
          </w:tcPr>
          <w:p w14:paraId="398A0074"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0.88 (0.58, 1.32)</w:t>
            </w:r>
          </w:p>
        </w:tc>
        <w:tc>
          <w:tcPr>
            <w:tcW w:w="864" w:type="pct"/>
            <w:tcBorders>
              <w:bottom w:val="single" w:sz="4" w:space="0" w:color="auto"/>
            </w:tcBorders>
            <w:shd w:val="clear" w:color="auto" w:fill="auto"/>
            <w:vAlign w:val="center"/>
          </w:tcPr>
          <w:p w14:paraId="7E40415F"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0.89 (0.66, 1.19)</w:t>
            </w:r>
          </w:p>
        </w:tc>
        <w:tc>
          <w:tcPr>
            <w:tcW w:w="915" w:type="pct"/>
            <w:tcBorders>
              <w:bottom w:val="single" w:sz="4" w:space="0" w:color="auto"/>
            </w:tcBorders>
            <w:shd w:val="clear" w:color="auto" w:fill="auto"/>
            <w:noWrap/>
            <w:vAlign w:val="center"/>
          </w:tcPr>
          <w:p w14:paraId="0218D48C"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-0.02 (-0.10,0.06)</w:t>
            </w:r>
          </w:p>
        </w:tc>
      </w:tr>
      <w:tr w:rsidR="0059604F" w:rsidRPr="00E50289" w14:paraId="097BAD51" w14:textId="77777777" w:rsidTr="00214E3B">
        <w:trPr>
          <w:trHeight w:val="23"/>
        </w:trPr>
        <w:tc>
          <w:tcPr>
            <w:tcW w:w="1569" w:type="pct"/>
            <w:gridSpan w:val="2"/>
            <w:vMerge/>
            <w:shd w:val="clear" w:color="auto" w:fill="auto"/>
            <w:noWrap/>
          </w:tcPr>
          <w:p w14:paraId="1DA7CDD9" w14:textId="77777777" w:rsidR="0059604F" w:rsidRPr="00E50289" w:rsidRDefault="0059604F" w:rsidP="00826E45">
            <w:pPr>
              <w:pStyle w:val="Tabletext"/>
              <w:keepNext/>
              <w:keepLines/>
              <w:rPr>
                <w:rFonts w:eastAsiaTheme="majorEastAsia"/>
                <w:szCs w:val="20"/>
              </w:rPr>
            </w:pPr>
          </w:p>
        </w:tc>
        <w:tc>
          <w:tcPr>
            <w:tcW w:w="708" w:type="pct"/>
            <w:tcBorders>
              <w:bottom w:val="single" w:sz="4" w:space="0" w:color="auto"/>
            </w:tcBorders>
            <w:shd w:val="clear" w:color="auto" w:fill="auto"/>
          </w:tcPr>
          <w:p w14:paraId="4990C0F8" w14:textId="621C2D96" w:rsidR="0059604F" w:rsidRPr="00E50289" w:rsidRDefault="0059604F" w:rsidP="00826E45">
            <w:pPr>
              <w:pStyle w:val="Tabletext"/>
              <w:keepNext/>
              <w:keepLines/>
              <w:rPr>
                <w:rFonts w:eastAsiaTheme="majorEastAsia"/>
                <w:szCs w:val="20"/>
              </w:rPr>
            </w:pPr>
            <w:r w:rsidRPr="00E50289">
              <w:rPr>
                <w:rFonts w:eastAsiaTheme="majorEastAsia"/>
                <w:szCs w:val="20"/>
              </w:rPr>
              <w:t>UPA vs IFX</w:t>
            </w:r>
          </w:p>
        </w:tc>
        <w:tc>
          <w:tcPr>
            <w:tcW w:w="943" w:type="pct"/>
            <w:tcBorders>
              <w:bottom w:val="single" w:sz="4" w:space="0" w:color="auto"/>
            </w:tcBorders>
            <w:shd w:val="clear" w:color="auto" w:fill="auto"/>
          </w:tcPr>
          <w:p w14:paraId="5147BA57"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color w:val="FF0000"/>
                <w:szCs w:val="20"/>
              </w:rPr>
              <w:t>0.11 (0.01, 0.97)</w:t>
            </w:r>
          </w:p>
        </w:tc>
        <w:tc>
          <w:tcPr>
            <w:tcW w:w="864" w:type="pct"/>
            <w:tcBorders>
              <w:bottom w:val="single" w:sz="4" w:space="0" w:color="auto"/>
            </w:tcBorders>
            <w:shd w:val="clear" w:color="auto" w:fill="auto"/>
          </w:tcPr>
          <w:p w14:paraId="47C48A0D" w14:textId="77777777" w:rsidR="0059604F" w:rsidRPr="00E50289" w:rsidRDefault="0059604F" w:rsidP="00826E45">
            <w:pPr>
              <w:pStyle w:val="Tabletext"/>
              <w:keepNext/>
              <w:keepLines/>
              <w:jc w:val="center"/>
              <w:rPr>
                <w:rFonts w:eastAsiaTheme="majorEastAsia"/>
                <w:bCs/>
                <w:szCs w:val="20"/>
              </w:rPr>
            </w:pPr>
            <w:r w:rsidRPr="00E50289">
              <w:rPr>
                <w:rFonts w:eastAsiaTheme="majorEastAsia"/>
                <w:bCs/>
                <w:szCs w:val="20"/>
              </w:rPr>
              <w:t>0.15 (0.02, 1.09)</w:t>
            </w:r>
          </w:p>
        </w:tc>
        <w:tc>
          <w:tcPr>
            <w:tcW w:w="915" w:type="pct"/>
            <w:tcBorders>
              <w:bottom w:val="single" w:sz="4" w:space="0" w:color="auto"/>
            </w:tcBorders>
            <w:shd w:val="clear" w:color="auto" w:fill="auto"/>
            <w:noWrap/>
          </w:tcPr>
          <w:p w14:paraId="59F0E485" w14:textId="51C5C598" w:rsidR="0059604F" w:rsidRPr="00E50289" w:rsidRDefault="00A81E1D" w:rsidP="00826E45">
            <w:pPr>
              <w:pStyle w:val="Tabletext"/>
              <w:keepNext/>
              <w:keepLines/>
              <w:jc w:val="center"/>
              <w:rPr>
                <w:rFonts w:eastAsiaTheme="majorEastAsia"/>
                <w:b/>
                <w:color w:val="FF0000"/>
                <w:szCs w:val="20"/>
              </w:rPr>
            </w:pPr>
            <w:r w:rsidRPr="00E50289">
              <w:rPr>
                <w:rFonts w:eastAsiaTheme="majorEastAsia"/>
                <w:b/>
                <w:color w:val="FF0000"/>
                <w:szCs w:val="20"/>
              </w:rPr>
              <w:t>-</w:t>
            </w:r>
            <w:r w:rsidR="0059604F" w:rsidRPr="00E50289">
              <w:rPr>
                <w:rFonts w:eastAsiaTheme="majorEastAsia"/>
                <w:b/>
                <w:color w:val="FF0000"/>
                <w:szCs w:val="20"/>
              </w:rPr>
              <w:t>0.25 (-0.</w:t>
            </w:r>
            <w:proofErr w:type="gramStart"/>
            <w:r w:rsidR="0059604F" w:rsidRPr="00E50289">
              <w:rPr>
                <w:rFonts w:eastAsiaTheme="majorEastAsia"/>
                <w:b/>
                <w:color w:val="FF0000"/>
                <w:szCs w:val="20"/>
              </w:rPr>
              <w:t>46,-</w:t>
            </w:r>
            <w:proofErr w:type="gramEnd"/>
            <w:r w:rsidR="0059604F" w:rsidRPr="00E50289">
              <w:rPr>
                <w:rFonts w:eastAsiaTheme="majorEastAsia"/>
                <w:b/>
                <w:color w:val="FF0000"/>
                <w:szCs w:val="20"/>
              </w:rPr>
              <w:t>0.04)</w:t>
            </w:r>
          </w:p>
        </w:tc>
      </w:tr>
      <w:tr w:rsidR="0059604F" w:rsidRPr="00E50289" w14:paraId="1064156B" w14:textId="77777777" w:rsidTr="00214E3B">
        <w:trPr>
          <w:trHeight w:val="23"/>
        </w:trPr>
        <w:tc>
          <w:tcPr>
            <w:tcW w:w="1569" w:type="pct"/>
            <w:gridSpan w:val="2"/>
            <w:vMerge/>
            <w:shd w:val="clear" w:color="auto" w:fill="auto"/>
            <w:noWrap/>
          </w:tcPr>
          <w:p w14:paraId="68B4BE96" w14:textId="77777777" w:rsidR="0059604F" w:rsidRPr="00E50289" w:rsidRDefault="0059604F" w:rsidP="00826E45">
            <w:pPr>
              <w:pStyle w:val="Tabletext"/>
              <w:keepNext/>
              <w:keepLines/>
              <w:rPr>
                <w:rFonts w:eastAsiaTheme="majorEastAsia"/>
                <w:szCs w:val="20"/>
              </w:rPr>
            </w:pPr>
          </w:p>
        </w:tc>
        <w:tc>
          <w:tcPr>
            <w:tcW w:w="708" w:type="pct"/>
            <w:tcBorders>
              <w:bottom w:val="single" w:sz="4" w:space="0" w:color="auto"/>
            </w:tcBorders>
            <w:shd w:val="clear" w:color="auto" w:fill="auto"/>
            <w:vAlign w:val="center"/>
          </w:tcPr>
          <w:p w14:paraId="7900693D" w14:textId="6E0DB5B8" w:rsidR="0059604F" w:rsidRPr="00E50289" w:rsidRDefault="0059604F" w:rsidP="00826E45">
            <w:pPr>
              <w:pStyle w:val="Tabletext"/>
              <w:keepNext/>
              <w:keepLines/>
              <w:rPr>
                <w:rFonts w:eastAsiaTheme="majorEastAsia"/>
                <w:szCs w:val="20"/>
              </w:rPr>
            </w:pPr>
            <w:r w:rsidRPr="00E50289">
              <w:rPr>
                <w:rFonts w:eastAsiaTheme="majorEastAsia"/>
                <w:szCs w:val="20"/>
              </w:rPr>
              <w:t>UPA vs VDZ</w:t>
            </w:r>
          </w:p>
        </w:tc>
        <w:tc>
          <w:tcPr>
            <w:tcW w:w="943" w:type="pct"/>
            <w:tcBorders>
              <w:bottom w:val="single" w:sz="4" w:space="0" w:color="auto"/>
            </w:tcBorders>
            <w:shd w:val="clear" w:color="auto" w:fill="auto"/>
            <w:vAlign w:val="center"/>
          </w:tcPr>
          <w:p w14:paraId="1FD246D1"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1.24 (0.76, 2.03)</w:t>
            </w:r>
          </w:p>
        </w:tc>
        <w:tc>
          <w:tcPr>
            <w:tcW w:w="864" w:type="pct"/>
            <w:tcBorders>
              <w:bottom w:val="single" w:sz="4" w:space="0" w:color="auto"/>
            </w:tcBorders>
            <w:shd w:val="clear" w:color="auto" w:fill="auto"/>
            <w:vAlign w:val="center"/>
          </w:tcPr>
          <w:p w14:paraId="60F38AED"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1.00 (0.67, 1.49)</w:t>
            </w:r>
          </w:p>
        </w:tc>
        <w:tc>
          <w:tcPr>
            <w:tcW w:w="915" w:type="pct"/>
            <w:tcBorders>
              <w:bottom w:val="single" w:sz="4" w:space="0" w:color="auto"/>
            </w:tcBorders>
            <w:shd w:val="clear" w:color="auto" w:fill="auto"/>
            <w:noWrap/>
            <w:vAlign w:val="center"/>
          </w:tcPr>
          <w:p w14:paraId="7A259F7A" w14:textId="77777777" w:rsidR="0059604F" w:rsidRPr="00E50289" w:rsidRDefault="0059604F" w:rsidP="00826E45">
            <w:pPr>
              <w:pStyle w:val="Tabletext"/>
              <w:keepNext/>
              <w:keepLines/>
              <w:jc w:val="center"/>
              <w:rPr>
                <w:rFonts w:eastAsiaTheme="majorEastAsia"/>
                <w:b/>
                <w:szCs w:val="20"/>
              </w:rPr>
            </w:pPr>
            <w:r w:rsidRPr="00E50289">
              <w:rPr>
                <w:rFonts w:eastAsiaTheme="majorEastAsia"/>
                <w:b/>
                <w:szCs w:val="20"/>
              </w:rPr>
              <w:t>0.18 (0.11, 0.26)</w:t>
            </w:r>
          </w:p>
        </w:tc>
      </w:tr>
      <w:tr w:rsidR="0059604F" w:rsidRPr="00E50289" w14:paraId="12AC5FB4" w14:textId="77777777" w:rsidTr="00214E3B">
        <w:trPr>
          <w:trHeight w:val="23"/>
        </w:trPr>
        <w:tc>
          <w:tcPr>
            <w:tcW w:w="1569" w:type="pct"/>
            <w:gridSpan w:val="2"/>
            <w:vMerge/>
            <w:tcBorders>
              <w:bottom w:val="single" w:sz="4" w:space="0" w:color="auto"/>
            </w:tcBorders>
            <w:shd w:val="clear" w:color="auto" w:fill="auto"/>
            <w:noWrap/>
          </w:tcPr>
          <w:p w14:paraId="6A96545A" w14:textId="77777777" w:rsidR="0059604F" w:rsidRPr="00E50289" w:rsidRDefault="0059604F" w:rsidP="00826E45">
            <w:pPr>
              <w:pStyle w:val="Tabletext"/>
              <w:keepNext/>
              <w:keepLines/>
              <w:rPr>
                <w:rFonts w:eastAsiaTheme="majorEastAsia"/>
                <w:szCs w:val="20"/>
              </w:rPr>
            </w:pPr>
          </w:p>
        </w:tc>
        <w:tc>
          <w:tcPr>
            <w:tcW w:w="708" w:type="pct"/>
            <w:tcBorders>
              <w:bottom w:val="single" w:sz="4" w:space="0" w:color="auto"/>
            </w:tcBorders>
            <w:shd w:val="clear" w:color="auto" w:fill="auto"/>
            <w:vAlign w:val="center"/>
          </w:tcPr>
          <w:p w14:paraId="242F0086" w14:textId="1F015912" w:rsidR="0059604F" w:rsidRPr="00E50289" w:rsidRDefault="0059604F" w:rsidP="00826E45">
            <w:pPr>
              <w:pStyle w:val="Tabletext"/>
              <w:keepNext/>
              <w:keepLines/>
              <w:rPr>
                <w:rFonts w:eastAsiaTheme="majorEastAsia"/>
                <w:szCs w:val="20"/>
              </w:rPr>
            </w:pPr>
            <w:r w:rsidRPr="00E50289">
              <w:rPr>
                <w:rFonts w:eastAsiaTheme="majorEastAsia"/>
                <w:szCs w:val="20"/>
              </w:rPr>
              <w:t>UPA vs UST</w:t>
            </w:r>
          </w:p>
        </w:tc>
        <w:tc>
          <w:tcPr>
            <w:tcW w:w="943" w:type="pct"/>
            <w:tcBorders>
              <w:bottom w:val="single" w:sz="4" w:space="0" w:color="auto"/>
            </w:tcBorders>
            <w:shd w:val="clear" w:color="auto" w:fill="auto"/>
            <w:vAlign w:val="center"/>
          </w:tcPr>
          <w:p w14:paraId="3A33E9E0"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0.80 (0.51, 1.26)</w:t>
            </w:r>
          </w:p>
        </w:tc>
        <w:tc>
          <w:tcPr>
            <w:tcW w:w="864" w:type="pct"/>
            <w:tcBorders>
              <w:bottom w:val="single" w:sz="4" w:space="0" w:color="auto"/>
            </w:tcBorders>
            <w:shd w:val="clear" w:color="auto" w:fill="auto"/>
            <w:vAlign w:val="center"/>
          </w:tcPr>
          <w:p w14:paraId="749FFE01"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0.77 (0.55, 1.07)</w:t>
            </w:r>
          </w:p>
        </w:tc>
        <w:tc>
          <w:tcPr>
            <w:tcW w:w="915" w:type="pct"/>
            <w:tcBorders>
              <w:bottom w:val="single" w:sz="4" w:space="0" w:color="auto"/>
            </w:tcBorders>
            <w:shd w:val="clear" w:color="auto" w:fill="auto"/>
            <w:noWrap/>
            <w:vAlign w:val="center"/>
          </w:tcPr>
          <w:p w14:paraId="38E05F14" w14:textId="77777777" w:rsidR="0059604F" w:rsidRPr="00E50289" w:rsidRDefault="0059604F" w:rsidP="00826E45">
            <w:pPr>
              <w:pStyle w:val="Tabletext"/>
              <w:keepNext/>
              <w:keepLines/>
              <w:jc w:val="center"/>
              <w:rPr>
                <w:rFonts w:eastAsiaTheme="majorEastAsia"/>
                <w:szCs w:val="20"/>
              </w:rPr>
            </w:pPr>
            <w:r w:rsidRPr="00E50289">
              <w:rPr>
                <w:rFonts w:eastAsiaTheme="majorEastAsia"/>
                <w:szCs w:val="20"/>
              </w:rPr>
              <w:t>0.02 (-0.06, 0.10)</w:t>
            </w:r>
          </w:p>
        </w:tc>
      </w:tr>
    </w:tbl>
    <w:p w14:paraId="79E04345" w14:textId="77777777" w:rsidR="0059604F" w:rsidRPr="00E50289" w:rsidRDefault="0059604F" w:rsidP="00826E45">
      <w:pPr>
        <w:pStyle w:val="TableFigureFooter"/>
        <w:keepNext/>
        <w:keepLines/>
      </w:pPr>
      <w:r w:rsidRPr="00E50289">
        <w:t xml:space="preserve">Source: Table 2.23, p134 of the submission. </w:t>
      </w:r>
    </w:p>
    <w:p w14:paraId="2B81A7D4" w14:textId="3F34F274" w:rsidR="0059604F" w:rsidRPr="00E50289" w:rsidRDefault="0059604F" w:rsidP="00826E45">
      <w:pPr>
        <w:pStyle w:val="TableFigureFooter"/>
        <w:keepNext/>
        <w:keepLines/>
      </w:pPr>
      <w:r w:rsidRPr="00E50289">
        <w:t xml:space="preserve">ADA= adalimumab; CI= confidence interval; IFX= infliximab; kg= </w:t>
      </w:r>
      <w:r w:rsidR="00F50E60" w:rsidRPr="00E50289">
        <w:t>kilogram</w:t>
      </w:r>
      <w:r w:rsidR="00ED3AF9" w:rsidRPr="00E50289">
        <w:t>; mg</w:t>
      </w:r>
      <w:r w:rsidR="008B1228" w:rsidRPr="00E50289">
        <w:t xml:space="preserve">= </w:t>
      </w:r>
      <w:r w:rsidRPr="00E50289">
        <w:t xml:space="preserve">milligram; </w:t>
      </w:r>
      <w:r w:rsidR="00214E3B" w:rsidRPr="00E50289">
        <w:t>n</w:t>
      </w:r>
      <w:r w:rsidR="008B1228" w:rsidRPr="00E50289">
        <w:t xml:space="preserve">= </w:t>
      </w:r>
      <w:r w:rsidR="00214E3B" w:rsidRPr="00E50289">
        <w:t>number of participants with event; N</w:t>
      </w:r>
      <w:r w:rsidR="008B1228" w:rsidRPr="00E50289">
        <w:t xml:space="preserve">= </w:t>
      </w:r>
      <w:r w:rsidR="00214E3B" w:rsidRPr="00E50289">
        <w:t xml:space="preserve">total participants in group; </w:t>
      </w:r>
      <w:r w:rsidRPr="00E50289">
        <w:t>NR= not reported; OR= odds ratio; PBO= placebo; RD= risk difference; RISA= risankizumab; RR= relative risk; UST= ustekinumab; UPA= upadacitinib; VDZ= vedolizumab; vs= versus.</w:t>
      </w:r>
    </w:p>
    <w:p w14:paraId="281029F0" w14:textId="6014C052" w:rsidR="0059604F" w:rsidRPr="00E50289" w:rsidRDefault="0059604F" w:rsidP="00826E45">
      <w:pPr>
        <w:pStyle w:val="TableFigureFooter"/>
        <w:keepNext/>
        <w:keepLines/>
      </w:pPr>
      <w:r w:rsidRPr="00E50289">
        <w:rPr>
          <w:b/>
          <w:bCs/>
        </w:rPr>
        <w:t>BOLD</w:t>
      </w:r>
      <w:r w:rsidRPr="00E50289">
        <w:t xml:space="preserve"> values mean</w:t>
      </w:r>
      <w:r w:rsidR="00EB7032" w:rsidRPr="00E50289">
        <w:t xml:space="preserve"> statistically</w:t>
      </w:r>
      <w:r w:rsidRPr="00E50289">
        <w:t xml:space="preserve"> significant results. </w:t>
      </w:r>
      <w:r w:rsidRPr="00E50289">
        <w:rPr>
          <w:b/>
          <w:bCs/>
          <w:color w:val="FF0000"/>
        </w:rPr>
        <w:t>RED</w:t>
      </w:r>
      <w:r w:rsidRPr="00E50289">
        <w:t xml:space="preserve"> means values significantly favour comparators.</w:t>
      </w:r>
    </w:p>
    <w:p w14:paraId="0F259F54" w14:textId="70E2F9D2" w:rsidR="0059604F" w:rsidRPr="00E50289" w:rsidRDefault="0059604F" w:rsidP="00826E45">
      <w:pPr>
        <w:pStyle w:val="TableFigureFooter"/>
        <w:keepNext/>
        <w:keepLines/>
      </w:pPr>
      <w:r w:rsidRPr="00E50289">
        <w:rPr>
          <w:vertAlign w:val="superscript"/>
        </w:rPr>
        <w:t>a</w:t>
      </w:r>
      <w:r w:rsidR="000C52FF">
        <w:rPr>
          <w:vertAlign w:val="superscript"/>
        </w:rPr>
        <w:t xml:space="preserve"> </w:t>
      </w:r>
      <w:r w:rsidRPr="00E50289">
        <w:t xml:space="preserve">Corrected values were calculated during the evaluation. </w:t>
      </w:r>
    </w:p>
    <w:p w14:paraId="32BC68F1" w14:textId="078867AE" w:rsidR="0059604F" w:rsidRPr="00E50289" w:rsidRDefault="0059604F" w:rsidP="00D42558">
      <w:pPr>
        <w:pStyle w:val="TableFigureHeading"/>
        <w:pageBreakBefore/>
      </w:pPr>
      <w:bookmarkStart w:id="48" w:name="_Ref121578471"/>
      <w:bookmarkStart w:id="49" w:name="_Ref121767987"/>
      <w:r w:rsidRPr="00E50289">
        <w:lastRenderedPageBreak/>
        <w:t xml:space="preserve">Table </w:t>
      </w:r>
      <w:fldSimple w:instr=" SEQ Table \* ARABIC " w:fldLock="1">
        <w:r w:rsidR="0033335A" w:rsidRPr="00E50289">
          <w:rPr>
            <w:noProof/>
          </w:rPr>
          <w:t>5</w:t>
        </w:r>
      </w:fldSimple>
      <w:bookmarkEnd w:id="48"/>
      <w:bookmarkEnd w:id="49"/>
      <w:r w:rsidRPr="00E50289">
        <w:t>: Clinical remission, maintenance phase: trial and indirect comparison results of upadacitinib vs comparators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277"/>
        <w:gridCol w:w="1277"/>
        <w:gridCol w:w="1558"/>
        <w:gridCol w:w="1560"/>
        <w:gridCol w:w="1508"/>
      </w:tblGrid>
      <w:tr w:rsidR="0059604F" w:rsidRPr="00D42558" w14:paraId="5908B0F1" w14:textId="77777777" w:rsidTr="00B278F7">
        <w:trPr>
          <w:trHeight w:val="20"/>
          <w:tblHeader/>
        </w:trPr>
        <w:tc>
          <w:tcPr>
            <w:tcW w:w="1019" w:type="pct"/>
            <w:tcBorders>
              <w:bottom w:val="single" w:sz="4" w:space="0" w:color="auto"/>
            </w:tcBorders>
            <w:shd w:val="clear" w:color="auto" w:fill="auto"/>
            <w:noWrap/>
          </w:tcPr>
          <w:p w14:paraId="3E5BD2AF" w14:textId="77777777" w:rsidR="0059604F" w:rsidRPr="00D42558" w:rsidRDefault="0059604F" w:rsidP="000C495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Intervention / Trial ID</w:t>
            </w:r>
          </w:p>
        </w:tc>
        <w:tc>
          <w:tcPr>
            <w:tcW w:w="708" w:type="pct"/>
            <w:tcBorders>
              <w:bottom w:val="single" w:sz="4" w:space="0" w:color="auto"/>
            </w:tcBorders>
            <w:shd w:val="clear" w:color="auto" w:fill="auto"/>
          </w:tcPr>
          <w:p w14:paraId="63AE4CB4" w14:textId="77777777" w:rsidR="0059604F" w:rsidRPr="00D42558" w:rsidRDefault="0059604F" w:rsidP="000C495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Active treatment</w:t>
            </w:r>
          </w:p>
          <w:p w14:paraId="30C17A05" w14:textId="77777777" w:rsidR="0059604F" w:rsidRPr="00D42558" w:rsidRDefault="0059604F" w:rsidP="000C495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n/N (%)</w:t>
            </w:r>
          </w:p>
        </w:tc>
        <w:tc>
          <w:tcPr>
            <w:tcW w:w="708" w:type="pct"/>
            <w:tcBorders>
              <w:bottom w:val="single" w:sz="4" w:space="0" w:color="auto"/>
            </w:tcBorders>
            <w:shd w:val="clear" w:color="auto" w:fill="auto"/>
          </w:tcPr>
          <w:p w14:paraId="0972E97C" w14:textId="77777777" w:rsidR="0059604F" w:rsidRPr="00D42558" w:rsidRDefault="0059604F" w:rsidP="000C495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PBO</w:t>
            </w:r>
          </w:p>
          <w:p w14:paraId="18740175" w14:textId="77777777" w:rsidR="0059604F" w:rsidRPr="00D42558" w:rsidRDefault="0059604F" w:rsidP="000C495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n/N (%)</w:t>
            </w:r>
          </w:p>
        </w:tc>
        <w:tc>
          <w:tcPr>
            <w:tcW w:w="864" w:type="pct"/>
            <w:tcBorders>
              <w:bottom w:val="single" w:sz="4" w:space="0" w:color="auto"/>
            </w:tcBorders>
            <w:shd w:val="clear" w:color="auto" w:fill="auto"/>
          </w:tcPr>
          <w:p w14:paraId="35689CF4" w14:textId="6D462634" w:rsidR="0059604F" w:rsidRPr="00D42558" w:rsidRDefault="0059604F" w:rsidP="000C495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OR (</w:t>
            </w:r>
            <w:r w:rsidR="000565B3" w:rsidRPr="00D42558">
              <w:rPr>
                <w:rFonts w:ascii="Arial Narrow" w:eastAsiaTheme="majorEastAsia" w:hAnsi="Arial Narrow" w:cs="Times New Roman"/>
                <w:b/>
                <w:bCs/>
                <w:snapToGrid w:val="0"/>
                <w:sz w:val="20"/>
                <w:szCs w:val="20"/>
              </w:rPr>
              <w:t>95% CI</w:t>
            </w:r>
            <w:r w:rsidRPr="00D42558">
              <w:rPr>
                <w:rFonts w:ascii="Arial Narrow" w:eastAsiaTheme="majorEastAsia" w:hAnsi="Arial Narrow" w:cs="Times New Roman"/>
                <w:b/>
                <w:bCs/>
                <w:snapToGrid w:val="0"/>
                <w:sz w:val="20"/>
                <w:szCs w:val="20"/>
              </w:rPr>
              <w:t>)</w:t>
            </w:r>
            <w:r w:rsidR="00EB7032" w:rsidRPr="00D42558">
              <w:rPr>
                <w:rFonts w:ascii="Arial Narrow" w:eastAsiaTheme="majorEastAsia" w:hAnsi="Arial Narrow" w:cs="Times New Roman"/>
                <w:b/>
                <w:bCs/>
                <w:snapToGrid w:val="0"/>
                <w:sz w:val="20"/>
                <w:szCs w:val="20"/>
              </w:rPr>
              <w:t>,</w:t>
            </w:r>
          </w:p>
          <w:p w14:paraId="095A0001" w14:textId="6CA07FB8" w:rsidR="0059604F" w:rsidRPr="00D42558" w:rsidRDefault="0059604F" w:rsidP="000C495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result &gt;1 favours intervention</w:t>
            </w:r>
          </w:p>
        </w:tc>
        <w:tc>
          <w:tcPr>
            <w:tcW w:w="865" w:type="pct"/>
            <w:tcBorders>
              <w:bottom w:val="single" w:sz="4" w:space="0" w:color="auto"/>
            </w:tcBorders>
            <w:shd w:val="clear" w:color="auto" w:fill="auto"/>
          </w:tcPr>
          <w:p w14:paraId="5CBEE527" w14:textId="37347F78" w:rsidR="0059604F" w:rsidRPr="00D42558" w:rsidRDefault="0059604F" w:rsidP="000C495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RR (</w:t>
            </w:r>
            <w:r w:rsidR="000565B3" w:rsidRPr="00D42558">
              <w:rPr>
                <w:rFonts w:ascii="Arial Narrow" w:eastAsiaTheme="majorEastAsia" w:hAnsi="Arial Narrow" w:cs="Times New Roman"/>
                <w:b/>
                <w:bCs/>
                <w:snapToGrid w:val="0"/>
                <w:sz w:val="20"/>
                <w:szCs w:val="20"/>
              </w:rPr>
              <w:t>95% CI</w:t>
            </w:r>
            <w:r w:rsidRPr="00D42558">
              <w:rPr>
                <w:rFonts w:ascii="Arial Narrow" w:eastAsiaTheme="majorEastAsia" w:hAnsi="Arial Narrow" w:cs="Times New Roman"/>
                <w:b/>
                <w:bCs/>
                <w:snapToGrid w:val="0"/>
                <w:sz w:val="20"/>
                <w:szCs w:val="20"/>
              </w:rPr>
              <w:t>)</w:t>
            </w:r>
            <w:r w:rsidR="00EB7032" w:rsidRPr="00D42558">
              <w:rPr>
                <w:rFonts w:ascii="Arial Narrow" w:eastAsiaTheme="majorEastAsia" w:hAnsi="Arial Narrow" w:cs="Times New Roman"/>
                <w:b/>
                <w:bCs/>
                <w:snapToGrid w:val="0"/>
                <w:sz w:val="20"/>
                <w:szCs w:val="20"/>
              </w:rPr>
              <w:t>,</w:t>
            </w:r>
          </w:p>
          <w:p w14:paraId="2269EB40" w14:textId="64509D65" w:rsidR="0059604F" w:rsidRPr="00D42558" w:rsidRDefault="0059604F" w:rsidP="000C495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result &gt;1 favours intervention</w:t>
            </w:r>
          </w:p>
        </w:tc>
        <w:tc>
          <w:tcPr>
            <w:tcW w:w="836" w:type="pct"/>
            <w:tcBorders>
              <w:bottom w:val="single" w:sz="4" w:space="0" w:color="auto"/>
            </w:tcBorders>
            <w:shd w:val="clear" w:color="auto" w:fill="auto"/>
          </w:tcPr>
          <w:p w14:paraId="5472C72C" w14:textId="740AEBB1" w:rsidR="0059604F" w:rsidRPr="00D42558" w:rsidRDefault="0059604F" w:rsidP="000C495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RD (</w:t>
            </w:r>
            <w:r w:rsidR="000565B3" w:rsidRPr="00D42558">
              <w:rPr>
                <w:rFonts w:ascii="Arial Narrow" w:eastAsiaTheme="majorEastAsia" w:hAnsi="Arial Narrow" w:cs="Times New Roman"/>
                <w:b/>
                <w:bCs/>
                <w:snapToGrid w:val="0"/>
                <w:sz w:val="20"/>
                <w:szCs w:val="20"/>
              </w:rPr>
              <w:t>95% CI</w:t>
            </w:r>
            <w:r w:rsidRPr="00D42558">
              <w:rPr>
                <w:rFonts w:ascii="Arial Narrow" w:eastAsiaTheme="majorEastAsia" w:hAnsi="Arial Narrow" w:cs="Times New Roman"/>
                <w:b/>
                <w:bCs/>
                <w:snapToGrid w:val="0"/>
                <w:sz w:val="20"/>
                <w:szCs w:val="20"/>
              </w:rPr>
              <w:t>)</w:t>
            </w:r>
            <w:r w:rsidR="00EB7032" w:rsidRPr="00D42558">
              <w:rPr>
                <w:rFonts w:ascii="Arial Narrow" w:eastAsiaTheme="majorEastAsia" w:hAnsi="Arial Narrow" w:cs="Times New Roman"/>
                <w:b/>
                <w:bCs/>
                <w:snapToGrid w:val="0"/>
                <w:sz w:val="20"/>
                <w:szCs w:val="20"/>
              </w:rPr>
              <w:t>,</w:t>
            </w:r>
          </w:p>
          <w:p w14:paraId="524FC36B" w14:textId="06160203" w:rsidR="0059604F" w:rsidRPr="00D42558" w:rsidRDefault="0059604F" w:rsidP="000C495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result &gt;0 favours intervention</w:t>
            </w:r>
          </w:p>
        </w:tc>
      </w:tr>
      <w:tr w:rsidR="0059604F" w:rsidRPr="00D42558" w14:paraId="65655590" w14:textId="77777777" w:rsidTr="00914D2F">
        <w:trPr>
          <w:trHeight w:val="20"/>
        </w:trPr>
        <w:tc>
          <w:tcPr>
            <w:tcW w:w="5000" w:type="pct"/>
            <w:gridSpan w:val="6"/>
            <w:shd w:val="clear" w:color="auto" w:fill="auto"/>
            <w:noWrap/>
          </w:tcPr>
          <w:p w14:paraId="3D78FBEC" w14:textId="77777777" w:rsidR="0059604F" w:rsidRPr="00D42558" w:rsidRDefault="0059604F" w:rsidP="00097C1E">
            <w:pPr>
              <w:jc w:val="left"/>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 xml:space="preserve">UPA (30 / 15 mg) – week 52 results </w:t>
            </w:r>
          </w:p>
        </w:tc>
      </w:tr>
      <w:tr w:rsidR="0059604F" w:rsidRPr="00D42558" w14:paraId="3484E7F3" w14:textId="77777777" w:rsidTr="006A1B84">
        <w:trPr>
          <w:trHeight w:val="215"/>
        </w:trPr>
        <w:tc>
          <w:tcPr>
            <w:tcW w:w="1019" w:type="pct"/>
            <w:tcBorders>
              <w:bottom w:val="single" w:sz="4" w:space="0" w:color="auto"/>
            </w:tcBorders>
            <w:shd w:val="clear" w:color="auto" w:fill="auto"/>
            <w:noWrap/>
          </w:tcPr>
          <w:p w14:paraId="7B90646E"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 xml:space="preserve">U-ENDURE (30 mg) </w:t>
            </w:r>
          </w:p>
        </w:tc>
        <w:tc>
          <w:tcPr>
            <w:tcW w:w="708" w:type="pct"/>
            <w:tcBorders>
              <w:bottom w:val="single" w:sz="4" w:space="0" w:color="auto"/>
            </w:tcBorders>
            <w:shd w:val="clear" w:color="auto" w:fill="auto"/>
          </w:tcPr>
          <w:p w14:paraId="6D69B81C"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63/169 (37.3)</w:t>
            </w:r>
          </w:p>
          <w:p w14:paraId="0BC8F699"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80/168 (</w:t>
            </w:r>
            <w:proofErr w:type="gramStart"/>
            <w:r w:rsidRPr="00D42558">
              <w:rPr>
                <w:rFonts w:ascii="Arial Narrow" w:eastAsiaTheme="majorEastAsia" w:hAnsi="Arial Narrow" w:cs="Times New Roman"/>
                <w:snapToGrid w:val="0"/>
                <w:sz w:val="20"/>
                <w:szCs w:val="20"/>
              </w:rPr>
              <w:t>47.6)</w:t>
            </w:r>
            <w:r w:rsidRPr="00D42558">
              <w:rPr>
                <w:rFonts w:ascii="Arial Narrow" w:eastAsiaTheme="majorEastAsia" w:hAnsi="Arial Narrow" w:cs="Times New Roman"/>
                <w:snapToGrid w:val="0"/>
                <w:sz w:val="20"/>
                <w:szCs w:val="20"/>
                <w:vertAlign w:val="superscript"/>
              </w:rPr>
              <w:t>a</w:t>
            </w:r>
            <w:proofErr w:type="gramEnd"/>
          </w:p>
        </w:tc>
        <w:tc>
          <w:tcPr>
            <w:tcW w:w="708" w:type="pct"/>
            <w:tcBorders>
              <w:bottom w:val="single" w:sz="4" w:space="0" w:color="auto"/>
            </w:tcBorders>
            <w:shd w:val="clear" w:color="auto" w:fill="auto"/>
          </w:tcPr>
          <w:p w14:paraId="37A8F8C4"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25/165 (15.1)</w:t>
            </w:r>
          </w:p>
        </w:tc>
        <w:tc>
          <w:tcPr>
            <w:tcW w:w="864" w:type="pct"/>
            <w:tcBorders>
              <w:bottom w:val="single" w:sz="4" w:space="0" w:color="auto"/>
            </w:tcBorders>
            <w:shd w:val="clear" w:color="auto" w:fill="auto"/>
            <w:vAlign w:val="center"/>
          </w:tcPr>
          <w:p w14:paraId="685C3EFB"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5.09 (3.02, 8.58)</w:t>
            </w:r>
          </w:p>
        </w:tc>
        <w:tc>
          <w:tcPr>
            <w:tcW w:w="865" w:type="pct"/>
            <w:tcBorders>
              <w:bottom w:val="single" w:sz="4" w:space="0" w:color="auto"/>
            </w:tcBorders>
            <w:shd w:val="clear" w:color="auto" w:fill="auto"/>
            <w:vAlign w:val="center"/>
          </w:tcPr>
          <w:p w14:paraId="35E923D6"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3.14 (2.12, 4.66)</w:t>
            </w:r>
          </w:p>
        </w:tc>
        <w:tc>
          <w:tcPr>
            <w:tcW w:w="836" w:type="pct"/>
            <w:tcBorders>
              <w:bottom w:val="single" w:sz="4" w:space="0" w:color="auto"/>
            </w:tcBorders>
            <w:shd w:val="clear" w:color="auto" w:fill="auto"/>
            <w:noWrap/>
            <w:vAlign w:val="center"/>
          </w:tcPr>
          <w:p w14:paraId="4C109DDC"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0.32 (0.23, 0.42)</w:t>
            </w:r>
          </w:p>
        </w:tc>
      </w:tr>
      <w:tr w:rsidR="0059604F" w:rsidRPr="00D42558" w14:paraId="78D5DD7A" w14:textId="77777777" w:rsidTr="006A1B84">
        <w:trPr>
          <w:trHeight w:val="20"/>
        </w:trPr>
        <w:tc>
          <w:tcPr>
            <w:tcW w:w="1019" w:type="pct"/>
            <w:tcBorders>
              <w:bottom w:val="single" w:sz="4" w:space="0" w:color="auto"/>
            </w:tcBorders>
            <w:shd w:val="clear" w:color="auto" w:fill="auto"/>
            <w:noWrap/>
          </w:tcPr>
          <w:p w14:paraId="69C325C0"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U-ENDURE (15 mg)</w:t>
            </w:r>
          </w:p>
        </w:tc>
        <w:tc>
          <w:tcPr>
            <w:tcW w:w="708" w:type="pct"/>
            <w:tcBorders>
              <w:bottom w:val="single" w:sz="4" w:space="0" w:color="auto"/>
            </w:tcBorders>
            <w:shd w:val="clear" w:color="auto" w:fill="auto"/>
          </w:tcPr>
          <w:p w14:paraId="7E8C13BC"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80/168 (47.6)</w:t>
            </w:r>
          </w:p>
          <w:p w14:paraId="5EDDFD18"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63/169 (</w:t>
            </w:r>
            <w:proofErr w:type="gramStart"/>
            <w:r w:rsidRPr="00D42558">
              <w:rPr>
                <w:rFonts w:ascii="Arial Narrow" w:eastAsiaTheme="majorEastAsia" w:hAnsi="Arial Narrow" w:cs="Times New Roman"/>
                <w:snapToGrid w:val="0"/>
                <w:sz w:val="20"/>
                <w:szCs w:val="20"/>
              </w:rPr>
              <w:t>37.3)</w:t>
            </w:r>
            <w:r w:rsidRPr="00D42558">
              <w:rPr>
                <w:rFonts w:ascii="Arial Narrow" w:eastAsiaTheme="majorEastAsia" w:hAnsi="Arial Narrow" w:cs="Times New Roman"/>
                <w:snapToGrid w:val="0"/>
                <w:sz w:val="20"/>
                <w:szCs w:val="20"/>
                <w:vertAlign w:val="superscript"/>
              </w:rPr>
              <w:t>a</w:t>
            </w:r>
            <w:proofErr w:type="gramEnd"/>
          </w:p>
        </w:tc>
        <w:tc>
          <w:tcPr>
            <w:tcW w:w="708" w:type="pct"/>
            <w:tcBorders>
              <w:bottom w:val="single" w:sz="4" w:space="0" w:color="auto"/>
            </w:tcBorders>
            <w:shd w:val="clear" w:color="auto" w:fill="auto"/>
          </w:tcPr>
          <w:p w14:paraId="05436DD8"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25/165 (15.1)</w:t>
            </w:r>
          </w:p>
        </w:tc>
        <w:tc>
          <w:tcPr>
            <w:tcW w:w="864" w:type="pct"/>
            <w:tcBorders>
              <w:bottom w:val="single" w:sz="4" w:space="0" w:color="auto"/>
            </w:tcBorders>
            <w:shd w:val="clear" w:color="auto" w:fill="auto"/>
            <w:vAlign w:val="center"/>
          </w:tcPr>
          <w:p w14:paraId="06D9AF12"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3.33 (1.96, 5.64)</w:t>
            </w:r>
          </w:p>
        </w:tc>
        <w:tc>
          <w:tcPr>
            <w:tcW w:w="865" w:type="pct"/>
            <w:tcBorders>
              <w:bottom w:val="single" w:sz="4" w:space="0" w:color="auto"/>
            </w:tcBorders>
            <w:shd w:val="clear" w:color="auto" w:fill="auto"/>
            <w:vAlign w:val="center"/>
          </w:tcPr>
          <w:p w14:paraId="681DF079"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2.46 (1.63, 3.71)</w:t>
            </w:r>
          </w:p>
        </w:tc>
        <w:tc>
          <w:tcPr>
            <w:tcW w:w="836" w:type="pct"/>
            <w:tcBorders>
              <w:bottom w:val="single" w:sz="4" w:space="0" w:color="auto"/>
            </w:tcBorders>
            <w:shd w:val="clear" w:color="auto" w:fill="auto"/>
            <w:noWrap/>
            <w:vAlign w:val="center"/>
          </w:tcPr>
          <w:p w14:paraId="5F9F2EDE"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0.22 (0.13, 0.31)</w:t>
            </w:r>
          </w:p>
        </w:tc>
      </w:tr>
      <w:tr w:rsidR="0059604F" w:rsidRPr="00D42558" w14:paraId="3BF9173D" w14:textId="77777777" w:rsidTr="006A1B84">
        <w:trPr>
          <w:trHeight w:val="20"/>
        </w:trPr>
        <w:tc>
          <w:tcPr>
            <w:tcW w:w="1019" w:type="pct"/>
            <w:tcBorders>
              <w:bottom w:val="single" w:sz="4" w:space="0" w:color="auto"/>
            </w:tcBorders>
            <w:shd w:val="clear" w:color="auto" w:fill="auto"/>
            <w:noWrap/>
          </w:tcPr>
          <w:p w14:paraId="3F9E8190"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U-ENDURE (30/15 mg)</w:t>
            </w:r>
          </w:p>
        </w:tc>
        <w:tc>
          <w:tcPr>
            <w:tcW w:w="708" w:type="pct"/>
            <w:tcBorders>
              <w:bottom w:val="single" w:sz="4" w:space="0" w:color="auto"/>
            </w:tcBorders>
            <w:shd w:val="clear" w:color="auto" w:fill="auto"/>
          </w:tcPr>
          <w:p w14:paraId="3EDD4F0C" w14:textId="77777777" w:rsidR="0059604F" w:rsidRPr="00D42558" w:rsidRDefault="0059604F" w:rsidP="00FC5195">
            <w:pP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143/337 (42.4)</w:t>
            </w:r>
          </w:p>
        </w:tc>
        <w:tc>
          <w:tcPr>
            <w:tcW w:w="708" w:type="pct"/>
            <w:tcBorders>
              <w:bottom w:val="single" w:sz="4" w:space="0" w:color="auto"/>
            </w:tcBorders>
            <w:shd w:val="clear" w:color="auto" w:fill="auto"/>
          </w:tcPr>
          <w:p w14:paraId="4B2E621D"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25/165 (15.1)</w:t>
            </w:r>
          </w:p>
        </w:tc>
        <w:tc>
          <w:tcPr>
            <w:tcW w:w="864" w:type="pct"/>
            <w:tcBorders>
              <w:bottom w:val="single" w:sz="4" w:space="0" w:color="auto"/>
            </w:tcBorders>
            <w:shd w:val="clear" w:color="auto" w:fill="auto"/>
            <w:vAlign w:val="center"/>
          </w:tcPr>
          <w:p w14:paraId="63DB75E7"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 xml:space="preserve">4.13 (2.56, 6.65) </w:t>
            </w:r>
            <w:r w:rsidRPr="00D42558">
              <w:rPr>
                <w:rFonts w:ascii="Arial Narrow" w:eastAsiaTheme="majorEastAsia" w:hAnsi="Arial Narrow" w:cs="Times New Roman"/>
                <w:b/>
                <w:bCs/>
                <w:snapToGrid w:val="0"/>
                <w:sz w:val="20"/>
                <w:szCs w:val="20"/>
                <w:vertAlign w:val="superscript"/>
              </w:rPr>
              <w:t>a</w:t>
            </w:r>
          </w:p>
        </w:tc>
        <w:tc>
          <w:tcPr>
            <w:tcW w:w="865" w:type="pct"/>
            <w:tcBorders>
              <w:bottom w:val="single" w:sz="4" w:space="0" w:color="auto"/>
            </w:tcBorders>
            <w:shd w:val="clear" w:color="auto" w:fill="auto"/>
            <w:vAlign w:val="center"/>
          </w:tcPr>
          <w:p w14:paraId="754719B9"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2.80 (1.91, 4.10)</w:t>
            </w:r>
          </w:p>
        </w:tc>
        <w:tc>
          <w:tcPr>
            <w:tcW w:w="836" w:type="pct"/>
            <w:tcBorders>
              <w:bottom w:val="single" w:sz="4" w:space="0" w:color="auto"/>
            </w:tcBorders>
            <w:shd w:val="clear" w:color="auto" w:fill="auto"/>
            <w:noWrap/>
            <w:vAlign w:val="center"/>
          </w:tcPr>
          <w:p w14:paraId="43B2C33F"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0.27 (0.20, 0.35)</w:t>
            </w:r>
          </w:p>
        </w:tc>
      </w:tr>
      <w:tr w:rsidR="0059604F" w:rsidRPr="00D42558" w14:paraId="579A7138" w14:textId="77777777" w:rsidTr="00214E3B">
        <w:trPr>
          <w:trHeight w:val="20"/>
        </w:trPr>
        <w:tc>
          <w:tcPr>
            <w:tcW w:w="5000" w:type="pct"/>
            <w:gridSpan w:val="6"/>
            <w:shd w:val="clear" w:color="auto" w:fill="auto"/>
            <w:noWrap/>
          </w:tcPr>
          <w:p w14:paraId="5DFD4059" w14:textId="43CEE2C6" w:rsidR="0059604F" w:rsidRPr="00D42558" w:rsidRDefault="0059604F" w:rsidP="00214E3B">
            <w:pP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ADA (40mg q2w) – week 52 or 56 (excl. IP)</w:t>
            </w:r>
          </w:p>
        </w:tc>
      </w:tr>
      <w:tr w:rsidR="0059604F" w:rsidRPr="00D42558" w14:paraId="6F1469F0" w14:textId="77777777" w:rsidTr="006A1B84">
        <w:trPr>
          <w:trHeight w:val="20"/>
        </w:trPr>
        <w:tc>
          <w:tcPr>
            <w:tcW w:w="1019" w:type="pct"/>
            <w:shd w:val="clear" w:color="auto" w:fill="auto"/>
            <w:noWrap/>
          </w:tcPr>
          <w:p w14:paraId="5AF657D8" w14:textId="78A35070" w:rsidR="0059604F" w:rsidRPr="00D42558" w:rsidRDefault="0059604F" w:rsidP="00A81E1D">
            <w:pPr>
              <w:jc w:val="left"/>
              <w:rPr>
                <w:rFonts w:ascii="Arial Narrow" w:eastAsiaTheme="majorEastAsia" w:hAnsi="Arial Narrow" w:cs="Times New Roman"/>
                <w:snapToGrid w:val="0"/>
                <w:sz w:val="20"/>
                <w:szCs w:val="20"/>
                <w:vertAlign w:val="superscript"/>
              </w:rPr>
            </w:pPr>
            <w:r w:rsidRPr="00D42558">
              <w:rPr>
                <w:rFonts w:ascii="Arial Narrow" w:eastAsiaTheme="majorEastAsia" w:hAnsi="Arial Narrow" w:cs="Times New Roman"/>
                <w:snapToGrid w:val="0"/>
                <w:sz w:val="20"/>
                <w:szCs w:val="20"/>
              </w:rPr>
              <w:t>CLASSIC</w:t>
            </w:r>
            <w:r w:rsidR="001538FE" w:rsidRPr="00D42558">
              <w:rPr>
                <w:rFonts w:ascii="Arial Narrow" w:eastAsiaTheme="majorEastAsia" w:hAnsi="Arial Narrow" w:cs="Times New Roman"/>
                <w:snapToGrid w:val="0"/>
                <w:sz w:val="20"/>
                <w:szCs w:val="20"/>
              </w:rPr>
              <w:t xml:space="preserve"> </w:t>
            </w:r>
            <w:r w:rsidRPr="00D42558">
              <w:rPr>
                <w:rFonts w:ascii="Arial Narrow" w:eastAsiaTheme="majorEastAsia" w:hAnsi="Arial Narrow" w:cs="Times New Roman"/>
                <w:snapToGrid w:val="0"/>
                <w:sz w:val="20"/>
                <w:szCs w:val="20"/>
              </w:rPr>
              <w:t xml:space="preserve">II (CDAI&lt;150 week 4&amp; 8 </w:t>
            </w:r>
            <w:proofErr w:type="gramStart"/>
            <w:r w:rsidRPr="00D42558">
              <w:rPr>
                <w:rFonts w:ascii="Arial Narrow" w:eastAsiaTheme="majorEastAsia" w:hAnsi="Arial Narrow" w:cs="Times New Roman"/>
                <w:snapToGrid w:val="0"/>
                <w:sz w:val="20"/>
                <w:szCs w:val="20"/>
              </w:rPr>
              <w:t>IP)</w:t>
            </w:r>
            <w:r w:rsidRPr="00D42558">
              <w:rPr>
                <w:rFonts w:ascii="Arial Narrow" w:eastAsiaTheme="majorEastAsia" w:hAnsi="Arial Narrow" w:cs="Times New Roman"/>
                <w:snapToGrid w:val="0"/>
                <w:sz w:val="20"/>
                <w:szCs w:val="20"/>
                <w:vertAlign w:val="superscript"/>
              </w:rPr>
              <w:t>b</w:t>
            </w:r>
            <w:proofErr w:type="gramEnd"/>
          </w:p>
        </w:tc>
        <w:tc>
          <w:tcPr>
            <w:tcW w:w="708" w:type="pct"/>
            <w:shd w:val="clear" w:color="auto" w:fill="auto"/>
          </w:tcPr>
          <w:p w14:paraId="3794E5E4"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15/19 (78.9)</w:t>
            </w:r>
          </w:p>
        </w:tc>
        <w:tc>
          <w:tcPr>
            <w:tcW w:w="708" w:type="pct"/>
            <w:shd w:val="clear" w:color="auto" w:fill="auto"/>
          </w:tcPr>
          <w:p w14:paraId="66442F4C"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8/18 (44.4)</w:t>
            </w:r>
          </w:p>
        </w:tc>
        <w:tc>
          <w:tcPr>
            <w:tcW w:w="864" w:type="pct"/>
            <w:shd w:val="clear" w:color="auto" w:fill="auto"/>
            <w:vAlign w:val="center"/>
          </w:tcPr>
          <w:p w14:paraId="60D75DC9"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4.69 (1.11, 19.83)</w:t>
            </w:r>
          </w:p>
        </w:tc>
        <w:tc>
          <w:tcPr>
            <w:tcW w:w="865" w:type="pct"/>
            <w:shd w:val="clear" w:color="auto" w:fill="auto"/>
            <w:vAlign w:val="center"/>
          </w:tcPr>
          <w:p w14:paraId="4135C66E"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1.78 (1.01, 3.13)</w:t>
            </w:r>
          </w:p>
        </w:tc>
        <w:tc>
          <w:tcPr>
            <w:tcW w:w="836" w:type="pct"/>
            <w:shd w:val="clear" w:color="auto" w:fill="auto"/>
            <w:noWrap/>
            <w:vAlign w:val="center"/>
          </w:tcPr>
          <w:p w14:paraId="470A3EB4"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0.35 (0.05, 0.64)</w:t>
            </w:r>
          </w:p>
        </w:tc>
      </w:tr>
      <w:tr w:rsidR="0059604F" w:rsidRPr="00D42558" w14:paraId="00537BD7" w14:textId="77777777" w:rsidTr="006A1B84">
        <w:trPr>
          <w:trHeight w:val="20"/>
        </w:trPr>
        <w:tc>
          <w:tcPr>
            <w:tcW w:w="1019" w:type="pct"/>
            <w:shd w:val="clear" w:color="auto" w:fill="auto"/>
            <w:noWrap/>
          </w:tcPr>
          <w:p w14:paraId="7D310143" w14:textId="77777777" w:rsidR="0059604F" w:rsidRPr="00D42558" w:rsidRDefault="0059604F" w:rsidP="00A81E1D">
            <w:pPr>
              <w:jc w:val="left"/>
              <w:rPr>
                <w:rFonts w:ascii="Arial Narrow" w:eastAsiaTheme="majorEastAsia" w:hAnsi="Arial Narrow" w:cs="Times New Roman"/>
                <w:snapToGrid w:val="0"/>
                <w:sz w:val="20"/>
                <w:szCs w:val="20"/>
                <w:vertAlign w:val="superscript"/>
              </w:rPr>
            </w:pPr>
            <w:r w:rsidRPr="00D42558">
              <w:rPr>
                <w:rFonts w:ascii="Arial Narrow" w:eastAsiaTheme="majorEastAsia" w:hAnsi="Arial Narrow" w:cs="Times New Roman"/>
                <w:snapToGrid w:val="0"/>
                <w:sz w:val="20"/>
                <w:szCs w:val="20"/>
              </w:rPr>
              <w:t xml:space="preserve">CHARM (CR-70 week 4 </w:t>
            </w:r>
            <w:proofErr w:type="gramStart"/>
            <w:r w:rsidRPr="00D42558">
              <w:rPr>
                <w:rFonts w:ascii="Arial Narrow" w:eastAsiaTheme="majorEastAsia" w:hAnsi="Arial Narrow" w:cs="Times New Roman"/>
                <w:snapToGrid w:val="0"/>
                <w:sz w:val="20"/>
                <w:szCs w:val="20"/>
              </w:rPr>
              <w:t>IP)</w:t>
            </w:r>
            <w:r w:rsidRPr="00D42558">
              <w:rPr>
                <w:rFonts w:ascii="Arial Narrow" w:eastAsiaTheme="majorEastAsia" w:hAnsi="Arial Narrow" w:cs="Times New Roman"/>
                <w:snapToGrid w:val="0"/>
                <w:sz w:val="20"/>
                <w:szCs w:val="20"/>
                <w:vertAlign w:val="superscript"/>
              </w:rPr>
              <w:t>c</w:t>
            </w:r>
            <w:proofErr w:type="gramEnd"/>
          </w:p>
        </w:tc>
        <w:tc>
          <w:tcPr>
            <w:tcW w:w="708" w:type="pct"/>
            <w:shd w:val="clear" w:color="auto" w:fill="auto"/>
          </w:tcPr>
          <w:p w14:paraId="5C0A68E4"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62/172 (36.0)</w:t>
            </w:r>
          </w:p>
        </w:tc>
        <w:tc>
          <w:tcPr>
            <w:tcW w:w="708" w:type="pct"/>
            <w:shd w:val="clear" w:color="auto" w:fill="auto"/>
          </w:tcPr>
          <w:p w14:paraId="1666CEEB"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20/170 (11.8)</w:t>
            </w:r>
          </w:p>
        </w:tc>
        <w:tc>
          <w:tcPr>
            <w:tcW w:w="864" w:type="pct"/>
            <w:shd w:val="clear" w:color="auto" w:fill="auto"/>
            <w:vAlign w:val="center"/>
          </w:tcPr>
          <w:p w14:paraId="011CC9EB"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4.23 (2.41, 7.41)</w:t>
            </w:r>
          </w:p>
        </w:tc>
        <w:tc>
          <w:tcPr>
            <w:tcW w:w="865" w:type="pct"/>
            <w:shd w:val="clear" w:color="auto" w:fill="auto"/>
            <w:vAlign w:val="center"/>
          </w:tcPr>
          <w:p w14:paraId="487AE6DB"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3.06 (1.94, 4.84)</w:t>
            </w:r>
          </w:p>
        </w:tc>
        <w:tc>
          <w:tcPr>
            <w:tcW w:w="836" w:type="pct"/>
            <w:shd w:val="clear" w:color="auto" w:fill="auto"/>
            <w:noWrap/>
            <w:vAlign w:val="center"/>
          </w:tcPr>
          <w:p w14:paraId="2DF73907"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0.24 (0.16, 0.33)</w:t>
            </w:r>
          </w:p>
        </w:tc>
      </w:tr>
      <w:tr w:rsidR="0059604F" w:rsidRPr="00D42558" w14:paraId="189C308A" w14:textId="77777777" w:rsidTr="006A1B84">
        <w:trPr>
          <w:trHeight w:val="20"/>
        </w:trPr>
        <w:tc>
          <w:tcPr>
            <w:tcW w:w="1019" w:type="pct"/>
            <w:shd w:val="clear" w:color="auto" w:fill="auto"/>
            <w:noWrap/>
          </w:tcPr>
          <w:p w14:paraId="1DC2A6B9" w14:textId="77777777" w:rsidR="0059604F" w:rsidRPr="00D42558" w:rsidRDefault="0059604F" w:rsidP="00A81E1D">
            <w:pPr>
              <w:jc w:val="left"/>
              <w:rPr>
                <w:rFonts w:ascii="Arial Narrow" w:eastAsiaTheme="majorEastAsia" w:hAnsi="Arial Narrow" w:cs="Times New Roman"/>
                <w:snapToGrid w:val="0"/>
                <w:sz w:val="20"/>
                <w:szCs w:val="20"/>
                <w:vertAlign w:val="superscript"/>
              </w:rPr>
            </w:pPr>
            <w:r w:rsidRPr="00D42558">
              <w:rPr>
                <w:rFonts w:ascii="Arial Narrow" w:eastAsiaTheme="majorEastAsia" w:hAnsi="Arial Narrow" w:cs="Times New Roman"/>
                <w:snapToGrid w:val="0"/>
                <w:sz w:val="20"/>
                <w:szCs w:val="20"/>
              </w:rPr>
              <w:t xml:space="preserve">Watanabe 2012 (CR-70 week 4 </w:t>
            </w:r>
            <w:proofErr w:type="gramStart"/>
            <w:r w:rsidRPr="00D42558">
              <w:rPr>
                <w:rFonts w:ascii="Arial Narrow" w:eastAsiaTheme="majorEastAsia" w:hAnsi="Arial Narrow" w:cs="Times New Roman"/>
                <w:snapToGrid w:val="0"/>
                <w:sz w:val="20"/>
                <w:szCs w:val="20"/>
              </w:rPr>
              <w:t>IP)</w:t>
            </w:r>
            <w:r w:rsidRPr="00D42558">
              <w:rPr>
                <w:rFonts w:ascii="Arial Narrow" w:eastAsiaTheme="majorEastAsia" w:hAnsi="Arial Narrow" w:cs="Times New Roman"/>
                <w:snapToGrid w:val="0"/>
                <w:sz w:val="20"/>
                <w:szCs w:val="20"/>
                <w:vertAlign w:val="superscript"/>
              </w:rPr>
              <w:t>d</w:t>
            </w:r>
            <w:proofErr w:type="gramEnd"/>
          </w:p>
        </w:tc>
        <w:tc>
          <w:tcPr>
            <w:tcW w:w="708" w:type="pct"/>
            <w:shd w:val="clear" w:color="auto" w:fill="auto"/>
          </w:tcPr>
          <w:p w14:paraId="4F82C2DA"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8/21 (38.1)</w:t>
            </w:r>
          </w:p>
        </w:tc>
        <w:tc>
          <w:tcPr>
            <w:tcW w:w="708" w:type="pct"/>
            <w:shd w:val="clear" w:color="auto" w:fill="auto"/>
          </w:tcPr>
          <w:p w14:paraId="6679FD89"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2/22 (9.1)</w:t>
            </w:r>
          </w:p>
        </w:tc>
        <w:tc>
          <w:tcPr>
            <w:tcW w:w="864" w:type="pct"/>
            <w:shd w:val="clear" w:color="auto" w:fill="auto"/>
            <w:vAlign w:val="center"/>
          </w:tcPr>
          <w:p w14:paraId="71005086"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6.15 (1.12, 33.67)</w:t>
            </w:r>
          </w:p>
        </w:tc>
        <w:tc>
          <w:tcPr>
            <w:tcW w:w="865" w:type="pct"/>
            <w:shd w:val="clear" w:color="auto" w:fill="auto"/>
            <w:vAlign w:val="center"/>
          </w:tcPr>
          <w:p w14:paraId="341E2A21" w14:textId="0834CEE9"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4.19</w:t>
            </w:r>
            <w:r w:rsidR="005867AC" w:rsidRPr="00D42558">
              <w:rPr>
                <w:rFonts w:ascii="Arial Narrow" w:eastAsiaTheme="majorEastAsia" w:hAnsi="Arial Narrow" w:cs="Times New Roman"/>
                <w:snapToGrid w:val="0"/>
                <w:sz w:val="20"/>
                <w:szCs w:val="20"/>
              </w:rPr>
              <w:t xml:space="preserve"> </w:t>
            </w:r>
            <w:r w:rsidRPr="00D42558">
              <w:rPr>
                <w:rFonts w:ascii="Arial Narrow" w:eastAsiaTheme="majorEastAsia" w:hAnsi="Arial Narrow" w:cs="Times New Roman"/>
                <w:snapToGrid w:val="0"/>
                <w:sz w:val="20"/>
                <w:szCs w:val="20"/>
              </w:rPr>
              <w:t>(1.00,17.5)</w:t>
            </w:r>
          </w:p>
        </w:tc>
        <w:tc>
          <w:tcPr>
            <w:tcW w:w="836" w:type="pct"/>
            <w:shd w:val="clear" w:color="auto" w:fill="auto"/>
            <w:noWrap/>
            <w:vAlign w:val="center"/>
          </w:tcPr>
          <w:p w14:paraId="0442FACD"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0.29 (0.05, 0.53)</w:t>
            </w:r>
          </w:p>
        </w:tc>
      </w:tr>
      <w:tr w:rsidR="0059604F" w:rsidRPr="00D42558" w14:paraId="7E6C35F9" w14:textId="77777777" w:rsidTr="006A1B84">
        <w:trPr>
          <w:trHeight w:val="20"/>
        </w:trPr>
        <w:tc>
          <w:tcPr>
            <w:tcW w:w="1019" w:type="pct"/>
            <w:tcBorders>
              <w:bottom w:val="single" w:sz="4" w:space="0" w:color="auto"/>
            </w:tcBorders>
            <w:shd w:val="clear" w:color="auto" w:fill="auto"/>
            <w:noWrap/>
          </w:tcPr>
          <w:p w14:paraId="3AFEDC19"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Pooled</w:t>
            </w:r>
          </w:p>
        </w:tc>
        <w:tc>
          <w:tcPr>
            <w:tcW w:w="708" w:type="pct"/>
            <w:tcBorders>
              <w:bottom w:val="single" w:sz="4" w:space="0" w:color="auto"/>
            </w:tcBorders>
            <w:shd w:val="clear" w:color="auto" w:fill="auto"/>
          </w:tcPr>
          <w:p w14:paraId="5E4E8D3D"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85/212 (40.1)</w:t>
            </w:r>
          </w:p>
        </w:tc>
        <w:tc>
          <w:tcPr>
            <w:tcW w:w="708" w:type="pct"/>
            <w:tcBorders>
              <w:bottom w:val="single" w:sz="4" w:space="0" w:color="auto"/>
            </w:tcBorders>
            <w:shd w:val="clear" w:color="auto" w:fill="auto"/>
          </w:tcPr>
          <w:p w14:paraId="068D350E"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30/210 (14.3)</w:t>
            </w:r>
          </w:p>
        </w:tc>
        <w:tc>
          <w:tcPr>
            <w:tcW w:w="864" w:type="pct"/>
            <w:tcBorders>
              <w:bottom w:val="single" w:sz="4" w:space="0" w:color="auto"/>
            </w:tcBorders>
            <w:shd w:val="clear" w:color="auto" w:fill="auto"/>
            <w:vAlign w:val="center"/>
          </w:tcPr>
          <w:p w14:paraId="72391008"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4.43 (2.69, 7.29)</w:t>
            </w:r>
          </w:p>
        </w:tc>
        <w:tc>
          <w:tcPr>
            <w:tcW w:w="865" w:type="pct"/>
            <w:tcBorders>
              <w:bottom w:val="single" w:sz="4" w:space="0" w:color="auto"/>
            </w:tcBorders>
            <w:shd w:val="clear" w:color="auto" w:fill="auto"/>
            <w:vAlign w:val="center"/>
          </w:tcPr>
          <w:p w14:paraId="1228FAB8"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2.54 (1.61, 4.01)</w:t>
            </w:r>
          </w:p>
        </w:tc>
        <w:tc>
          <w:tcPr>
            <w:tcW w:w="836" w:type="pct"/>
            <w:tcBorders>
              <w:bottom w:val="single" w:sz="4" w:space="0" w:color="auto"/>
            </w:tcBorders>
            <w:shd w:val="clear" w:color="auto" w:fill="auto"/>
            <w:noWrap/>
            <w:vAlign w:val="center"/>
          </w:tcPr>
          <w:p w14:paraId="49272967"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0.26 (0.18, 0.33)</w:t>
            </w:r>
          </w:p>
        </w:tc>
      </w:tr>
      <w:tr w:rsidR="0059604F" w:rsidRPr="00D42558" w14:paraId="227E3382" w14:textId="77777777" w:rsidTr="00214E3B">
        <w:trPr>
          <w:trHeight w:val="20"/>
        </w:trPr>
        <w:tc>
          <w:tcPr>
            <w:tcW w:w="5000" w:type="pct"/>
            <w:gridSpan w:val="6"/>
            <w:tcBorders>
              <w:bottom w:val="single" w:sz="4" w:space="0" w:color="auto"/>
            </w:tcBorders>
            <w:shd w:val="clear" w:color="auto" w:fill="auto"/>
            <w:noWrap/>
          </w:tcPr>
          <w:p w14:paraId="185F7E55" w14:textId="77777777" w:rsidR="0059604F" w:rsidRPr="00D42558" w:rsidRDefault="0059604F" w:rsidP="00214E3B">
            <w:pP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RISA (360 mg) – week 64 results</w:t>
            </w:r>
          </w:p>
        </w:tc>
      </w:tr>
      <w:tr w:rsidR="0059604F" w:rsidRPr="00D42558" w14:paraId="3D3D0CCB" w14:textId="77777777" w:rsidTr="00214E3B">
        <w:trPr>
          <w:trHeight w:val="20"/>
        </w:trPr>
        <w:tc>
          <w:tcPr>
            <w:tcW w:w="1019" w:type="pct"/>
            <w:tcBorders>
              <w:bottom w:val="single" w:sz="4" w:space="0" w:color="auto"/>
            </w:tcBorders>
            <w:shd w:val="clear" w:color="auto" w:fill="auto"/>
            <w:noWrap/>
          </w:tcPr>
          <w:p w14:paraId="5E8AD7A5" w14:textId="77777777" w:rsidR="0059604F" w:rsidRPr="00D42558" w:rsidRDefault="0059604F" w:rsidP="00097C1E">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 xml:space="preserve">M16-000 (FORTIFY) </w:t>
            </w:r>
          </w:p>
        </w:tc>
        <w:tc>
          <w:tcPr>
            <w:tcW w:w="708" w:type="pct"/>
            <w:tcBorders>
              <w:bottom w:val="single" w:sz="4" w:space="0" w:color="auto"/>
            </w:tcBorders>
            <w:shd w:val="clear" w:color="auto" w:fill="auto"/>
          </w:tcPr>
          <w:p w14:paraId="0F7FB17B" w14:textId="77777777" w:rsidR="0059604F" w:rsidRPr="00D42558" w:rsidRDefault="0059604F" w:rsidP="00097C1E">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74/141 (52.5)</w:t>
            </w:r>
          </w:p>
        </w:tc>
        <w:tc>
          <w:tcPr>
            <w:tcW w:w="708" w:type="pct"/>
            <w:tcBorders>
              <w:bottom w:val="single" w:sz="4" w:space="0" w:color="auto"/>
            </w:tcBorders>
            <w:shd w:val="clear" w:color="auto" w:fill="auto"/>
          </w:tcPr>
          <w:p w14:paraId="30C87BAC" w14:textId="77777777" w:rsidR="0059604F" w:rsidRPr="00D42558" w:rsidRDefault="0059604F" w:rsidP="00097C1E">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67/164 (40.9)</w:t>
            </w:r>
          </w:p>
        </w:tc>
        <w:tc>
          <w:tcPr>
            <w:tcW w:w="864" w:type="pct"/>
            <w:tcBorders>
              <w:bottom w:val="single" w:sz="4" w:space="0" w:color="auto"/>
            </w:tcBorders>
            <w:shd w:val="clear" w:color="auto" w:fill="auto"/>
          </w:tcPr>
          <w:p w14:paraId="163D53F9" w14:textId="526790F5" w:rsidR="0059604F" w:rsidRPr="00D42558" w:rsidRDefault="0059604F" w:rsidP="00214E3B">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1.6</w:t>
            </w:r>
            <w:r w:rsidR="00214E3B" w:rsidRPr="00D42558">
              <w:rPr>
                <w:rFonts w:ascii="Arial Narrow" w:eastAsiaTheme="majorEastAsia" w:hAnsi="Arial Narrow" w:cs="Times New Roman"/>
                <w:b/>
                <w:bCs/>
                <w:snapToGrid w:val="0"/>
                <w:sz w:val="20"/>
                <w:szCs w:val="20"/>
              </w:rPr>
              <w:t>0</w:t>
            </w:r>
            <w:r w:rsidRPr="00D42558">
              <w:rPr>
                <w:rFonts w:ascii="Arial Narrow" w:eastAsiaTheme="majorEastAsia" w:hAnsi="Arial Narrow" w:cs="Times New Roman"/>
                <w:b/>
                <w:bCs/>
                <w:snapToGrid w:val="0"/>
                <w:sz w:val="20"/>
                <w:szCs w:val="20"/>
              </w:rPr>
              <w:t xml:space="preserve"> (1.02, 2.52)</w:t>
            </w:r>
          </w:p>
        </w:tc>
        <w:tc>
          <w:tcPr>
            <w:tcW w:w="865" w:type="pct"/>
            <w:tcBorders>
              <w:bottom w:val="single" w:sz="4" w:space="0" w:color="auto"/>
            </w:tcBorders>
            <w:shd w:val="clear" w:color="auto" w:fill="auto"/>
          </w:tcPr>
          <w:p w14:paraId="49CB2CCE" w14:textId="77777777" w:rsidR="0059604F" w:rsidRPr="00D42558" w:rsidRDefault="0059604F" w:rsidP="00214E3B">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1.28 (1.1, 1.64)</w:t>
            </w:r>
          </w:p>
        </w:tc>
        <w:tc>
          <w:tcPr>
            <w:tcW w:w="836" w:type="pct"/>
            <w:tcBorders>
              <w:bottom w:val="single" w:sz="4" w:space="0" w:color="auto"/>
            </w:tcBorders>
            <w:shd w:val="clear" w:color="auto" w:fill="auto"/>
            <w:noWrap/>
          </w:tcPr>
          <w:p w14:paraId="1282C144" w14:textId="12D5083F" w:rsidR="0059604F" w:rsidRPr="00D42558" w:rsidRDefault="0059604F" w:rsidP="00214E3B">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snapToGrid w:val="0"/>
                <w:sz w:val="20"/>
                <w:szCs w:val="20"/>
              </w:rPr>
              <w:t>0.12 (0</w:t>
            </w:r>
            <w:r w:rsidR="006433AD" w:rsidRPr="00D42558">
              <w:rPr>
                <w:rFonts w:ascii="Arial Narrow" w:eastAsiaTheme="majorEastAsia" w:hAnsi="Arial Narrow" w:cs="Times New Roman"/>
                <w:snapToGrid w:val="0"/>
                <w:sz w:val="20"/>
                <w:szCs w:val="20"/>
              </w:rPr>
              <w:t>.00</w:t>
            </w:r>
            <w:r w:rsidRPr="00D42558">
              <w:rPr>
                <w:rFonts w:ascii="Arial Narrow" w:eastAsiaTheme="majorEastAsia" w:hAnsi="Arial Narrow" w:cs="Times New Roman"/>
                <w:snapToGrid w:val="0"/>
                <w:sz w:val="20"/>
                <w:szCs w:val="20"/>
              </w:rPr>
              <w:t>, 0.23)</w:t>
            </w:r>
          </w:p>
        </w:tc>
      </w:tr>
      <w:tr w:rsidR="0059604F" w:rsidRPr="00D42558" w14:paraId="008D8D0C" w14:textId="77777777" w:rsidTr="00214E3B">
        <w:trPr>
          <w:trHeight w:val="20"/>
        </w:trPr>
        <w:tc>
          <w:tcPr>
            <w:tcW w:w="5000" w:type="pct"/>
            <w:gridSpan w:val="6"/>
            <w:shd w:val="clear" w:color="auto" w:fill="auto"/>
            <w:noWrap/>
          </w:tcPr>
          <w:p w14:paraId="6A209F56" w14:textId="77777777" w:rsidR="0059604F" w:rsidRPr="00D42558" w:rsidRDefault="0059604F" w:rsidP="00214E3B">
            <w:pP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IFX (5mg/kg week 2, week 6, q8w) – week 56 results (incl. IP)</w:t>
            </w:r>
          </w:p>
        </w:tc>
      </w:tr>
      <w:tr w:rsidR="0059604F" w:rsidRPr="00D42558" w14:paraId="274ABD49" w14:textId="77777777" w:rsidTr="006A1B84">
        <w:trPr>
          <w:trHeight w:val="20"/>
        </w:trPr>
        <w:tc>
          <w:tcPr>
            <w:tcW w:w="1019" w:type="pct"/>
            <w:tcBorders>
              <w:bottom w:val="single" w:sz="4" w:space="0" w:color="auto"/>
            </w:tcBorders>
            <w:shd w:val="clear" w:color="auto" w:fill="auto"/>
            <w:noWrap/>
          </w:tcPr>
          <w:p w14:paraId="5168C0ED" w14:textId="77777777" w:rsidR="0059604F" w:rsidRPr="00D42558" w:rsidRDefault="0059604F" w:rsidP="00097C1E">
            <w:pPr>
              <w:jc w:val="left"/>
              <w:rPr>
                <w:rFonts w:ascii="Arial Narrow" w:eastAsiaTheme="majorEastAsia" w:hAnsi="Arial Narrow" w:cs="Times New Roman"/>
                <w:snapToGrid w:val="0"/>
                <w:sz w:val="20"/>
                <w:szCs w:val="20"/>
                <w:vertAlign w:val="superscript"/>
              </w:rPr>
            </w:pPr>
            <w:r w:rsidRPr="00D42558">
              <w:rPr>
                <w:rFonts w:ascii="Arial Narrow" w:eastAsiaTheme="majorEastAsia" w:hAnsi="Arial Narrow" w:cs="Times New Roman"/>
                <w:snapToGrid w:val="0"/>
                <w:sz w:val="20"/>
                <w:szCs w:val="20"/>
              </w:rPr>
              <w:t xml:space="preserve">ACCENT I (CR-70 week2 </w:t>
            </w:r>
            <w:proofErr w:type="gramStart"/>
            <w:r w:rsidRPr="00D42558">
              <w:rPr>
                <w:rFonts w:ascii="Arial Narrow" w:eastAsiaTheme="majorEastAsia" w:hAnsi="Arial Narrow" w:cs="Times New Roman"/>
                <w:snapToGrid w:val="0"/>
                <w:sz w:val="20"/>
                <w:szCs w:val="20"/>
              </w:rPr>
              <w:t>IP)</w:t>
            </w:r>
            <w:r w:rsidRPr="00D42558">
              <w:rPr>
                <w:rFonts w:ascii="Arial Narrow" w:eastAsiaTheme="majorEastAsia" w:hAnsi="Arial Narrow" w:cs="Times New Roman"/>
                <w:snapToGrid w:val="0"/>
                <w:sz w:val="20"/>
                <w:szCs w:val="20"/>
                <w:vertAlign w:val="superscript"/>
              </w:rPr>
              <w:t>e</w:t>
            </w:r>
            <w:proofErr w:type="gramEnd"/>
          </w:p>
        </w:tc>
        <w:tc>
          <w:tcPr>
            <w:tcW w:w="708" w:type="pct"/>
            <w:tcBorders>
              <w:bottom w:val="single" w:sz="4" w:space="0" w:color="auto"/>
            </w:tcBorders>
            <w:shd w:val="clear" w:color="auto" w:fill="auto"/>
          </w:tcPr>
          <w:p w14:paraId="3ABE2D73"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32/113 (28.0)</w:t>
            </w:r>
          </w:p>
        </w:tc>
        <w:tc>
          <w:tcPr>
            <w:tcW w:w="708" w:type="pct"/>
            <w:tcBorders>
              <w:bottom w:val="single" w:sz="4" w:space="0" w:color="auto"/>
            </w:tcBorders>
            <w:shd w:val="clear" w:color="auto" w:fill="auto"/>
          </w:tcPr>
          <w:p w14:paraId="2CE2628E"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15/110 (13.7)</w:t>
            </w:r>
          </w:p>
        </w:tc>
        <w:tc>
          <w:tcPr>
            <w:tcW w:w="864" w:type="pct"/>
            <w:tcBorders>
              <w:bottom w:val="single" w:sz="4" w:space="0" w:color="auto"/>
            </w:tcBorders>
            <w:shd w:val="clear" w:color="auto" w:fill="auto"/>
            <w:vAlign w:val="center"/>
          </w:tcPr>
          <w:p w14:paraId="03EBA9E5" w14:textId="0F943A9C"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2.5</w:t>
            </w:r>
            <w:r w:rsidR="00214E3B" w:rsidRPr="00D42558">
              <w:rPr>
                <w:rFonts w:ascii="Arial Narrow" w:eastAsiaTheme="majorEastAsia" w:hAnsi="Arial Narrow" w:cs="Times New Roman"/>
                <w:b/>
                <w:bCs/>
                <w:snapToGrid w:val="0"/>
                <w:sz w:val="20"/>
                <w:szCs w:val="20"/>
              </w:rPr>
              <w:t>0</w:t>
            </w:r>
            <w:r w:rsidRPr="00D42558">
              <w:rPr>
                <w:rFonts w:ascii="Arial Narrow" w:eastAsiaTheme="majorEastAsia" w:hAnsi="Arial Narrow" w:cs="Times New Roman"/>
                <w:b/>
                <w:bCs/>
                <w:snapToGrid w:val="0"/>
                <w:sz w:val="20"/>
                <w:szCs w:val="20"/>
              </w:rPr>
              <w:t xml:space="preserve"> (1.27, 4.94)</w:t>
            </w:r>
          </w:p>
        </w:tc>
        <w:tc>
          <w:tcPr>
            <w:tcW w:w="865" w:type="pct"/>
            <w:tcBorders>
              <w:bottom w:val="single" w:sz="4" w:space="0" w:color="auto"/>
            </w:tcBorders>
            <w:shd w:val="clear" w:color="auto" w:fill="auto"/>
            <w:vAlign w:val="center"/>
          </w:tcPr>
          <w:p w14:paraId="02E17489"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2.08 (1.19, 4.01)</w:t>
            </w:r>
          </w:p>
        </w:tc>
        <w:tc>
          <w:tcPr>
            <w:tcW w:w="836" w:type="pct"/>
            <w:tcBorders>
              <w:bottom w:val="single" w:sz="4" w:space="0" w:color="auto"/>
            </w:tcBorders>
            <w:shd w:val="clear" w:color="auto" w:fill="auto"/>
            <w:noWrap/>
            <w:vAlign w:val="center"/>
          </w:tcPr>
          <w:p w14:paraId="1E40640B"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0.15 (0.04, 0.25)</w:t>
            </w:r>
          </w:p>
        </w:tc>
      </w:tr>
      <w:tr w:rsidR="0059604F" w:rsidRPr="00D42558" w14:paraId="034BD51C" w14:textId="77777777" w:rsidTr="00214E3B">
        <w:trPr>
          <w:trHeight w:val="20"/>
        </w:trPr>
        <w:tc>
          <w:tcPr>
            <w:tcW w:w="5000" w:type="pct"/>
            <w:gridSpan w:val="6"/>
            <w:shd w:val="clear" w:color="auto" w:fill="auto"/>
            <w:noWrap/>
          </w:tcPr>
          <w:p w14:paraId="794C6857" w14:textId="77777777" w:rsidR="0059604F" w:rsidRPr="00D42558" w:rsidRDefault="0059604F" w:rsidP="00214E3B">
            <w:pP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VDZ (300mg q8w) – week 52 results (incl. IP)</w:t>
            </w:r>
          </w:p>
        </w:tc>
      </w:tr>
      <w:tr w:rsidR="0059604F" w:rsidRPr="00D42558" w14:paraId="68100383" w14:textId="77777777" w:rsidTr="006A1B84">
        <w:trPr>
          <w:trHeight w:val="20"/>
        </w:trPr>
        <w:tc>
          <w:tcPr>
            <w:tcW w:w="1019" w:type="pct"/>
            <w:shd w:val="clear" w:color="auto" w:fill="auto"/>
            <w:noWrap/>
          </w:tcPr>
          <w:p w14:paraId="0F3B3E42" w14:textId="77777777" w:rsidR="0059604F" w:rsidRPr="00D42558" w:rsidRDefault="0059604F" w:rsidP="00097C1E">
            <w:pPr>
              <w:jc w:val="left"/>
              <w:rPr>
                <w:rFonts w:ascii="Arial Narrow" w:eastAsiaTheme="majorEastAsia" w:hAnsi="Arial Narrow" w:cs="Times New Roman"/>
                <w:snapToGrid w:val="0"/>
                <w:sz w:val="20"/>
                <w:szCs w:val="20"/>
                <w:vertAlign w:val="superscript"/>
              </w:rPr>
            </w:pPr>
            <w:r w:rsidRPr="00D42558">
              <w:rPr>
                <w:rFonts w:ascii="Arial Narrow" w:eastAsiaTheme="majorEastAsia" w:hAnsi="Arial Narrow" w:cs="Times New Roman"/>
                <w:snapToGrid w:val="0"/>
                <w:sz w:val="20"/>
                <w:szCs w:val="20"/>
              </w:rPr>
              <w:t xml:space="preserve">GEMINI II (CR-70 week 6 </w:t>
            </w:r>
            <w:proofErr w:type="gramStart"/>
            <w:r w:rsidRPr="00D42558">
              <w:rPr>
                <w:rFonts w:ascii="Arial Narrow" w:eastAsiaTheme="majorEastAsia" w:hAnsi="Arial Narrow" w:cs="Times New Roman"/>
                <w:snapToGrid w:val="0"/>
                <w:sz w:val="20"/>
                <w:szCs w:val="20"/>
              </w:rPr>
              <w:t>IP)</w:t>
            </w:r>
            <w:r w:rsidRPr="00D42558">
              <w:rPr>
                <w:rFonts w:ascii="Arial Narrow" w:eastAsiaTheme="majorEastAsia" w:hAnsi="Arial Narrow" w:cs="Times New Roman"/>
                <w:snapToGrid w:val="0"/>
                <w:sz w:val="20"/>
                <w:szCs w:val="20"/>
                <w:vertAlign w:val="superscript"/>
              </w:rPr>
              <w:t>f</w:t>
            </w:r>
            <w:proofErr w:type="gramEnd"/>
          </w:p>
        </w:tc>
        <w:tc>
          <w:tcPr>
            <w:tcW w:w="708" w:type="pct"/>
            <w:shd w:val="clear" w:color="auto" w:fill="auto"/>
          </w:tcPr>
          <w:p w14:paraId="6ED02E76"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60/154 (39.0)</w:t>
            </w:r>
          </w:p>
        </w:tc>
        <w:tc>
          <w:tcPr>
            <w:tcW w:w="708" w:type="pct"/>
            <w:shd w:val="clear" w:color="auto" w:fill="auto"/>
          </w:tcPr>
          <w:p w14:paraId="43935675"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33/153 (21.6)</w:t>
            </w:r>
          </w:p>
        </w:tc>
        <w:tc>
          <w:tcPr>
            <w:tcW w:w="864" w:type="pct"/>
            <w:shd w:val="clear" w:color="auto" w:fill="auto"/>
            <w:vAlign w:val="center"/>
          </w:tcPr>
          <w:p w14:paraId="0668AE6F"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2.32 (1.4, 3.84)</w:t>
            </w:r>
          </w:p>
        </w:tc>
        <w:tc>
          <w:tcPr>
            <w:tcW w:w="865" w:type="pct"/>
            <w:shd w:val="clear" w:color="auto" w:fill="auto"/>
            <w:vAlign w:val="center"/>
          </w:tcPr>
          <w:p w14:paraId="78F88953"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1.81 (1.26, 2.59)</w:t>
            </w:r>
          </w:p>
        </w:tc>
        <w:tc>
          <w:tcPr>
            <w:tcW w:w="836" w:type="pct"/>
            <w:shd w:val="clear" w:color="auto" w:fill="auto"/>
            <w:noWrap/>
            <w:vAlign w:val="center"/>
          </w:tcPr>
          <w:p w14:paraId="71B92D69"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0.17 (0.07, 0.27)</w:t>
            </w:r>
          </w:p>
        </w:tc>
      </w:tr>
      <w:tr w:rsidR="0059604F" w:rsidRPr="00D42558" w14:paraId="79DA6129" w14:textId="77777777" w:rsidTr="006A1B84">
        <w:trPr>
          <w:trHeight w:val="20"/>
        </w:trPr>
        <w:tc>
          <w:tcPr>
            <w:tcW w:w="1019" w:type="pct"/>
            <w:shd w:val="clear" w:color="auto" w:fill="auto"/>
            <w:noWrap/>
          </w:tcPr>
          <w:p w14:paraId="4963A7DC" w14:textId="77777777" w:rsidR="0059604F" w:rsidRPr="00D42558" w:rsidRDefault="0059604F" w:rsidP="00097C1E">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Watanabe 2020 (CR-70 week</w:t>
            </w:r>
            <w:proofErr w:type="gramStart"/>
            <w:r w:rsidRPr="00D42558">
              <w:rPr>
                <w:rFonts w:ascii="Arial Narrow" w:eastAsiaTheme="majorEastAsia" w:hAnsi="Arial Narrow" w:cs="Times New Roman"/>
                <w:snapToGrid w:val="0"/>
                <w:sz w:val="20"/>
                <w:szCs w:val="20"/>
              </w:rPr>
              <w:t>10)</w:t>
            </w:r>
            <w:r w:rsidRPr="00D42558">
              <w:rPr>
                <w:rFonts w:ascii="Arial Narrow" w:eastAsiaTheme="majorEastAsia" w:hAnsi="Arial Narrow" w:cs="Times New Roman"/>
                <w:snapToGrid w:val="0"/>
                <w:sz w:val="20"/>
                <w:szCs w:val="20"/>
                <w:vertAlign w:val="superscript"/>
              </w:rPr>
              <w:t>g</w:t>
            </w:r>
            <w:proofErr w:type="gramEnd"/>
          </w:p>
        </w:tc>
        <w:tc>
          <w:tcPr>
            <w:tcW w:w="708" w:type="pct"/>
            <w:shd w:val="clear" w:color="auto" w:fill="auto"/>
          </w:tcPr>
          <w:p w14:paraId="0F2B72A6"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5/12 (41.7)</w:t>
            </w:r>
          </w:p>
        </w:tc>
        <w:tc>
          <w:tcPr>
            <w:tcW w:w="708" w:type="pct"/>
            <w:shd w:val="clear" w:color="auto" w:fill="auto"/>
          </w:tcPr>
          <w:p w14:paraId="10DA07F9"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2/12 (16.7)</w:t>
            </w:r>
          </w:p>
        </w:tc>
        <w:tc>
          <w:tcPr>
            <w:tcW w:w="864" w:type="pct"/>
            <w:shd w:val="clear" w:color="auto" w:fill="auto"/>
            <w:vAlign w:val="center"/>
          </w:tcPr>
          <w:p w14:paraId="1770A1BE"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3.57 (0.53, 23.95)</w:t>
            </w:r>
          </w:p>
        </w:tc>
        <w:tc>
          <w:tcPr>
            <w:tcW w:w="865" w:type="pct"/>
            <w:shd w:val="clear" w:color="auto" w:fill="auto"/>
            <w:vAlign w:val="center"/>
          </w:tcPr>
          <w:p w14:paraId="56F9B809" w14:textId="58254E35"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2.50</w:t>
            </w:r>
            <w:r w:rsidR="00214E3B" w:rsidRPr="00D42558">
              <w:rPr>
                <w:rFonts w:ascii="Arial Narrow" w:eastAsiaTheme="majorEastAsia" w:hAnsi="Arial Narrow" w:cs="Times New Roman"/>
                <w:snapToGrid w:val="0"/>
                <w:sz w:val="20"/>
                <w:szCs w:val="20"/>
              </w:rPr>
              <w:t xml:space="preserve"> </w:t>
            </w:r>
            <w:r w:rsidRPr="00D42558">
              <w:rPr>
                <w:rFonts w:ascii="Arial Narrow" w:eastAsiaTheme="majorEastAsia" w:hAnsi="Arial Narrow" w:cs="Times New Roman"/>
                <w:snapToGrid w:val="0"/>
                <w:sz w:val="20"/>
                <w:szCs w:val="20"/>
              </w:rPr>
              <w:t>(0.60,10.4)</w:t>
            </w:r>
          </w:p>
        </w:tc>
        <w:tc>
          <w:tcPr>
            <w:tcW w:w="836" w:type="pct"/>
            <w:shd w:val="clear" w:color="auto" w:fill="auto"/>
            <w:noWrap/>
            <w:vAlign w:val="center"/>
          </w:tcPr>
          <w:p w14:paraId="45160C15"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0.25 (-0.10, 0.60)</w:t>
            </w:r>
          </w:p>
        </w:tc>
      </w:tr>
      <w:tr w:rsidR="0059604F" w:rsidRPr="00D42558" w14:paraId="08879239" w14:textId="77777777" w:rsidTr="006A1B84">
        <w:trPr>
          <w:trHeight w:val="20"/>
        </w:trPr>
        <w:tc>
          <w:tcPr>
            <w:tcW w:w="1019" w:type="pct"/>
            <w:shd w:val="clear" w:color="auto" w:fill="auto"/>
            <w:noWrap/>
          </w:tcPr>
          <w:p w14:paraId="49CE5270" w14:textId="77777777" w:rsidR="0059604F" w:rsidRPr="00D42558" w:rsidRDefault="0059604F" w:rsidP="00097C1E">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Pooled</w:t>
            </w:r>
          </w:p>
        </w:tc>
        <w:tc>
          <w:tcPr>
            <w:tcW w:w="708" w:type="pct"/>
            <w:shd w:val="clear" w:color="auto" w:fill="auto"/>
          </w:tcPr>
          <w:p w14:paraId="0B3D65F0"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65/166 (39.2)</w:t>
            </w:r>
          </w:p>
        </w:tc>
        <w:tc>
          <w:tcPr>
            <w:tcW w:w="708" w:type="pct"/>
            <w:shd w:val="clear" w:color="auto" w:fill="auto"/>
          </w:tcPr>
          <w:p w14:paraId="4D7C5418"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35/165 (21.2)</w:t>
            </w:r>
          </w:p>
        </w:tc>
        <w:tc>
          <w:tcPr>
            <w:tcW w:w="864" w:type="pct"/>
            <w:shd w:val="clear" w:color="auto" w:fill="auto"/>
            <w:vAlign w:val="center"/>
          </w:tcPr>
          <w:p w14:paraId="35B3077E"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2.39 (1.47, 3.89)</w:t>
            </w:r>
          </w:p>
        </w:tc>
        <w:tc>
          <w:tcPr>
            <w:tcW w:w="865" w:type="pct"/>
            <w:shd w:val="clear" w:color="auto" w:fill="auto"/>
            <w:vAlign w:val="center"/>
          </w:tcPr>
          <w:p w14:paraId="30334065"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1.85 (1.30, 2.62)</w:t>
            </w:r>
          </w:p>
        </w:tc>
        <w:tc>
          <w:tcPr>
            <w:tcW w:w="836" w:type="pct"/>
            <w:shd w:val="clear" w:color="auto" w:fill="auto"/>
            <w:noWrap/>
            <w:vAlign w:val="center"/>
          </w:tcPr>
          <w:p w14:paraId="393A3171"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0.18 (0.08, 0.28)</w:t>
            </w:r>
          </w:p>
        </w:tc>
      </w:tr>
      <w:tr w:rsidR="0059604F" w:rsidRPr="00D42558" w14:paraId="4F944C3F" w14:textId="77777777" w:rsidTr="00214E3B">
        <w:trPr>
          <w:trHeight w:val="20"/>
        </w:trPr>
        <w:tc>
          <w:tcPr>
            <w:tcW w:w="5000" w:type="pct"/>
            <w:gridSpan w:val="6"/>
            <w:shd w:val="clear" w:color="auto" w:fill="auto"/>
            <w:noWrap/>
          </w:tcPr>
          <w:p w14:paraId="540143D6" w14:textId="77777777" w:rsidR="0059604F" w:rsidRPr="00D42558" w:rsidRDefault="0059604F" w:rsidP="00214E3B">
            <w:pP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VDZ SC (108mg q2w) – week 52 results</w:t>
            </w:r>
          </w:p>
        </w:tc>
      </w:tr>
      <w:tr w:rsidR="0059604F" w:rsidRPr="00D42558" w14:paraId="065EF31A" w14:textId="77777777" w:rsidTr="006A1B84">
        <w:trPr>
          <w:trHeight w:val="20"/>
        </w:trPr>
        <w:tc>
          <w:tcPr>
            <w:tcW w:w="1019" w:type="pct"/>
            <w:shd w:val="clear" w:color="auto" w:fill="auto"/>
            <w:noWrap/>
          </w:tcPr>
          <w:p w14:paraId="073DEF1F" w14:textId="77777777" w:rsidR="0059604F" w:rsidRPr="00D42558" w:rsidRDefault="0059604F" w:rsidP="00097C1E">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 xml:space="preserve">VISIBLE 2 (CR-70 week </w:t>
            </w:r>
            <w:proofErr w:type="gramStart"/>
            <w:r w:rsidRPr="00D42558">
              <w:rPr>
                <w:rFonts w:ascii="Arial Narrow" w:eastAsiaTheme="majorEastAsia" w:hAnsi="Arial Narrow" w:cs="Times New Roman"/>
                <w:snapToGrid w:val="0"/>
                <w:sz w:val="20"/>
                <w:szCs w:val="20"/>
              </w:rPr>
              <w:t>6)</w:t>
            </w:r>
            <w:r w:rsidRPr="00D42558">
              <w:rPr>
                <w:rFonts w:ascii="Arial Narrow" w:eastAsiaTheme="majorEastAsia" w:hAnsi="Arial Narrow" w:cs="Times New Roman"/>
                <w:snapToGrid w:val="0"/>
                <w:sz w:val="20"/>
                <w:szCs w:val="20"/>
                <w:vertAlign w:val="superscript"/>
              </w:rPr>
              <w:t>f</w:t>
            </w:r>
            <w:proofErr w:type="gramEnd"/>
          </w:p>
        </w:tc>
        <w:tc>
          <w:tcPr>
            <w:tcW w:w="708" w:type="pct"/>
            <w:shd w:val="clear" w:color="auto" w:fill="auto"/>
          </w:tcPr>
          <w:p w14:paraId="6E0B30C1" w14:textId="77777777" w:rsidR="0059604F" w:rsidRPr="00D42558" w:rsidRDefault="0059604F" w:rsidP="00FC5195">
            <w:pP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132/275 (48.0)</w:t>
            </w:r>
          </w:p>
        </w:tc>
        <w:tc>
          <w:tcPr>
            <w:tcW w:w="708" w:type="pct"/>
            <w:shd w:val="clear" w:color="auto" w:fill="auto"/>
          </w:tcPr>
          <w:p w14:paraId="3E5A5AAB"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46/164 (34.3)</w:t>
            </w:r>
          </w:p>
        </w:tc>
        <w:tc>
          <w:tcPr>
            <w:tcW w:w="864" w:type="pct"/>
            <w:shd w:val="clear" w:color="auto" w:fill="auto"/>
            <w:vAlign w:val="center"/>
          </w:tcPr>
          <w:p w14:paraId="7C539BBF"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 xml:space="preserve">2.37 (1.56, </w:t>
            </w:r>
            <w:proofErr w:type="gramStart"/>
            <w:r w:rsidRPr="00D42558">
              <w:rPr>
                <w:rFonts w:ascii="Arial Narrow" w:eastAsiaTheme="majorEastAsia" w:hAnsi="Arial Narrow" w:cs="Times New Roman"/>
                <w:b/>
                <w:bCs/>
                <w:snapToGrid w:val="0"/>
                <w:sz w:val="20"/>
                <w:szCs w:val="20"/>
              </w:rPr>
              <w:t>3.58)</w:t>
            </w:r>
            <w:r w:rsidRPr="00D42558">
              <w:rPr>
                <w:rFonts w:ascii="Arial Narrow" w:eastAsiaTheme="majorEastAsia" w:hAnsi="Arial Narrow" w:cs="Times New Roman"/>
                <w:b/>
                <w:bCs/>
                <w:snapToGrid w:val="0"/>
                <w:sz w:val="20"/>
                <w:szCs w:val="20"/>
                <w:vertAlign w:val="superscript"/>
              </w:rPr>
              <w:t>a</w:t>
            </w:r>
            <w:proofErr w:type="gramEnd"/>
          </w:p>
        </w:tc>
        <w:tc>
          <w:tcPr>
            <w:tcW w:w="865" w:type="pct"/>
            <w:shd w:val="clear" w:color="auto" w:fill="auto"/>
            <w:vAlign w:val="center"/>
          </w:tcPr>
          <w:p w14:paraId="1F5811FD" w14:textId="32E7C7A5"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1.71 (1.30,</w:t>
            </w:r>
            <w:r w:rsidR="00E20EF6" w:rsidRPr="00D42558">
              <w:rPr>
                <w:rFonts w:ascii="Arial Narrow" w:eastAsiaTheme="majorEastAsia" w:hAnsi="Arial Narrow" w:cs="Times New Roman"/>
                <w:b/>
                <w:bCs/>
                <w:snapToGrid w:val="0"/>
                <w:sz w:val="20"/>
                <w:szCs w:val="20"/>
              </w:rPr>
              <w:t xml:space="preserve"> </w:t>
            </w:r>
            <w:proofErr w:type="gramStart"/>
            <w:r w:rsidRPr="00D42558">
              <w:rPr>
                <w:rFonts w:ascii="Arial Narrow" w:eastAsiaTheme="majorEastAsia" w:hAnsi="Arial Narrow" w:cs="Times New Roman"/>
                <w:b/>
                <w:bCs/>
                <w:snapToGrid w:val="0"/>
                <w:sz w:val="20"/>
                <w:szCs w:val="20"/>
              </w:rPr>
              <w:t>2.25)</w:t>
            </w:r>
            <w:r w:rsidRPr="00D42558">
              <w:rPr>
                <w:rFonts w:ascii="Arial Narrow" w:eastAsiaTheme="majorEastAsia" w:hAnsi="Arial Narrow" w:cs="Times New Roman"/>
                <w:b/>
                <w:bCs/>
                <w:snapToGrid w:val="0"/>
                <w:sz w:val="20"/>
                <w:szCs w:val="20"/>
                <w:vertAlign w:val="superscript"/>
              </w:rPr>
              <w:t>a</w:t>
            </w:r>
            <w:proofErr w:type="gramEnd"/>
          </w:p>
        </w:tc>
        <w:tc>
          <w:tcPr>
            <w:tcW w:w="836" w:type="pct"/>
            <w:shd w:val="clear" w:color="auto" w:fill="auto"/>
            <w:noWrap/>
            <w:vAlign w:val="center"/>
          </w:tcPr>
          <w:p w14:paraId="52A1058E" w14:textId="78A2DE1C"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0.14 (0.04, 0.24)</w:t>
            </w:r>
          </w:p>
        </w:tc>
      </w:tr>
      <w:tr w:rsidR="0059604F" w:rsidRPr="00D42558" w14:paraId="50281679" w14:textId="77777777" w:rsidTr="00214E3B">
        <w:trPr>
          <w:trHeight w:val="20"/>
        </w:trPr>
        <w:tc>
          <w:tcPr>
            <w:tcW w:w="5000" w:type="pct"/>
            <w:gridSpan w:val="6"/>
            <w:shd w:val="clear" w:color="auto" w:fill="auto"/>
            <w:noWrap/>
          </w:tcPr>
          <w:p w14:paraId="03A0F01C" w14:textId="77777777" w:rsidR="0059604F" w:rsidRPr="00D42558" w:rsidRDefault="0059604F" w:rsidP="00214E3B">
            <w:pP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UST (90mg q8w) – week 52 results (incl. IP)</w:t>
            </w:r>
          </w:p>
        </w:tc>
      </w:tr>
      <w:tr w:rsidR="0059604F" w:rsidRPr="00D42558" w14:paraId="6027566B" w14:textId="77777777" w:rsidTr="006A1B84">
        <w:trPr>
          <w:trHeight w:val="20"/>
        </w:trPr>
        <w:tc>
          <w:tcPr>
            <w:tcW w:w="1019" w:type="pct"/>
            <w:shd w:val="clear" w:color="auto" w:fill="auto"/>
            <w:noWrap/>
          </w:tcPr>
          <w:p w14:paraId="2CF2F18E" w14:textId="77777777" w:rsidR="0059604F" w:rsidRPr="00D42558" w:rsidRDefault="0059604F" w:rsidP="00097C1E">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 xml:space="preserve">IM-UNITI (CR-100 week 8 </w:t>
            </w:r>
            <w:proofErr w:type="gramStart"/>
            <w:r w:rsidRPr="00D42558">
              <w:rPr>
                <w:rFonts w:ascii="Arial Narrow" w:eastAsiaTheme="majorEastAsia" w:hAnsi="Arial Narrow" w:cs="Times New Roman"/>
                <w:snapToGrid w:val="0"/>
                <w:sz w:val="20"/>
                <w:szCs w:val="20"/>
              </w:rPr>
              <w:t>IP)</w:t>
            </w:r>
            <w:r w:rsidRPr="00D42558">
              <w:rPr>
                <w:rFonts w:ascii="Arial Narrow" w:eastAsiaTheme="majorEastAsia" w:hAnsi="Arial Narrow" w:cs="Times New Roman"/>
                <w:snapToGrid w:val="0"/>
                <w:sz w:val="20"/>
                <w:szCs w:val="20"/>
                <w:vertAlign w:val="superscript"/>
              </w:rPr>
              <w:t>h</w:t>
            </w:r>
            <w:proofErr w:type="gramEnd"/>
          </w:p>
        </w:tc>
        <w:tc>
          <w:tcPr>
            <w:tcW w:w="708" w:type="pct"/>
            <w:shd w:val="clear" w:color="auto" w:fill="auto"/>
          </w:tcPr>
          <w:p w14:paraId="7F29A701"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68/128 (53.1)</w:t>
            </w:r>
          </w:p>
        </w:tc>
        <w:tc>
          <w:tcPr>
            <w:tcW w:w="708" w:type="pct"/>
            <w:shd w:val="clear" w:color="auto" w:fill="auto"/>
          </w:tcPr>
          <w:p w14:paraId="7BF8CA12" w14:textId="77777777" w:rsidR="0059604F" w:rsidRPr="00D42558" w:rsidRDefault="0059604F" w:rsidP="00A81E1D">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47/131 (35.9)</w:t>
            </w:r>
          </w:p>
        </w:tc>
        <w:tc>
          <w:tcPr>
            <w:tcW w:w="864" w:type="pct"/>
            <w:shd w:val="clear" w:color="auto" w:fill="auto"/>
            <w:vAlign w:val="center"/>
          </w:tcPr>
          <w:p w14:paraId="126D065C"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2.03 (1.23, 3.33)</w:t>
            </w:r>
          </w:p>
        </w:tc>
        <w:tc>
          <w:tcPr>
            <w:tcW w:w="865" w:type="pct"/>
            <w:shd w:val="clear" w:color="auto" w:fill="auto"/>
            <w:vAlign w:val="center"/>
          </w:tcPr>
          <w:p w14:paraId="7B99A799"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1.48 (1.12, 1.96)</w:t>
            </w:r>
          </w:p>
        </w:tc>
        <w:tc>
          <w:tcPr>
            <w:tcW w:w="836" w:type="pct"/>
            <w:shd w:val="clear" w:color="auto" w:fill="auto"/>
            <w:noWrap/>
            <w:vAlign w:val="center"/>
          </w:tcPr>
          <w:p w14:paraId="50BF90EB"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0.17 (0.05, 0.29)</w:t>
            </w:r>
          </w:p>
        </w:tc>
      </w:tr>
      <w:tr w:rsidR="0059604F" w:rsidRPr="00D42558" w14:paraId="6C598BE8" w14:textId="77777777" w:rsidTr="006A1B84">
        <w:trPr>
          <w:trHeight w:val="20"/>
        </w:trPr>
        <w:tc>
          <w:tcPr>
            <w:tcW w:w="1727" w:type="pct"/>
            <w:gridSpan w:val="2"/>
            <w:vMerge w:val="restart"/>
            <w:shd w:val="clear" w:color="auto" w:fill="auto"/>
            <w:noWrap/>
          </w:tcPr>
          <w:p w14:paraId="602B38E9" w14:textId="70E16F34" w:rsidR="0059604F" w:rsidRPr="00D42558" w:rsidRDefault="0059604F" w:rsidP="00097C1E">
            <w:pPr>
              <w:jc w:val="left"/>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Indirect comparison</w:t>
            </w:r>
            <w:r w:rsidR="000D7B73" w:rsidRPr="00D42558">
              <w:rPr>
                <w:rFonts w:ascii="Arial Narrow" w:eastAsiaTheme="majorEastAsia" w:hAnsi="Arial Narrow" w:cs="Times New Roman"/>
                <w:b/>
                <w:bCs/>
                <w:snapToGrid w:val="0"/>
                <w:sz w:val="20"/>
                <w:szCs w:val="20"/>
              </w:rPr>
              <w:t>:</w:t>
            </w:r>
            <w:r w:rsidRPr="00D42558">
              <w:rPr>
                <w:rFonts w:ascii="Arial Narrow" w:eastAsiaTheme="majorEastAsia" w:hAnsi="Arial Narrow" w:cs="Times New Roman"/>
                <w:b/>
                <w:bCs/>
                <w:snapToGrid w:val="0"/>
                <w:sz w:val="20"/>
                <w:szCs w:val="20"/>
              </w:rPr>
              <w:t xml:space="preserve"> </w:t>
            </w:r>
          </w:p>
          <w:p w14:paraId="75332E04" w14:textId="090DDA32" w:rsidR="0059604F" w:rsidRPr="00D42558" w:rsidRDefault="0059604F" w:rsidP="00097C1E">
            <w:pPr>
              <w:jc w:val="left"/>
              <w:rPr>
                <w:rFonts w:ascii="Arial Narrow" w:eastAsiaTheme="majorEastAsia" w:hAnsi="Arial Narrow" w:cs="Times New Roman"/>
                <w:bCs/>
                <w:snapToGrid w:val="0"/>
                <w:sz w:val="20"/>
                <w:szCs w:val="20"/>
              </w:rPr>
            </w:pPr>
            <w:r w:rsidRPr="00D42558">
              <w:rPr>
                <w:rFonts w:ascii="Arial Narrow" w:eastAsiaTheme="majorEastAsia" w:hAnsi="Arial Narrow" w:cs="Times New Roman"/>
                <w:b/>
                <w:bCs/>
                <w:snapToGrid w:val="0"/>
                <w:sz w:val="20"/>
                <w:szCs w:val="20"/>
              </w:rPr>
              <w:t xml:space="preserve">UPA 15 mg </w:t>
            </w:r>
            <w:r w:rsidR="00CB7C01" w:rsidRPr="00D42558">
              <w:rPr>
                <w:rFonts w:ascii="Arial Narrow" w:eastAsiaTheme="majorEastAsia" w:hAnsi="Arial Narrow" w:cs="Times New Roman"/>
                <w:b/>
                <w:bCs/>
                <w:snapToGrid w:val="0"/>
                <w:sz w:val="20"/>
                <w:szCs w:val="20"/>
              </w:rPr>
              <w:t>vs</w:t>
            </w:r>
            <w:r w:rsidRPr="00D42558">
              <w:rPr>
                <w:rFonts w:ascii="Arial Narrow" w:eastAsiaTheme="majorEastAsia" w:hAnsi="Arial Narrow" w:cs="Times New Roman"/>
                <w:b/>
                <w:bCs/>
                <w:snapToGrid w:val="0"/>
                <w:sz w:val="20"/>
                <w:szCs w:val="20"/>
              </w:rPr>
              <w:t xml:space="preserve"> comparators</w:t>
            </w:r>
          </w:p>
        </w:tc>
        <w:tc>
          <w:tcPr>
            <w:tcW w:w="708" w:type="pct"/>
            <w:shd w:val="clear" w:color="auto" w:fill="auto"/>
          </w:tcPr>
          <w:p w14:paraId="47793475"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ADA</w:t>
            </w:r>
          </w:p>
        </w:tc>
        <w:tc>
          <w:tcPr>
            <w:tcW w:w="864" w:type="pct"/>
            <w:shd w:val="clear" w:color="auto" w:fill="auto"/>
            <w:vAlign w:val="center"/>
          </w:tcPr>
          <w:p w14:paraId="0FDE40A7"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1.15 (0.56, 2.37)</w:t>
            </w:r>
          </w:p>
        </w:tc>
        <w:tc>
          <w:tcPr>
            <w:tcW w:w="865" w:type="pct"/>
            <w:shd w:val="clear" w:color="auto" w:fill="auto"/>
            <w:vAlign w:val="center"/>
          </w:tcPr>
          <w:p w14:paraId="5C62F978"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1.13 (0.66, 1.92)</w:t>
            </w:r>
          </w:p>
        </w:tc>
        <w:tc>
          <w:tcPr>
            <w:tcW w:w="836" w:type="pct"/>
            <w:shd w:val="clear" w:color="auto" w:fill="auto"/>
            <w:noWrap/>
            <w:vAlign w:val="center"/>
          </w:tcPr>
          <w:p w14:paraId="5C095047"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0.06 (-0.06, 0.19)</w:t>
            </w:r>
          </w:p>
        </w:tc>
      </w:tr>
      <w:tr w:rsidR="0059604F" w:rsidRPr="00D42558" w14:paraId="0522C48A" w14:textId="77777777" w:rsidTr="006A1B84">
        <w:trPr>
          <w:trHeight w:val="20"/>
        </w:trPr>
        <w:tc>
          <w:tcPr>
            <w:tcW w:w="1727" w:type="pct"/>
            <w:gridSpan w:val="2"/>
            <w:vMerge/>
            <w:shd w:val="clear" w:color="auto" w:fill="auto"/>
            <w:noWrap/>
          </w:tcPr>
          <w:p w14:paraId="42593480" w14:textId="77777777" w:rsidR="0059604F" w:rsidRPr="00D42558" w:rsidRDefault="0059604F" w:rsidP="00097C1E">
            <w:pPr>
              <w:jc w:val="left"/>
              <w:rPr>
                <w:rFonts w:ascii="Arial Narrow" w:eastAsiaTheme="majorEastAsia" w:hAnsi="Arial Narrow" w:cs="Times New Roman"/>
                <w:snapToGrid w:val="0"/>
                <w:sz w:val="20"/>
                <w:szCs w:val="20"/>
              </w:rPr>
            </w:pPr>
          </w:p>
        </w:tc>
        <w:tc>
          <w:tcPr>
            <w:tcW w:w="708" w:type="pct"/>
            <w:shd w:val="clear" w:color="auto" w:fill="auto"/>
          </w:tcPr>
          <w:p w14:paraId="733FD7A8"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RISA</w:t>
            </w:r>
          </w:p>
        </w:tc>
        <w:tc>
          <w:tcPr>
            <w:tcW w:w="864" w:type="pct"/>
            <w:shd w:val="clear" w:color="auto" w:fill="auto"/>
            <w:vAlign w:val="center"/>
          </w:tcPr>
          <w:p w14:paraId="73413AF8"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b/>
                <w:snapToGrid w:val="0"/>
                <w:sz w:val="20"/>
                <w:szCs w:val="20"/>
              </w:rPr>
              <w:t>3.18 (1.59, 6.36)</w:t>
            </w:r>
          </w:p>
        </w:tc>
        <w:tc>
          <w:tcPr>
            <w:tcW w:w="865" w:type="pct"/>
            <w:shd w:val="clear" w:color="auto" w:fill="auto"/>
            <w:vAlign w:val="center"/>
          </w:tcPr>
          <w:p w14:paraId="28802E83"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b/>
                <w:snapToGrid w:val="0"/>
                <w:sz w:val="20"/>
                <w:szCs w:val="20"/>
              </w:rPr>
              <w:t>2.45 (1.54, 3.89)</w:t>
            </w:r>
          </w:p>
        </w:tc>
        <w:tc>
          <w:tcPr>
            <w:tcW w:w="836" w:type="pct"/>
            <w:shd w:val="clear" w:color="auto" w:fill="auto"/>
            <w:noWrap/>
            <w:vAlign w:val="center"/>
          </w:tcPr>
          <w:p w14:paraId="58851927"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b/>
                <w:snapToGrid w:val="0"/>
                <w:sz w:val="20"/>
                <w:szCs w:val="20"/>
              </w:rPr>
              <w:t>0.21 (0.06, 0.35)</w:t>
            </w:r>
          </w:p>
        </w:tc>
      </w:tr>
      <w:tr w:rsidR="0059604F" w:rsidRPr="00D42558" w14:paraId="0C475259" w14:textId="77777777" w:rsidTr="006A1B84">
        <w:trPr>
          <w:trHeight w:val="20"/>
        </w:trPr>
        <w:tc>
          <w:tcPr>
            <w:tcW w:w="1727" w:type="pct"/>
            <w:gridSpan w:val="2"/>
            <w:vMerge/>
            <w:shd w:val="clear" w:color="auto" w:fill="auto"/>
            <w:noWrap/>
          </w:tcPr>
          <w:p w14:paraId="21DA8DAB" w14:textId="77777777" w:rsidR="0059604F" w:rsidRPr="00D42558" w:rsidRDefault="0059604F" w:rsidP="00097C1E">
            <w:pPr>
              <w:jc w:val="left"/>
              <w:rPr>
                <w:rFonts w:ascii="Arial Narrow" w:eastAsiaTheme="majorEastAsia" w:hAnsi="Arial Narrow" w:cs="Times New Roman"/>
                <w:snapToGrid w:val="0"/>
                <w:sz w:val="20"/>
                <w:szCs w:val="20"/>
              </w:rPr>
            </w:pPr>
          </w:p>
        </w:tc>
        <w:tc>
          <w:tcPr>
            <w:tcW w:w="708" w:type="pct"/>
            <w:shd w:val="clear" w:color="auto" w:fill="auto"/>
          </w:tcPr>
          <w:p w14:paraId="5879A10D"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IFX</w:t>
            </w:r>
          </w:p>
        </w:tc>
        <w:tc>
          <w:tcPr>
            <w:tcW w:w="864" w:type="pct"/>
            <w:shd w:val="clear" w:color="auto" w:fill="auto"/>
            <w:vAlign w:val="center"/>
          </w:tcPr>
          <w:p w14:paraId="4D2457F3"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2.03 (0.86, 4.80)</w:t>
            </w:r>
          </w:p>
        </w:tc>
        <w:tc>
          <w:tcPr>
            <w:tcW w:w="865" w:type="pct"/>
            <w:shd w:val="clear" w:color="auto" w:fill="auto"/>
            <w:vAlign w:val="center"/>
          </w:tcPr>
          <w:p w14:paraId="064ED228" w14:textId="77777777" w:rsidR="0059604F" w:rsidRPr="00D42558" w:rsidRDefault="0059604F" w:rsidP="006A1B84">
            <w:pPr>
              <w:jc w:val="center"/>
              <w:rPr>
                <w:rFonts w:ascii="Arial Narrow" w:eastAsiaTheme="majorEastAsia" w:hAnsi="Arial Narrow" w:cs="Times New Roman"/>
                <w:bCs/>
                <w:snapToGrid w:val="0"/>
                <w:sz w:val="20"/>
                <w:szCs w:val="20"/>
              </w:rPr>
            </w:pPr>
            <w:r w:rsidRPr="00D42558">
              <w:rPr>
                <w:rFonts w:ascii="Arial Narrow" w:eastAsiaTheme="majorEastAsia" w:hAnsi="Arial Narrow" w:cs="Times New Roman"/>
                <w:snapToGrid w:val="0"/>
                <w:sz w:val="20"/>
                <w:szCs w:val="20"/>
              </w:rPr>
              <w:t>1.51 (0.77, 2.99)</w:t>
            </w:r>
          </w:p>
        </w:tc>
        <w:tc>
          <w:tcPr>
            <w:tcW w:w="836" w:type="pct"/>
            <w:shd w:val="clear" w:color="auto" w:fill="auto"/>
            <w:noWrap/>
            <w:vAlign w:val="center"/>
          </w:tcPr>
          <w:p w14:paraId="18E109F2" w14:textId="77777777" w:rsidR="0059604F" w:rsidRPr="00D42558" w:rsidRDefault="0059604F" w:rsidP="006A1B84">
            <w:pPr>
              <w:jc w:val="center"/>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0.18 (0.04, 0.32)</w:t>
            </w:r>
          </w:p>
        </w:tc>
      </w:tr>
      <w:tr w:rsidR="0059604F" w:rsidRPr="00D42558" w14:paraId="2E8D1B45" w14:textId="77777777" w:rsidTr="006A1B84">
        <w:trPr>
          <w:trHeight w:val="20"/>
        </w:trPr>
        <w:tc>
          <w:tcPr>
            <w:tcW w:w="1727" w:type="pct"/>
            <w:gridSpan w:val="2"/>
            <w:vMerge/>
            <w:shd w:val="clear" w:color="auto" w:fill="auto"/>
            <w:noWrap/>
          </w:tcPr>
          <w:p w14:paraId="272ED41C" w14:textId="77777777" w:rsidR="0059604F" w:rsidRPr="00D42558" w:rsidRDefault="0059604F" w:rsidP="00097C1E">
            <w:pPr>
              <w:jc w:val="left"/>
              <w:rPr>
                <w:rFonts w:ascii="Arial Narrow" w:eastAsiaTheme="majorEastAsia" w:hAnsi="Arial Narrow" w:cs="Times New Roman"/>
                <w:snapToGrid w:val="0"/>
                <w:sz w:val="20"/>
                <w:szCs w:val="20"/>
              </w:rPr>
            </w:pPr>
          </w:p>
        </w:tc>
        <w:tc>
          <w:tcPr>
            <w:tcW w:w="708" w:type="pct"/>
            <w:shd w:val="clear" w:color="auto" w:fill="auto"/>
          </w:tcPr>
          <w:p w14:paraId="4A8BFD5A"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VDZ</w:t>
            </w:r>
          </w:p>
        </w:tc>
        <w:tc>
          <w:tcPr>
            <w:tcW w:w="864" w:type="pct"/>
            <w:shd w:val="clear" w:color="auto" w:fill="auto"/>
            <w:vAlign w:val="center"/>
          </w:tcPr>
          <w:p w14:paraId="778354F6" w14:textId="77777777" w:rsidR="0059604F" w:rsidRPr="00D42558" w:rsidRDefault="0059604F" w:rsidP="006A1B84">
            <w:pPr>
              <w:jc w:val="center"/>
              <w:rPr>
                <w:rFonts w:ascii="Arial Narrow" w:eastAsiaTheme="majorEastAsia" w:hAnsi="Arial Narrow" w:cs="Times New Roman"/>
                <w:b/>
                <w:snapToGrid w:val="0"/>
                <w:sz w:val="20"/>
                <w:szCs w:val="20"/>
              </w:rPr>
            </w:pPr>
            <w:r w:rsidRPr="00D42558">
              <w:rPr>
                <w:rFonts w:ascii="Arial Narrow" w:eastAsiaTheme="majorEastAsia" w:hAnsi="Arial Narrow" w:cs="Times New Roman"/>
                <w:b/>
                <w:snapToGrid w:val="0"/>
                <w:sz w:val="20"/>
                <w:szCs w:val="20"/>
              </w:rPr>
              <w:t>2.13 (1.04, 4.35)</w:t>
            </w:r>
          </w:p>
        </w:tc>
        <w:tc>
          <w:tcPr>
            <w:tcW w:w="865" w:type="pct"/>
            <w:shd w:val="clear" w:color="auto" w:fill="auto"/>
            <w:vAlign w:val="center"/>
          </w:tcPr>
          <w:p w14:paraId="045F5775" w14:textId="77777777" w:rsidR="0059604F" w:rsidRPr="00D42558" w:rsidRDefault="0059604F" w:rsidP="006A1B84">
            <w:pPr>
              <w:jc w:val="center"/>
              <w:rPr>
                <w:rFonts w:ascii="Arial Narrow" w:eastAsiaTheme="majorEastAsia" w:hAnsi="Arial Narrow" w:cs="Times New Roman"/>
                <w:b/>
                <w:snapToGrid w:val="0"/>
                <w:sz w:val="20"/>
                <w:szCs w:val="20"/>
              </w:rPr>
            </w:pPr>
            <w:r w:rsidRPr="00D42558">
              <w:rPr>
                <w:rFonts w:ascii="Arial Narrow" w:eastAsiaTheme="majorEastAsia" w:hAnsi="Arial Narrow" w:cs="Times New Roman"/>
                <w:b/>
                <w:snapToGrid w:val="0"/>
                <w:sz w:val="20"/>
                <w:szCs w:val="20"/>
              </w:rPr>
              <w:t>1.70 (1.00, 2.88)</w:t>
            </w:r>
          </w:p>
        </w:tc>
        <w:tc>
          <w:tcPr>
            <w:tcW w:w="836" w:type="pct"/>
            <w:shd w:val="clear" w:color="auto" w:fill="auto"/>
            <w:noWrap/>
            <w:vAlign w:val="center"/>
          </w:tcPr>
          <w:p w14:paraId="58AAE12B" w14:textId="77777777" w:rsidR="0059604F" w:rsidRPr="00D42558" w:rsidRDefault="0059604F" w:rsidP="006A1B84">
            <w:pPr>
              <w:jc w:val="center"/>
              <w:rPr>
                <w:rFonts w:ascii="Arial Narrow" w:eastAsiaTheme="majorEastAsia" w:hAnsi="Arial Narrow" w:cs="Times New Roman"/>
                <w:b/>
                <w:snapToGrid w:val="0"/>
                <w:sz w:val="20"/>
                <w:szCs w:val="20"/>
              </w:rPr>
            </w:pPr>
            <w:r w:rsidRPr="00D42558">
              <w:rPr>
                <w:rFonts w:ascii="Arial Narrow" w:eastAsiaTheme="majorEastAsia" w:hAnsi="Arial Narrow" w:cs="Times New Roman"/>
                <w:b/>
                <w:snapToGrid w:val="0"/>
                <w:sz w:val="20"/>
                <w:szCs w:val="20"/>
              </w:rPr>
              <w:t>0.14 (0.01, 0.28)</w:t>
            </w:r>
          </w:p>
        </w:tc>
      </w:tr>
      <w:tr w:rsidR="0059604F" w:rsidRPr="00D42558" w14:paraId="51FBF5E4" w14:textId="77777777" w:rsidTr="006A1B84">
        <w:trPr>
          <w:trHeight w:val="20"/>
        </w:trPr>
        <w:tc>
          <w:tcPr>
            <w:tcW w:w="1727" w:type="pct"/>
            <w:gridSpan w:val="2"/>
            <w:vMerge/>
            <w:shd w:val="clear" w:color="auto" w:fill="auto"/>
            <w:noWrap/>
          </w:tcPr>
          <w:p w14:paraId="765BE813" w14:textId="77777777" w:rsidR="0059604F" w:rsidRPr="00D42558" w:rsidRDefault="0059604F" w:rsidP="00097C1E">
            <w:pPr>
              <w:jc w:val="left"/>
              <w:rPr>
                <w:rFonts w:ascii="Arial Narrow" w:eastAsiaTheme="majorEastAsia" w:hAnsi="Arial Narrow" w:cs="Times New Roman"/>
                <w:snapToGrid w:val="0"/>
                <w:sz w:val="20"/>
                <w:szCs w:val="20"/>
              </w:rPr>
            </w:pPr>
          </w:p>
        </w:tc>
        <w:tc>
          <w:tcPr>
            <w:tcW w:w="708" w:type="pct"/>
            <w:shd w:val="clear" w:color="auto" w:fill="auto"/>
          </w:tcPr>
          <w:p w14:paraId="3EE32214"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VDZ SC</w:t>
            </w:r>
          </w:p>
        </w:tc>
        <w:tc>
          <w:tcPr>
            <w:tcW w:w="864" w:type="pct"/>
            <w:shd w:val="clear" w:color="auto" w:fill="auto"/>
            <w:vAlign w:val="center"/>
          </w:tcPr>
          <w:p w14:paraId="3952DAA7" w14:textId="77777777" w:rsidR="0059604F" w:rsidRPr="00D42558" w:rsidRDefault="0059604F" w:rsidP="006A1B84">
            <w:pPr>
              <w:jc w:val="center"/>
              <w:rPr>
                <w:rFonts w:ascii="Arial Narrow" w:eastAsiaTheme="majorEastAsia" w:hAnsi="Arial Narrow" w:cs="Times New Roman"/>
                <w:b/>
                <w:snapToGrid w:val="0"/>
                <w:sz w:val="20"/>
                <w:szCs w:val="20"/>
              </w:rPr>
            </w:pPr>
            <w:r w:rsidRPr="00D42558">
              <w:rPr>
                <w:rFonts w:ascii="Arial Narrow" w:eastAsiaTheme="majorEastAsia" w:hAnsi="Arial Narrow" w:cs="Times New Roman"/>
                <w:b/>
                <w:snapToGrid w:val="0"/>
                <w:sz w:val="20"/>
                <w:szCs w:val="20"/>
              </w:rPr>
              <w:t xml:space="preserve">2.15 (1.10, </w:t>
            </w:r>
            <w:proofErr w:type="gramStart"/>
            <w:r w:rsidRPr="00D42558">
              <w:rPr>
                <w:rFonts w:ascii="Arial Narrow" w:eastAsiaTheme="majorEastAsia" w:hAnsi="Arial Narrow" w:cs="Times New Roman"/>
                <w:b/>
                <w:snapToGrid w:val="0"/>
                <w:sz w:val="20"/>
                <w:szCs w:val="20"/>
              </w:rPr>
              <w:t>4.19)</w:t>
            </w:r>
            <w:r w:rsidRPr="00D42558">
              <w:rPr>
                <w:rFonts w:ascii="Arial Narrow" w:eastAsiaTheme="majorEastAsia" w:hAnsi="Arial Narrow" w:cs="Times New Roman"/>
                <w:b/>
                <w:snapToGrid w:val="0"/>
                <w:sz w:val="20"/>
                <w:szCs w:val="20"/>
                <w:vertAlign w:val="superscript"/>
              </w:rPr>
              <w:t>a</w:t>
            </w:r>
            <w:proofErr w:type="gramEnd"/>
          </w:p>
        </w:tc>
        <w:tc>
          <w:tcPr>
            <w:tcW w:w="865" w:type="pct"/>
            <w:shd w:val="clear" w:color="auto" w:fill="auto"/>
            <w:vAlign w:val="center"/>
          </w:tcPr>
          <w:p w14:paraId="691F2289" w14:textId="6DD6E02D" w:rsidR="0059604F" w:rsidRPr="00D42558" w:rsidRDefault="0059604F" w:rsidP="006A1B84">
            <w:pPr>
              <w:jc w:val="center"/>
              <w:rPr>
                <w:rFonts w:ascii="Arial Narrow" w:eastAsiaTheme="majorEastAsia" w:hAnsi="Arial Narrow" w:cs="Times New Roman"/>
                <w:b/>
                <w:snapToGrid w:val="0"/>
                <w:sz w:val="20"/>
                <w:szCs w:val="20"/>
              </w:rPr>
            </w:pPr>
            <w:r w:rsidRPr="00D42558">
              <w:rPr>
                <w:rFonts w:ascii="Arial Narrow" w:eastAsiaTheme="majorEastAsia" w:hAnsi="Arial Narrow" w:cs="Times New Roman"/>
                <w:b/>
                <w:snapToGrid w:val="0"/>
                <w:sz w:val="20"/>
                <w:szCs w:val="20"/>
              </w:rPr>
              <w:t xml:space="preserve">1.84 (1.14, </w:t>
            </w:r>
            <w:proofErr w:type="gramStart"/>
            <w:r w:rsidRPr="00D42558">
              <w:rPr>
                <w:rFonts w:ascii="Arial Narrow" w:eastAsiaTheme="majorEastAsia" w:hAnsi="Arial Narrow" w:cs="Times New Roman"/>
                <w:b/>
                <w:snapToGrid w:val="0"/>
                <w:sz w:val="20"/>
                <w:szCs w:val="20"/>
              </w:rPr>
              <w:t>2.97)</w:t>
            </w:r>
            <w:r w:rsidRPr="00D42558">
              <w:rPr>
                <w:rFonts w:ascii="Arial Narrow" w:eastAsiaTheme="majorEastAsia" w:hAnsi="Arial Narrow" w:cs="Times New Roman"/>
                <w:b/>
                <w:snapToGrid w:val="0"/>
                <w:sz w:val="20"/>
                <w:szCs w:val="20"/>
                <w:vertAlign w:val="superscript"/>
              </w:rPr>
              <w:t>a</w:t>
            </w:r>
            <w:proofErr w:type="gramEnd"/>
          </w:p>
        </w:tc>
        <w:tc>
          <w:tcPr>
            <w:tcW w:w="836" w:type="pct"/>
            <w:shd w:val="clear" w:color="auto" w:fill="auto"/>
            <w:noWrap/>
            <w:vAlign w:val="center"/>
          </w:tcPr>
          <w:p w14:paraId="6A7CD4C8" w14:textId="77777777" w:rsidR="0059604F" w:rsidRPr="00D42558" w:rsidRDefault="0059604F" w:rsidP="006A1B84">
            <w:pPr>
              <w:jc w:val="center"/>
              <w:rPr>
                <w:rFonts w:ascii="Arial Narrow" w:eastAsiaTheme="majorEastAsia" w:hAnsi="Arial Narrow" w:cs="Times New Roman"/>
                <w:b/>
                <w:snapToGrid w:val="0"/>
                <w:sz w:val="20"/>
                <w:szCs w:val="20"/>
              </w:rPr>
            </w:pPr>
            <w:r w:rsidRPr="00D42558">
              <w:rPr>
                <w:rFonts w:ascii="Arial Narrow" w:eastAsiaTheme="majorEastAsia" w:hAnsi="Arial Narrow" w:cs="Times New Roman"/>
                <w:b/>
                <w:snapToGrid w:val="0"/>
                <w:sz w:val="20"/>
                <w:szCs w:val="20"/>
              </w:rPr>
              <w:t>0.19 (0.05, 0.32)</w:t>
            </w:r>
          </w:p>
        </w:tc>
      </w:tr>
      <w:tr w:rsidR="0059604F" w:rsidRPr="00D42558" w14:paraId="62A3AB5D" w14:textId="77777777" w:rsidTr="006A1B84">
        <w:trPr>
          <w:trHeight w:val="20"/>
        </w:trPr>
        <w:tc>
          <w:tcPr>
            <w:tcW w:w="1727" w:type="pct"/>
            <w:gridSpan w:val="2"/>
            <w:vMerge/>
            <w:shd w:val="clear" w:color="auto" w:fill="auto"/>
            <w:noWrap/>
          </w:tcPr>
          <w:p w14:paraId="4A15019F" w14:textId="77777777" w:rsidR="0059604F" w:rsidRPr="00D42558" w:rsidRDefault="0059604F" w:rsidP="00097C1E">
            <w:pPr>
              <w:jc w:val="left"/>
              <w:rPr>
                <w:rFonts w:ascii="Arial Narrow" w:eastAsiaTheme="majorEastAsia" w:hAnsi="Arial Narrow" w:cs="Times New Roman"/>
                <w:snapToGrid w:val="0"/>
                <w:sz w:val="20"/>
                <w:szCs w:val="20"/>
              </w:rPr>
            </w:pPr>
          </w:p>
        </w:tc>
        <w:tc>
          <w:tcPr>
            <w:tcW w:w="708" w:type="pct"/>
            <w:shd w:val="clear" w:color="auto" w:fill="auto"/>
          </w:tcPr>
          <w:p w14:paraId="22EC09C7"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UST</w:t>
            </w:r>
          </w:p>
        </w:tc>
        <w:tc>
          <w:tcPr>
            <w:tcW w:w="864" w:type="pct"/>
            <w:shd w:val="clear" w:color="auto" w:fill="auto"/>
            <w:vAlign w:val="center"/>
          </w:tcPr>
          <w:p w14:paraId="543FE90A" w14:textId="77777777" w:rsidR="0059604F" w:rsidRPr="00D42558" w:rsidRDefault="0059604F" w:rsidP="006A1B84">
            <w:pPr>
              <w:jc w:val="center"/>
              <w:rPr>
                <w:rFonts w:ascii="Arial Narrow" w:eastAsiaTheme="majorEastAsia" w:hAnsi="Arial Narrow" w:cs="Times New Roman"/>
                <w:b/>
                <w:snapToGrid w:val="0"/>
                <w:sz w:val="20"/>
                <w:szCs w:val="20"/>
              </w:rPr>
            </w:pPr>
            <w:r w:rsidRPr="00D42558">
              <w:rPr>
                <w:rFonts w:ascii="Arial Narrow" w:eastAsiaTheme="majorEastAsia" w:hAnsi="Arial Narrow" w:cs="Times New Roman"/>
                <w:b/>
                <w:snapToGrid w:val="0"/>
                <w:sz w:val="20"/>
                <w:szCs w:val="20"/>
              </w:rPr>
              <w:t>2.51 (1.22, 5.17)</w:t>
            </w:r>
          </w:p>
        </w:tc>
        <w:tc>
          <w:tcPr>
            <w:tcW w:w="865" w:type="pct"/>
            <w:shd w:val="clear" w:color="auto" w:fill="auto"/>
            <w:vAlign w:val="center"/>
          </w:tcPr>
          <w:p w14:paraId="32DC04FE" w14:textId="77777777" w:rsidR="0059604F" w:rsidRPr="00D42558" w:rsidRDefault="0059604F" w:rsidP="006A1B84">
            <w:pPr>
              <w:jc w:val="center"/>
              <w:rPr>
                <w:rFonts w:ascii="Arial Narrow" w:eastAsiaTheme="majorEastAsia" w:hAnsi="Arial Narrow" w:cs="Times New Roman"/>
                <w:b/>
                <w:snapToGrid w:val="0"/>
                <w:sz w:val="20"/>
                <w:szCs w:val="20"/>
              </w:rPr>
            </w:pPr>
            <w:r w:rsidRPr="00D42558">
              <w:rPr>
                <w:rFonts w:ascii="Arial Narrow" w:eastAsiaTheme="majorEastAsia" w:hAnsi="Arial Narrow" w:cs="Times New Roman"/>
                <w:b/>
                <w:snapToGrid w:val="0"/>
                <w:sz w:val="20"/>
                <w:szCs w:val="20"/>
              </w:rPr>
              <w:t>2.12 (1.31, 3.44)</w:t>
            </w:r>
          </w:p>
        </w:tc>
        <w:tc>
          <w:tcPr>
            <w:tcW w:w="836" w:type="pct"/>
            <w:shd w:val="clear" w:color="auto" w:fill="auto"/>
            <w:noWrap/>
            <w:vAlign w:val="center"/>
          </w:tcPr>
          <w:p w14:paraId="3DB84E61"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0.15 (0.00, 0.30)</w:t>
            </w:r>
          </w:p>
        </w:tc>
      </w:tr>
      <w:tr w:rsidR="0059604F" w:rsidRPr="00D42558" w14:paraId="0D46EB1F" w14:textId="77777777" w:rsidTr="006A1B84">
        <w:trPr>
          <w:trHeight w:val="20"/>
        </w:trPr>
        <w:tc>
          <w:tcPr>
            <w:tcW w:w="1727" w:type="pct"/>
            <w:gridSpan w:val="2"/>
            <w:vMerge w:val="restart"/>
            <w:shd w:val="clear" w:color="auto" w:fill="auto"/>
            <w:noWrap/>
          </w:tcPr>
          <w:p w14:paraId="3BF1FD9B" w14:textId="13741807" w:rsidR="0059604F" w:rsidRPr="00D42558" w:rsidRDefault="0059604F" w:rsidP="00796F9F">
            <w:pPr>
              <w:jc w:val="left"/>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t>Indirect comparison</w:t>
            </w:r>
            <w:r w:rsidR="000D7B73" w:rsidRPr="00D42558">
              <w:rPr>
                <w:rFonts w:ascii="Arial Narrow" w:eastAsiaTheme="majorEastAsia" w:hAnsi="Arial Narrow" w:cs="Times New Roman"/>
                <w:b/>
                <w:bCs/>
                <w:snapToGrid w:val="0"/>
                <w:sz w:val="20"/>
                <w:szCs w:val="20"/>
              </w:rPr>
              <w:t>:</w:t>
            </w:r>
          </w:p>
          <w:p w14:paraId="4D9AEF96" w14:textId="334C5242" w:rsidR="0059604F" w:rsidRPr="00D42558" w:rsidRDefault="0059604F" w:rsidP="00796F9F">
            <w:pPr>
              <w:jc w:val="left"/>
              <w:rPr>
                <w:rFonts w:ascii="Arial Narrow" w:eastAsiaTheme="majorEastAsia" w:hAnsi="Arial Narrow" w:cs="Times New Roman"/>
                <w:bCs/>
                <w:snapToGrid w:val="0"/>
                <w:sz w:val="20"/>
                <w:szCs w:val="20"/>
              </w:rPr>
            </w:pPr>
            <w:r w:rsidRPr="00D42558">
              <w:rPr>
                <w:rFonts w:ascii="Arial Narrow" w:eastAsiaTheme="majorEastAsia" w:hAnsi="Arial Narrow" w:cs="Times New Roman"/>
                <w:b/>
                <w:bCs/>
                <w:snapToGrid w:val="0"/>
                <w:sz w:val="20"/>
                <w:szCs w:val="20"/>
              </w:rPr>
              <w:t xml:space="preserve">UPA 30 mg </w:t>
            </w:r>
            <w:r w:rsidR="00CB7C01" w:rsidRPr="00D42558">
              <w:rPr>
                <w:rFonts w:ascii="Arial Narrow" w:eastAsiaTheme="majorEastAsia" w:hAnsi="Arial Narrow" w:cs="Times New Roman"/>
                <w:b/>
                <w:bCs/>
                <w:snapToGrid w:val="0"/>
                <w:sz w:val="20"/>
                <w:szCs w:val="20"/>
              </w:rPr>
              <w:t>vs</w:t>
            </w:r>
            <w:r w:rsidRPr="00D42558">
              <w:rPr>
                <w:rFonts w:ascii="Arial Narrow" w:eastAsiaTheme="majorEastAsia" w:hAnsi="Arial Narrow" w:cs="Times New Roman"/>
                <w:b/>
                <w:bCs/>
                <w:snapToGrid w:val="0"/>
                <w:sz w:val="20"/>
                <w:szCs w:val="20"/>
              </w:rPr>
              <w:t xml:space="preserve"> comparators</w:t>
            </w:r>
          </w:p>
        </w:tc>
        <w:tc>
          <w:tcPr>
            <w:tcW w:w="708" w:type="pct"/>
            <w:shd w:val="clear" w:color="auto" w:fill="auto"/>
          </w:tcPr>
          <w:p w14:paraId="4BE623E2"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ADA</w:t>
            </w:r>
          </w:p>
        </w:tc>
        <w:tc>
          <w:tcPr>
            <w:tcW w:w="864" w:type="pct"/>
            <w:shd w:val="clear" w:color="auto" w:fill="auto"/>
            <w:vAlign w:val="center"/>
          </w:tcPr>
          <w:p w14:paraId="56FB7F80"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0.75 (0.36, 1.55)</w:t>
            </w:r>
          </w:p>
        </w:tc>
        <w:tc>
          <w:tcPr>
            <w:tcW w:w="865" w:type="pct"/>
            <w:shd w:val="clear" w:color="auto" w:fill="auto"/>
            <w:vAlign w:val="center"/>
          </w:tcPr>
          <w:p w14:paraId="095728A5"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0.88 (0.51, 1.52)</w:t>
            </w:r>
          </w:p>
        </w:tc>
        <w:tc>
          <w:tcPr>
            <w:tcW w:w="836" w:type="pct"/>
            <w:shd w:val="clear" w:color="auto" w:fill="auto"/>
            <w:noWrap/>
            <w:vAlign w:val="center"/>
          </w:tcPr>
          <w:p w14:paraId="6FBEFEEE"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-0.04 (-0.16, 0.08)</w:t>
            </w:r>
          </w:p>
        </w:tc>
      </w:tr>
      <w:tr w:rsidR="0059604F" w:rsidRPr="00D42558" w14:paraId="50036066" w14:textId="77777777" w:rsidTr="006A1B84">
        <w:trPr>
          <w:trHeight w:val="20"/>
        </w:trPr>
        <w:tc>
          <w:tcPr>
            <w:tcW w:w="1727" w:type="pct"/>
            <w:gridSpan w:val="2"/>
            <w:vMerge/>
            <w:shd w:val="clear" w:color="auto" w:fill="auto"/>
            <w:noWrap/>
          </w:tcPr>
          <w:p w14:paraId="74B6C512" w14:textId="77777777" w:rsidR="0059604F" w:rsidRPr="00D42558" w:rsidRDefault="0059604F" w:rsidP="00796F9F">
            <w:pPr>
              <w:jc w:val="left"/>
              <w:rPr>
                <w:rFonts w:ascii="Arial Narrow" w:eastAsiaTheme="majorEastAsia" w:hAnsi="Arial Narrow" w:cs="Times New Roman"/>
                <w:snapToGrid w:val="0"/>
                <w:sz w:val="20"/>
                <w:szCs w:val="20"/>
              </w:rPr>
            </w:pPr>
          </w:p>
        </w:tc>
        <w:tc>
          <w:tcPr>
            <w:tcW w:w="708" w:type="pct"/>
            <w:shd w:val="clear" w:color="auto" w:fill="auto"/>
          </w:tcPr>
          <w:p w14:paraId="22B34850"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RISA</w:t>
            </w:r>
          </w:p>
        </w:tc>
        <w:tc>
          <w:tcPr>
            <w:tcW w:w="864" w:type="pct"/>
            <w:shd w:val="clear" w:color="auto" w:fill="auto"/>
            <w:vAlign w:val="center"/>
          </w:tcPr>
          <w:p w14:paraId="52E9F9CE"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b/>
                <w:snapToGrid w:val="0"/>
                <w:sz w:val="20"/>
                <w:szCs w:val="20"/>
              </w:rPr>
              <w:t>2.08 (1.04, 4.18)</w:t>
            </w:r>
          </w:p>
        </w:tc>
        <w:tc>
          <w:tcPr>
            <w:tcW w:w="865" w:type="pct"/>
            <w:shd w:val="clear" w:color="auto" w:fill="auto"/>
            <w:vAlign w:val="center"/>
          </w:tcPr>
          <w:p w14:paraId="75213E62"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b/>
                <w:snapToGrid w:val="0"/>
                <w:sz w:val="20"/>
                <w:szCs w:val="20"/>
              </w:rPr>
              <w:t>1.92 (1.19, 3.08)</w:t>
            </w:r>
          </w:p>
        </w:tc>
        <w:tc>
          <w:tcPr>
            <w:tcW w:w="836" w:type="pct"/>
            <w:shd w:val="clear" w:color="auto" w:fill="auto"/>
            <w:noWrap/>
            <w:vAlign w:val="center"/>
          </w:tcPr>
          <w:p w14:paraId="17631AAF"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bCs/>
                <w:snapToGrid w:val="0"/>
                <w:sz w:val="20"/>
                <w:szCs w:val="20"/>
              </w:rPr>
              <w:t>0.10 (-0.04, 0.25)</w:t>
            </w:r>
          </w:p>
        </w:tc>
      </w:tr>
      <w:tr w:rsidR="0059604F" w:rsidRPr="00D42558" w14:paraId="1E98634C" w14:textId="77777777" w:rsidTr="006A1B84">
        <w:trPr>
          <w:trHeight w:val="20"/>
        </w:trPr>
        <w:tc>
          <w:tcPr>
            <w:tcW w:w="1727" w:type="pct"/>
            <w:gridSpan w:val="2"/>
            <w:vMerge/>
            <w:shd w:val="clear" w:color="auto" w:fill="auto"/>
            <w:noWrap/>
          </w:tcPr>
          <w:p w14:paraId="2C960511" w14:textId="77777777" w:rsidR="0059604F" w:rsidRPr="00D42558" w:rsidRDefault="0059604F" w:rsidP="00796F9F">
            <w:pPr>
              <w:jc w:val="left"/>
              <w:rPr>
                <w:rFonts w:ascii="Arial Narrow" w:eastAsiaTheme="majorEastAsia" w:hAnsi="Arial Narrow" w:cs="Times New Roman"/>
                <w:snapToGrid w:val="0"/>
                <w:sz w:val="20"/>
                <w:szCs w:val="20"/>
              </w:rPr>
            </w:pPr>
          </w:p>
        </w:tc>
        <w:tc>
          <w:tcPr>
            <w:tcW w:w="708" w:type="pct"/>
            <w:shd w:val="clear" w:color="auto" w:fill="auto"/>
          </w:tcPr>
          <w:p w14:paraId="124D391E"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IFX</w:t>
            </w:r>
          </w:p>
        </w:tc>
        <w:tc>
          <w:tcPr>
            <w:tcW w:w="864" w:type="pct"/>
            <w:shd w:val="clear" w:color="auto" w:fill="auto"/>
            <w:vAlign w:val="center"/>
          </w:tcPr>
          <w:p w14:paraId="3794E281"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1.33 (0.56, 3.15)</w:t>
            </w:r>
          </w:p>
        </w:tc>
        <w:tc>
          <w:tcPr>
            <w:tcW w:w="865" w:type="pct"/>
            <w:shd w:val="clear" w:color="auto" w:fill="auto"/>
            <w:vAlign w:val="center"/>
          </w:tcPr>
          <w:p w14:paraId="65C247F3"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1.18 (0.59, 2.36)</w:t>
            </w:r>
          </w:p>
        </w:tc>
        <w:tc>
          <w:tcPr>
            <w:tcW w:w="836" w:type="pct"/>
            <w:shd w:val="clear" w:color="auto" w:fill="auto"/>
            <w:noWrap/>
            <w:vAlign w:val="center"/>
          </w:tcPr>
          <w:p w14:paraId="694F345B"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0.07 (-0.06, 0.21)</w:t>
            </w:r>
          </w:p>
        </w:tc>
      </w:tr>
      <w:tr w:rsidR="0059604F" w:rsidRPr="00D42558" w14:paraId="798563A5" w14:textId="77777777" w:rsidTr="006A1B84">
        <w:trPr>
          <w:trHeight w:val="20"/>
        </w:trPr>
        <w:tc>
          <w:tcPr>
            <w:tcW w:w="1727" w:type="pct"/>
            <w:gridSpan w:val="2"/>
            <w:vMerge/>
            <w:shd w:val="clear" w:color="auto" w:fill="auto"/>
            <w:noWrap/>
          </w:tcPr>
          <w:p w14:paraId="57262516" w14:textId="77777777" w:rsidR="0059604F" w:rsidRPr="00D42558" w:rsidRDefault="0059604F" w:rsidP="00796F9F">
            <w:pPr>
              <w:jc w:val="left"/>
              <w:rPr>
                <w:rFonts w:ascii="Arial Narrow" w:eastAsiaTheme="majorEastAsia" w:hAnsi="Arial Narrow" w:cs="Times New Roman"/>
                <w:snapToGrid w:val="0"/>
                <w:sz w:val="20"/>
                <w:szCs w:val="20"/>
              </w:rPr>
            </w:pPr>
          </w:p>
        </w:tc>
        <w:tc>
          <w:tcPr>
            <w:tcW w:w="708" w:type="pct"/>
            <w:shd w:val="clear" w:color="auto" w:fill="auto"/>
          </w:tcPr>
          <w:p w14:paraId="6D69ABF5"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VDZ</w:t>
            </w:r>
          </w:p>
        </w:tc>
        <w:tc>
          <w:tcPr>
            <w:tcW w:w="864" w:type="pct"/>
            <w:shd w:val="clear" w:color="auto" w:fill="auto"/>
            <w:vAlign w:val="center"/>
          </w:tcPr>
          <w:p w14:paraId="09F6D696"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1.39 (0.68, 2.85)</w:t>
            </w:r>
          </w:p>
        </w:tc>
        <w:tc>
          <w:tcPr>
            <w:tcW w:w="865" w:type="pct"/>
            <w:shd w:val="clear" w:color="auto" w:fill="auto"/>
            <w:vAlign w:val="center"/>
          </w:tcPr>
          <w:p w14:paraId="5D92E047"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1.33 (0.78, 2.28)</w:t>
            </w:r>
          </w:p>
        </w:tc>
        <w:tc>
          <w:tcPr>
            <w:tcW w:w="836" w:type="pct"/>
            <w:shd w:val="clear" w:color="auto" w:fill="auto"/>
            <w:noWrap/>
            <w:vAlign w:val="center"/>
          </w:tcPr>
          <w:p w14:paraId="66B2EEF0"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0.04 (-0.09, 0.18)</w:t>
            </w:r>
          </w:p>
        </w:tc>
      </w:tr>
      <w:tr w:rsidR="0059604F" w:rsidRPr="00D42558" w14:paraId="33D83EC0" w14:textId="77777777" w:rsidTr="006A1B84">
        <w:trPr>
          <w:trHeight w:val="20"/>
        </w:trPr>
        <w:tc>
          <w:tcPr>
            <w:tcW w:w="1727" w:type="pct"/>
            <w:gridSpan w:val="2"/>
            <w:vMerge/>
            <w:shd w:val="clear" w:color="auto" w:fill="auto"/>
            <w:noWrap/>
          </w:tcPr>
          <w:p w14:paraId="0D4CB7D1" w14:textId="77777777" w:rsidR="0059604F" w:rsidRPr="00D42558" w:rsidRDefault="0059604F" w:rsidP="00796F9F">
            <w:pPr>
              <w:jc w:val="left"/>
              <w:rPr>
                <w:rFonts w:ascii="Arial Narrow" w:eastAsiaTheme="majorEastAsia" w:hAnsi="Arial Narrow" w:cs="Times New Roman"/>
                <w:snapToGrid w:val="0"/>
                <w:sz w:val="20"/>
                <w:szCs w:val="20"/>
              </w:rPr>
            </w:pPr>
          </w:p>
        </w:tc>
        <w:tc>
          <w:tcPr>
            <w:tcW w:w="708" w:type="pct"/>
            <w:shd w:val="clear" w:color="auto" w:fill="auto"/>
          </w:tcPr>
          <w:p w14:paraId="53347E9A"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VDZ SC</w:t>
            </w:r>
          </w:p>
        </w:tc>
        <w:tc>
          <w:tcPr>
            <w:tcW w:w="864" w:type="pct"/>
            <w:shd w:val="clear" w:color="auto" w:fill="auto"/>
            <w:vAlign w:val="center"/>
          </w:tcPr>
          <w:p w14:paraId="66187B5E"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 xml:space="preserve">1.41 (0.72, </w:t>
            </w:r>
            <w:proofErr w:type="gramStart"/>
            <w:r w:rsidRPr="00D42558">
              <w:rPr>
                <w:rFonts w:ascii="Arial Narrow" w:eastAsiaTheme="majorEastAsia" w:hAnsi="Arial Narrow" w:cs="Times New Roman"/>
                <w:snapToGrid w:val="0"/>
                <w:sz w:val="20"/>
                <w:szCs w:val="20"/>
              </w:rPr>
              <w:t>2.75)</w:t>
            </w:r>
            <w:r w:rsidRPr="00D42558">
              <w:rPr>
                <w:rFonts w:ascii="Arial Narrow" w:eastAsiaTheme="majorEastAsia" w:hAnsi="Arial Narrow" w:cs="Times New Roman"/>
                <w:snapToGrid w:val="0"/>
                <w:sz w:val="20"/>
                <w:szCs w:val="20"/>
                <w:vertAlign w:val="superscript"/>
              </w:rPr>
              <w:t>a</w:t>
            </w:r>
            <w:proofErr w:type="gramEnd"/>
          </w:p>
        </w:tc>
        <w:tc>
          <w:tcPr>
            <w:tcW w:w="865" w:type="pct"/>
            <w:shd w:val="clear" w:color="auto" w:fill="auto"/>
            <w:vAlign w:val="center"/>
          </w:tcPr>
          <w:p w14:paraId="772662EE"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 xml:space="preserve">1.44 (0.88, </w:t>
            </w:r>
            <w:proofErr w:type="gramStart"/>
            <w:r w:rsidRPr="00D42558">
              <w:rPr>
                <w:rFonts w:ascii="Arial Narrow" w:eastAsiaTheme="majorEastAsia" w:hAnsi="Arial Narrow" w:cs="Times New Roman"/>
                <w:snapToGrid w:val="0"/>
                <w:sz w:val="20"/>
                <w:szCs w:val="20"/>
              </w:rPr>
              <w:t>2.36)</w:t>
            </w:r>
            <w:r w:rsidRPr="00D42558">
              <w:rPr>
                <w:rFonts w:ascii="Arial Narrow" w:eastAsiaTheme="majorEastAsia" w:hAnsi="Arial Narrow" w:cs="Times New Roman"/>
                <w:snapToGrid w:val="0"/>
                <w:sz w:val="20"/>
                <w:szCs w:val="20"/>
                <w:vertAlign w:val="superscript"/>
              </w:rPr>
              <w:t>a</w:t>
            </w:r>
            <w:proofErr w:type="gramEnd"/>
          </w:p>
        </w:tc>
        <w:tc>
          <w:tcPr>
            <w:tcW w:w="836" w:type="pct"/>
            <w:shd w:val="clear" w:color="auto" w:fill="auto"/>
            <w:noWrap/>
            <w:vAlign w:val="center"/>
          </w:tcPr>
          <w:p w14:paraId="16AE329C"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0.08 (-0.05, 0.22)</w:t>
            </w:r>
          </w:p>
        </w:tc>
      </w:tr>
      <w:tr w:rsidR="0059604F" w:rsidRPr="00D42558" w14:paraId="58D3FB31" w14:textId="77777777" w:rsidTr="006A1B84">
        <w:trPr>
          <w:trHeight w:val="20"/>
        </w:trPr>
        <w:tc>
          <w:tcPr>
            <w:tcW w:w="1727" w:type="pct"/>
            <w:gridSpan w:val="2"/>
            <w:vMerge/>
            <w:shd w:val="clear" w:color="auto" w:fill="auto"/>
            <w:noWrap/>
          </w:tcPr>
          <w:p w14:paraId="09EC0872" w14:textId="77777777" w:rsidR="0059604F" w:rsidRPr="00D42558" w:rsidRDefault="0059604F" w:rsidP="00796F9F">
            <w:pPr>
              <w:jc w:val="left"/>
              <w:rPr>
                <w:rFonts w:ascii="Arial Narrow" w:eastAsiaTheme="majorEastAsia" w:hAnsi="Arial Narrow" w:cs="Times New Roman"/>
                <w:snapToGrid w:val="0"/>
                <w:sz w:val="20"/>
                <w:szCs w:val="20"/>
              </w:rPr>
            </w:pPr>
          </w:p>
        </w:tc>
        <w:tc>
          <w:tcPr>
            <w:tcW w:w="708" w:type="pct"/>
            <w:shd w:val="clear" w:color="auto" w:fill="auto"/>
          </w:tcPr>
          <w:p w14:paraId="3F0CB5D6"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UST</w:t>
            </w:r>
          </w:p>
        </w:tc>
        <w:tc>
          <w:tcPr>
            <w:tcW w:w="864" w:type="pct"/>
            <w:shd w:val="clear" w:color="auto" w:fill="auto"/>
            <w:vAlign w:val="center"/>
          </w:tcPr>
          <w:p w14:paraId="65A8A3F6"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1.64 (0.80, 3.39)</w:t>
            </w:r>
          </w:p>
        </w:tc>
        <w:tc>
          <w:tcPr>
            <w:tcW w:w="865" w:type="pct"/>
            <w:shd w:val="clear" w:color="auto" w:fill="auto"/>
            <w:vAlign w:val="center"/>
          </w:tcPr>
          <w:p w14:paraId="11A710AD" w14:textId="77777777" w:rsidR="0059604F" w:rsidRPr="00D42558" w:rsidRDefault="0059604F" w:rsidP="006A1B84">
            <w:pPr>
              <w:jc w:val="center"/>
              <w:rPr>
                <w:rFonts w:ascii="Arial Narrow" w:eastAsiaTheme="majorEastAsia" w:hAnsi="Arial Narrow" w:cs="Times New Roman"/>
                <w:b/>
                <w:snapToGrid w:val="0"/>
                <w:sz w:val="20"/>
                <w:szCs w:val="20"/>
              </w:rPr>
            </w:pPr>
            <w:r w:rsidRPr="00D42558">
              <w:rPr>
                <w:rFonts w:ascii="Arial Narrow" w:eastAsiaTheme="majorEastAsia" w:hAnsi="Arial Narrow" w:cs="Times New Roman"/>
                <w:b/>
                <w:snapToGrid w:val="0"/>
                <w:sz w:val="20"/>
                <w:szCs w:val="20"/>
              </w:rPr>
              <w:t>1.66 (1.01, 2.73)</w:t>
            </w:r>
          </w:p>
        </w:tc>
        <w:tc>
          <w:tcPr>
            <w:tcW w:w="836" w:type="pct"/>
            <w:shd w:val="clear" w:color="auto" w:fill="auto"/>
            <w:noWrap/>
            <w:vAlign w:val="center"/>
          </w:tcPr>
          <w:p w14:paraId="51377D6F"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0.05 (-0.10, 0.20)</w:t>
            </w:r>
          </w:p>
        </w:tc>
      </w:tr>
      <w:tr w:rsidR="0059604F" w:rsidRPr="00D42558" w14:paraId="0024DF2F" w14:textId="77777777" w:rsidTr="006A1B84">
        <w:trPr>
          <w:trHeight w:val="20"/>
        </w:trPr>
        <w:tc>
          <w:tcPr>
            <w:tcW w:w="1727" w:type="pct"/>
            <w:gridSpan w:val="2"/>
            <w:vMerge w:val="restart"/>
            <w:shd w:val="clear" w:color="auto" w:fill="auto"/>
            <w:noWrap/>
          </w:tcPr>
          <w:p w14:paraId="2D7DA29F" w14:textId="67CA7B04" w:rsidR="0059604F" w:rsidRPr="00D42558" w:rsidRDefault="0059604F" w:rsidP="00796F9F">
            <w:pPr>
              <w:jc w:val="left"/>
              <w:rPr>
                <w:rFonts w:ascii="Arial Narrow" w:eastAsiaTheme="majorEastAsia" w:hAnsi="Arial Narrow" w:cs="Times New Roman"/>
                <w:b/>
                <w:bCs/>
                <w:snapToGrid w:val="0"/>
                <w:sz w:val="20"/>
                <w:szCs w:val="20"/>
              </w:rPr>
            </w:pPr>
            <w:r w:rsidRPr="00D42558">
              <w:rPr>
                <w:rFonts w:ascii="Arial Narrow" w:eastAsiaTheme="majorEastAsia" w:hAnsi="Arial Narrow" w:cs="Times New Roman"/>
                <w:b/>
                <w:bCs/>
                <w:snapToGrid w:val="0"/>
                <w:sz w:val="20"/>
                <w:szCs w:val="20"/>
              </w:rPr>
              <w:lastRenderedPageBreak/>
              <w:t>Indirect comparison</w:t>
            </w:r>
            <w:r w:rsidR="000D7B73" w:rsidRPr="00D42558">
              <w:rPr>
                <w:rFonts w:ascii="Arial Narrow" w:eastAsiaTheme="majorEastAsia" w:hAnsi="Arial Narrow" w:cs="Times New Roman"/>
                <w:b/>
                <w:bCs/>
                <w:snapToGrid w:val="0"/>
                <w:sz w:val="20"/>
                <w:szCs w:val="20"/>
              </w:rPr>
              <w:t>:</w:t>
            </w:r>
          </w:p>
          <w:p w14:paraId="47D48B1F" w14:textId="78775561" w:rsidR="0059604F" w:rsidRPr="00D42558" w:rsidRDefault="0059604F" w:rsidP="00796F9F">
            <w:pPr>
              <w:jc w:val="left"/>
              <w:rPr>
                <w:rFonts w:ascii="Arial Narrow" w:eastAsiaTheme="majorEastAsia" w:hAnsi="Arial Narrow" w:cs="Times New Roman"/>
                <w:bCs/>
                <w:snapToGrid w:val="0"/>
                <w:sz w:val="20"/>
                <w:szCs w:val="20"/>
              </w:rPr>
            </w:pPr>
            <w:r w:rsidRPr="00D42558">
              <w:rPr>
                <w:rFonts w:ascii="Arial Narrow" w:eastAsiaTheme="majorEastAsia" w:hAnsi="Arial Narrow" w:cs="Times New Roman"/>
                <w:b/>
                <w:bCs/>
                <w:snapToGrid w:val="0"/>
                <w:sz w:val="20"/>
                <w:szCs w:val="20"/>
              </w:rPr>
              <w:t xml:space="preserve">UPA 30/15 mg </w:t>
            </w:r>
            <w:r w:rsidR="00CB7C01" w:rsidRPr="00D42558">
              <w:rPr>
                <w:rFonts w:ascii="Arial Narrow" w:eastAsiaTheme="majorEastAsia" w:hAnsi="Arial Narrow" w:cs="Times New Roman"/>
                <w:b/>
                <w:bCs/>
                <w:snapToGrid w:val="0"/>
                <w:sz w:val="20"/>
                <w:szCs w:val="20"/>
              </w:rPr>
              <w:t>vs</w:t>
            </w:r>
            <w:r w:rsidRPr="00D42558">
              <w:rPr>
                <w:rFonts w:ascii="Arial Narrow" w:eastAsiaTheme="majorEastAsia" w:hAnsi="Arial Narrow" w:cs="Times New Roman"/>
                <w:b/>
                <w:bCs/>
                <w:snapToGrid w:val="0"/>
                <w:sz w:val="20"/>
                <w:szCs w:val="20"/>
              </w:rPr>
              <w:t xml:space="preserve"> comparators</w:t>
            </w:r>
          </w:p>
        </w:tc>
        <w:tc>
          <w:tcPr>
            <w:tcW w:w="708" w:type="pct"/>
            <w:shd w:val="clear" w:color="auto" w:fill="auto"/>
          </w:tcPr>
          <w:p w14:paraId="3FEA0A8A"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ADA</w:t>
            </w:r>
          </w:p>
        </w:tc>
        <w:tc>
          <w:tcPr>
            <w:tcW w:w="864" w:type="pct"/>
            <w:shd w:val="clear" w:color="auto" w:fill="auto"/>
            <w:vAlign w:val="center"/>
          </w:tcPr>
          <w:p w14:paraId="10A327A7"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0.93 (0.47, 1.86)</w:t>
            </w:r>
          </w:p>
        </w:tc>
        <w:tc>
          <w:tcPr>
            <w:tcW w:w="865" w:type="pct"/>
            <w:shd w:val="clear" w:color="auto" w:fill="auto"/>
            <w:vAlign w:val="center"/>
          </w:tcPr>
          <w:p w14:paraId="5E34EB23"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1.00 (0.59, 1.69)</w:t>
            </w:r>
          </w:p>
        </w:tc>
        <w:tc>
          <w:tcPr>
            <w:tcW w:w="836" w:type="pct"/>
            <w:shd w:val="clear" w:color="auto" w:fill="auto"/>
            <w:noWrap/>
            <w:vAlign w:val="center"/>
          </w:tcPr>
          <w:p w14:paraId="2F2D83C5"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0.01 (-0.10, 0.12)</w:t>
            </w:r>
          </w:p>
        </w:tc>
      </w:tr>
      <w:tr w:rsidR="0059604F" w:rsidRPr="00D42558" w14:paraId="09C70F74" w14:textId="77777777" w:rsidTr="006A1B84">
        <w:trPr>
          <w:trHeight w:val="20"/>
        </w:trPr>
        <w:tc>
          <w:tcPr>
            <w:tcW w:w="1727" w:type="pct"/>
            <w:gridSpan w:val="2"/>
            <w:vMerge/>
            <w:shd w:val="clear" w:color="auto" w:fill="auto"/>
            <w:noWrap/>
          </w:tcPr>
          <w:p w14:paraId="2192AD8C" w14:textId="77777777" w:rsidR="0059604F" w:rsidRPr="00D42558" w:rsidRDefault="0059604F" w:rsidP="00796F9F">
            <w:pPr>
              <w:jc w:val="left"/>
              <w:rPr>
                <w:rFonts w:ascii="Arial Narrow" w:eastAsiaTheme="majorEastAsia" w:hAnsi="Arial Narrow" w:cs="Times New Roman"/>
                <w:snapToGrid w:val="0"/>
                <w:sz w:val="20"/>
                <w:szCs w:val="20"/>
              </w:rPr>
            </w:pPr>
          </w:p>
        </w:tc>
        <w:tc>
          <w:tcPr>
            <w:tcW w:w="708" w:type="pct"/>
            <w:shd w:val="clear" w:color="auto" w:fill="auto"/>
            <w:vAlign w:val="center"/>
          </w:tcPr>
          <w:p w14:paraId="1318926E"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RISA</w:t>
            </w:r>
          </w:p>
        </w:tc>
        <w:tc>
          <w:tcPr>
            <w:tcW w:w="864" w:type="pct"/>
            <w:shd w:val="clear" w:color="auto" w:fill="auto"/>
            <w:vAlign w:val="center"/>
          </w:tcPr>
          <w:p w14:paraId="30B63B29"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b/>
                <w:snapToGrid w:val="0"/>
                <w:sz w:val="20"/>
                <w:szCs w:val="20"/>
              </w:rPr>
              <w:t>2.58 (1.34, 4.99)</w:t>
            </w:r>
          </w:p>
        </w:tc>
        <w:tc>
          <w:tcPr>
            <w:tcW w:w="865" w:type="pct"/>
            <w:shd w:val="clear" w:color="auto" w:fill="auto"/>
            <w:vAlign w:val="center"/>
          </w:tcPr>
          <w:p w14:paraId="5A086C62"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b/>
                <w:snapToGrid w:val="0"/>
                <w:sz w:val="20"/>
                <w:szCs w:val="20"/>
              </w:rPr>
              <w:t>2.18 (1.39, 3.43)</w:t>
            </w:r>
          </w:p>
        </w:tc>
        <w:tc>
          <w:tcPr>
            <w:tcW w:w="836" w:type="pct"/>
            <w:shd w:val="clear" w:color="auto" w:fill="auto"/>
            <w:noWrap/>
            <w:vAlign w:val="center"/>
          </w:tcPr>
          <w:p w14:paraId="1032D94D"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b/>
                <w:snapToGrid w:val="0"/>
                <w:sz w:val="20"/>
                <w:szCs w:val="20"/>
              </w:rPr>
              <w:t>0.16 (0.02, 0.29)</w:t>
            </w:r>
          </w:p>
        </w:tc>
      </w:tr>
      <w:tr w:rsidR="0059604F" w:rsidRPr="00D42558" w14:paraId="5DC23F72" w14:textId="77777777" w:rsidTr="006A1B84">
        <w:trPr>
          <w:trHeight w:val="20"/>
        </w:trPr>
        <w:tc>
          <w:tcPr>
            <w:tcW w:w="1727" w:type="pct"/>
            <w:gridSpan w:val="2"/>
            <w:vMerge/>
            <w:shd w:val="clear" w:color="auto" w:fill="auto"/>
            <w:noWrap/>
          </w:tcPr>
          <w:p w14:paraId="34A89CA0" w14:textId="77777777" w:rsidR="0059604F" w:rsidRPr="00D42558" w:rsidRDefault="0059604F" w:rsidP="00796F9F">
            <w:pPr>
              <w:jc w:val="left"/>
              <w:rPr>
                <w:rFonts w:ascii="Arial Narrow" w:eastAsiaTheme="majorEastAsia" w:hAnsi="Arial Narrow" w:cs="Times New Roman"/>
                <w:snapToGrid w:val="0"/>
                <w:sz w:val="20"/>
                <w:szCs w:val="20"/>
              </w:rPr>
            </w:pPr>
          </w:p>
        </w:tc>
        <w:tc>
          <w:tcPr>
            <w:tcW w:w="708" w:type="pct"/>
            <w:shd w:val="clear" w:color="auto" w:fill="auto"/>
            <w:vAlign w:val="center"/>
          </w:tcPr>
          <w:p w14:paraId="438D648A"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IFX</w:t>
            </w:r>
          </w:p>
        </w:tc>
        <w:tc>
          <w:tcPr>
            <w:tcW w:w="864" w:type="pct"/>
            <w:shd w:val="clear" w:color="auto" w:fill="auto"/>
            <w:vAlign w:val="center"/>
          </w:tcPr>
          <w:p w14:paraId="2256E7BD"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1.65 (0.72, 3.79)</w:t>
            </w:r>
          </w:p>
        </w:tc>
        <w:tc>
          <w:tcPr>
            <w:tcW w:w="865" w:type="pct"/>
            <w:shd w:val="clear" w:color="auto" w:fill="auto"/>
            <w:vAlign w:val="center"/>
          </w:tcPr>
          <w:p w14:paraId="7B04FCD2"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1.35 (0.69, 2.64)</w:t>
            </w:r>
          </w:p>
        </w:tc>
        <w:tc>
          <w:tcPr>
            <w:tcW w:w="836" w:type="pct"/>
            <w:shd w:val="clear" w:color="auto" w:fill="auto"/>
            <w:noWrap/>
            <w:vAlign w:val="center"/>
          </w:tcPr>
          <w:p w14:paraId="09640937"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0.13 (0.00, 0.26)</w:t>
            </w:r>
          </w:p>
        </w:tc>
      </w:tr>
      <w:tr w:rsidR="0059604F" w:rsidRPr="00D42558" w14:paraId="1B28983E" w14:textId="77777777" w:rsidTr="006A1B84">
        <w:trPr>
          <w:trHeight w:val="20"/>
        </w:trPr>
        <w:tc>
          <w:tcPr>
            <w:tcW w:w="1727" w:type="pct"/>
            <w:gridSpan w:val="2"/>
            <w:vMerge/>
            <w:shd w:val="clear" w:color="auto" w:fill="auto"/>
            <w:noWrap/>
          </w:tcPr>
          <w:p w14:paraId="0008E8A9" w14:textId="77777777" w:rsidR="0059604F" w:rsidRPr="00D42558" w:rsidRDefault="0059604F" w:rsidP="00796F9F">
            <w:pPr>
              <w:jc w:val="left"/>
              <w:rPr>
                <w:rFonts w:ascii="Arial Narrow" w:eastAsiaTheme="majorEastAsia" w:hAnsi="Arial Narrow" w:cs="Times New Roman"/>
                <w:snapToGrid w:val="0"/>
                <w:sz w:val="20"/>
                <w:szCs w:val="20"/>
              </w:rPr>
            </w:pPr>
          </w:p>
        </w:tc>
        <w:tc>
          <w:tcPr>
            <w:tcW w:w="708" w:type="pct"/>
            <w:shd w:val="clear" w:color="auto" w:fill="auto"/>
            <w:vAlign w:val="center"/>
          </w:tcPr>
          <w:p w14:paraId="70D2529D"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VDZ</w:t>
            </w:r>
          </w:p>
        </w:tc>
        <w:tc>
          <w:tcPr>
            <w:tcW w:w="864" w:type="pct"/>
            <w:shd w:val="clear" w:color="auto" w:fill="auto"/>
            <w:vAlign w:val="center"/>
          </w:tcPr>
          <w:p w14:paraId="4FB84C38"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1.73 (0.87, 3.41)</w:t>
            </w:r>
          </w:p>
        </w:tc>
        <w:tc>
          <w:tcPr>
            <w:tcW w:w="865" w:type="pct"/>
            <w:shd w:val="clear" w:color="auto" w:fill="auto"/>
            <w:vAlign w:val="center"/>
          </w:tcPr>
          <w:p w14:paraId="6C50D948"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1.51 (0.90, 2.54)</w:t>
            </w:r>
          </w:p>
        </w:tc>
        <w:tc>
          <w:tcPr>
            <w:tcW w:w="836" w:type="pct"/>
            <w:shd w:val="clear" w:color="auto" w:fill="auto"/>
            <w:noWrap/>
            <w:vAlign w:val="center"/>
          </w:tcPr>
          <w:p w14:paraId="74AC904C"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0.09 (-0.03, 0.22)</w:t>
            </w:r>
          </w:p>
        </w:tc>
      </w:tr>
      <w:tr w:rsidR="0059604F" w:rsidRPr="00D42558" w14:paraId="63FD3772" w14:textId="77777777" w:rsidTr="006A1B84">
        <w:trPr>
          <w:trHeight w:val="20"/>
        </w:trPr>
        <w:tc>
          <w:tcPr>
            <w:tcW w:w="1727" w:type="pct"/>
            <w:gridSpan w:val="2"/>
            <w:vMerge/>
            <w:shd w:val="clear" w:color="auto" w:fill="auto"/>
            <w:noWrap/>
          </w:tcPr>
          <w:p w14:paraId="7F6533E6" w14:textId="77777777" w:rsidR="0059604F" w:rsidRPr="00D42558" w:rsidRDefault="0059604F" w:rsidP="00796F9F">
            <w:pPr>
              <w:jc w:val="left"/>
              <w:rPr>
                <w:rFonts w:ascii="Arial Narrow" w:eastAsiaTheme="majorEastAsia" w:hAnsi="Arial Narrow" w:cs="Times New Roman"/>
                <w:snapToGrid w:val="0"/>
                <w:sz w:val="20"/>
                <w:szCs w:val="20"/>
              </w:rPr>
            </w:pPr>
          </w:p>
        </w:tc>
        <w:tc>
          <w:tcPr>
            <w:tcW w:w="708" w:type="pct"/>
            <w:shd w:val="clear" w:color="auto" w:fill="auto"/>
            <w:vAlign w:val="center"/>
          </w:tcPr>
          <w:p w14:paraId="6884F34A"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VDZ SC</w:t>
            </w:r>
          </w:p>
        </w:tc>
        <w:tc>
          <w:tcPr>
            <w:tcW w:w="864" w:type="pct"/>
            <w:shd w:val="clear" w:color="auto" w:fill="auto"/>
            <w:vAlign w:val="center"/>
          </w:tcPr>
          <w:p w14:paraId="0B0443AB"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 xml:space="preserve">1.74 (0.93, </w:t>
            </w:r>
            <w:proofErr w:type="gramStart"/>
            <w:r w:rsidRPr="00D42558">
              <w:rPr>
                <w:rFonts w:ascii="Arial Narrow" w:eastAsiaTheme="majorEastAsia" w:hAnsi="Arial Narrow" w:cs="Times New Roman"/>
                <w:snapToGrid w:val="0"/>
                <w:sz w:val="20"/>
                <w:szCs w:val="20"/>
              </w:rPr>
              <w:t>3.28)</w:t>
            </w:r>
            <w:r w:rsidRPr="00D42558">
              <w:rPr>
                <w:rFonts w:ascii="Arial Narrow" w:eastAsiaTheme="majorEastAsia" w:hAnsi="Arial Narrow" w:cs="Times New Roman"/>
                <w:snapToGrid w:val="0"/>
                <w:sz w:val="20"/>
                <w:szCs w:val="20"/>
                <w:vertAlign w:val="superscript"/>
              </w:rPr>
              <w:t>a</w:t>
            </w:r>
            <w:proofErr w:type="gramEnd"/>
          </w:p>
        </w:tc>
        <w:tc>
          <w:tcPr>
            <w:tcW w:w="865" w:type="pct"/>
            <w:shd w:val="clear" w:color="auto" w:fill="auto"/>
            <w:vAlign w:val="center"/>
          </w:tcPr>
          <w:p w14:paraId="71204207" w14:textId="77777777" w:rsidR="0059604F" w:rsidRPr="00D42558" w:rsidRDefault="0059604F" w:rsidP="006A1B84">
            <w:pPr>
              <w:jc w:val="center"/>
              <w:rPr>
                <w:rFonts w:ascii="Arial Narrow" w:eastAsiaTheme="majorEastAsia" w:hAnsi="Arial Narrow" w:cs="Times New Roman"/>
                <w:b/>
                <w:snapToGrid w:val="0"/>
                <w:sz w:val="20"/>
                <w:szCs w:val="20"/>
              </w:rPr>
            </w:pPr>
            <w:r w:rsidRPr="00D42558">
              <w:rPr>
                <w:rFonts w:ascii="Arial Narrow" w:eastAsiaTheme="majorEastAsia" w:hAnsi="Arial Narrow" w:cs="Times New Roman"/>
                <w:b/>
                <w:snapToGrid w:val="0"/>
                <w:sz w:val="20"/>
                <w:szCs w:val="20"/>
              </w:rPr>
              <w:t xml:space="preserve">1.64 (1.02, </w:t>
            </w:r>
            <w:proofErr w:type="gramStart"/>
            <w:r w:rsidRPr="00D42558">
              <w:rPr>
                <w:rFonts w:ascii="Arial Narrow" w:eastAsiaTheme="majorEastAsia" w:hAnsi="Arial Narrow" w:cs="Times New Roman"/>
                <w:b/>
                <w:snapToGrid w:val="0"/>
                <w:sz w:val="20"/>
                <w:szCs w:val="20"/>
              </w:rPr>
              <w:t>2.62)</w:t>
            </w:r>
            <w:r w:rsidRPr="00D42558">
              <w:rPr>
                <w:rFonts w:ascii="Arial Narrow" w:eastAsiaTheme="majorEastAsia" w:hAnsi="Arial Narrow" w:cs="Times New Roman"/>
                <w:b/>
                <w:snapToGrid w:val="0"/>
                <w:sz w:val="20"/>
                <w:szCs w:val="20"/>
                <w:vertAlign w:val="superscript"/>
              </w:rPr>
              <w:t>a</w:t>
            </w:r>
            <w:proofErr w:type="gramEnd"/>
          </w:p>
        </w:tc>
        <w:tc>
          <w:tcPr>
            <w:tcW w:w="836" w:type="pct"/>
            <w:shd w:val="clear" w:color="auto" w:fill="auto"/>
            <w:noWrap/>
            <w:vAlign w:val="center"/>
          </w:tcPr>
          <w:p w14:paraId="7D91F8A8" w14:textId="77777777" w:rsidR="0059604F" w:rsidRPr="00D42558" w:rsidRDefault="0059604F" w:rsidP="006A1B84">
            <w:pPr>
              <w:jc w:val="center"/>
              <w:rPr>
                <w:rFonts w:ascii="Arial Narrow" w:eastAsiaTheme="majorEastAsia" w:hAnsi="Arial Narrow" w:cs="Times New Roman"/>
                <w:b/>
                <w:snapToGrid w:val="0"/>
                <w:sz w:val="20"/>
                <w:szCs w:val="20"/>
              </w:rPr>
            </w:pPr>
            <w:r w:rsidRPr="00D42558">
              <w:rPr>
                <w:rFonts w:ascii="Arial Narrow" w:eastAsiaTheme="majorEastAsia" w:hAnsi="Arial Narrow" w:cs="Times New Roman"/>
                <w:b/>
                <w:snapToGrid w:val="0"/>
                <w:sz w:val="20"/>
                <w:szCs w:val="20"/>
              </w:rPr>
              <w:t>0.14 (0.01, 0.26)</w:t>
            </w:r>
          </w:p>
        </w:tc>
      </w:tr>
      <w:tr w:rsidR="0059604F" w:rsidRPr="00D42558" w14:paraId="5177B197" w14:textId="77777777" w:rsidTr="006A1B84">
        <w:trPr>
          <w:trHeight w:val="20"/>
        </w:trPr>
        <w:tc>
          <w:tcPr>
            <w:tcW w:w="1727" w:type="pct"/>
            <w:gridSpan w:val="2"/>
            <w:vMerge/>
            <w:shd w:val="clear" w:color="auto" w:fill="auto"/>
            <w:noWrap/>
          </w:tcPr>
          <w:p w14:paraId="0444F858" w14:textId="77777777" w:rsidR="0059604F" w:rsidRPr="00D42558" w:rsidRDefault="0059604F" w:rsidP="00796F9F">
            <w:pPr>
              <w:jc w:val="left"/>
              <w:rPr>
                <w:rFonts w:ascii="Arial Narrow" w:eastAsiaTheme="majorEastAsia" w:hAnsi="Arial Narrow" w:cs="Times New Roman"/>
                <w:snapToGrid w:val="0"/>
                <w:sz w:val="20"/>
                <w:szCs w:val="20"/>
              </w:rPr>
            </w:pPr>
          </w:p>
        </w:tc>
        <w:tc>
          <w:tcPr>
            <w:tcW w:w="708" w:type="pct"/>
            <w:shd w:val="clear" w:color="auto" w:fill="auto"/>
            <w:vAlign w:val="center"/>
          </w:tcPr>
          <w:p w14:paraId="64F7F8F8" w14:textId="77777777" w:rsidR="0059604F" w:rsidRPr="00D42558" w:rsidRDefault="0059604F" w:rsidP="00A81E1D">
            <w:pPr>
              <w:jc w:val="left"/>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UPA vs. UST</w:t>
            </w:r>
          </w:p>
        </w:tc>
        <w:tc>
          <w:tcPr>
            <w:tcW w:w="864" w:type="pct"/>
            <w:shd w:val="clear" w:color="auto" w:fill="auto"/>
            <w:vAlign w:val="center"/>
          </w:tcPr>
          <w:p w14:paraId="18173A5B" w14:textId="77777777" w:rsidR="0059604F" w:rsidRPr="00D42558" w:rsidRDefault="0059604F" w:rsidP="006A1B84">
            <w:pPr>
              <w:jc w:val="center"/>
              <w:rPr>
                <w:rFonts w:ascii="Arial Narrow" w:eastAsiaTheme="majorEastAsia" w:hAnsi="Arial Narrow" w:cs="Times New Roman"/>
                <w:b/>
                <w:snapToGrid w:val="0"/>
                <w:sz w:val="20"/>
                <w:szCs w:val="20"/>
              </w:rPr>
            </w:pPr>
            <w:r w:rsidRPr="00D42558">
              <w:rPr>
                <w:rFonts w:ascii="Arial Narrow" w:eastAsiaTheme="majorEastAsia" w:hAnsi="Arial Narrow" w:cs="Times New Roman"/>
                <w:b/>
                <w:snapToGrid w:val="0"/>
                <w:sz w:val="20"/>
                <w:szCs w:val="20"/>
              </w:rPr>
              <w:t>2.04 (1.02, 4.06)</w:t>
            </w:r>
          </w:p>
        </w:tc>
        <w:tc>
          <w:tcPr>
            <w:tcW w:w="865" w:type="pct"/>
            <w:shd w:val="clear" w:color="auto" w:fill="auto"/>
            <w:vAlign w:val="center"/>
          </w:tcPr>
          <w:p w14:paraId="4E267CFD" w14:textId="77777777" w:rsidR="0059604F" w:rsidRPr="00D42558" w:rsidRDefault="0059604F" w:rsidP="006A1B84">
            <w:pPr>
              <w:jc w:val="center"/>
              <w:rPr>
                <w:rFonts w:ascii="Arial Narrow" w:eastAsiaTheme="majorEastAsia" w:hAnsi="Arial Narrow" w:cs="Times New Roman"/>
                <w:b/>
                <w:snapToGrid w:val="0"/>
                <w:sz w:val="20"/>
                <w:szCs w:val="20"/>
              </w:rPr>
            </w:pPr>
            <w:r w:rsidRPr="00D42558">
              <w:rPr>
                <w:rFonts w:ascii="Arial Narrow" w:eastAsiaTheme="majorEastAsia" w:hAnsi="Arial Narrow" w:cs="Times New Roman"/>
                <w:b/>
                <w:snapToGrid w:val="0"/>
                <w:sz w:val="20"/>
                <w:szCs w:val="20"/>
              </w:rPr>
              <w:t>1.89 (1.18, 3.04)</w:t>
            </w:r>
          </w:p>
        </w:tc>
        <w:tc>
          <w:tcPr>
            <w:tcW w:w="836" w:type="pct"/>
            <w:shd w:val="clear" w:color="auto" w:fill="auto"/>
            <w:noWrap/>
            <w:vAlign w:val="center"/>
          </w:tcPr>
          <w:p w14:paraId="3595DE23" w14:textId="77777777" w:rsidR="0059604F" w:rsidRPr="00D42558" w:rsidRDefault="0059604F" w:rsidP="006A1B84">
            <w:pPr>
              <w:jc w:val="center"/>
              <w:rPr>
                <w:rFonts w:ascii="Arial Narrow" w:eastAsiaTheme="majorEastAsia" w:hAnsi="Arial Narrow" w:cs="Times New Roman"/>
                <w:snapToGrid w:val="0"/>
                <w:sz w:val="20"/>
                <w:szCs w:val="20"/>
              </w:rPr>
            </w:pPr>
            <w:r w:rsidRPr="00D42558">
              <w:rPr>
                <w:rFonts w:ascii="Arial Narrow" w:eastAsiaTheme="majorEastAsia" w:hAnsi="Arial Narrow" w:cs="Times New Roman"/>
                <w:snapToGrid w:val="0"/>
                <w:sz w:val="20"/>
                <w:szCs w:val="20"/>
              </w:rPr>
              <w:t>0.10 (-0.04, 0.24)</w:t>
            </w:r>
          </w:p>
        </w:tc>
      </w:tr>
    </w:tbl>
    <w:p w14:paraId="77E4D5A1" w14:textId="77777777" w:rsidR="0059604F" w:rsidRPr="00E50289" w:rsidRDefault="0059604F" w:rsidP="000F4B8F">
      <w:pPr>
        <w:pStyle w:val="TableFigureFooter"/>
        <w:rPr>
          <w:rFonts w:eastAsiaTheme="majorEastAsia"/>
        </w:rPr>
      </w:pPr>
      <w:r w:rsidRPr="00E50289">
        <w:rPr>
          <w:rFonts w:eastAsiaTheme="majorEastAsia"/>
        </w:rPr>
        <w:t>Source: Table 2.24, p137 of the submission.</w:t>
      </w:r>
    </w:p>
    <w:p w14:paraId="20E47149" w14:textId="0F39F548" w:rsidR="0059604F" w:rsidRPr="00E50289" w:rsidRDefault="0059604F" w:rsidP="000F4B8F">
      <w:pPr>
        <w:pStyle w:val="TableFigureFooter"/>
        <w:rPr>
          <w:rFonts w:eastAsiaTheme="majorEastAsia"/>
        </w:rPr>
      </w:pPr>
      <w:r w:rsidRPr="00E50289">
        <w:rPr>
          <w:rFonts w:eastAsiaTheme="majorEastAsia"/>
        </w:rPr>
        <w:t xml:space="preserve">ADA= adalimumab; biologic; CI= confidence interval; INF= infliximab; IP= induction phase; kg= </w:t>
      </w:r>
      <w:r w:rsidR="002976AB" w:rsidRPr="00E50289">
        <w:rPr>
          <w:rFonts w:eastAsiaTheme="majorEastAsia"/>
        </w:rPr>
        <w:t>kilogram</w:t>
      </w:r>
      <w:r w:rsidRPr="00E50289">
        <w:rPr>
          <w:rFonts w:eastAsiaTheme="majorEastAsia"/>
        </w:rPr>
        <w:t xml:space="preserve">; mg= </w:t>
      </w:r>
      <w:r w:rsidR="002976AB" w:rsidRPr="00E50289">
        <w:rPr>
          <w:rFonts w:eastAsiaTheme="majorEastAsia"/>
        </w:rPr>
        <w:t>milligram</w:t>
      </w:r>
      <w:r w:rsidRPr="00E50289">
        <w:rPr>
          <w:rFonts w:eastAsiaTheme="majorEastAsia"/>
        </w:rPr>
        <w:t>; n</w:t>
      </w:r>
      <w:r w:rsidR="008B1228" w:rsidRPr="00E50289">
        <w:rPr>
          <w:rFonts w:eastAsiaTheme="majorEastAsia"/>
        </w:rPr>
        <w:t xml:space="preserve">= </w:t>
      </w:r>
      <w:r w:rsidRPr="00E50289">
        <w:rPr>
          <w:rFonts w:eastAsiaTheme="majorEastAsia"/>
        </w:rPr>
        <w:t>number of participants with event; N</w:t>
      </w:r>
      <w:r w:rsidR="008B1228" w:rsidRPr="00E50289">
        <w:rPr>
          <w:rFonts w:eastAsiaTheme="majorEastAsia"/>
        </w:rPr>
        <w:t xml:space="preserve">= </w:t>
      </w:r>
      <w:r w:rsidRPr="00E50289">
        <w:rPr>
          <w:rFonts w:eastAsiaTheme="majorEastAsia"/>
        </w:rPr>
        <w:t>total participants in group; NR= not reported; OR= odds ratio; PBO= placebo; RD= risk difference; RISA= risankizumab; RR= relative risk; SC= subcutaneous; Q8W= 8-weekly; Q2W= 2-weekly; UST= ustekinumab; UPA= upadacitinib; VDZ= vedolizumab; vs</w:t>
      </w:r>
      <w:r w:rsidR="008B1228" w:rsidRPr="00E50289">
        <w:rPr>
          <w:rFonts w:eastAsiaTheme="majorEastAsia"/>
        </w:rPr>
        <w:t xml:space="preserve">= </w:t>
      </w:r>
      <w:r w:rsidRPr="00E50289">
        <w:rPr>
          <w:rFonts w:eastAsiaTheme="majorEastAsia"/>
        </w:rPr>
        <w:t>versus.</w:t>
      </w:r>
    </w:p>
    <w:p w14:paraId="76DAB14B" w14:textId="77777777" w:rsidR="0059604F" w:rsidRPr="00E50289" w:rsidRDefault="0059604F" w:rsidP="000F4B8F">
      <w:pPr>
        <w:pStyle w:val="TableFigureFooter"/>
        <w:spacing w:after="0"/>
        <w:rPr>
          <w:rFonts w:eastAsiaTheme="majorEastAsia"/>
        </w:rPr>
      </w:pPr>
      <w:r w:rsidRPr="00E50289">
        <w:rPr>
          <w:rFonts w:eastAsiaTheme="majorEastAsia"/>
        </w:rPr>
        <w:t>Note: In Table 2.24, the submission reported UPA 15 mg active treatment n/N (%) values for UPA 30 mg and vice versa</w:t>
      </w:r>
      <w:r w:rsidRPr="00E50289">
        <w:rPr>
          <w:rFonts w:eastAsiaTheme="majorEastAsia"/>
          <w:b/>
          <w:bCs/>
        </w:rPr>
        <w:t xml:space="preserve">. </w:t>
      </w:r>
      <w:r w:rsidRPr="00E50289">
        <w:rPr>
          <w:rFonts w:eastAsiaTheme="majorEastAsia"/>
        </w:rPr>
        <w:t>Correct values for indirect comparisons have been presented in this table based on Table 2.15, p 120 of the submission.</w:t>
      </w:r>
      <w:r w:rsidRPr="00E50289">
        <w:rPr>
          <w:rFonts w:eastAsiaTheme="majorEastAsia"/>
          <w:b/>
          <w:bCs/>
        </w:rPr>
        <w:t xml:space="preserve"> </w:t>
      </w:r>
    </w:p>
    <w:p w14:paraId="6A9E9CB8" w14:textId="77777777" w:rsidR="00EB7032" w:rsidRPr="00E50289" w:rsidRDefault="00EB7032" w:rsidP="00EB7032">
      <w:pPr>
        <w:contextualSpacing/>
        <w:rPr>
          <w:rFonts w:ascii="Arial Narrow" w:eastAsiaTheme="majorEastAsia" w:hAnsi="Arial Narrow"/>
          <w:snapToGrid w:val="0"/>
          <w:sz w:val="18"/>
          <w:szCs w:val="22"/>
        </w:rPr>
      </w:pPr>
      <w:r w:rsidRPr="00E50289">
        <w:rPr>
          <w:rFonts w:ascii="Arial Narrow" w:eastAsiaTheme="majorEastAsia" w:hAnsi="Arial Narrow"/>
          <w:b/>
          <w:bCs/>
          <w:snapToGrid w:val="0"/>
          <w:sz w:val="18"/>
          <w:szCs w:val="22"/>
        </w:rPr>
        <w:t xml:space="preserve">Bold </w:t>
      </w:r>
      <w:r w:rsidRPr="00E50289">
        <w:rPr>
          <w:rFonts w:ascii="Arial Narrow" w:eastAsiaTheme="majorEastAsia" w:hAnsi="Arial Narrow"/>
          <w:snapToGrid w:val="0"/>
          <w:sz w:val="18"/>
          <w:szCs w:val="22"/>
        </w:rPr>
        <w:t>values represent statistically significant results.</w:t>
      </w:r>
    </w:p>
    <w:p w14:paraId="3ED077CB" w14:textId="17228203" w:rsidR="0059604F" w:rsidRPr="00E50289" w:rsidRDefault="0059604F" w:rsidP="000F4B8F">
      <w:pPr>
        <w:contextualSpacing/>
        <w:rPr>
          <w:rFonts w:ascii="Arial Narrow" w:eastAsiaTheme="majorEastAsia" w:hAnsi="Arial Narrow"/>
          <w:snapToGrid w:val="0"/>
          <w:sz w:val="18"/>
          <w:szCs w:val="22"/>
        </w:rPr>
      </w:pPr>
      <w:r w:rsidRPr="00E50289">
        <w:rPr>
          <w:rFonts w:ascii="Arial Narrow" w:eastAsiaTheme="majorEastAsia" w:hAnsi="Arial Narrow"/>
          <w:snapToGrid w:val="0"/>
          <w:sz w:val="18"/>
          <w:szCs w:val="22"/>
          <w:vertAlign w:val="superscript"/>
        </w:rPr>
        <w:t>a</w:t>
      </w:r>
      <w:r w:rsidRPr="00E50289">
        <w:rPr>
          <w:rFonts w:ascii="Arial Narrow" w:eastAsiaTheme="majorEastAsia" w:hAnsi="Arial Narrow"/>
          <w:snapToGrid w:val="0"/>
          <w:sz w:val="18"/>
          <w:szCs w:val="22"/>
        </w:rPr>
        <w:t xml:space="preserve"> </w:t>
      </w:r>
      <w:r w:rsidRPr="00E50289">
        <w:rPr>
          <w:rStyle w:val="TableFigureFooterChar"/>
          <w:rFonts w:eastAsiaTheme="majorEastAsia"/>
        </w:rPr>
        <w:t>Correct</w:t>
      </w:r>
      <w:r w:rsidR="002976AB" w:rsidRPr="00E50289">
        <w:rPr>
          <w:rStyle w:val="TableFigureFooterChar"/>
          <w:rFonts w:eastAsiaTheme="majorEastAsia"/>
        </w:rPr>
        <w:t>ed</w:t>
      </w:r>
      <w:r w:rsidRPr="00E50289">
        <w:rPr>
          <w:rStyle w:val="TableFigureFooterChar"/>
          <w:rFonts w:eastAsiaTheme="majorEastAsia"/>
        </w:rPr>
        <w:t xml:space="preserve"> values </w:t>
      </w:r>
      <w:r w:rsidR="002976AB" w:rsidRPr="00E50289">
        <w:rPr>
          <w:rStyle w:val="TableFigureFooterChar"/>
          <w:rFonts w:eastAsiaTheme="majorEastAsia"/>
        </w:rPr>
        <w:t xml:space="preserve">were </w:t>
      </w:r>
      <w:r w:rsidRPr="00E50289">
        <w:rPr>
          <w:rStyle w:val="TableFigureFooterChar"/>
          <w:rFonts w:eastAsiaTheme="majorEastAsia"/>
        </w:rPr>
        <w:t xml:space="preserve">calculated during </w:t>
      </w:r>
      <w:r w:rsidR="002976AB" w:rsidRPr="00E50289">
        <w:rPr>
          <w:rStyle w:val="TableFigureFooterChar"/>
          <w:rFonts w:eastAsiaTheme="majorEastAsia"/>
        </w:rPr>
        <w:t xml:space="preserve">the </w:t>
      </w:r>
      <w:r w:rsidRPr="00E50289">
        <w:rPr>
          <w:rStyle w:val="TableFigureFooterChar"/>
          <w:rFonts w:eastAsiaTheme="majorEastAsia"/>
        </w:rPr>
        <w:t>evaluation</w:t>
      </w:r>
      <w:r w:rsidRPr="00E50289">
        <w:rPr>
          <w:rFonts w:ascii="Arial Narrow" w:eastAsiaTheme="majorEastAsia" w:hAnsi="Arial Narrow"/>
          <w:snapToGrid w:val="0"/>
          <w:sz w:val="18"/>
          <w:szCs w:val="22"/>
        </w:rPr>
        <w:t xml:space="preserve">. </w:t>
      </w:r>
    </w:p>
    <w:p w14:paraId="5E906FCD" w14:textId="37E35FDE" w:rsidR="0059604F" w:rsidRPr="00E50289" w:rsidRDefault="0059604F" w:rsidP="000F4B8F">
      <w:pPr>
        <w:contextualSpacing/>
        <w:rPr>
          <w:rFonts w:ascii="Arial Narrow" w:eastAsiaTheme="majorEastAsia" w:hAnsi="Arial Narrow"/>
          <w:snapToGrid w:val="0"/>
          <w:sz w:val="18"/>
          <w:szCs w:val="22"/>
        </w:rPr>
      </w:pPr>
      <w:r w:rsidRPr="00E50289">
        <w:rPr>
          <w:rFonts w:ascii="Arial Narrow" w:eastAsiaTheme="majorEastAsia" w:hAnsi="Arial Narrow"/>
          <w:snapToGrid w:val="0"/>
          <w:sz w:val="18"/>
          <w:szCs w:val="22"/>
          <w:vertAlign w:val="superscript"/>
        </w:rPr>
        <w:t>b</w:t>
      </w:r>
      <w:r w:rsidRPr="00E50289">
        <w:rPr>
          <w:rFonts w:ascii="Arial Narrow" w:eastAsiaTheme="majorEastAsia" w:hAnsi="Arial Narrow"/>
          <w:snapToGrid w:val="0"/>
          <w:sz w:val="18"/>
          <w:szCs w:val="22"/>
        </w:rPr>
        <w:t xml:space="preserve"> CDAI&lt;</w:t>
      </w:r>
      <w:r w:rsidR="00766063">
        <w:rPr>
          <w:rFonts w:ascii="Arial Narrow" w:eastAsiaTheme="majorEastAsia" w:hAnsi="Arial Narrow"/>
          <w:snapToGrid w:val="0"/>
          <w:sz w:val="18"/>
          <w:szCs w:val="22"/>
        </w:rPr>
        <w:t> </w:t>
      </w:r>
      <w:r w:rsidRPr="00E50289">
        <w:rPr>
          <w:rFonts w:ascii="Arial Narrow" w:eastAsiaTheme="majorEastAsia" w:hAnsi="Arial Narrow"/>
          <w:snapToGrid w:val="0"/>
          <w:sz w:val="18"/>
          <w:szCs w:val="22"/>
        </w:rPr>
        <w:t>150 ‘remission’ at week 4 and week 8 following induction with either 160/80</w:t>
      </w:r>
      <w:r w:rsidR="00766063">
        <w:rPr>
          <w:rFonts w:ascii="Arial Narrow" w:eastAsiaTheme="majorEastAsia" w:hAnsi="Arial Narrow"/>
          <w:snapToGrid w:val="0"/>
          <w:sz w:val="18"/>
          <w:szCs w:val="22"/>
        </w:rPr>
        <w:t> </w:t>
      </w:r>
      <w:r w:rsidRPr="00E50289">
        <w:rPr>
          <w:rFonts w:ascii="Arial Narrow" w:eastAsiaTheme="majorEastAsia" w:hAnsi="Arial Narrow"/>
          <w:snapToGrid w:val="0"/>
          <w:sz w:val="18"/>
          <w:szCs w:val="22"/>
        </w:rPr>
        <w:t>mg, 80/40</w:t>
      </w:r>
      <w:r w:rsidR="00766063">
        <w:rPr>
          <w:rFonts w:ascii="Arial Narrow" w:eastAsiaTheme="majorEastAsia" w:hAnsi="Arial Narrow"/>
          <w:snapToGrid w:val="0"/>
          <w:sz w:val="18"/>
          <w:szCs w:val="22"/>
        </w:rPr>
        <w:t> </w:t>
      </w:r>
      <w:r w:rsidRPr="00E50289">
        <w:rPr>
          <w:rFonts w:ascii="Arial Narrow" w:eastAsiaTheme="majorEastAsia" w:hAnsi="Arial Narrow"/>
          <w:snapToGrid w:val="0"/>
          <w:sz w:val="18"/>
          <w:szCs w:val="22"/>
        </w:rPr>
        <w:t>mg, 40/20</w:t>
      </w:r>
      <w:r w:rsidR="00766063">
        <w:rPr>
          <w:rFonts w:ascii="Arial Narrow" w:eastAsiaTheme="majorEastAsia" w:hAnsi="Arial Narrow"/>
          <w:snapToGrid w:val="0"/>
          <w:sz w:val="18"/>
          <w:szCs w:val="22"/>
        </w:rPr>
        <w:t> </w:t>
      </w:r>
      <w:r w:rsidRPr="00E50289">
        <w:rPr>
          <w:rFonts w:ascii="Arial Narrow" w:eastAsiaTheme="majorEastAsia" w:hAnsi="Arial Narrow"/>
          <w:snapToGrid w:val="0"/>
          <w:sz w:val="18"/>
          <w:szCs w:val="22"/>
        </w:rPr>
        <w:t>mg or placebo at week 0 and week 2 (in CLASSIC</w:t>
      </w:r>
      <w:r w:rsidR="001538FE" w:rsidRPr="00E50289">
        <w:rPr>
          <w:rFonts w:ascii="Arial Narrow" w:eastAsiaTheme="majorEastAsia" w:hAnsi="Arial Narrow"/>
          <w:snapToGrid w:val="0"/>
          <w:sz w:val="18"/>
          <w:szCs w:val="22"/>
        </w:rPr>
        <w:t xml:space="preserve"> </w:t>
      </w:r>
      <w:r w:rsidRPr="00E50289">
        <w:rPr>
          <w:rFonts w:ascii="Arial Narrow" w:eastAsiaTheme="majorEastAsia" w:hAnsi="Arial Narrow"/>
          <w:snapToGrid w:val="0"/>
          <w:sz w:val="18"/>
          <w:szCs w:val="22"/>
        </w:rPr>
        <w:t>I) then 40</w:t>
      </w:r>
      <w:r w:rsidR="00766063">
        <w:rPr>
          <w:rFonts w:ascii="Arial Narrow" w:eastAsiaTheme="majorEastAsia" w:hAnsi="Arial Narrow"/>
          <w:snapToGrid w:val="0"/>
          <w:sz w:val="18"/>
          <w:szCs w:val="22"/>
        </w:rPr>
        <w:t> </w:t>
      </w:r>
      <w:r w:rsidRPr="00E50289">
        <w:rPr>
          <w:rFonts w:ascii="Arial Narrow" w:eastAsiaTheme="majorEastAsia" w:hAnsi="Arial Narrow"/>
          <w:snapToGrid w:val="0"/>
          <w:sz w:val="18"/>
          <w:szCs w:val="22"/>
        </w:rPr>
        <w:t>mg at week 4 and week 6 (Open label phase in CLASSIC</w:t>
      </w:r>
      <w:r w:rsidR="001538FE" w:rsidRPr="00E50289">
        <w:rPr>
          <w:rFonts w:ascii="Arial Narrow" w:eastAsiaTheme="majorEastAsia" w:hAnsi="Arial Narrow"/>
          <w:snapToGrid w:val="0"/>
          <w:sz w:val="18"/>
          <w:szCs w:val="22"/>
        </w:rPr>
        <w:t xml:space="preserve"> </w:t>
      </w:r>
      <w:r w:rsidRPr="00E50289">
        <w:rPr>
          <w:rFonts w:ascii="Arial Narrow" w:eastAsiaTheme="majorEastAsia" w:hAnsi="Arial Narrow"/>
          <w:snapToGrid w:val="0"/>
          <w:sz w:val="18"/>
          <w:szCs w:val="22"/>
        </w:rPr>
        <w:t>II)</w:t>
      </w:r>
    </w:p>
    <w:p w14:paraId="661DE922" w14:textId="02A36D1D" w:rsidR="0059604F" w:rsidRPr="00E50289" w:rsidRDefault="0059604F" w:rsidP="000F4B8F">
      <w:pPr>
        <w:contextualSpacing/>
        <w:rPr>
          <w:rFonts w:ascii="Arial Narrow" w:eastAsiaTheme="majorEastAsia" w:hAnsi="Arial Narrow"/>
          <w:snapToGrid w:val="0"/>
          <w:sz w:val="18"/>
          <w:szCs w:val="22"/>
        </w:rPr>
      </w:pPr>
      <w:r w:rsidRPr="00E50289">
        <w:rPr>
          <w:rFonts w:ascii="Arial Narrow" w:eastAsiaTheme="majorEastAsia" w:hAnsi="Arial Narrow"/>
          <w:snapToGrid w:val="0"/>
          <w:sz w:val="18"/>
          <w:szCs w:val="22"/>
          <w:vertAlign w:val="superscript"/>
        </w:rPr>
        <w:t>c</w:t>
      </w:r>
      <w:r w:rsidRPr="00E50289">
        <w:rPr>
          <w:rFonts w:ascii="Arial Narrow" w:eastAsiaTheme="majorEastAsia" w:hAnsi="Arial Narrow"/>
          <w:snapToGrid w:val="0"/>
          <w:sz w:val="18"/>
          <w:szCs w:val="22"/>
        </w:rPr>
        <w:t xml:space="preserve"> CR-70 responders at week 4 following induction with 80/40</w:t>
      </w:r>
      <w:r w:rsidR="00766063">
        <w:rPr>
          <w:rFonts w:ascii="Arial Narrow" w:eastAsiaTheme="majorEastAsia" w:hAnsi="Arial Narrow"/>
          <w:snapToGrid w:val="0"/>
          <w:sz w:val="18"/>
          <w:szCs w:val="22"/>
        </w:rPr>
        <w:t> </w:t>
      </w:r>
      <w:r w:rsidRPr="00E50289">
        <w:rPr>
          <w:rFonts w:ascii="Arial Narrow" w:eastAsiaTheme="majorEastAsia" w:hAnsi="Arial Narrow"/>
          <w:snapToGrid w:val="0"/>
          <w:sz w:val="18"/>
          <w:szCs w:val="22"/>
        </w:rPr>
        <w:t>mg at week 0 and week 2</w:t>
      </w:r>
    </w:p>
    <w:p w14:paraId="24859924" w14:textId="69197401" w:rsidR="0059604F" w:rsidRPr="00E50289" w:rsidRDefault="0059604F" w:rsidP="000F4B8F">
      <w:pPr>
        <w:contextualSpacing/>
        <w:rPr>
          <w:rFonts w:ascii="Arial Narrow" w:eastAsiaTheme="majorEastAsia" w:hAnsi="Arial Narrow"/>
          <w:snapToGrid w:val="0"/>
          <w:sz w:val="18"/>
          <w:szCs w:val="22"/>
        </w:rPr>
      </w:pPr>
      <w:r w:rsidRPr="00E50289">
        <w:rPr>
          <w:rFonts w:ascii="Arial Narrow" w:eastAsiaTheme="majorEastAsia" w:hAnsi="Arial Narrow"/>
          <w:snapToGrid w:val="0"/>
          <w:sz w:val="18"/>
          <w:szCs w:val="22"/>
          <w:vertAlign w:val="superscript"/>
        </w:rPr>
        <w:t>d</w:t>
      </w:r>
      <w:r w:rsidRPr="00E50289">
        <w:rPr>
          <w:rFonts w:ascii="Arial Narrow" w:eastAsiaTheme="majorEastAsia" w:hAnsi="Arial Narrow"/>
          <w:snapToGrid w:val="0"/>
          <w:sz w:val="18"/>
          <w:szCs w:val="22"/>
        </w:rPr>
        <w:t xml:space="preserve"> CR-70 responders at week 4 following induction with either 160/80</w:t>
      </w:r>
      <w:r w:rsidR="00766063">
        <w:rPr>
          <w:rFonts w:ascii="Arial Narrow" w:eastAsiaTheme="majorEastAsia" w:hAnsi="Arial Narrow"/>
          <w:snapToGrid w:val="0"/>
          <w:sz w:val="18"/>
          <w:szCs w:val="22"/>
        </w:rPr>
        <w:t> </w:t>
      </w:r>
      <w:r w:rsidRPr="00E50289">
        <w:rPr>
          <w:rFonts w:ascii="Arial Narrow" w:eastAsiaTheme="majorEastAsia" w:hAnsi="Arial Narrow"/>
          <w:snapToGrid w:val="0"/>
          <w:sz w:val="18"/>
          <w:szCs w:val="22"/>
        </w:rPr>
        <w:t>mg, 80/40</w:t>
      </w:r>
      <w:r w:rsidR="00766063">
        <w:rPr>
          <w:rFonts w:ascii="Arial Narrow" w:eastAsiaTheme="majorEastAsia" w:hAnsi="Arial Narrow"/>
          <w:snapToGrid w:val="0"/>
          <w:sz w:val="18"/>
          <w:szCs w:val="22"/>
        </w:rPr>
        <w:t> </w:t>
      </w:r>
      <w:r w:rsidRPr="00E50289">
        <w:rPr>
          <w:rFonts w:ascii="Arial Narrow" w:eastAsiaTheme="majorEastAsia" w:hAnsi="Arial Narrow"/>
          <w:snapToGrid w:val="0"/>
          <w:sz w:val="18"/>
          <w:szCs w:val="22"/>
        </w:rPr>
        <w:t>mg or placebo at week 0 or week 2</w:t>
      </w:r>
    </w:p>
    <w:p w14:paraId="3450C11C" w14:textId="790E8265" w:rsidR="0059604F" w:rsidRPr="00E50289" w:rsidRDefault="0059604F" w:rsidP="000F4B8F">
      <w:pPr>
        <w:contextualSpacing/>
        <w:rPr>
          <w:rFonts w:ascii="Arial Narrow" w:eastAsiaTheme="majorEastAsia" w:hAnsi="Arial Narrow"/>
          <w:snapToGrid w:val="0"/>
          <w:sz w:val="18"/>
          <w:szCs w:val="22"/>
        </w:rPr>
      </w:pPr>
      <w:r w:rsidRPr="00E50289">
        <w:rPr>
          <w:rFonts w:ascii="Arial Narrow" w:eastAsiaTheme="majorEastAsia" w:hAnsi="Arial Narrow"/>
          <w:snapToGrid w:val="0"/>
          <w:sz w:val="18"/>
          <w:szCs w:val="22"/>
          <w:vertAlign w:val="superscript"/>
        </w:rPr>
        <w:t>e</w:t>
      </w:r>
      <w:r w:rsidRPr="00E50289">
        <w:rPr>
          <w:rFonts w:ascii="Arial Narrow" w:eastAsiaTheme="majorEastAsia" w:hAnsi="Arial Narrow"/>
          <w:snapToGrid w:val="0"/>
          <w:sz w:val="18"/>
          <w:szCs w:val="22"/>
        </w:rPr>
        <w:t xml:space="preserve"> CR-70 responders at week 2 following induction with 5</w:t>
      </w:r>
      <w:r w:rsidR="00766063">
        <w:rPr>
          <w:rFonts w:ascii="Arial Narrow" w:eastAsiaTheme="majorEastAsia" w:hAnsi="Arial Narrow"/>
          <w:snapToGrid w:val="0"/>
          <w:sz w:val="18"/>
          <w:szCs w:val="22"/>
        </w:rPr>
        <w:t> </w:t>
      </w:r>
      <w:r w:rsidRPr="00E50289">
        <w:rPr>
          <w:rFonts w:ascii="Arial Narrow" w:eastAsiaTheme="majorEastAsia" w:hAnsi="Arial Narrow"/>
          <w:snapToGrid w:val="0"/>
          <w:sz w:val="18"/>
          <w:szCs w:val="22"/>
        </w:rPr>
        <w:t>mg/kg at week 0</w:t>
      </w:r>
    </w:p>
    <w:p w14:paraId="190D3082" w14:textId="4C49259A" w:rsidR="0059604F" w:rsidRPr="00E50289" w:rsidRDefault="0059604F" w:rsidP="000F4B8F">
      <w:pPr>
        <w:contextualSpacing/>
        <w:rPr>
          <w:rFonts w:ascii="Arial Narrow" w:eastAsiaTheme="majorEastAsia" w:hAnsi="Arial Narrow"/>
          <w:snapToGrid w:val="0"/>
          <w:sz w:val="18"/>
          <w:szCs w:val="22"/>
        </w:rPr>
      </w:pPr>
      <w:r w:rsidRPr="00E50289">
        <w:rPr>
          <w:rFonts w:ascii="Arial Narrow" w:eastAsiaTheme="majorEastAsia" w:hAnsi="Arial Narrow"/>
          <w:snapToGrid w:val="0"/>
          <w:sz w:val="18"/>
          <w:szCs w:val="22"/>
          <w:vertAlign w:val="superscript"/>
        </w:rPr>
        <w:t>f</w:t>
      </w:r>
      <w:r w:rsidRPr="00E50289">
        <w:rPr>
          <w:rFonts w:ascii="Arial Narrow" w:eastAsiaTheme="majorEastAsia" w:hAnsi="Arial Narrow"/>
          <w:snapToGrid w:val="0"/>
          <w:sz w:val="18"/>
          <w:szCs w:val="22"/>
        </w:rPr>
        <w:t xml:space="preserve"> CR-70 responders at week 6 following induction with 300</w:t>
      </w:r>
      <w:r w:rsidR="00766063">
        <w:rPr>
          <w:rFonts w:ascii="Arial Narrow" w:eastAsiaTheme="majorEastAsia" w:hAnsi="Arial Narrow"/>
          <w:snapToGrid w:val="0"/>
          <w:sz w:val="18"/>
          <w:szCs w:val="22"/>
        </w:rPr>
        <w:t> </w:t>
      </w:r>
      <w:r w:rsidRPr="00E50289">
        <w:rPr>
          <w:rFonts w:ascii="Arial Narrow" w:eastAsiaTheme="majorEastAsia" w:hAnsi="Arial Narrow"/>
          <w:snapToGrid w:val="0"/>
          <w:sz w:val="18"/>
          <w:szCs w:val="22"/>
        </w:rPr>
        <w:t>mg at week 0 and week 2</w:t>
      </w:r>
    </w:p>
    <w:p w14:paraId="2A0A9CD5" w14:textId="4678F89A" w:rsidR="0059604F" w:rsidRPr="00E50289" w:rsidRDefault="0059604F" w:rsidP="000F4B8F">
      <w:pPr>
        <w:contextualSpacing/>
        <w:rPr>
          <w:rFonts w:ascii="Arial Narrow" w:eastAsiaTheme="majorEastAsia" w:hAnsi="Arial Narrow"/>
          <w:snapToGrid w:val="0"/>
          <w:sz w:val="18"/>
          <w:szCs w:val="22"/>
        </w:rPr>
      </w:pPr>
      <w:r w:rsidRPr="00E50289">
        <w:rPr>
          <w:rFonts w:ascii="Arial Narrow" w:eastAsiaTheme="majorEastAsia" w:hAnsi="Arial Narrow"/>
          <w:snapToGrid w:val="0"/>
          <w:sz w:val="18"/>
          <w:szCs w:val="22"/>
          <w:vertAlign w:val="superscript"/>
        </w:rPr>
        <w:t>g</w:t>
      </w:r>
      <w:r w:rsidRPr="00E50289">
        <w:rPr>
          <w:rFonts w:ascii="Arial Narrow" w:eastAsiaTheme="majorEastAsia" w:hAnsi="Arial Narrow"/>
          <w:snapToGrid w:val="0"/>
          <w:sz w:val="18"/>
          <w:szCs w:val="22"/>
        </w:rPr>
        <w:t xml:space="preserve"> CR-70 responders at week 10 following induction with 300</w:t>
      </w:r>
      <w:r w:rsidR="00766063">
        <w:rPr>
          <w:rFonts w:ascii="Arial Narrow" w:eastAsiaTheme="majorEastAsia" w:hAnsi="Arial Narrow"/>
          <w:snapToGrid w:val="0"/>
          <w:sz w:val="18"/>
          <w:szCs w:val="22"/>
        </w:rPr>
        <w:t> </w:t>
      </w:r>
      <w:r w:rsidRPr="00E50289">
        <w:rPr>
          <w:rFonts w:ascii="Arial Narrow" w:eastAsiaTheme="majorEastAsia" w:hAnsi="Arial Narrow"/>
          <w:snapToGrid w:val="0"/>
          <w:sz w:val="18"/>
          <w:szCs w:val="22"/>
        </w:rPr>
        <w:t>mg at week 0, week 2 and week 6</w:t>
      </w:r>
    </w:p>
    <w:p w14:paraId="742F544B" w14:textId="5365B291" w:rsidR="0059604F" w:rsidRPr="00E50289" w:rsidRDefault="0059604F" w:rsidP="00D42558">
      <w:pPr>
        <w:spacing w:after="120"/>
        <w:contextualSpacing/>
        <w:rPr>
          <w:rFonts w:ascii="Arial Narrow" w:eastAsiaTheme="majorEastAsia" w:hAnsi="Arial Narrow"/>
          <w:snapToGrid w:val="0"/>
          <w:sz w:val="18"/>
          <w:szCs w:val="22"/>
        </w:rPr>
      </w:pPr>
      <w:r w:rsidRPr="00E50289">
        <w:rPr>
          <w:rFonts w:ascii="Arial Narrow" w:eastAsiaTheme="majorEastAsia" w:hAnsi="Arial Narrow"/>
          <w:snapToGrid w:val="0"/>
          <w:sz w:val="18"/>
          <w:szCs w:val="22"/>
          <w:vertAlign w:val="superscript"/>
        </w:rPr>
        <w:t>h</w:t>
      </w:r>
      <w:r w:rsidRPr="00E50289">
        <w:rPr>
          <w:rFonts w:ascii="Arial Narrow" w:eastAsiaTheme="majorEastAsia" w:hAnsi="Arial Narrow"/>
          <w:snapToGrid w:val="0"/>
          <w:sz w:val="18"/>
          <w:szCs w:val="22"/>
        </w:rPr>
        <w:t xml:space="preserve"> CR-100 responders at week 8 following induction with either 130</w:t>
      </w:r>
      <w:r w:rsidR="00766063">
        <w:rPr>
          <w:rFonts w:ascii="Arial Narrow" w:eastAsiaTheme="majorEastAsia" w:hAnsi="Arial Narrow"/>
          <w:snapToGrid w:val="0"/>
          <w:sz w:val="18"/>
          <w:szCs w:val="22"/>
        </w:rPr>
        <w:t> </w:t>
      </w:r>
      <w:r w:rsidRPr="00E50289">
        <w:rPr>
          <w:rFonts w:ascii="Arial Narrow" w:eastAsiaTheme="majorEastAsia" w:hAnsi="Arial Narrow"/>
          <w:snapToGrid w:val="0"/>
          <w:sz w:val="18"/>
          <w:szCs w:val="22"/>
        </w:rPr>
        <w:t>mg, weight-based dose or placebo at week 0 (UNITI-</w:t>
      </w:r>
      <w:r w:rsidR="00A81E1D" w:rsidRPr="00E50289">
        <w:rPr>
          <w:rFonts w:ascii="Arial Narrow" w:eastAsiaTheme="majorEastAsia" w:hAnsi="Arial Narrow"/>
          <w:snapToGrid w:val="0"/>
          <w:sz w:val="18"/>
          <w:szCs w:val="22"/>
        </w:rPr>
        <w:t xml:space="preserve">I </w:t>
      </w:r>
      <w:r w:rsidRPr="00E50289">
        <w:rPr>
          <w:rFonts w:ascii="Arial Narrow" w:eastAsiaTheme="majorEastAsia" w:hAnsi="Arial Narrow"/>
          <w:snapToGrid w:val="0"/>
          <w:sz w:val="18"/>
          <w:szCs w:val="22"/>
        </w:rPr>
        <w:t>or UNITI-</w:t>
      </w:r>
      <w:r w:rsidR="00A81E1D" w:rsidRPr="00E50289">
        <w:rPr>
          <w:rFonts w:ascii="Arial Narrow" w:eastAsiaTheme="majorEastAsia" w:hAnsi="Arial Narrow"/>
          <w:snapToGrid w:val="0"/>
          <w:sz w:val="18"/>
          <w:szCs w:val="22"/>
        </w:rPr>
        <w:t>II</w:t>
      </w:r>
      <w:r w:rsidRPr="00E50289">
        <w:rPr>
          <w:rFonts w:ascii="Arial Narrow" w:eastAsiaTheme="majorEastAsia" w:hAnsi="Arial Narrow"/>
          <w:snapToGrid w:val="0"/>
          <w:sz w:val="18"/>
          <w:szCs w:val="22"/>
        </w:rPr>
        <w:t>)</w:t>
      </w:r>
      <w:r w:rsidR="000D7B73" w:rsidRPr="00E50289">
        <w:rPr>
          <w:rFonts w:ascii="Arial Narrow" w:eastAsiaTheme="majorEastAsia" w:hAnsi="Arial Narrow"/>
          <w:snapToGrid w:val="0"/>
          <w:sz w:val="18"/>
          <w:szCs w:val="22"/>
        </w:rPr>
        <w:t>.</w:t>
      </w:r>
    </w:p>
    <w:p w14:paraId="161888FD" w14:textId="7102D5B5" w:rsidR="0059604F" w:rsidRPr="00E50289" w:rsidRDefault="0059604F" w:rsidP="00E57AC6">
      <w:pPr>
        <w:pStyle w:val="3-BodyText"/>
        <w:rPr>
          <w:snapToGrid/>
          <w:color w:val="000000" w:themeColor="text1"/>
          <w:lang w:val="en-US"/>
        </w:rPr>
      </w:pPr>
      <w:r w:rsidRPr="00E50289">
        <w:rPr>
          <w:snapToGrid/>
          <w:color w:val="000000" w:themeColor="text1"/>
          <w:lang w:val="en-US"/>
        </w:rPr>
        <w:t xml:space="preserve">A significantly greater proportion of patients treated with upadacitinib compared to placebo achieved clinical remission in all upadacitinib trials in the induction and maintenance phases. </w:t>
      </w:r>
      <w:r w:rsidR="00C3675A" w:rsidRPr="00E50289">
        <w:rPr>
          <w:snapToGrid/>
          <w:color w:val="000000" w:themeColor="text1"/>
          <w:lang w:val="en-US"/>
        </w:rPr>
        <w:t xml:space="preserve">The pooled results for comparator trials also showed significant clinical remission compared with the corresponding placebo controls. </w:t>
      </w:r>
    </w:p>
    <w:p w14:paraId="464C03F6" w14:textId="662045F4" w:rsidR="0059604F" w:rsidRPr="00E50289" w:rsidRDefault="0070794A" w:rsidP="00097C1E">
      <w:pPr>
        <w:pStyle w:val="3-BodyText"/>
        <w:rPr>
          <w:snapToGrid/>
          <w:color w:val="000000" w:themeColor="text1"/>
          <w:lang w:val="en-US"/>
        </w:rPr>
      </w:pPr>
      <w:r w:rsidRPr="00E50289">
        <w:rPr>
          <w:snapToGrid/>
          <w:color w:val="000000" w:themeColor="text1"/>
          <w:lang w:val="en-US"/>
        </w:rPr>
        <w:t xml:space="preserve">Induction phase: </w:t>
      </w:r>
      <w:r w:rsidR="0059604F" w:rsidRPr="00E50289">
        <w:rPr>
          <w:snapToGrid/>
          <w:color w:val="000000" w:themeColor="text1"/>
          <w:lang w:val="en-US"/>
        </w:rPr>
        <w:t xml:space="preserve">Results for the indirect comparison of upadacitinib with comparators showed that upadacitinib </w:t>
      </w:r>
      <w:r w:rsidR="00833741" w:rsidRPr="00E50289">
        <w:rPr>
          <w:snapToGrid/>
          <w:color w:val="000000" w:themeColor="text1"/>
          <w:lang w:val="en-US"/>
        </w:rPr>
        <w:t>demonstrated significantly higher</w:t>
      </w:r>
      <w:r w:rsidR="00905087" w:rsidRPr="00E50289">
        <w:rPr>
          <w:snapToGrid/>
          <w:color w:val="000000" w:themeColor="text1"/>
          <w:lang w:val="en-US"/>
        </w:rPr>
        <w:t xml:space="preserve"> rates of achieving</w:t>
      </w:r>
      <w:r w:rsidR="00833741" w:rsidRPr="00E50289">
        <w:rPr>
          <w:snapToGrid/>
          <w:color w:val="000000" w:themeColor="text1"/>
          <w:lang w:val="en-US"/>
        </w:rPr>
        <w:t xml:space="preserve"> clinical remission in comparison to vedolizumab on risk difference (RD) but not for the relative risk (RR) or odds ratio (OR). Upadacitinib demonstrated</w:t>
      </w:r>
      <w:r w:rsidR="0059604F" w:rsidRPr="00E50289">
        <w:rPr>
          <w:snapToGrid/>
          <w:color w:val="000000" w:themeColor="text1"/>
          <w:lang w:val="en-US"/>
        </w:rPr>
        <w:t xml:space="preserve"> significantly lower clinical </w:t>
      </w:r>
      <w:r w:rsidR="00493F30" w:rsidRPr="00E50289">
        <w:rPr>
          <w:snapToGrid/>
          <w:color w:val="000000" w:themeColor="text1"/>
          <w:lang w:val="en-US"/>
        </w:rPr>
        <w:t xml:space="preserve">rates of achieving </w:t>
      </w:r>
      <w:r w:rsidR="0059604F" w:rsidRPr="00E50289">
        <w:rPr>
          <w:snapToGrid/>
          <w:color w:val="000000" w:themeColor="text1"/>
          <w:lang w:val="en-US"/>
        </w:rPr>
        <w:t>remission compared to adalimumab (only for</w:t>
      </w:r>
      <w:r w:rsidR="00833741" w:rsidRPr="00E50289">
        <w:rPr>
          <w:snapToGrid/>
          <w:color w:val="000000" w:themeColor="text1"/>
          <w:lang w:val="en-US"/>
        </w:rPr>
        <w:t xml:space="preserve"> RR, but not OR RD</w:t>
      </w:r>
      <w:r w:rsidR="0059604F" w:rsidRPr="00E50289">
        <w:rPr>
          <w:snapToGrid/>
          <w:color w:val="000000" w:themeColor="text1"/>
          <w:lang w:val="en-US"/>
        </w:rPr>
        <w:t>)</w:t>
      </w:r>
      <w:r w:rsidR="00833741" w:rsidRPr="00E50289">
        <w:rPr>
          <w:snapToGrid/>
          <w:color w:val="000000" w:themeColor="text1"/>
          <w:lang w:val="en-US"/>
        </w:rPr>
        <w:t xml:space="preserve"> and</w:t>
      </w:r>
      <w:r w:rsidR="0059604F" w:rsidRPr="00E50289">
        <w:rPr>
          <w:snapToGrid/>
          <w:color w:val="000000" w:themeColor="text1"/>
          <w:lang w:val="en-US"/>
        </w:rPr>
        <w:t xml:space="preserve"> infliximab (</w:t>
      </w:r>
      <w:r w:rsidR="000417D2" w:rsidRPr="00E50289">
        <w:rPr>
          <w:snapToGrid/>
          <w:color w:val="000000" w:themeColor="text1"/>
          <w:lang w:val="en-US"/>
        </w:rPr>
        <w:t>based on</w:t>
      </w:r>
      <w:r w:rsidR="0059604F" w:rsidRPr="00E50289">
        <w:rPr>
          <w:snapToGrid/>
          <w:color w:val="000000" w:themeColor="text1"/>
          <w:lang w:val="en-US"/>
        </w:rPr>
        <w:t xml:space="preserve"> </w:t>
      </w:r>
      <w:r w:rsidRPr="00E50289">
        <w:rPr>
          <w:snapToGrid/>
          <w:color w:val="000000" w:themeColor="text1"/>
          <w:lang w:val="en-US"/>
        </w:rPr>
        <w:t>OR</w:t>
      </w:r>
      <w:r w:rsidR="0059604F" w:rsidRPr="00E50289">
        <w:rPr>
          <w:snapToGrid/>
          <w:color w:val="000000" w:themeColor="text1"/>
          <w:lang w:val="en-US"/>
        </w:rPr>
        <w:t xml:space="preserve"> and </w:t>
      </w:r>
      <w:r w:rsidRPr="00E50289">
        <w:rPr>
          <w:snapToGrid/>
          <w:color w:val="000000" w:themeColor="text1"/>
          <w:lang w:val="en-US"/>
        </w:rPr>
        <w:t>RD</w:t>
      </w:r>
      <w:r w:rsidR="0059604F" w:rsidRPr="00E50289">
        <w:rPr>
          <w:snapToGrid/>
          <w:color w:val="000000" w:themeColor="text1"/>
          <w:lang w:val="en-US"/>
        </w:rPr>
        <w:t xml:space="preserve"> but not </w:t>
      </w:r>
      <w:r w:rsidRPr="00E50289">
        <w:rPr>
          <w:snapToGrid/>
          <w:color w:val="000000" w:themeColor="text1"/>
          <w:lang w:val="en-US"/>
        </w:rPr>
        <w:t>RR</w:t>
      </w:r>
      <w:r w:rsidR="0059604F" w:rsidRPr="00E50289">
        <w:rPr>
          <w:snapToGrid/>
          <w:color w:val="000000" w:themeColor="text1"/>
          <w:lang w:val="en-US"/>
        </w:rPr>
        <w:t xml:space="preserve">) </w:t>
      </w:r>
      <w:r w:rsidR="00C3675A" w:rsidRPr="00E50289">
        <w:rPr>
          <w:snapToGrid/>
          <w:color w:val="000000" w:themeColor="text1"/>
          <w:lang w:val="en-US"/>
        </w:rPr>
        <w:t>(</w:t>
      </w:r>
      <w:r w:rsidR="00C3675A" w:rsidRPr="00E50289">
        <w:rPr>
          <w:snapToGrid/>
          <w:color w:val="000000" w:themeColor="text1"/>
          <w:lang w:val="en-US"/>
        </w:rPr>
        <w:fldChar w:fldCharType="begin" w:fldLock="1"/>
      </w:r>
      <w:r w:rsidR="00C3675A" w:rsidRPr="00E50289">
        <w:rPr>
          <w:snapToGrid/>
          <w:color w:val="000000" w:themeColor="text1"/>
          <w:lang w:val="en-US"/>
        </w:rPr>
        <w:instrText xml:space="preserve"> REF _Ref121578458 \h </w:instrText>
      </w:r>
      <w:r w:rsidR="00E50289" w:rsidRPr="00E50289">
        <w:rPr>
          <w:snapToGrid/>
          <w:color w:val="000000" w:themeColor="text1"/>
          <w:lang w:val="en-US"/>
        </w:rPr>
        <w:instrText xml:space="preserve"> \* MERGEFORMAT </w:instrText>
      </w:r>
      <w:r w:rsidR="00C3675A" w:rsidRPr="00E50289">
        <w:rPr>
          <w:snapToGrid/>
          <w:color w:val="000000" w:themeColor="text1"/>
          <w:lang w:val="en-US"/>
        </w:rPr>
      </w:r>
      <w:r w:rsidR="00C3675A" w:rsidRPr="00E50289">
        <w:rPr>
          <w:snapToGrid/>
          <w:color w:val="000000" w:themeColor="text1"/>
          <w:lang w:val="en-US"/>
        </w:rPr>
        <w:fldChar w:fldCharType="separate"/>
      </w:r>
      <w:r w:rsidR="0033335A" w:rsidRPr="00E50289">
        <w:t xml:space="preserve">Table </w:t>
      </w:r>
      <w:r w:rsidR="0033335A" w:rsidRPr="00E50289">
        <w:rPr>
          <w:noProof/>
        </w:rPr>
        <w:t>4</w:t>
      </w:r>
      <w:r w:rsidR="00C3675A" w:rsidRPr="00E50289">
        <w:rPr>
          <w:snapToGrid/>
          <w:color w:val="000000" w:themeColor="text1"/>
          <w:lang w:val="en-US"/>
        </w:rPr>
        <w:fldChar w:fldCharType="end"/>
      </w:r>
      <w:r w:rsidR="00C3675A" w:rsidRPr="00E50289">
        <w:rPr>
          <w:snapToGrid/>
          <w:color w:val="000000" w:themeColor="text1"/>
          <w:lang w:val="en-US"/>
        </w:rPr>
        <w:t>)</w:t>
      </w:r>
      <w:r w:rsidR="0059604F" w:rsidRPr="00E50289">
        <w:rPr>
          <w:snapToGrid/>
          <w:color w:val="000000" w:themeColor="text1"/>
          <w:lang w:val="en-US"/>
        </w:rPr>
        <w:t xml:space="preserve">. </w:t>
      </w:r>
      <w:bookmarkStart w:id="50" w:name="_Hlk121690264"/>
      <w:r w:rsidR="0059604F" w:rsidRPr="00E50289">
        <w:rPr>
          <w:snapToGrid/>
          <w:color w:val="000000" w:themeColor="text1"/>
          <w:lang w:val="en-US"/>
        </w:rPr>
        <w:t>Clinical remission rates were lower in upadacitinib trials than in</w:t>
      </w:r>
      <w:r w:rsidR="00833741" w:rsidRPr="00E50289">
        <w:rPr>
          <w:snapToGrid/>
          <w:color w:val="000000" w:themeColor="text1"/>
          <w:lang w:val="en-US"/>
        </w:rPr>
        <w:t xml:space="preserve"> the</w:t>
      </w:r>
      <w:r w:rsidR="0059604F" w:rsidRPr="00E50289">
        <w:rPr>
          <w:snapToGrid/>
          <w:color w:val="000000" w:themeColor="text1"/>
          <w:lang w:val="en-US"/>
        </w:rPr>
        <w:t xml:space="preserve"> risankizumab </w:t>
      </w:r>
      <w:r w:rsidR="006646BC" w:rsidRPr="00E50289">
        <w:rPr>
          <w:snapToGrid/>
          <w:color w:val="000000" w:themeColor="text1"/>
          <w:lang w:val="en-US"/>
        </w:rPr>
        <w:t>and</w:t>
      </w:r>
      <w:r w:rsidR="0059604F" w:rsidRPr="00E50289">
        <w:rPr>
          <w:snapToGrid/>
          <w:color w:val="000000" w:themeColor="text1"/>
          <w:lang w:val="en-US"/>
        </w:rPr>
        <w:t xml:space="preserve"> ustekinumab trials</w:t>
      </w:r>
      <w:r w:rsidR="006646BC" w:rsidRPr="00E50289">
        <w:rPr>
          <w:snapToGrid/>
          <w:color w:val="000000" w:themeColor="text1"/>
          <w:lang w:val="en-US"/>
        </w:rPr>
        <w:t>, but the results were</w:t>
      </w:r>
      <w:r w:rsidR="00833741" w:rsidRPr="00E50289">
        <w:rPr>
          <w:snapToGrid/>
          <w:color w:val="000000" w:themeColor="text1"/>
          <w:lang w:val="en-US"/>
        </w:rPr>
        <w:t xml:space="preserve"> not</w:t>
      </w:r>
      <w:r w:rsidR="006646BC" w:rsidRPr="00E50289">
        <w:rPr>
          <w:snapToGrid/>
          <w:color w:val="000000" w:themeColor="text1"/>
          <w:lang w:val="en-US"/>
        </w:rPr>
        <w:t xml:space="preserve"> statistically significant</w:t>
      </w:r>
      <w:r w:rsidR="0059604F" w:rsidRPr="00E50289">
        <w:rPr>
          <w:snapToGrid/>
          <w:color w:val="000000" w:themeColor="text1"/>
          <w:lang w:val="en-US"/>
        </w:rPr>
        <w:t xml:space="preserve">. </w:t>
      </w:r>
      <w:bookmarkEnd w:id="50"/>
    </w:p>
    <w:p w14:paraId="6D40DB17" w14:textId="4C57D3D0" w:rsidR="0059604F" w:rsidRPr="00E50289" w:rsidRDefault="00E5390C" w:rsidP="00097C1E">
      <w:pPr>
        <w:pStyle w:val="3-BodyText"/>
        <w:rPr>
          <w:snapToGrid/>
          <w:color w:val="000000" w:themeColor="text1"/>
          <w:lang w:val="en-US"/>
        </w:rPr>
      </w:pPr>
      <w:r w:rsidRPr="00E50289">
        <w:rPr>
          <w:snapToGrid/>
          <w:color w:val="000000" w:themeColor="text1"/>
          <w:lang w:val="en-US"/>
        </w:rPr>
        <w:t>M</w:t>
      </w:r>
      <w:r w:rsidR="0059604F" w:rsidRPr="00E50289">
        <w:rPr>
          <w:snapToGrid/>
          <w:color w:val="000000" w:themeColor="text1"/>
          <w:lang w:val="en-US"/>
        </w:rPr>
        <w:t>aintenance phase</w:t>
      </w:r>
      <w:r w:rsidRPr="00E50289">
        <w:rPr>
          <w:snapToGrid/>
          <w:color w:val="000000" w:themeColor="text1"/>
          <w:lang w:val="en-US"/>
        </w:rPr>
        <w:t>:</w:t>
      </w:r>
      <w:r w:rsidR="0059604F" w:rsidRPr="00E50289">
        <w:rPr>
          <w:snapToGrid/>
          <w:color w:val="000000" w:themeColor="text1"/>
          <w:lang w:val="en-US"/>
        </w:rPr>
        <w:t xml:space="preserve"> </w:t>
      </w:r>
      <w:r w:rsidRPr="00E50289">
        <w:rPr>
          <w:snapToGrid/>
          <w:color w:val="000000" w:themeColor="text1"/>
          <w:lang w:val="en-US"/>
        </w:rPr>
        <w:t>I</w:t>
      </w:r>
      <w:r w:rsidR="0059604F" w:rsidRPr="00E50289">
        <w:rPr>
          <w:snapToGrid/>
          <w:color w:val="000000" w:themeColor="text1"/>
          <w:lang w:val="en-US"/>
        </w:rPr>
        <w:t>ndirect comparison results showed significant</w:t>
      </w:r>
      <w:r w:rsidR="00833741" w:rsidRPr="00E50289">
        <w:rPr>
          <w:snapToGrid/>
          <w:color w:val="000000" w:themeColor="text1"/>
          <w:lang w:val="en-US"/>
        </w:rPr>
        <w:t>ly higher</w:t>
      </w:r>
      <w:r w:rsidR="0059604F" w:rsidRPr="00E50289">
        <w:rPr>
          <w:snapToGrid/>
          <w:color w:val="000000" w:themeColor="text1"/>
          <w:lang w:val="en-US"/>
        </w:rPr>
        <w:t xml:space="preserve"> clinical remission for upadacitinib (15</w:t>
      </w:r>
      <w:r w:rsidR="00766063">
        <w:rPr>
          <w:rFonts w:ascii="Arial Narrow" w:eastAsiaTheme="majorEastAsia" w:hAnsi="Arial Narrow"/>
          <w:sz w:val="18"/>
          <w:szCs w:val="22"/>
        </w:rPr>
        <w:t> </w:t>
      </w:r>
      <w:r w:rsidR="0059604F" w:rsidRPr="00E50289">
        <w:rPr>
          <w:snapToGrid/>
          <w:color w:val="000000" w:themeColor="text1"/>
          <w:lang w:val="en-US"/>
        </w:rPr>
        <w:t>mg) versus risankizumab (</w:t>
      </w:r>
      <w:r w:rsidR="000417D2" w:rsidRPr="00E50289">
        <w:rPr>
          <w:snapToGrid/>
          <w:color w:val="000000" w:themeColor="text1"/>
          <w:lang w:val="en-US"/>
        </w:rPr>
        <w:t>based on</w:t>
      </w:r>
      <w:r w:rsidR="0059604F" w:rsidRPr="00E50289">
        <w:rPr>
          <w:snapToGrid/>
          <w:color w:val="000000" w:themeColor="text1"/>
          <w:lang w:val="en-US"/>
        </w:rPr>
        <w:t xml:space="preserve"> </w:t>
      </w:r>
      <w:r w:rsidR="0070794A" w:rsidRPr="00E50289">
        <w:rPr>
          <w:snapToGrid/>
          <w:color w:val="000000" w:themeColor="text1"/>
          <w:lang w:val="en-US"/>
        </w:rPr>
        <w:t>OR</w:t>
      </w:r>
      <w:r w:rsidR="0059604F" w:rsidRPr="00E50289">
        <w:rPr>
          <w:snapToGrid/>
          <w:color w:val="000000" w:themeColor="text1"/>
          <w:lang w:val="en-US"/>
        </w:rPr>
        <w:t xml:space="preserve">, </w:t>
      </w:r>
      <w:r w:rsidR="0070794A" w:rsidRPr="00E50289">
        <w:rPr>
          <w:snapToGrid/>
          <w:color w:val="000000" w:themeColor="text1"/>
          <w:lang w:val="en-US"/>
        </w:rPr>
        <w:t>RR</w:t>
      </w:r>
      <w:r w:rsidR="0059604F" w:rsidRPr="00E50289">
        <w:rPr>
          <w:snapToGrid/>
          <w:color w:val="000000" w:themeColor="text1"/>
          <w:lang w:val="en-US"/>
        </w:rPr>
        <w:t xml:space="preserve"> and </w:t>
      </w:r>
      <w:r w:rsidR="0070794A" w:rsidRPr="00E50289">
        <w:rPr>
          <w:snapToGrid/>
          <w:color w:val="000000" w:themeColor="text1"/>
          <w:lang w:val="en-US"/>
        </w:rPr>
        <w:t>RD</w:t>
      </w:r>
      <w:r w:rsidR="0059604F" w:rsidRPr="00E50289">
        <w:rPr>
          <w:snapToGrid/>
          <w:color w:val="000000" w:themeColor="text1"/>
          <w:lang w:val="en-US"/>
        </w:rPr>
        <w:t xml:space="preserve">), infliximab (only for </w:t>
      </w:r>
      <w:r w:rsidR="0070794A" w:rsidRPr="00E50289">
        <w:rPr>
          <w:snapToGrid/>
          <w:color w:val="000000" w:themeColor="text1"/>
          <w:lang w:val="en-US"/>
        </w:rPr>
        <w:t>RD</w:t>
      </w:r>
      <w:r w:rsidR="0059604F" w:rsidRPr="00E50289">
        <w:rPr>
          <w:snapToGrid/>
          <w:color w:val="000000" w:themeColor="text1"/>
          <w:lang w:val="en-US"/>
        </w:rPr>
        <w:t xml:space="preserve">), vedolizumab IV (only for the </w:t>
      </w:r>
      <w:r w:rsidR="0070794A" w:rsidRPr="00E50289">
        <w:rPr>
          <w:snapToGrid/>
          <w:color w:val="000000" w:themeColor="text1"/>
          <w:lang w:val="en-US"/>
        </w:rPr>
        <w:t>OR</w:t>
      </w:r>
      <w:r w:rsidR="0059604F" w:rsidRPr="00E50289">
        <w:rPr>
          <w:snapToGrid/>
          <w:color w:val="000000" w:themeColor="text1"/>
          <w:lang w:val="en-US"/>
        </w:rPr>
        <w:t xml:space="preserve"> and </w:t>
      </w:r>
      <w:r w:rsidR="0070794A" w:rsidRPr="00E50289">
        <w:rPr>
          <w:snapToGrid/>
          <w:color w:val="000000" w:themeColor="text1"/>
          <w:lang w:val="en-US"/>
        </w:rPr>
        <w:t>RD</w:t>
      </w:r>
      <w:r w:rsidR="0059604F" w:rsidRPr="00E50289">
        <w:rPr>
          <w:snapToGrid/>
          <w:color w:val="000000" w:themeColor="text1"/>
          <w:lang w:val="en-US"/>
        </w:rPr>
        <w:t xml:space="preserve"> but not </w:t>
      </w:r>
      <w:r w:rsidR="0070794A" w:rsidRPr="00E50289">
        <w:rPr>
          <w:snapToGrid/>
          <w:color w:val="000000" w:themeColor="text1"/>
          <w:lang w:val="en-US"/>
        </w:rPr>
        <w:t>RR</w:t>
      </w:r>
      <w:r w:rsidR="0059604F" w:rsidRPr="00E50289">
        <w:rPr>
          <w:snapToGrid/>
          <w:color w:val="000000" w:themeColor="text1"/>
          <w:lang w:val="en-US"/>
        </w:rPr>
        <w:t>), vedolizumab subcutaneous (</w:t>
      </w:r>
      <w:r w:rsidR="000417D2" w:rsidRPr="00E50289">
        <w:rPr>
          <w:snapToGrid/>
          <w:color w:val="000000" w:themeColor="text1"/>
          <w:lang w:val="en-US"/>
        </w:rPr>
        <w:t xml:space="preserve">based on </w:t>
      </w:r>
      <w:r w:rsidR="0070794A" w:rsidRPr="00E50289">
        <w:rPr>
          <w:snapToGrid/>
          <w:color w:val="000000" w:themeColor="text1"/>
          <w:lang w:val="en-US"/>
        </w:rPr>
        <w:t>OR, RR, RD</w:t>
      </w:r>
      <w:r w:rsidR="0059604F" w:rsidRPr="00E50289">
        <w:rPr>
          <w:snapToGrid/>
          <w:color w:val="000000" w:themeColor="text1"/>
          <w:lang w:val="en-US"/>
        </w:rPr>
        <w:t>) and ustekinumab (</w:t>
      </w:r>
      <w:r w:rsidR="000417D2" w:rsidRPr="00E50289">
        <w:rPr>
          <w:snapToGrid/>
          <w:color w:val="000000" w:themeColor="text1"/>
          <w:lang w:val="en-US"/>
        </w:rPr>
        <w:t xml:space="preserve">based on </w:t>
      </w:r>
      <w:r w:rsidR="0070794A" w:rsidRPr="00E50289">
        <w:rPr>
          <w:snapToGrid/>
          <w:color w:val="000000" w:themeColor="text1"/>
          <w:lang w:val="en-US"/>
        </w:rPr>
        <w:t>OR, RR, RD</w:t>
      </w:r>
      <w:r w:rsidR="0059604F" w:rsidRPr="00E50289">
        <w:rPr>
          <w:snapToGrid/>
          <w:color w:val="000000" w:themeColor="text1"/>
          <w:lang w:val="en-US"/>
        </w:rPr>
        <w:t>)</w:t>
      </w:r>
      <w:r w:rsidR="006646BC" w:rsidRPr="00E50289">
        <w:rPr>
          <w:snapToGrid/>
          <w:color w:val="000000" w:themeColor="text1"/>
          <w:lang w:val="en-US"/>
        </w:rPr>
        <w:t xml:space="preserve"> (</w:t>
      </w:r>
      <w:r w:rsidR="00814A3A" w:rsidRPr="00E50289">
        <w:rPr>
          <w:snapToGrid/>
          <w:color w:val="000000" w:themeColor="text1"/>
          <w:lang w:val="en-US"/>
        </w:rPr>
        <w:fldChar w:fldCharType="begin" w:fldLock="1"/>
      </w:r>
      <w:r w:rsidR="00814A3A" w:rsidRPr="00E50289">
        <w:rPr>
          <w:snapToGrid/>
          <w:color w:val="000000" w:themeColor="text1"/>
          <w:lang w:val="en-US"/>
        </w:rPr>
        <w:instrText xml:space="preserve"> REF _Ref121767987 \h </w:instrText>
      </w:r>
      <w:r w:rsidR="00E50289" w:rsidRPr="00E50289">
        <w:rPr>
          <w:snapToGrid/>
          <w:color w:val="000000" w:themeColor="text1"/>
          <w:lang w:val="en-US"/>
        </w:rPr>
        <w:instrText xml:space="preserve"> \* MERGEFORMAT </w:instrText>
      </w:r>
      <w:r w:rsidR="00814A3A" w:rsidRPr="00E50289">
        <w:rPr>
          <w:snapToGrid/>
          <w:color w:val="000000" w:themeColor="text1"/>
          <w:lang w:val="en-US"/>
        </w:rPr>
      </w:r>
      <w:r w:rsidR="00814A3A" w:rsidRPr="00E50289">
        <w:rPr>
          <w:snapToGrid/>
          <w:color w:val="000000" w:themeColor="text1"/>
          <w:lang w:val="en-US"/>
        </w:rPr>
        <w:fldChar w:fldCharType="separate"/>
      </w:r>
      <w:r w:rsidR="0033335A" w:rsidRPr="00E50289">
        <w:t xml:space="preserve">Table </w:t>
      </w:r>
      <w:r w:rsidR="0033335A" w:rsidRPr="00E50289">
        <w:rPr>
          <w:noProof/>
        </w:rPr>
        <w:t>5</w:t>
      </w:r>
      <w:r w:rsidR="00814A3A" w:rsidRPr="00E50289">
        <w:rPr>
          <w:snapToGrid/>
          <w:color w:val="000000" w:themeColor="text1"/>
          <w:lang w:val="en-US"/>
        </w:rPr>
        <w:fldChar w:fldCharType="end"/>
      </w:r>
      <w:r w:rsidR="006646BC" w:rsidRPr="00E50289">
        <w:rPr>
          <w:snapToGrid/>
          <w:color w:val="000000" w:themeColor="text1"/>
          <w:lang w:val="en-US"/>
        </w:rPr>
        <w:t>)</w:t>
      </w:r>
      <w:r w:rsidR="0059604F" w:rsidRPr="00E50289">
        <w:rPr>
          <w:snapToGrid/>
          <w:color w:val="000000" w:themeColor="text1"/>
          <w:lang w:val="en-US"/>
        </w:rPr>
        <w:t>. A higher dose of upadacitinib (30</w:t>
      </w:r>
      <w:r w:rsidR="00766063">
        <w:rPr>
          <w:rFonts w:ascii="Arial Narrow" w:eastAsiaTheme="majorEastAsia" w:hAnsi="Arial Narrow"/>
          <w:sz w:val="18"/>
          <w:szCs w:val="22"/>
        </w:rPr>
        <w:t> </w:t>
      </w:r>
      <w:r w:rsidR="0059604F" w:rsidRPr="00E50289">
        <w:rPr>
          <w:snapToGrid/>
          <w:color w:val="000000" w:themeColor="text1"/>
          <w:lang w:val="en-US"/>
        </w:rPr>
        <w:t>mg) resulted in significant</w:t>
      </w:r>
      <w:r w:rsidR="001C0029" w:rsidRPr="00E50289">
        <w:rPr>
          <w:snapToGrid/>
          <w:color w:val="000000" w:themeColor="text1"/>
          <w:lang w:val="en-US"/>
        </w:rPr>
        <w:t>ly</w:t>
      </w:r>
      <w:r w:rsidR="0059604F" w:rsidRPr="00E50289">
        <w:rPr>
          <w:snapToGrid/>
          <w:color w:val="000000" w:themeColor="text1"/>
          <w:lang w:val="en-US"/>
        </w:rPr>
        <w:t xml:space="preserve"> </w:t>
      </w:r>
      <w:r w:rsidR="001C0029" w:rsidRPr="00E50289">
        <w:rPr>
          <w:snapToGrid/>
          <w:color w:val="000000" w:themeColor="text1"/>
          <w:lang w:val="en-US"/>
        </w:rPr>
        <w:t>higher</w:t>
      </w:r>
      <w:r w:rsidR="0059604F" w:rsidRPr="00E50289">
        <w:rPr>
          <w:snapToGrid/>
          <w:color w:val="000000" w:themeColor="text1"/>
          <w:lang w:val="en-US"/>
        </w:rPr>
        <w:t xml:space="preserve"> clinical remission versus risankizumab (</w:t>
      </w:r>
      <w:r w:rsidR="00AD1BEB" w:rsidRPr="00E50289">
        <w:rPr>
          <w:snapToGrid/>
          <w:color w:val="000000" w:themeColor="text1"/>
          <w:lang w:val="en-US"/>
        </w:rPr>
        <w:t>for</w:t>
      </w:r>
      <w:r w:rsidR="0059604F" w:rsidRPr="00E50289">
        <w:rPr>
          <w:snapToGrid/>
          <w:color w:val="000000" w:themeColor="text1"/>
          <w:lang w:val="en-US"/>
        </w:rPr>
        <w:t xml:space="preserve"> </w:t>
      </w:r>
      <w:r w:rsidR="0070794A" w:rsidRPr="00E50289">
        <w:rPr>
          <w:snapToGrid/>
          <w:color w:val="000000" w:themeColor="text1"/>
          <w:lang w:val="en-US"/>
        </w:rPr>
        <w:t>OR</w:t>
      </w:r>
      <w:r w:rsidR="0059604F" w:rsidRPr="00E50289">
        <w:rPr>
          <w:snapToGrid/>
          <w:color w:val="000000" w:themeColor="text1"/>
          <w:lang w:val="en-US"/>
        </w:rPr>
        <w:t xml:space="preserve"> and RR but not </w:t>
      </w:r>
      <w:r w:rsidR="0070794A" w:rsidRPr="00E50289">
        <w:rPr>
          <w:snapToGrid/>
          <w:color w:val="000000" w:themeColor="text1"/>
          <w:lang w:val="en-US"/>
        </w:rPr>
        <w:t>RD</w:t>
      </w:r>
      <w:r w:rsidR="0059604F" w:rsidRPr="00E50289">
        <w:rPr>
          <w:snapToGrid/>
          <w:color w:val="000000" w:themeColor="text1"/>
          <w:lang w:val="en-US"/>
        </w:rPr>
        <w:t xml:space="preserve">), vedolizumab subcutaneous (only for </w:t>
      </w:r>
      <w:r w:rsidR="0070794A" w:rsidRPr="00E50289">
        <w:rPr>
          <w:snapToGrid/>
          <w:color w:val="000000" w:themeColor="text1"/>
          <w:lang w:val="en-US"/>
        </w:rPr>
        <w:t>RR</w:t>
      </w:r>
      <w:r w:rsidR="0059604F" w:rsidRPr="00E50289">
        <w:rPr>
          <w:snapToGrid/>
          <w:color w:val="000000" w:themeColor="text1"/>
          <w:lang w:val="en-US"/>
        </w:rPr>
        <w:t xml:space="preserve">) and ustekinumab (only for </w:t>
      </w:r>
      <w:r w:rsidR="0070794A" w:rsidRPr="00E50289">
        <w:rPr>
          <w:snapToGrid/>
          <w:color w:val="000000" w:themeColor="text1"/>
          <w:lang w:val="en-US"/>
        </w:rPr>
        <w:t>RR</w:t>
      </w:r>
      <w:r w:rsidR="0059604F" w:rsidRPr="00E50289">
        <w:rPr>
          <w:snapToGrid/>
          <w:color w:val="000000" w:themeColor="text1"/>
          <w:lang w:val="en-US"/>
        </w:rPr>
        <w:t>).</w:t>
      </w:r>
    </w:p>
    <w:p w14:paraId="7826058D" w14:textId="37C1C67C" w:rsidR="00FE2454" w:rsidRPr="00E50289" w:rsidRDefault="003B696E" w:rsidP="00097C1E">
      <w:pPr>
        <w:pStyle w:val="3-BodyText"/>
        <w:rPr>
          <w:snapToGrid/>
          <w:color w:val="000000" w:themeColor="text1"/>
          <w:lang w:val="en-US"/>
        </w:rPr>
      </w:pPr>
      <w:r w:rsidRPr="00E50289">
        <w:t xml:space="preserve">The </w:t>
      </w:r>
      <w:r w:rsidR="00FE2454" w:rsidRPr="00E50289">
        <w:t xml:space="preserve">U-ENDURE clinical study report (CSR) noted that </w:t>
      </w:r>
      <w:r w:rsidRPr="00E50289">
        <w:t>‘</w:t>
      </w:r>
      <w:r w:rsidR="00FE2454" w:rsidRPr="00E50289">
        <w:t>A clear treatment effect was observed between the two doses, with a larger treatment effect in the 30</w:t>
      </w:r>
      <w:r w:rsidR="00766063">
        <w:rPr>
          <w:rFonts w:ascii="Arial Narrow" w:eastAsiaTheme="majorEastAsia" w:hAnsi="Arial Narrow"/>
          <w:sz w:val="18"/>
          <w:szCs w:val="22"/>
        </w:rPr>
        <w:t> </w:t>
      </w:r>
      <w:r w:rsidR="00FE2454" w:rsidRPr="00E50289">
        <w:t xml:space="preserve">mg dose </w:t>
      </w:r>
      <w:r w:rsidR="00FE2454" w:rsidRPr="00E50289">
        <w:lastRenderedPageBreak/>
        <w:t>arm noted in subgroups of subjects with CDAI &gt;</w:t>
      </w:r>
      <w:r w:rsidR="00766063">
        <w:rPr>
          <w:rFonts w:ascii="Arial Narrow" w:eastAsiaTheme="majorEastAsia" w:hAnsi="Arial Narrow"/>
          <w:sz w:val="18"/>
          <w:szCs w:val="22"/>
        </w:rPr>
        <w:t> </w:t>
      </w:r>
      <w:r w:rsidR="00FE2454" w:rsidRPr="00E50289">
        <w:t>300, and hsCRP [high sensitivity C-reactive protein</w:t>
      </w:r>
      <w:r w:rsidR="00A276D3" w:rsidRPr="00E50289">
        <w:t>]</w:t>
      </w:r>
      <w:r w:rsidR="00FE2454" w:rsidRPr="00E50289">
        <w:t xml:space="preserve"> and FCP [faecal calprotectin] above the upper limit of normal at baseline or with prior failure to a biologic.</w:t>
      </w:r>
      <w:r w:rsidRPr="00E50289">
        <w:t>’</w:t>
      </w:r>
      <w:r w:rsidR="00FE2454" w:rsidRPr="00E50289">
        <w:t xml:space="preserve"> (p96 of the U-ENDURE CSR). Otherwise, there was consistent treatment effects across the other subgroups explored.</w:t>
      </w:r>
    </w:p>
    <w:p w14:paraId="24DA8ED5" w14:textId="36B7F623" w:rsidR="00E5390C" w:rsidRPr="00E50289" w:rsidRDefault="00E5390C" w:rsidP="00156500">
      <w:pPr>
        <w:pStyle w:val="3-BodyText"/>
        <w:keepNext/>
        <w:numPr>
          <w:ilvl w:val="0"/>
          <w:numId w:val="0"/>
        </w:numPr>
        <w:rPr>
          <w:snapToGrid/>
          <w:color w:val="000000" w:themeColor="text1"/>
          <w:u w:val="single"/>
          <w:lang w:val="en-US"/>
        </w:rPr>
      </w:pPr>
      <w:r w:rsidRPr="00E50289">
        <w:rPr>
          <w:snapToGrid/>
          <w:color w:val="000000" w:themeColor="text1"/>
          <w:u w:val="single"/>
          <w:lang w:val="en-US"/>
        </w:rPr>
        <w:t>Efficacy: clinical response</w:t>
      </w:r>
    </w:p>
    <w:p w14:paraId="6C2202AE" w14:textId="2BEE1108" w:rsidR="0016637F" w:rsidRPr="00E50289" w:rsidRDefault="0059604F" w:rsidP="0016637F">
      <w:pPr>
        <w:pStyle w:val="3-BodyText"/>
      </w:pPr>
      <w:r w:rsidRPr="00E50289">
        <w:rPr>
          <w:snapToGrid/>
          <w:color w:val="000000" w:themeColor="text1"/>
          <w:lang w:val="en-US"/>
        </w:rPr>
        <w:fldChar w:fldCharType="begin" w:fldLock="1"/>
      </w:r>
      <w:r w:rsidRPr="00E50289">
        <w:rPr>
          <w:snapToGrid/>
          <w:color w:val="000000" w:themeColor="text1"/>
          <w:lang w:val="en-US"/>
        </w:rPr>
        <w:instrText xml:space="preserve"> REF _Ref121578487 \h </w:instrText>
      </w:r>
      <w:r w:rsidR="000F4B8F" w:rsidRPr="00E50289">
        <w:rPr>
          <w:snapToGrid/>
          <w:color w:val="000000" w:themeColor="text1"/>
          <w:lang w:val="en-US"/>
        </w:rPr>
        <w:instrText xml:space="preserve"> \* MERGEFORMAT </w:instrText>
      </w:r>
      <w:r w:rsidRPr="00E50289">
        <w:rPr>
          <w:snapToGrid/>
          <w:color w:val="000000" w:themeColor="text1"/>
          <w:lang w:val="en-US"/>
        </w:rPr>
      </w:r>
      <w:r w:rsidRPr="00E50289">
        <w:rPr>
          <w:snapToGrid/>
          <w:color w:val="000000" w:themeColor="text1"/>
          <w:lang w:val="en-US"/>
        </w:rPr>
        <w:fldChar w:fldCharType="separate"/>
      </w:r>
      <w:r w:rsidR="0033335A" w:rsidRPr="00E50289">
        <w:t xml:space="preserve">Table </w:t>
      </w:r>
      <w:r w:rsidR="0033335A" w:rsidRPr="00E50289">
        <w:rPr>
          <w:noProof/>
        </w:rPr>
        <w:t>6</w:t>
      </w:r>
      <w:r w:rsidRPr="00E50289">
        <w:rPr>
          <w:snapToGrid/>
          <w:color w:val="000000" w:themeColor="text1"/>
          <w:lang w:val="en-US"/>
        </w:rPr>
        <w:fldChar w:fldCharType="end"/>
      </w:r>
      <w:r w:rsidRPr="00E50289">
        <w:rPr>
          <w:snapToGrid/>
          <w:color w:val="000000" w:themeColor="text1"/>
          <w:lang w:val="en-US"/>
        </w:rPr>
        <w:t xml:space="preserve"> and </w:t>
      </w:r>
      <w:r w:rsidRPr="00E50289">
        <w:rPr>
          <w:snapToGrid/>
          <w:color w:val="000000" w:themeColor="text1"/>
          <w:lang w:val="en-US"/>
        </w:rPr>
        <w:fldChar w:fldCharType="begin" w:fldLock="1"/>
      </w:r>
      <w:r w:rsidRPr="00E50289">
        <w:rPr>
          <w:snapToGrid/>
          <w:color w:val="000000" w:themeColor="text1"/>
          <w:lang w:val="en-US"/>
        </w:rPr>
        <w:instrText xml:space="preserve"> REF _Ref121578497 \h </w:instrText>
      </w:r>
      <w:r w:rsidR="000F4B8F" w:rsidRPr="00E50289">
        <w:rPr>
          <w:snapToGrid/>
          <w:color w:val="000000" w:themeColor="text1"/>
          <w:lang w:val="en-US"/>
        </w:rPr>
        <w:instrText xml:space="preserve"> \* MERGEFORMAT </w:instrText>
      </w:r>
      <w:r w:rsidRPr="00E50289">
        <w:rPr>
          <w:snapToGrid/>
          <w:color w:val="000000" w:themeColor="text1"/>
          <w:lang w:val="en-US"/>
        </w:rPr>
      </w:r>
      <w:r w:rsidRPr="00E50289">
        <w:rPr>
          <w:snapToGrid/>
          <w:color w:val="000000" w:themeColor="text1"/>
          <w:lang w:val="en-US"/>
        </w:rPr>
        <w:fldChar w:fldCharType="separate"/>
      </w:r>
      <w:r w:rsidR="0033335A" w:rsidRPr="00E50289">
        <w:rPr>
          <w:noProof/>
        </w:rPr>
        <w:t>Table</w:t>
      </w:r>
      <w:r w:rsidR="0033335A" w:rsidRPr="00E50289">
        <w:t xml:space="preserve"> </w:t>
      </w:r>
      <w:r w:rsidR="0033335A" w:rsidRPr="00E50289">
        <w:rPr>
          <w:noProof/>
        </w:rPr>
        <w:t>7</w:t>
      </w:r>
      <w:r w:rsidRPr="00E50289">
        <w:rPr>
          <w:snapToGrid/>
          <w:color w:val="000000" w:themeColor="text1"/>
          <w:lang w:val="en-US"/>
        </w:rPr>
        <w:fldChar w:fldCharType="end"/>
      </w:r>
      <w:r w:rsidRPr="00E50289">
        <w:rPr>
          <w:snapToGrid/>
          <w:color w:val="000000" w:themeColor="text1"/>
          <w:lang w:val="en-US"/>
        </w:rPr>
        <w:t xml:space="preserve"> present the clinical response </w:t>
      </w:r>
      <w:r w:rsidR="000D7B73" w:rsidRPr="00E50289">
        <w:rPr>
          <w:snapToGrid/>
          <w:color w:val="000000" w:themeColor="text1"/>
          <w:lang w:val="en-US"/>
        </w:rPr>
        <w:t xml:space="preserve">results </w:t>
      </w:r>
      <w:r w:rsidRPr="00E50289">
        <w:rPr>
          <w:snapToGrid/>
          <w:color w:val="000000" w:themeColor="text1"/>
          <w:lang w:val="en-US"/>
        </w:rPr>
        <w:t>across the trials for the induction and maintenance phases, respectively. It also includes meta-analysed (pooled) results for the induction trials and results of the indirect comparison</w:t>
      </w:r>
      <w:r w:rsidR="00AD1BEB" w:rsidRPr="00E50289">
        <w:rPr>
          <w:snapToGrid/>
          <w:color w:val="000000" w:themeColor="text1"/>
          <w:lang w:val="en-US"/>
        </w:rPr>
        <w:t>s</w:t>
      </w:r>
      <w:r w:rsidRPr="00E50289">
        <w:rPr>
          <w:snapToGrid/>
          <w:color w:val="000000" w:themeColor="text1"/>
          <w:lang w:val="en-US"/>
        </w:rPr>
        <w:t xml:space="preserve"> between upadacitinib and comparators. </w:t>
      </w:r>
    </w:p>
    <w:p w14:paraId="6FCDBAD4" w14:textId="1E897AF2" w:rsidR="0059604F" w:rsidRPr="00E50289" w:rsidRDefault="0059604F" w:rsidP="00D42558">
      <w:pPr>
        <w:pStyle w:val="TableFigureHeading"/>
      </w:pPr>
      <w:bookmarkStart w:id="51" w:name="_Ref121578487"/>
      <w:r w:rsidRPr="00E50289">
        <w:t xml:space="preserve">Table </w:t>
      </w:r>
      <w:fldSimple w:instr=" SEQ Table \* ARABIC " w:fldLock="1">
        <w:r w:rsidR="0033335A" w:rsidRPr="00E50289">
          <w:rPr>
            <w:noProof/>
          </w:rPr>
          <w:t>6</w:t>
        </w:r>
      </w:fldSimple>
      <w:bookmarkEnd w:id="51"/>
      <w:r w:rsidRPr="00E50289">
        <w:t>: Clinical response, induction phase: trial and indirect comparison results of upadacitinib vs comparators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419"/>
        <w:gridCol w:w="1417"/>
        <w:gridCol w:w="1558"/>
        <w:gridCol w:w="1558"/>
        <w:gridCol w:w="1793"/>
      </w:tblGrid>
      <w:tr w:rsidR="0059604F" w:rsidRPr="00E50289" w14:paraId="2F10C47B" w14:textId="77777777" w:rsidTr="00431CD8">
        <w:trPr>
          <w:trHeight w:val="20"/>
          <w:tblHeader/>
        </w:trPr>
        <w:tc>
          <w:tcPr>
            <w:tcW w:w="705" w:type="pct"/>
            <w:tcBorders>
              <w:bottom w:val="single" w:sz="4" w:space="0" w:color="auto"/>
            </w:tcBorders>
            <w:shd w:val="clear" w:color="auto" w:fill="auto"/>
            <w:noWrap/>
          </w:tcPr>
          <w:p w14:paraId="42854D54" w14:textId="77777777" w:rsidR="0059604F" w:rsidRPr="00E50289" w:rsidRDefault="0059604F" w:rsidP="00D42558">
            <w:pPr>
              <w:pStyle w:val="Tabletext"/>
              <w:keepNext/>
              <w:widowControl w:val="0"/>
              <w:jc w:val="center"/>
              <w:rPr>
                <w:rFonts w:eastAsia="Calibri"/>
                <w:b/>
                <w:bCs/>
                <w:szCs w:val="20"/>
                <w:lang w:eastAsia="en-US"/>
              </w:rPr>
            </w:pPr>
            <w:r w:rsidRPr="00E50289">
              <w:rPr>
                <w:rFonts w:eastAsia="Calibri"/>
                <w:b/>
                <w:bCs/>
                <w:szCs w:val="20"/>
                <w:lang w:eastAsia="en-US"/>
              </w:rPr>
              <w:t>Intervention / Trial ID</w:t>
            </w:r>
          </w:p>
        </w:tc>
        <w:tc>
          <w:tcPr>
            <w:tcW w:w="787" w:type="pct"/>
            <w:tcBorders>
              <w:bottom w:val="single" w:sz="4" w:space="0" w:color="auto"/>
            </w:tcBorders>
            <w:shd w:val="clear" w:color="auto" w:fill="auto"/>
          </w:tcPr>
          <w:p w14:paraId="0EF4622A" w14:textId="77777777" w:rsidR="0059604F" w:rsidRPr="00E50289" w:rsidRDefault="0059604F" w:rsidP="00D42558">
            <w:pPr>
              <w:pStyle w:val="Tabletext"/>
              <w:keepNext/>
              <w:widowControl w:val="0"/>
              <w:jc w:val="center"/>
              <w:rPr>
                <w:rFonts w:eastAsia="Calibri"/>
                <w:b/>
                <w:bCs/>
                <w:szCs w:val="20"/>
                <w:lang w:eastAsia="en-US"/>
              </w:rPr>
            </w:pPr>
            <w:r w:rsidRPr="00E50289">
              <w:rPr>
                <w:rFonts w:eastAsia="Calibri"/>
                <w:b/>
                <w:bCs/>
                <w:szCs w:val="20"/>
                <w:lang w:eastAsia="en-US"/>
              </w:rPr>
              <w:t>Active treatment</w:t>
            </w:r>
          </w:p>
          <w:p w14:paraId="5066A625" w14:textId="77777777" w:rsidR="0059604F" w:rsidRPr="00E50289" w:rsidRDefault="0059604F" w:rsidP="00D42558">
            <w:pPr>
              <w:pStyle w:val="Tabletext"/>
              <w:keepNext/>
              <w:widowControl w:val="0"/>
              <w:jc w:val="center"/>
              <w:rPr>
                <w:rFonts w:eastAsia="Calibri"/>
                <w:b/>
                <w:bCs/>
                <w:szCs w:val="20"/>
                <w:lang w:eastAsia="en-US"/>
              </w:rPr>
            </w:pPr>
            <w:r w:rsidRPr="00E50289">
              <w:rPr>
                <w:rFonts w:eastAsia="Calibri"/>
                <w:b/>
                <w:bCs/>
                <w:szCs w:val="20"/>
                <w:lang w:eastAsia="en-US"/>
              </w:rPr>
              <w:t>n/N (%)</w:t>
            </w:r>
          </w:p>
        </w:tc>
        <w:tc>
          <w:tcPr>
            <w:tcW w:w="786" w:type="pct"/>
            <w:tcBorders>
              <w:bottom w:val="single" w:sz="4" w:space="0" w:color="auto"/>
            </w:tcBorders>
            <w:shd w:val="clear" w:color="auto" w:fill="auto"/>
          </w:tcPr>
          <w:p w14:paraId="0D00BED3" w14:textId="77777777" w:rsidR="0059604F" w:rsidRPr="00E50289" w:rsidRDefault="0059604F" w:rsidP="00D42558">
            <w:pPr>
              <w:pStyle w:val="Tabletext"/>
              <w:keepNext/>
              <w:widowControl w:val="0"/>
              <w:jc w:val="center"/>
              <w:rPr>
                <w:rFonts w:eastAsia="Calibri"/>
                <w:b/>
                <w:bCs/>
                <w:szCs w:val="20"/>
                <w:lang w:eastAsia="en-US"/>
              </w:rPr>
            </w:pPr>
            <w:r w:rsidRPr="00E50289">
              <w:rPr>
                <w:rFonts w:eastAsia="Calibri"/>
                <w:b/>
                <w:bCs/>
                <w:szCs w:val="20"/>
                <w:lang w:eastAsia="en-US"/>
              </w:rPr>
              <w:t>PBO</w:t>
            </w:r>
          </w:p>
          <w:p w14:paraId="70A54EE9" w14:textId="77777777" w:rsidR="0059604F" w:rsidRPr="00E50289" w:rsidRDefault="0059604F" w:rsidP="00D42558">
            <w:pPr>
              <w:pStyle w:val="Tabletext"/>
              <w:keepNext/>
              <w:widowControl w:val="0"/>
              <w:jc w:val="center"/>
              <w:rPr>
                <w:rFonts w:eastAsia="Calibri"/>
                <w:b/>
                <w:bCs/>
                <w:szCs w:val="20"/>
                <w:lang w:eastAsia="en-US"/>
              </w:rPr>
            </w:pPr>
            <w:r w:rsidRPr="00E50289">
              <w:rPr>
                <w:rFonts w:eastAsia="Calibri"/>
                <w:b/>
                <w:bCs/>
                <w:szCs w:val="20"/>
                <w:lang w:eastAsia="en-US"/>
              </w:rPr>
              <w:t>n/N (%)</w:t>
            </w:r>
          </w:p>
        </w:tc>
        <w:tc>
          <w:tcPr>
            <w:tcW w:w="864" w:type="pct"/>
            <w:tcBorders>
              <w:bottom w:val="single" w:sz="4" w:space="0" w:color="auto"/>
            </w:tcBorders>
            <w:shd w:val="clear" w:color="auto" w:fill="auto"/>
          </w:tcPr>
          <w:p w14:paraId="10D12B92" w14:textId="461CF2F1" w:rsidR="0059604F" w:rsidRPr="00E50289" w:rsidRDefault="0059604F" w:rsidP="00D42558">
            <w:pPr>
              <w:pStyle w:val="Tabletext"/>
              <w:keepNext/>
              <w:widowControl w:val="0"/>
              <w:jc w:val="center"/>
              <w:rPr>
                <w:rFonts w:eastAsia="Calibri"/>
                <w:b/>
                <w:bCs/>
                <w:szCs w:val="20"/>
                <w:lang w:eastAsia="en-US"/>
              </w:rPr>
            </w:pPr>
            <w:r w:rsidRPr="00E50289">
              <w:rPr>
                <w:rFonts w:eastAsia="Calibri"/>
                <w:b/>
                <w:bCs/>
                <w:szCs w:val="20"/>
                <w:lang w:eastAsia="en-US"/>
              </w:rPr>
              <w:t>OR (</w:t>
            </w:r>
            <w:r w:rsidR="000565B3" w:rsidRPr="00E50289">
              <w:rPr>
                <w:rFonts w:eastAsia="Calibri"/>
                <w:b/>
                <w:bCs/>
                <w:szCs w:val="20"/>
                <w:lang w:eastAsia="en-US"/>
              </w:rPr>
              <w:t>95% CI</w:t>
            </w:r>
            <w:r w:rsidRPr="00E50289">
              <w:rPr>
                <w:rFonts w:eastAsia="Calibri"/>
                <w:b/>
                <w:bCs/>
                <w:szCs w:val="20"/>
                <w:lang w:eastAsia="en-US"/>
              </w:rPr>
              <w:t>),</w:t>
            </w:r>
          </w:p>
          <w:p w14:paraId="43813B4F" w14:textId="48F3386E" w:rsidR="0059604F" w:rsidRPr="00E50289" w:rsidRDefault="0059604F" w:rsidP="00D42558">
            <w:pPr>
              <w:pStyle w:val="Tabletext"/>
              <w:keepNext/>
              <w:widowControl w:val="0"/>
              <w:jc w:val="center"/>
              <w:rPr>
                <w:rFonts w:eastAsia="Calibri"/>
                <w:b/>
                <w:bCs/>
                <w:szCs w:val="20"/>
                <w:lang w:eastAsia="en-US"/>
              </w:rPr>
            </w:pPr>
            <w:r w:rsidRPr="00E50289">
              <w:rPr>
                <w:rFonts w:eastAsia="Calibri"/>
                <w:b/>
                <w:bCs/>
                <w:szCs w:val="20"/>
                <w:lang w:eastAsia="en-US"/>
              </w:rPr>
              <w:t>result &gt;1 favours intervention</w:t>
            </w:r>
          </w:p>
        </w:tc>
        <w:tc>
          <w:tcPr>
            <w:tcW w:w="864" w:type="pct"/>
            <w:tcBorders>
              <w:bottom w:val="single" w:sz="4" w:space="0" w:color="auto"/>
            </w:tcBorders>
            <w:shd w:val="clear" w:color="auto" w:fill="auto"/>
          </w:tcPr>
          <w:p w14:paraId="4FCD132D" w14:textId="5FA0F339" w:rsidR="0059604F" w:rsidRPr="00E50289" w:rsidRDefault="0059604F" w:rsidP="00D42558">
            <w:pPr>
              <w:pStyle w:val="Tabletext"/>
              <w:keepNext/>
              <w:widowControl w:val="0"/>
              <w:jc w:val="center"/>
              <w:rPr>
                <w:rFonts w:eastAsia="Calibri"/>
                <w:b/>
                <w:bCs/>
                <w:szCs w:val="20"/>
                <w:lang w:eastAsia="en-US"/>
              </w:rPr>
            </w:pPr>
            <w:r w:rsidRPr="00E50289">
              <w:rPr>
                <w:rFonts w:eastAsia="Calibri"/>
                <w:b/>
                <w:bCs/>
                <w:szCs w:val="20"/>
                <w:lang w:eastAsia="en-US"/>
              </w:rPr>
              <w:t>RR (</w:t>
            </w:r>
            <w:r w:rsidR="000565B3" w:rsidRPr="00E50289">
              <w:rPr>
                <w:rFonts w:eastAsia="Calibri"/>
                <w:b/>
                <w:bCs/>
                <w:szCs w:val="20"/>
                <w:lang w:eastAsia="en-US"/>
              </w:rPr>
              <w:t>95% CI</w:t>
            </w:r>
            <w:r w:rsidRPr="00E50289">
              <w:rPr>
                <w:rFonts w:eastAsia="Calibri"/>
                <w:b/>
                <w:bCs/>
                <w:szCs w:val="20"/>
                <w:lang w:eastAsia="en-US"/>
              </w:rPr>
              <w:t>),</w:t>
            </w:r>
          </w:p>
          <w:p w14:paraId="09657826" w14:textId="6C7BBD44" w:rsidR="0059604F" w:rsidRPr="00E50289" w:rsidRDefault="0059604F" w:rsidP="00D42558">
            <w:pPr>
              <w:pStyle w:val="Tabletext"/>
              <w:keepNext/>
              <w:widowControl w:val="0"/>
              <w:jc w:val="center"/>
              <w:rPr>
                <w:rFonts w:eastAsia="Calibri"/>
                <w:b/>
                <w:bCs/>
                <w:szCs w:val="20"/>
                <w:lang w:eastAsia="en-US"/>
              </w:rPr>
            </w:pPr>
            <w:r w:rsidRPr="00E50289">
              <w:rPr>
                <w:rFonts w:eastAsia="Calibri"/>
                <w:b/>
                <w:bCs/>
                <w:szCs w:val="20"/>
                <w:lang w:eastAsia="en-US"/>
              </w:rPr>
              <w:t>result &gt;1 favours intervention</w:t>
            </w:r>
          </w:p>
        </w:tc>
        <w:tc>
          <w:tcPr>
            <w:tcW w:w="994" w:type="pct"/>
            <w:tcBorders>
              <w:bottom w:val="single" w:sz="4" w:space="0" w:color="auto"/>
            </w:tcBorders>
            <w:shd w:val="clear" w:color="auto" w:fill="auto"/>
          </w:tcPr>
          <w:p w14:paraId="14BEF245" w14:textId="3C9FAC39" w:rsidR="0059604F" w:rsidRPr="00E50289" w:rsidRDefault="0059604F" w:rsidP="00D42558">
            <w:pPr>
              <w:pStyle w:val="Tabletext"/>
              <w:keepNext/>
              <w:widowControl w:val="0"/>
              <w:jc w:val="center"/>
              <w:rPr>
                <w:rFonts w:eastAsia="Calibri"/>
                <w:b/>
                <w:bCs/>
                <w:szCs w:val="20"/>
                <w:lang w:eastAsia="en-US"/>
              </w:rPr>
            </w:pPr>
            <w:r w:rsidRPr="00E50289">
              <w:rPr>
                <w:rFonts w:eastAsia="Calibri"/>
                <w:b/>
                <w:bCs/>
                <w:szCs w:val="20"/>
                <w:lang w:eastAsia="en-US"/>
              </w:rPr>
              <w:t>RD (</w:t>
            </w:r>
            <w:r w:rsidR="000565B3" w:rsidRPr="00E50289">
              <w:rPr>
                <w:rFonts w:eastAsia="Calibri"/>
                <w:b/>
                <w:bCs/>
                <w:szCs w:val="20"/>
                <w:lang w:eastAsia="en-US"/>
              </w:rPr>
              <w:t>95% CI</w:t>
            </w:r>
            <w:r w:rsidRPr="00E50289">
              <w:rPr>
                <w:rFonts w:eastAsia="Calibri"/>
                <w:b/>
                <w:bCs/>
                <w:szCs w:val="20"/>
                <w:lang w:eastAsia="en-US"/>
              </w:rPr>
              <w:t>),</w:t>
            </w:r>
          </w:p>
          <w:p w14:paraId="7C60F7D6" w14:textId="6218CDEA" w:rsidR="0059604F" w:rsidRPr="00E50289" w:rsidRDefault="0059604F" w:rsidP="00D42558">
            <w:pPr>
              <w:pStyle w:val="Tabletext"/>
              <w:keepNext/>
              <w:widowControl w:val="0"/>
              <w:jc w:val="center"/>
              <w:rPr>
                <w:rFonts w:eastAsia="Calibri"/>
                <w:b/>
                <w:bCs/>
                <w:szCs w:val="20"/>
                <w:lang w:eastAsia="en-US"/>
              </w:rPr>
            </w:pPr>
            <w:r w:rsidRPr="00E50289">
              <w:rPr>
                <w:rFonts w:eastAsia="Calibri"/>
                <w:b/>
                <w:bCs/>
                <w:szCs w:val="20"/>
                <w:lang w:eastAsia="en-US"/>
              </w:rPr>
              <w:t>result &gt;0 favours intervention</w:t>
            </w:r>
          </w:p>
        </w:tc>
      </w:tr>
      <w:tr w:rsidR="0059604F" w:rsidRPr="00E50289" w14:paraId="26D322FB" w14:textId="77777777" w:rsidTr="00097C1E">
        <w:trPr>
          <w:trHeight w:val="23"/>
        </w:trPr>
        <w:tc>
          <w:tcPr>
            <w:tcW w:w="5000" w:type="pct"/>
            <w:gridSpan w:val="6"/>
            <w:shd w:val="clear" w:color="auto" w:fill="auto"/>
            <w:noWrap/>
          </w:tcPr>
          <w:p w14:paraId="314E605A" w14:textId="77777777" w:rsidR="0059604F" w:rsidRPr="00E50289" w:rsidRDefault="0059604F" w:rsidP="00D42558">
            <w:pPr>
              <w:pStyle w:val="Tabletext"/>
              <w:keepNext/>
              <w:widowControl w:val="0"/>
              <w:rPr>
                <w:rFonts w:eastAsia="Calibri"/>
                <w:b/>
                <w:bCs/>
                <w:szCs w:val="20"/>
                <w:lang w:eastAsia="en-US"/>
              </w:rPr>
            </w:pPr>
            <w:r w:rsidRPr="00E50289">
              <w:rPr>
                <w:rFonts w:eastAsia="Calibri"/>
                <w:b/>
                <w:bCs/>
                <w:szCs w:val="20"/>
                <w:lang w:eastAsia="en-US"/>
              </w:rPr>
              <w:t>UPA (45 mg) – week 12 results</w:t>
            </w:r>
          </w:p>
        </w:tc>
      </w:tr>
      <w:tr w:rsidR="0059604F" w:rsidRPr="00E50289" w14:paraId="659F80A8" w14:textId="77777777" w:rsidTr="00823553">
        <w:trPr>
          <w:trHeight w:val="23"/>
        </w:trPr>
        <w:tc>
          <w:tcPr>
            <w:tcW w:w="705" w:type="pct"/>
            <w:shd w:val="clear" w:color="auto" w:fill="auto"/>
            <w:noWrap/>
            <w:vAlign w:val="center"/>
          </w:tcPr>
          <w:p w14:paraId="0CF1B933"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U-EXCEED</w:t>
            </w:r>
          </w:p>
        </w:tc>
        <w:tc>
          <w:tcPr>
            <w:tcW w:w="787" w:type="pct"/>
            <w:vAlign w:val="center"/>
          </w:tcPr>
          <w:p w14:paraId="305A8DFA"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164/324 (50.6)</w:t>
            </w:r>
          </w:p>
        </w:tc>
        <w:tc>
          <w:tcPr>
            <w:tcW w:w="786" w:type="pct"/>
            <w:vAlign w:val="center"/>
          </w:tcPr>
          <w:p w14:paraId="1D058F5B"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47/171 (27.5)</w:t>
            </w:r>
          </w:p>
        </w:tc>
        <w:tc>
          <w:tcPr>
            <w:tcW w:w="864" w:type="pct"/>
            <w:shd w:val="clear" w:color="auto" w:fill="auto"/>
            <w:vAlign w:val="center"/>
          </w:tcPr>
          <w:p w14:paraId="7959603C"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2.70 (1.81, 4.04)</w:t>
            </w:r>
          </w:p>
        </w:tc>
        <w:tc>
          <w:tcPr>
            <w:tcW w:w="864" w:type="pct"/>
            <w:shd w:val="clear" w:color="auto" w:fill="auto"/>
            <w:vAlign w:val="center"/>
          </w:tcPr>
          <w:p w14:paraId="74CDD741"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1.84 (1.41, 2.40)</w:t>
            </w:r>
          </w:p>
        </w:tc>
        <w:tc>
          <w:tcPr>
            <w:tcW w:w="994" w:type="pct"/>
            <w:shd w:val="clear" w:color="auto" w:fill="auto"/>
            <w:noWrap/>
            <w:vAlign w:val="center"/>
          </w:tcPr>
          <w:p w14:paraId="17C7C364"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0.23 (0.15, 0.32)</w:t>
            </w:r>
          </w:p>
        </w:tc>
      </w:tr>
      <w:tr w:rsidR="0059604F" w:rsidRPr="00E50289" w14:paraId="449A6A9C" w14:textId="77777777" w:rsidTr="00BB1C88">
        <w:trPr>
          <w:trHeight w:val="23"/>
        </w:trPr>
        <w:tc>
          <w:tcPr>
            <w:tcW w:w="705" w:type="pct"/>
            <w:shd w:val="clear" w:color="auto" w:fill="auto"/>
            <w:noWrap/>
            <w:vAlign w:val="center"/>
          </w:tcPr>
          <w:p w14:paraId="3317A91D"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U-EXCEL</w:t>
            </w:r>
          </w:p>
        </w:tc>
        <w:tc>
          <w:tcPr>
            <w:tcW w:w="787" w:type="pct"/>
            <w:vAlign w:val="center"/>
          </w:tcPr>
          <w:p w14:paraId="345076AF"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198/350 (62.6)</w:t>
            </w:r>
          </w:p>
          <w:p w14:paraId="2DBF8F95" w14:textId="3E5BDE82" w:rsidR="00A81E1D" w:rsidRPr="00E50289" w:rsidRDefault="00A81E1D" w:rsidP="00D42558">
            <w:pPr>
              <w:pStyle w:val="Tabletext"/>
              <w:keepNext/>
              <w:widowControl w:val="0"/>
              <w:jc w:val="center"/>
              <w:rPr>
                <w:rFonts w:eastAsia="Calibri"/>
                <w:szCs w:val="20"/>
                <w:lang w:eastAsia="en-US"/>
              </w:rPr>
            </w:pPr>
            <w:r w:rsidRPr="00E50289">
              <w:rPr>
                <w:rFonts w:eastAsia="Calibri"/>
                <w:szCs w:val="20"/>
                <w:lang w:eastAsia="en-US"/>
              </w:rPr>
              <w:t>(</w:t>
            </w:r>
            <w:proofErr w:type="gramStart"/>
            <w:r w:rsidRPr="00E50289">
              <w:rPr>
                <w:rFonts w:eastAsia="Calibri"/>
                <w:szCs w:val="20"/>
                <w:lang w:eastAsia="en-US"/>
              </w:rPr>
              <w:t>56.6)</w:t>
            </w:r>
            <w:r w:rsidRPr="00E50289">
              <w:rPr>
                <w:rFonts w:eastAsia="Calibri"/>
                <w:szCs w:val="20"/>
                <w:vertAlign w:val="superscript"/>
                <w:lang w:eastAsia="en-US"/>
              </w:rPr>
              <w:t>a</w:t>
            </w:r>
            <w:proofErr w:type="gramEnd"/>
          </w:p>
        </w:tc>
        <w:tc>
          <w:tcPr>
            <w:tcW w:w="786" w:type="pct"/>
            <w:vAlign w:val="center"/>
          </w:tcPr>
          <w:p w14:paraId="7B176EEF"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66/176 (58.5)</w:t>
            </w:r>
          </w:p>
          <w:p w14:paraId="28F41D00" w14:textId="4B6905CA" w:rsidR="00A81E1D" w:rsidRPr="00E50289" w:rsidRDefault="00A81E1D" w:rsidP="00D42558">
            <w:pPr>
              <w:pStyle w:val="Tabletext"/>
              <w:keepNext/>
              <w:widowControl w:val="0"/>
              <w:jc w:val="center"/>
              <w:rPr>
                <w:rFonts w:eastAsia="Calibri"/>
                <w:szCs w:val="20"/>
                <w:lang w:eastAsia="en-US"/>
              </w:rPr>
            </w:pPr>
            <w:r w:rsidRPr="00E50289">
              <w:rPr>
                <w:rFonts w:eastAsia="Calibri"/>
                <w:szCs w:val="20"/>
                <w:lang w:eastAsia="en-US"/>
              </w:rPr>
              <w:t>(</w:t>
            </w:r>
            <w:proofErr w:type="gramStart"/>
            <w:r w:rsidRPr="00E50289">
              <w:rPr>
                <w:rFonts w:eastAsia="Calibri"/>
                <w:szCs w:val="20"/>
                <w:lang w:eastAsia="en-US"/>
              </w:rPr>
              <w:t>37.5)</w:t>
            </w:r>
            <w:r w:rsidRPr="00E50289">
              <w:rPr>
                <w:rFonts w:eastAsia="Calibri"/>
                <w:szCs w:val="20"/>
                <w:vertAlign w:val="superscript"/>
                <w:lang w:eastAsia="en-US"/>
              </w:rPr>
              <w:t>a</w:t>
            </w:r>
            <w:proofErr w:type="gramEnd"/>
          </w:p>
        </w:tc>
        <w:tc>
          <w:tcPr>
            <w:tcW w:w="864" w:type="pct"/>
            <w:shd w:val="clear" w:color="auto" w:fill="auto"/>
          </w:tcPr>
          <w:p w14:paraId="3809429F"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2.17 (1.50, 3.15)</w:t>
            </w:r>
          </w:p>
        </w:tc>
        <w:tc>
          <w:tcPr>
            <w:tcW w:w="864" w:type="pct"/>
            <w:shd w:val="clear" w:color="auto" w:fill="auto"/>
          </w:tcPr>
          <w:p w14:paraId="564D9B63"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1.51 (1.22, 1.86)</w:t>
            </w:r>
          </w:p>
        </w:tc>
        <w:tc>
          <w:tcPr>
            <w:tcW w:w="994" w:type="pct"/>
            <w:shd w:val="clear" w:color="auto" w:fill="auto"/>
            <w:noWrap/>
          </w:tcPr>
          <w:p w14:paraId="7A4F05B2"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0.19 (0.10, 0.28)</w:t>
            </w:r>
          </w:p>
        </w:tc>
      </w:tr>
      <w:tr w:rsidR="0059604F" w:rsidRPr="00E50289" w14:paraId="433E6AA9" w14:textId="77777777" w:rsidTr="00524F1A">
        <w:trPr>
          <w:trHeight w:val="23"/>
        </w:trPr>
        <w:tc>
          <w:tcPr>
            <w:tcW w:w="705" w:type="pct"/>
            <w:shd w:val="clear" w:color="auto" w:fill="auto"/>
            <w:noWrap/>
            <w:vAlign w:val="center"/>
          </w:tcPr>
          <w:p w14:paraId="72F8C0B4" w14:textId="77777777" w:rsidR="0059604F" w:rsidRPr="00E50289" w:rsidRDefault="0059604F" w:rsidP="00D42558">
            <w:pPr>
              <w:pStyle w:val="Tabletext"/>
              <w:keepNext/>
              <w:widowControl w:val="0"/>
              <w:rPr>
                <w:rFonts w:eastAsia="Calibri"/>
                <w:szCs w:val="20"/>
                <w:lang w:eastAsia="en-US"/>
              </w:rPr>
            </w:pPr>
            <w:r w:rsidRPr="00E50289">
              <w:rPr>
                <w:rFonts w:eastAsia="Calibri"/>
                <w:bCs/>
                <w:szCs w:val="20"/>
                <w:lang w:eastAsia="en-US"/>
              </w:rPr>
              <w:t>Pooled</w:t>
            </w:r>
          </w:p>
        </w:tc>
        <w:tc>
          <w:tcPr>
            <w:tcW w:w="787" w:type="pct"/>
          </w:tcPr>
          <w:p w14:paraId="4C05B805"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362/674 (53.7)</w:t>
            </w:r>
          </w:p>
        </w:tc>
        <w:tc>
          <w:tcPr>
            <w:tcW w:w="786" w:type="pct"/>
            <w:vAlign w:val="center"/>
          </w:tcPr>
          <w:p w14:paraId="127170C2"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113/317 (32.6)</w:t>
            </w:r>
          </w:p>
          <w:p w14:paraId="24FF8D42"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113/347 (33)</w:t>
            </w:r>
            <w:r w:rsidRPr="00E50289">
              <w:rPr>
                <w:rFonts w:eastAsia="Calibri"/>
                <w:szCs w:val="20"/>
                <w:vertAlign w:val="superscript"/>
                <w:lang w:eastAsia="en-US"/>
              </w:rPr>
              <w:t>a</w:t>
            </w:r>
          </w:p>
        </w:tc>
        <w:tc>
          <w:tcPr>
            <w:tcW w:w="864" w:type="pct"/>
            <w:shd w:val="clear" w:color="auto" w:fill="auto"/>
          </w:tcPr>
          <w:p w14:paraId="7ADADB17"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2.41 (1.83, 3.16)</w:t>
            </w:r>
          </w:p>
        </w:tc>
        <w:tc>
          <w:tcPr>
            <w:tcW w:w="864" w:type="pct"/>
            <w:shd w:val="clear" w:color="auto" w:fill="auto"/>
          </w:tcPr>
          <w:p w14:paraId="3913F173"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1.65 (1.39, 1.94)</w:t>
            </w:r>
          </w:p>
        </w:tc>
        <w:tc>
          <w:tcPr>
            <w:tcW w:w="994" w:type="pct"/>
            <w:shd w:val="clear" w:color="auto" w:fill="auto"/>
            <w:noWrap/>
          </w:tcPr>
          <w:p w14:paraId="4D22986D"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0.21 (0.15, 0.27)</w:t>
            </w:r>
          </w:p>
        </w:tc>
      </w:tr>
      <w:tr w:rsidR="0059604F" w:rsidRPr="00E50289" w14:paraId="16953D1D" w14:textId="77777777" w:rsidTr="00097C1E">
        <w:trPr>
          <w:trHeight w:val="23"/>
        </w:trPr>
        <w:tc>
          <w:tcPr>
            <w:tcW w:w="5000" w:type="pct"/>
            <w:gridSpan w:val="6"/>
            <w:tcBorders>
              <w:bottom w:val="single" w:sz="4" w:space="0" w:color="auto"/>
            </w:tcBorders>
            <w:shd w:val="clear" w:color="auto" w:fill="auto"/>
            <w:noWrap/>
          </w:tcPr>
          <w:p w14:paraId="4C8E9FCC" w14:textId="77777777" w:rsidR="0059604F" w:rsidRPr="00E50289" w:rsidRDefault="0059604F" w:rsidP="00D42558">
            <w:pPr>
              <w:pStyle w:val="Tabletext"/>
              <w:keepNext/>
              <w:widowControl w:val="0"/>
              <w:rPr>
                <w:rFonts w:eastAsia="Calibri"/>
                <w:b/>
                <w:bCs/>
                <w:szCs w:val="20"/>
                <w:lang w:eastAsia="en-US"/>
              </w:rPr>
            </w:pPr>
            <w:r w:rsidRPr="00E50289">
              <w:rPr>
                <w:rFonts w:eastAsia="Calibri"/>
                <w:b/>
                <w:bCs/>
                <w:szCs w:val="20"/>
                <w:lang w:eastAsia="en-US"/>
              </w:rPr>
              <w:t>ADA (week 0: 160 mg, week 2: 80 mg) – week 4 results</w:t>
            </w:r>
          </w:p>
        </w:tc>
      </w:tr>
      <w:tr w:rsidR="0059604F" w:rsidRPr="00E50289" w14:paraId="19FE5D8C" w14:textId="77777777" w:rsidTr="00BB1C88">
        <w:trPr>
          <w:trHeight w:val="23"/>
        </w:trPr>
        <w:tc>
          <w:tcPr>
            <w:tcW w:w="705" w:type="pct"/>
            <w:tcBorders>
              <w:bottom w:val="single" w:sz="4" w:space="0" w:color="auto"/>
            </w:tcBorders>
            <w:shd w:val="clear" w:color="auto" w:fill="auto"/>
            <w:noWrap/>
          </w:tcPr>
          <w:p w14:paraId="76563981" w14:textId="4B1544F4"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CLASSIC</w:t>
            </w:r>
            <w:r w:rsidR="001538FE" w:rsidRPr="00E50289">
              <w:rPr>
                <w:rFonts w:eastAsia="Calibri"/>
                <w:szCs w:val="20"/>
                <w:lang w:eastAsia="en-US"/>
              </w:rPr>
              <w:t xml:space="preserve"> </w:t>
            </w:r>
            <w:r w:rsidRPr="00E50289">
              <w:rPr>
                <w:rFonts w:eastAsia="Calibri"/>
                <w:szCs w:val="20"/>
                <w:lang w:eastAsia="en-US"/>
              </w:rPr>
              <w:t>I</w:t>
            </w:r>
          </w:p>
        </w:tc>
        <w:tc>
          <w:tcPr>
            <w:tcW w:w="787" w:type="pct"/>
            <w:tcBorders>
              <w:bottom w:val="single" w:sz="4" w:space="0" w:color="auto"/>
            </w:tcBorders>
            <w:vAlign w:val="center"/>
          </w:tcPr>
          <w:p w14:paraId="64E8FE00"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38/76 (50)</w:t>
            </w:r>
          </w:p>
        </w:tc>
        <w:tc>
          <w:tcPr>
            <w:tcW w:w="786" w:type="pct"/>
            <w:tcBorders>
              <w:bottom w:val="single" w:sz="4" w:space="0" w:color="auto"/>
            </w:tcBorders>
            <w:vAlign w:val="center"/>
          </w:tcPr>
          <w:p w14:paraId="596534D1"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19/74 (25)</w:t>
            </w:r>
          </w:p>
        </w:tc>
        <w:tc>
          <w:tcPr>
            <w:tcW w:w="864" w:type="pct"/>
            <w:tcBorders>
              <w:bottom w:val="single" w:sz="4" w:space="0" w:color="auto"/>
            </w:tcBorders>
          </w:tcPr>
          <w:p w14:paraId="1AA82892"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2.89 (1.45, 5.76)</w:t>
            </w:r>
          </w:p>
        </w:tc>
        <w:tc>
          <w:tcPr>
            <w:tcW w:w="864" w:type="pct"/>
            <w:tcBorders>
              <w:bottom w:val="single" w:sz="4" w:space="0" w:color="auto"/>
            </w:tcBorders>
          </w:tcPr>
          <w:p w14:paraId="40291912"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1.95 (1.24, 3.05)</w:t>
            </w:r>
          </w:p>
        </w:tc>
        <w:tc>
          <w:tcPr>
            <w:tcW w:w="994" w:type="pct"/>
            <w:tcBorders>
              <w:bottom w:val="single" w:sz="4" w:space="0" w:color="auto"/>
            </w:tcBorders>
            <w:shd w:val="clear" w:color="auto" w:fill="auto"/>
            <w:noWrap/>
          </w:tcPr>
          <w:p w14:paraId="03B38B94"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0.24 (0.09, 0.39)</w:t>
            </w:r>
          </w:p>
        </w:tc>
      </w:tr>
      <w:tr w:rsidR="0059604F" w:rsidRPr="00E50289" w14:paraId="7A4CE342" w14:textId="77777777" w:rsidTr="00BB1C88">
        <w:trPr>
          <w:trHeight w:val="23"/>
        </w:trPr>
        <w:tc>
          <w:tcPr>
            <w:tcW w:w="705" w:type="pct"/>
            <w:tcBorders>
              <w:bottom w:val="single" w:sz="4" w:space="0" w:color="auto"/>
            </w:tcBorders>
            <w:shd w:val="clear" w:color="auto" w:fill="auto"/>
            <w:noWrap/>
          </w:tcPr>
          <w:p w14:paraId="4E5780DA"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GAIN</w:t>
            </w:r>
          </w:p>
        </w:tc>
        <w:tc>
          <w:tcPr>
            <w:tcW w:w="787" w:type="pct"/>
            <w:tcBorders>
              <w:bottom w:val="single" w:sz="4" w:space="0" w:color="auto"/>
            </w:tcBorders>
            <w:vAlign w:val="center"/>
          </w:tcPr>
          <w:p w14:paraId="0DF6FF7E"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61/159 (38)</w:t>
            </w:r>
          </w:p>
        </w:tc>
        <w:tc>
          <w:tcPr>
            <w:tcW w:w="786" w:type="pct"/>
            <w:tcBorders>
              <w:bottom w:val="single" w:sz="4" w:space="0" w:color="auto"/>
            </w:tcBorders>
            <w:vAlign w:val="center"/>
          </w:tcPr>
          <w:p w14:paraId="57B44583"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41/166 (25)</w:t>
            </w:r>
          </w:p>
        </w:tc>
        <w:tc>
          <w:tcPr>
            <w:tcW w:w="864" w:type="pct"/>
            <w:tcBorders>
              <w:bottom w:val="single" w:sz="4" w:space="0" w:color="auto"/>
            </w:tcBorders>
          </w:tcPr>
          <w:p w14:paraId="39DB8A08"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1.90 (1.18, 3.05)</w:t>
            </w:r>
          </w:p>
        </w:tc>
        <w:tc>
          <w:tcPr>
            <w:tcW w:w="864" w:type="pct"/>
            <w:tcBorders>
              <w:bottom w:val="single" w:sz="4" w:space="0" w:color="auto"/>
            </w:tcBorders>
          </w:tcPr>
          <w:p w14:paraId="364B2DC6"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1.55 (1.12, 2.16)</w:t>
            </w:r>
          </w:p>
        </w:tc>
        <w:tc>
          <w:tcPr>
            <w:tcW w:w="994" w:type="pct"/>
            <w:tcBorders>
              <w:bottom w:val="single" w:sz="4" w:space="0" w:color="auto"/>
            </w:tcBorders>
            <w:shd w:val="clear" w:color="auto" w:fill="auto"/>
            <w:noWrap/>
          </w:tcPr>
          <w:p w14:paraId="7D27C8BD"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0.14 (0.04, 0.24)</w:t>
            </w:r>
          </w:p>
        </w:tc>
      </w:tr>
      <w:tr w:rsidR="0059604F" w:rsidRPr="00E50289" w14:paraId="5B7B0220" w14:textId="77777777" w:rsidTr="00BB1C88">
        <w:trPr>
          <w:trHeight w:val="23"/>
        </w:trPr>
        <w:tc>
          <w:tcPr>
            <w:tcW w:w="705" w:type="pct"/>
            <w:tcBorders>
              <w:bottom w:val="single" w:sz="4" w:space="0" w:color="auto"/>
            </w:tcBorders>
            <w:shd w:val="clear" w:color="auto" w:fill="auto"/>
            <w:noWrap/>
          </w:tcPr>
          <w:p w14:paraId="72B74AB1"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Watanabe 2012</w:t>
            </w:r>
          </w:p>
        </w:tc>
        <w:tc>
          <w:tcPr>
            <w:tcW w:w="787" w:type="pct"/>
            <w:tcBorders>
              <w:bottom w:val="single" w:sz="4" w:space="0" w:color="auto"/>
            </w:tcBorders>
            <w:vAlign w:val="center"/>
          </w:tcPr>
          <w:p w14:paraId="7CB961E8"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15/33 (46)</w:t>
            </w:r>
          </w:p>
        </w:tc>
        <w:tc>
          <w:tcPr>
            <w:tcW w:w="786" w:type="pct"/>
            <w:tcBorders>
              <w:bottom w:val="single" w:sz="4" w:space="0" w:color="auto"/>
            </w:tcBorders>
            <w:vAlign w:val="center"/>
          </w:tcPr>
          <w:p w14:paraId="6EEDF9FD"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4/23 (15)</w:t>
            </w:r>
          </w:p>
        </w:tc>
        <w:tc>
          <w:tcPr>
            <w:tcW w:w="864" w:type="pct"/>
            <w:tcBorders>
              <w:bottom w:val="single" w:sz="4" w:space="0" w:color="auto"/>
            </w:tcBorders>
          </w:tcPr>
          <w:p w14:paraId="3A9C50BA"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3.96 (1.10, 14.20)</w:t>
            </w:r>
          </w:p>
        </w:tc>
        <w:tc>
          <w:tcPr>
            <w:tcW w:w="864" w:type="pct"/>
            <w:tcBorders>
              <w:bottom w:val="single" w:sz="4" w:space="0" w:color="auto"/>
            </w:tcBorders>
          </w:tcPr>
          <w:p w14:paraId="19D1C61D"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2.61 (0.99, 6.87)</w:t>
            </w:r>
          </w:p>
        </w:tc>
        <w:tc>
          <w:tcPr>
            <w:tcW w:w="994" w:type="pct"/>
            <w:tcBorders>
              <w:bottom w:val="single" w:sz="4" w:space="0" w:color="auto"/>
            </w:tcBorders>
            <w:shd w:val="clear" w:color="auto" w:fill="auto"/>
            <w:noWrap/>
          </w:tcPr>
          <w:p w14:paraId="1FAA1882"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0.28 (0.05, 0.51)</w:t>
            </w:r>
          </w:p>
        </w:tc>
      </w:tr>
      <w:tr w:rsidR="0059604F" w:rsidRPr="00E50289" w14:paraId="34E649EB" w14:textId="77777777" w:rsidTr="00BB1C88">
        <w:trPr>
          <w:trHeight w:val="23"/>
        </w:trPr>
        <w:tc>
          <w:tcPr>
            <w:tcW w:w="705" w:type="pct"/>
            <w:tcBorders>
              <w:bottom w:val="single" w:sz="4" w:space="0" w:color="auto"/>
            </w:tcBorders>
            <w:shd w:val="clear" w:color="auto" w:fill="auto"/>
            <w:noWrap/>
          </w:tcPr>
          <w:p w14:paraId="190D69BB"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Pooled</w:t>
            </w:r>
          </w:p>
        </w:tc>
        <w:tc>
          <w:tcPr>
            <w:tcW w:w="787" w:type="pct"/>
            <w:tcBorders>
              <w:bottom w:val="single" w:sz="4" w:space="0" w:color="auto"/>
            </w:tcBorders>
            <w:vAlign w:val="center"/>
          </w:tcPr>
          <w:p w14:paraId="329DF830"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114/268 (42.5)</w:t>
            </w:r>
          </w:p>
        </w:tc>
        <w:tc>
          <w:tcPr>
            <w:tcW w:w="786" w:type="pct"/>
            <w:tcBorders>
              <w:bottom w:val="single" w:sz="4" w:space="0" w:color="auto"/>
            </w:tcBorders>
            <w:vAlign w:val="center"/>
          </w:tcPr>
          <w:p w14:paraId="71470753"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64/263 (24.3)</w:t>
            </w:r>
          </w:p>
        </w:tc>
        <w:tc>
          <w:tcPr>
            <w:tcW w:w="864" w:type="pct"/>
            <w:tcBorders>
              <w:bottom w:val="single" w:sz="4" w:space="0" w:color="auto"/>
            </w:tcBorders>
          </w:tcPr>
          <w:p w14:paraId="4CF0FCB4"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2.30 (1.59, 3.34)</w:t>
            </w:r>
          </w:p>
        </w:tc>
        <w:tc>
          <w:tcPr>
            <w:tcW w:w="864" w:type="pct"/>
            <w:tcBorders>
              <w:bottom w:val="single" w:sz="4" w:space="0" w:color="auto"/>
            </w:tcBorders>
          </w:tcPr>
          <w:p w14:paraId="541B617A"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1.75 (1.35, 2.26)</w:t>
            </w:r>
          </w:p>
        </w:tc>
        <w:tc>
          <w:tcPr>
            <w:tcW w:w="994" w:type="pct"/>
            <w:tcBorders>
              <w:bottom w:val="single" w:sz="4" w:space="0" w:color="auto"/>
            </w:tcBorders>
            <w:shd w:val="clear" w:color="auto" w:fill="auto"/>
            <w:noWrap/>
          </w:tcPr>
          <w:p w14:paraId="3977683A"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0.18 (0.10, 0.26)</w:t>
            </w:r>
          </w:p>
        </w:tc>
      </w:tr>
      <w:tr w:rsidR="0059604F" w:rsidRPr="00E50289" w14:paraId="21B707F0" w14:textId="77777777" w:rsidTr="009C2E7A">
        <w:trPr>
          <w:trHeight w:val="23"/>
        </w:trPr>
        <w:tc>
          <w:tcPr>
            <w:tcW w:w="5000" w:type="pct"/>
            <w:gridSpan w:val="6"/>
            <w:shd w:val="clear" w:color="auto" w:fill="auto"/>
            <w:noWrap/>
          </w:tcPr>
          <w:p w14:paraId="01AE95D7" w14:textId="77777777" w:rsidR="0059604F" w:rsidRPr="00E50289" w:rsidRDefault="0059604F" w:rsidP="00D42558">
            <w:pPr>
              <w:pStyle w:val="Tabletext"/>
              <w:keepNext/>
              <w:widowControl w:val="0"/>
              <w:rPr>
                <w:rFonts w:eastAsia="Calibri"/>
                <w:b/>
                <w:szCs w:val="20"/>
                <w:lang w:eastAsia="en-US"/>
              </w:rPr>
            </w:pPr>
            <w:r w:rsidRPr="00E50289">
              <w:rPr>
                <w:rFonts w:eastAsia="Calibri"/>
                <w:b/>
                <w:bCs/>
                <w:szCs w:val="20"/>
                <w:lang w:eastAsia="en-US"/>
              </w:rPr>
              <w:t>RISA (150 mg)- week 12 results</w:t>
            </w:r>
          </w:p>
        </w:tc>
      </w:tr>
      <w:tr w:rsidR="0059604F" w:rsidRPr="00E50289" w14:paraId="672C8BAC" w14:textId="77777777" w:rsidTr="00823553">
        <w:trPr>
          <w:trHeight w:val="23"/>
        </w:trPr>
        <w:tc>
          <w:tcPr>
            <w:tcW w:w="705" w:type="pct"/>
            <w:shd w:val="clear" w:color="auto" w:fill="auto"/>
            <w:noWrap/>
          </w:tcPr>
          <w:p w14:paraId="05B849D3"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M15-993</w:t>
            </w:r>
          </w:p>
        </w:tc>
        <w:tc>
          <w:tcPr>
            <w:tcW w:w="787" w:type="pct"/>
            <w:vAlign w:val="center"/>
          </w:tcPr>
          <w:p w14:paraId="09F4E0A6"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17/41 (41.5)</w:t>
            </w:r>
          </w:p>
        </w:tc>
        <w:tc>
          <w:tcPr>
            <w:tcW w:w="786" w:type="pct"/>
            <w:vAlign w:val="center"/>
          </w:tcPr>
          <w:p w14:paraId="125AEE3D"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9/39 (23.1)</w:t>
            </w:r>
          </w:p>
        </w:tc>
        <w:tc>
          <w:tcPr>
            <w:tcW w:w="864" w:type="pct"/>
            <w:shd w:val="clear" w:color="auto" w:fill="auto"/>
            <w:vAlign w:val="center"/>
          </w:tcPr>
          <w:p w14:paraId="45725AE6"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szCs w:val="20"/>
                <w:lang w:eastAsia="en-US"/>
              </w:rPr>
              <w:t>2.36 (0.90, 6.23)</w:t>
            </w:r>
          </w:p>
        </w:tc>
        <w:tc>
          <w:tcPr>
            <w:tcW w:w="864" w:type="pct"/>
            <w:shd w:val="clear" w:color="auto" w:fill="auto"/>
            <w:vAlign w:val="center"/>
          </w:tcPr>
          <w:p w14:paraId="4F1600FF"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szCs w:val="20"/>
                <w:lang w:eastAsia="en-US"/>
              </w:rPr>
              <w:t>1.80 (0.91, 3.54)</w:t>
            </w:r>
          </w:p>
        </w:tc>
        <w:tc>
          <w:tcPr>
            <w:tcW w:w="994" w:type="pct"/>
            <w:shd w:val="clear" w:color="auto" w:fill="auto"/>
            <w:noWrap/>
            <w:vAlign w:val="center"/>
          </w:tcPr>
          <w:p w14:paraId="1A310F81"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szCs w:val="20"/>
                <w:lang w:eastAsia="en-US"/>
              </w:rPr>
              <w:t>0.18 (-0.02, 0.38)</w:t>
            </w:r>
          </w:p>
        </w:tc>
      </w:tr>
      <w:tr w:rsidR="0059604F" w:rsidRPr="00E50289" w14:paraId="107F65C8" w14:textId="77777777" w:rsidTr="00823553">
        <w:trPr>
          <w:trHeight w:val="23"/>
        </w:trPr>
        <w:tc>
          <w:tcPr>
            <w:tcW w:w="705" w:type="pct"/>
            <w:shd w:val="clear" w:color="auto" w:fill="auto"/>
            <w:noWrap/>
          </w:tcPr>
          <w:p w14:paraId="32F72E16"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ADVANCE</w:t>
            </w:r>
          </w:p>
        </w:tc>
        <w:tc>
          <w:tcPr>
            <w:tcW w:w="787" w:type="pct"/>
            <w:vAlign w:val="center"/>
          </w:tcPr>
          <w:p w14:paraId="4FAFCB59"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201/336 (59.8)</w:t>
            </w:r>
          </w:p>
        </w:tc>
        <w:tc>
          <w:tcPr>
            <w:tcW w:w="786" w:type="pct"/>
            <w:vAlign w:val="center"/>
          </w:tcPr>
          <w:p w14:paraId="2618E881"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64/175 (36.6)</w:t>
            </w:r>
          </w:p>
        </w:tc>
        <w:tc>
          <w:tcPr>
            <w:tcW w:w="864" w:type="pct"/>
            <w:shd w:val="clear" w:color="auto" w:fill="auto"/>
            <w:vAlign w:val="center"/>
          </w:tcPr>
          <w:p w14:paraId="249C682B"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2.58 (1.77, 3.77)</w:t>
            </w:r>
          </w:p>
        </w:tc>
        <w:tc>
          <w:tcPr>
            <w:tcW w:w="864" w:type="pct"/>
            <w:shd w:val="clear" w:color="auto" w:fill="auto"/>
            <w:vAlign w:val="center"/>
          </w:tcPr>
          <w:p w14:paraId="1F550227"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1.64 (1.32, 2.03)</w:t>
            </w:r>
          </w:p>
        </w:tc>
        <w:tc>
          <w:tcPr>
            <w:tcW w:w="994" w:type="pct"/>
            <w:shd w:val="clear" w:color="auto" w:fill="auto"/>
            <w:noWrap/>
            <w:vAlign w:val="center"/>
          </w:tcPr>
          <w:p w14:paraId="1B40656A"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0.23 (0.14, 0.32)</w:t>
            </w:r>
          </w:p>
        </w:tc>
      </w:tr>
      <w:tr w:rsidR="0059604F" w:rsidRPr="00E50289" w14:paraId="4BF791B9" w14:textId="77777777" w:rsidTr="00823553">
        <w:trPr>
          <w:trHeight w:val="23"/>
        </w:trPr>
        <w:tc>
          <w:tcPr>
            <w:tcW w:w="705" w:type="pct"/>
            <w:shd w:val="clear" w:color="auto" w:fill="auto"/>
            <w:noWrap/>
          </w:tcPr>
          <w:p w14:paraId="02706E12"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MOTIVATE</w:t>
            </w:r>
          </w:p>
        </w:tc>
        <w:tc>
          <w:tcPr>
            <w:tcW w:w="787" w:type="pct"/>
            <w:vAlign w:val="center"/>
          </w:tcPr>
          <w:p w14:paraId="2E3B55CC"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114/191 (59.7)</w:t>
            </w:r>
          </w:p>
        </w:tc>
        <w:tc>
          <w:tcPr>
            <w:tcW w:w="786" w:type="pct"/>
            <w:vAlign w:val="center"/>
          </w:tcPr>
          <w:p w14:paraId="355741DD"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56/187 (29.9)</w:t>
            </w:r>
          </w:p>
        </w:tc>
        <w:tc>
          <w:tcPr>
            <w:tcW w:w="864" w:type="pct"/>
            <w:shd w:val="clear" w:color="auto" w:fill="auto"/>
            <w:vAlign w:val="center"/>
          </w:tcPr>
          <w:p w14:paraId="6F868217"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3.46 (2.26, 5.30)</w:t>
            </w:r>
          </w:p>
        </w:tc>
        <w:tc>
          <w:tcPr>
            <w:tcW w:w="864" w:type="pct"/>
            <w:shd w:val="clear" w:color="auto" w:fill="auto"/>
            <w:vAlign w:val="center"/>
          </w:tcPr>
          <w:p w14:paraId="16399F26"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1.99 (1.55, 2.55)</w:t>
            </w:r>
          </w:p>
        </w:tc>
        <w:tc>
          <w:tcPr>
            <w:tcW w:w="994" w:type="pct"/>
            <w:shd w:val="clear" w:color="auto" w:fill="auto"/>
            <w:noWrap/>
            <w:vAlign w:val="center"/>
          </w:tcPr>
          <w:p w14:paraId="3B9B32C5"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0.30 (0.20, 0.39)</w:t>
            </w:r>
          </w:p>
        </w:tc>
      </w:tr>
      <w:tr w:rsidR="0059604F" w:rsidRPr="00E50289" w14:paraId="60718566" w14:textId="77777777" w:rsidTr="00823553">
        <w:trPr>
          <w:trHeight w:val="23"/>
        </w:trPr>
        <w:tc>
          <w:tcPr>
            <w:tcW w:w="705" w:type="pct"/>
            <w:tcBorders>
              <w:bottom w:val="single" w:sz="4" w:space="0" w:color="auto"/>
            </w:tcBorders>
            <w:shd w:val="clear" w:color="auto" w:fill="auto"/>
            <w:noWrap/>
          </w:tcPr>
          <w:p w14:paraId="739E3E18"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Pooled</w:t>
            </w:r>
          </w:p>
        </w:tc>
        <w:tc>
          <w:tcPr>
            <w:tcW w:w="787" w:type="pct"/>
            <w:tcBorders>
              <w:bottom w:val="single" w:sz="4" w:space="0" w:color="auto"/>
            </w:tcBorders>
            <w:vAlign w:val="center"/>
          </w:tcPr>
          <w:p w14:paraId="18C12165"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332/568 (58.5)</w:t>
            </w:r>
          </w:p>
        </w:tc>
        <w:tc>
          <w:tcPr>
            <w:tcW w:w="786" w:type="pct"/>
            <w:tcBorders>
              <w:bottom w:val="single" w:sz="4" w:space="0" w:color="auto"/>
            </w:tcBorders>
            <w:vAlign w:val="center"/>
          </w:tcPr>
          <w:p w14:paraId="442AF123"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129/401 (32.2)</w:t>
            </w:r>
          </w:p>
        </w:tc>
        <w:tc>
          <w:tcPr>
            <w:tcW w:w="864" w:type="pct"/>
            <w:tcBorders>
              <w:bottom w:val="single" w:sz="4" w:space="0" w:color="auto"/>
            </w:tcBorders>
            <w:vAlign w:val="center"/>
          </w:tcPr>
          <w:p w14:paraId="3E71B690"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2.89 (2.20, 3.79)</w:t>
            </w:r>
          </w:p>
        </w:tc>
        <w:tc>
          <w:tcPr>
            <w:tcW w:w="864" w:type="pct"/>
            <w:tcBorders>
              <w:bottom w:val="single" w:sz="4" w:space="0" w:color="auto"/>
            </w:tcBorders>
            <w:vAlign w:val="center"/>
          </w:tcPr>
          <w:p w14:paraId="2B758CE7"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1.78 (1.52, 2.08)</w:t>
            </w:r>
          </w:p>
        </w:tc>
        <w:tc>
          <w:tcPr>
            <w:tcW w:w="994" w:type="pct"/>
            <w:tcBorders>
              <w:bottom w:val="single" w:sz="4" w:space="0" w:color="auto"/>
            </w:tcBorders>
            <w:shd w:val="clear" w:color="auto" w:fill="auto"/>
            <w:noWrap/>
            <w:vAlign w:val="center"/>
          </w:tcPr>
          <w:p w14:paraId="57AB448C"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0.25 (0.19, 0.32)</w:t>
            </w:r>
          </w:p>
        </w:tc>
      </w:tr>
      <w:tr w:rsidR="0059604F" w:rsidRPr="00E50289" w14:paraId="6957D53A" w14:textId="77777777" w:rsidTr="00097C1E">
        <w:trPr>
          <w:trHeight w:val="23"/>
        </w:trPr>
        <w:tc>
          <w:tcPr>
            <w:tcW w:w="5000" w:type="pct"/>
            <w:gridSpan w:val="6"/>
            <w:tcBorders>
              <w:bottom w:val="single" w:sz="4" w:space="0" w:color="auto"/>
            </w:tcBorders>
            <w:shd w:val="clear" w:color="auto" w:fill="auto"/>
            <w:noWrap/>
          </w:tcPr>
          <w:p w14:paraId="7E179263" w14:textId="77777777" w:rsidR="0059604F" w:rsidRPr="00E50289" w:rsidRDefault="0059604F" w:rsidP="00D42558">
            <w:pPr>
              <w:pStyle w:val="Tabletext"/>
              <w:keepNext/>
              <w:widowControl w:val="0"/>
              <w:rPr>
                <w:rFonts w:eastAsia="Calibri"/>
                <w:b/>
                <w:szCs w:val="20"/>
                <w:lang w:eastAsia="en-US"/>
              </w:rPr>
            </w:pPr>
            <w:r w:rsidRPr="00E50289">
              <w:rPr>
                <w:rFonts w:eastAsia="Calibri"/>
                <w:b/>
                <w:szCs w:val="20"/>
                <w:lang w:eastAsia="en-US"/>
              </w:rPr>
              <w:t>IFX (week 0: 5mg/kg) – week 4 results</w:t>
            </w:r>
          </w:p>
        </w:tc>
      </w:tr>
      <w:tr w:rsidR="0059604F" w:rsidRPr="00E50289" w14:paraId="40F6F751" w14:textId="77777777" w:rsidTr="00823553">
        <w:trPr>
          <w:trHeight w:val="23"/>
        </w:trPr>
        <w:tc>
          <w:tcPr>
            <w:tcW w:w="705" w:type="pct"/>
            <w:tcBorders>
              <w:bottom w:val="single" w:sz="4" w:space="0" w:color="auto"/>
            </w:tcBorders>
            <w:shd w:val="clear" w:color="auto" w:fill="auto"/>
            <w:noWrap/>
          </w:tcPr>
          <w:p w14:paraId="699BF63F"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T16</w:t>
            </w:r>
            <w:r w:rsidRPr="00E50289">
              <w:rPr>
                <w:rFonts w:eastAsia="Calibri"/>
                <w:szCs w:val="20"/>
                <w:vertAlign w:val="superscript"/>
                <w:lang w:eastAsia="en-US"/>
              </w:rPr>
              <w:t>†</w:t>
            </w:r>
          </w:p>
        </w:tc>
        <w:tc>
          <w:tcPr>
            <w:tcW w:w="787" w:type="pct"/>
            <w:tcBorders>
              <w:bottom w:val="single" w:sz="4" w:space="0" w:color="auto"/>
            </w:tcBorders>
            <w:vAlign w:val="center"/>
          </w:tcPr>
          <w:p w14:paraId="1F42C979"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22/27 (82)</w:t>
            </w:r>
          </w:p>
        </w:tc>
        <w:tc>
          <w:tcPr>
            <w:tcW w:w="786" w:type="pct"/>
            <w:tcBorders>
              <w:bottom w:val="single" w:sz="4" w:space="0" w:color="auto"/>
            </w:tcBorders>
            <w:vAlign w:val="center"/>
          </w:tcPr>
          <w:p w14:paraId="6037E0BA"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4/24 (17)</w:t>
            </w:r>
          </w:p>
        </w:tc>
        <w:tc>
          <w:tcPr>
            <w:tcW w:w="864" w:type="pct"/>
            <w:tcBorders>
              <w:bottom w:val="single" w:sz="4" w:space="0" w:color="auto"/>
            </w:tcBorders>
            <w:vAlign w:val="center"/>
          </w:tcPr>
          <w:p w14:paraId="5AB51B22"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22 (5.17, 93.56)</w:t>
            </w:r>
          </w:p>
        </w:tc>
        <w:tc>
          <w:tcPr>
            <w:tcW w:w="864" w:type="pct"/>
            <w:tcBorders>
              <w:bottom w:val="single" w:sz="4" w:space="0" w:color="auto"/>
            </w:tcBorders>
            <w:vAlign w:val="center"/>
          </w:tcPr>
          <w:p w14:paraId="70DEBFD7"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4.89 (1.96, 12.18)</w:t>
            </w:r>
          </w:p>
        </w:tc>
        <w:tc>
          <w:tcPr>
            <w:tcW w:w="994" w:type="pct"/>
            <w:tcBorders>
              <w:bottom w:val="single" w:sz="4" w:space="0" w:color="auto"/>
            </w:tcBorders>
            <w:shd w:val="clear" w:color="auto" w:fill="auto"/>
            <w:noWrap/>
            <w:vAlign w:val="center"/>
          </w:tcPr>
          <w:p w14:paraId="2C7288CD"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0.65 (0.44, 0.86)</w:t>
            </w:r>
          </w:p>
        </w:tc>
      </w:tr>
      <w:tr w:rsidR="0059604F" w:rsidRPr="00E50289" w14:paraId="453B9A0F" w14:textId="77777777" w:rsidTr="00097C1E">
        <w:trPr>
          <w:trHeight w:val="23"/>
        </w:trPr>
        <w:tc>
          <w:tcPr>
            <w:tcW w:w="5000" w:type="pct"/>
            <w:gridSpan w:val="6"/>
            <w:tcBorders>
              <w:bottom w:val="single" w:sz="4" w:space="0" w:color="auto"/>
            </w:tcBorders>
            <w:shd w:val="clear" w:color="auto" w:fill="auto"/>
            <w:noWrap/>
          </w:tcPr>
          <w:p w14:paraId="5D7AA5E8" w14:textId="77777777" w:rsidR="0059604F" w:rsidRPr="00E50289" w:rsidRDefault="0059604F" w:rsidP="00D42558">
            <w:pPr>
              <w:pStyle w:val="Tabletext"/>
              <w:keepNext/>
              <w:widowControl w:val="0"/>
              <w:rPr>
                <w:rFonts w:eastAsia="Calibri"/>
                <w:b/>
                <w:bCs/>
                <w:szCs w:val="20"/>
                <w:lang w:eastAsia="en-US"/>
              </w:rPr>
            </w:pPr>
            <w:r w:rsidRPr="00E50289">
              <w:rPr>
                <w:rFonts w:eastAsia="Calibri"/>
                <w:b/>
                <w:bCs/>
                <w:szCs w:val="20"/>
                <w:lang w:eastAsia="en-US"/>
              </w:rPr>
              <w:t>VDZ (week 0: 300mg, week2:300mg) – week 6 results</w:t>
            </w:r>
          </w:p>
        </w:tc>
      </w:tr>
      <w:tr w:rsidR="0059604F" w:rsidRPr="00E50289" w14:paraId="4506BB21" w14:textId="77777777" w:rsidTr="00823553">
        <w:trPr>
          <w:trHeight w:val="23"/>
        </w:trPr>
        <w:tc>
          <w:tcPr>
            <w:tcW w:w="705" w:type="pct"/>
            <w:tcBorders>
              <w:bottom w:val="single" w:sz="4" w:space="0" w:color="auto"/>
            </w:tcBorders>
            <w:shd w:val="clear" w:color="auto" w:fill="auto"/>
            <w:noWrap/>
          </w:tcPr>
          <w:p w14:paraId="1A92170E"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GEMINI II</w:t>
            </w:r>
          </w:p>
        </w:tc>
        <w:tc>
          <w:tcPr>
            <w:tcW w:w="787" w:type="pct"/>
            <w:tcBorders>
              <w:bottom w:val="single" w:sz="4" w:space="0" w:color="auto"/>
            </w:tcBorders>
            <w:vAlign w:val="center"/>
          </w:tcPr>
          <w:p w14:paraId="718B333F"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69/220 (31.4)</w:t>
            </w:r>
          </w:p>
        </w:tc>
        <w:tc>
          <w:tcPr>
            <w:tcW w:w="786" w:type="pct"/>
            <w:tcBorders>
              <w:bottom w:val="single" w:sz="4" w:space="0" w:color="auto"/>
            </w:tcBorders>
            <w:vAlign w:val="center"/>
          </w:tcPr>
          <w:p w14:paraId="0439FCD0"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38/148 (25.7)</w:t>
            </w:r>
          </w:p>
        </w:tc>
        <w:tc>
          <w:tcPr>
            <w:tcW w:w="864" w:type="pct"/>
            <w:tcBorders>
              <w:bottom w:val="single" w:sz="4" w:space="0" w:color="auto"/>
            </w:tcBorders>
            <w:vAlign w:val="center"/>
          </w:tcPr>
          <w:p w14:paraId="3FA47408"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1.32 (0.83, 2.11)</w:t>
            </w:r>
          </w:p>
        </w:tc>
        <w:tc>
          <w:tcPr>
            <w:tcW w:w="864" w:type="pct"/>
            <w:tcBorders>
              <w:bottom w:val="single" w:sz="4" w:space="0" w:color="auto"/>
            </w:tcBorders>
            <w:vAlign w:val="center"/>
          </w:tcPr>
          <w:p w14:paraId="230420CA"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1.22 (0.87, 1.71)</w:t>
            </w:r>
          </w:p>
        </w:tc>
        <w:tc>
          <w:tcPr>
            <w:tcW w:w="994" w:type="pct"/>
            <w:tcBorders>
              <w:bottom w:val="single" w:sz="4" w:space="0" w:color="auto"/>
            </w:tcBorders>
            <w:shd w:val="clear" w:color="auto" w:fill="auto"/>
            <w:noWrap/>
            <w:vAlign w:val="center"/>
          </w:tcPr>
          <w:p w14:paraId="706A9C9A" w14:textId="77777777" w:rsidR="0059604F" w:rsidRPr="00E50289" w:rsidRDefault="0059604F" w:rsidP="00D42558">
            <w:pPr>
              <w:pStyle w:val="Tabletext"/>
              <w:keepNext/>
              <w:widowControl w:val="0"/>
              <w:jc w:val="center"/>
              <w:rPr>
                <w:rFonts w:eastAsia="Calibri"/>
                <w:bCs/>
                <w:szCs w:val="20"/>
                <w:lang w:eastAsia="en-US"/>
              </w:rPr>
            </w:pPr>
            <w:r w:rsidRPr="00E50289">
              <w:rPr>
                <w:rFonts w:eastAsia="Calibri"/>
                <w:szCs w:val="20"/>
                <w:lang w:eastAsia="en-US"/>
              </w:rPr>
              <w:t>0.06 (-0.04, 0.15)</w:t>
            </w:r>
          </w:p>
        </w:tc>
      </w:tr>
      <w:tr w:rsidR="0059604F" w:rsidRPr="00E50289" w14:paraId="1CAF68AD" w14:textId="77777777" w:rsidTr="00823553">
        <w:trPr>
          <w:trHeight w:val="23"/>
        </w:trPr>
        <w:tc>
          <w:tcPr>
            <w:tcW w:w="705" w:type="pct"/>
            <w:tcBorders>
              <w:bottom w:val="single" w:sz="4" w:space="0" w:color="auto"/>
            </w:tcBorders>
            <w:shd w:val="clear" w:color="auto" w:fill="auto"/>
            <w:noWrap/>
          </w:tcPr>
          <w:p w14:paraId="2E45AC25"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GEMINI III</w:t>
            </w:r>
          </w:p>
        </w:tc>
        <w:tc>
          <w:tcPr>
            <w:tcW w:w="787" w:type="pct"/>
            <w:tcBorders>
              <w:bottom w:val="single" w:sz="4" w:space="0" w:color="auto"/>
            </w:tcBorders>
            <w:vAlign w:val="center"/>
          </w:tcPr>
          <w:p w14:paraId="41E9C209"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82/209 (39.2)</w:t>
            </w:r>
          </w:p>
        </w:tc>
        <w:tc>
          <w:tcPr>
            <w:tcW w:w="786" w:type="pct"/>
            <w:tcBorders>
              <w:bottom w:val="single" w:sz="4" w:space="0" w:color="auto"/>
            </w:tcBorders>
            <w:vAlign w:val="center"/>
          </w:tcPr>
          <w:p w14:paraId="3FC5AEC2"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47/207 (22.7)</w:t>
            </w:r>
          </w:p>
        </w:tc>
        <w:tc>
          <w:tcPr>
            <w:tcW w:w="864" w:type="pct"/>
            <w:tcBorders>
              <w:bottom w:val="single" w:sz="4" w:space="0" w:color="auto"/>
            </w:tcBorders>
            <w:vAlign w:val="center"/>
          </w:tcPr>
          <w:p w14:paraId="1DCE1A00"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2.20 (1.43, 3.37)</w:t>
            </w:r>
          </w:p>
        </w:tc>
        <w:tc>
          <w:tcPr>
            <w:tcW w:w="864" w:type="pct"/>
            <w:tcBorders>
              <w:bottom w:val="single" w:sz="4" w:space="0" w:color="auto"/>
            </w:tcBorders>
            <w:vAlign w:val="center"/>
          </w:tcPr>
          <w:p w14:paraId="06C83D75"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1.73 (1.28, 2.34)</w:t>
            </w:r>
          </w:p>
        </w:tc>
        <w:tc>
          <w:tcPr>
            <w:tcW w:w="994" w:type="pct"/>
            <w:tcBorders>
              <w:bottom w:val="single" w:sz="4" w:space="0" w:color="auto"/>
            </w:tcBorders>
            <w:shd w:val="clear" w:color="auto" w:fill="auto"/>
            <w:noWrap/>
            <w:vAlign w:val="center"/>
          </w:tcPr>
          <w:p w14:paraId="4AEA619C"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0.17 (0.08, 0.25)</w:t>
            </w:r>
          </w:p>
        </w:tc>
      </w:tr>
      <w:tr w:rsidR="0059604F" w:rsidRPr="00E50289" w14:paraId="0896A962" w14:textId="77777777" w:rsidTr="00524F1A">
        <w:trPr>
          <w:trHeight w:val="23"/>
        </w:trPr>
        <w:tc>
          <w:tcPr>
            <w:tcW w:w="705" w:type="pct"/>
            <w:tcBorders>
              <w:bottom w:val="single" w:sz="4" w:space="0" w:color="auto"/>
            </w:tcBorders>
            <w:shd w:val="clear" w:color="auto" w:fill="auto"/>
            <w:noWrap/>
          </w:tcPr>
          <w:p w14:paraId="104F87DF"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Watanabe 2020</w:t>
            </w:r>
          </w:p>
        </w:tc>
        <w:tc>
          <w:tcPr>
            <w:tcW w:w="787" w:type="pct"/>
            <w:tcBorders>
              <w:bottom w:val="single" w:sz="4" w:space="0" w:color="auto"/>
            </w:tcBorders>
          </w:tcPr>
          <w:p w14:paraId="561C3361"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21/79 (26.6)</w:t>
            </w:r>
          </w:p>
        </w:tc>
        <w:tc>
          <w:tcPr>
            <w:tcW w:w="786" w:type="pct"/>
            <w:tcBorders>
              <w:bottom w:val="single" w:sz="4" w:space="0" w:color="auto"/>
            </w:tcBorders>
          </w:tcPr>
          <w:p w14:paraId="12EBE104"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13/78 (16.7)</w:t>
            </w:r>
          </w:p>
        </w:tc>
        <w:tc>
          <w:tcPr>
            <w:tcW w:w="864" w:type="pct"/>
            <w:tcBorders>
              <w:bottom w:val="single" w:sz="4" w:space="0" w:color="auto"/>
            </w:tcBorders>
          </w:tcPr>
          <w:p w14:paraId="7E240295"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1.81 (0.83, 3.94)</w:t>
            </w:r>
          </w:p>
        </w:tc>
        <w:tc>
          <w:tcPr>
            <w:tcW w:w="864" w:type="pct"/>
            <w:tcBorders>
              <w:bottom w:val="single" w:sz="4" w:space="0" w:color="auto"/>
            </w:tcBorders>
          </w:tcPr>
          <w:p w14:paraId="46840DCE"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1.59 (0.86, 2.96)</w:t>
            </w:r>
          </w:p>
        </w:tc>
        <w:tc>
          <w:tcPr>
            <w:tcW w:w="994" w:type="pct"/>
            <w:tcBorders>
              <w:bottom w:val="single" w:sz="4" w:space="0" w:color="auto"/>
            </w:tcBorders>
            <w:shd w:val="clear" w:color="auto" w:fill="auto"/>
            <w:noWrap/>
          </w:tcPr>
          <w:p w14:paraId="53128575"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0.10 (-0.03, 0.23)</w:t>
            </w:r>
          </w:p>
        </w:tc>
      </w:tr>
      <w:tr w:rsidR="0059604F" w:rsidRPr="00E50289" w14:paraId="310D08A2" w14:textId="77777777" w:rsidTr="00823553">
        <w:trPr>
          <w:trHeight w:val="23"/>
        </w:trPr>
        <w:tc>
          <w:tcPr>
            <w:tcW w:w="705" w:type="pct"/>
            <w:tcBorders>
              <w:bottom w:val="single" w:sz="4" w:space="0" w:color="auto"/>
            </w:tcBorders>
            <w:shd w:val="clear" w:color="auto" w:fill="auto"/>
            <w:noWrap/>
          </w:tcPr>
          <w:p w14:paraId="16ECB9D8"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Pooled</w:t>
            </w:r>
          </w:p>
        </w:tc>
        <w:tc>
          <w:tcPr>
            <w:tcW w:w="787" w:type="pct"/>
            <w:tcBorders>
              <w:bottom w:val="single" w:sz="4" w:space="0" w:color="auto"/>
            </w:tcBorders>
            <w:vAlign w:val="center"/>
          </w:tcPr>
          <w:p w14:paraId="12A25183"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172/508 (33.9)</w:t>
            </w:r>
          </w:p>
        </w:tc>
        <w:tc>
          <w:tcPr>
            <w:tcW w:w="786" w:type="pct"/>
            <w:tcBorders>
              <w:bottom w:val="single" w:sz="4" w:space="0" w:color="auto"/>
            </w:tcBorders>
            <w:vAlign w:val="center"/>
          </w:tcPr>
          <w:p w14:paraId="781DD159"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98/433 (22.6)</w:t>
            </w:r>
          </w:p>
        </w:tc>
        <w:tc>
          <w:tcPr>
            <w:tcW w:w="864" w:type="pct"/>
            <w:tcBorders>
              <w:bottom w:val="single" w:sz="4" w:space="0" w:color="auto"/>
            </w:tcBorders>
            <w:vAlign w:val="center"/>
          </w:tcPr>
          <w:p w14:paraId="2AF53D77" w14:textId="77777777" w:rsidR="0059604F" w:rsidRPr="00E50289" w:rsidRDefault="0059604F" w:rsidP="00D42558">
            <w:pPr>
              <w:pStyle w:val="Tabletext"/>
              <w:keepNext/>
              <w:widowControl w:val="0"/>
              <w:jc w:val="center"/>
              <w:rPr>
                <w:rFonts w:eastAsia="Calibri"/>
                <w:b/>
                <w:bCs/>
                <w:szCs w:val="20"/>
                <w:lang w:eastAsia="en-US"/>
              </w:rPr>
            </w:pPr>
            <w:r w:rsidRPr="00E50289">
              <w:rPr>
                <w:rFonts w:eastAsia="Calibri"/>
                <w:b/>
                <w:bCs/>
                <w:szCs w:val="20"/>
                <w:lang w:eastAsia="en-US"/>
              </w:rPr>
              <w:t>1.75 (1.31, 2.34)</w:t>
            </w:r>
          </w:p>
        </w:tc>
        <w:tc>
          <w:tcPr>
            <w:tcW w:w="864" w:type="pct"/>
            <w:tcBorders>
              <w:bottom w:val="single" w:sz="4" w:space="0" w:color="auto"/>
            </w:tcBorders>
            <w:vAlign w:val="center"/>
          </w:tcPr>
          <w:p w14:paraId="1D43DB12" w14:textId="77777777" w:rsidR="0059604F" w:rsidRPr="00E50289" w:rsidRDefault="0059604F" w:rsidP="00D42558">
            <w:pPr>
              <w:pStyle w:val="Tabletext"/>
              <w:keepNext/>
              <w:widowControl w:val="0"/>
              <w:jc w:val="center"/>
              <w:rPr>
                <w:rFonts w:eastAsia="Calibri"/>
                <w:b/>
                <w:bCs/>
                <w:szCs w:val="20"/>
                <w:lang w:eastAsia="en-US"/>
              </w:rPr>
            </w:pPr>
            <w:r w:rsidRPr="00E50289">
              <w:rPr>
                <w:rFonts w:eastAsia="Calibri"/>
                <w:b/>
                <w:bCs/>
                <w:szCs w:val="20"/>
                <w:lang w:eastAsia="en-US"/>
              </w:rPr>
              <w:t>1.49 (1.21, 1.84)</w:t>
            </w:r>
          </w:p>
        </w:tc>
        <w:tc>
          <w:tcPr>
            <w:tcW w:w="994" w:type="pct"/>
            <w:tcBorders>
              <w:bottom w:val="single" w:sz="4" w:space="0" w:color="auto"/>
            </w:tcBorders>
            <w:shd w:val="clear" w:color="auto" w:fill="auto"/>
            <w:noWrap/>
            <w:vAlign w:val="center"/>
          </w:tcPr>
          <w:p w14:paraId="4F37F70A"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0.11 (0.06, 0.17)</w:t>
            </w:r>
          </w:p>
        </w:tc>
      </w:tr>
      <w:tr w:rsidR="0059604F" w:rsidRPr="00E50289" w14:paraId="15089A28" w14:textId="77777777" w:rsidTr="00097C1E">
        <w:trPr>
          <w:trHeight w:val="23"/>
        </w:trPr>
        <w:tc>
          <w:tcPr>
            <w:tcW w:w="5000" w:type="pct"/>
            <w:gridSpan w:val="6"/>
            <w:tcBorders>
              <w:bottom w:val="single" w:sz="4" w:space="0" w:color="auto"/>
            </w:tcBorders>
            <w:shd w:val="clear" w:color="auto" w:fill="auto"/>
            <w:noWrap/>
          </w:tcPr>
          <w:p w14:paraId="5C110C10" w14:textId="77777777" w:rsidR="0059604F" w:rsidRPr="00E50289" w:rsidRDefault="0059604F" w:rsidP="00D42558">
            <w:pPr>
              <w:pStyle w:val="Tabletext"/>
              <w:keepNext/>
              <w:widowControl w:val="0"/>
              <w:rPr>
                <w:rFonts w:eastAsia="Calibri"/>
                <w:b/>
                <w:bCs/>
                <w:szCs w:val="20"/>
                <w:lang w:eastAsia="en-US"/>
              </w:rPr>
            </w:pPr>
            <w:r w:rsidRPr="00E50289">
              <w:rPr>
                <w:rFonts w:eastAsia="Calibri"/>
                <w:b/>
                <w:bCs/>
                <w:szCs w:val="20"/>
                <w:lang w:eastAsia="en-US"/>
              </w:rPr>
              <w:t>UST (week 0: tiered dose/kg) – week 8 results</w:t>
            </w:r>
          </w:p>
        </w:tc>
      </w:tr>
      <w:tr w:rsidR="0059604F" w:rsidRPr="00E50289" w14:paraId="70F3F8A4" w14:textId="77777777" w:rsidTr="00823553">
        <w:trPr>
          <w:trHeight w:val="23"/>
        </w:trPr>
        <w:tc>
          <w:tcPr>
            <w:tcW w:w="705" w:type="pct"/>
            <w:tcBorders>
              <w:bottom w:val="single" w:sz="4" w:space="0" w:color="auto"/>
            </w:tcBorders>
            <w:shd w:val="clear" w:color="auto" w:fill="auto"/>
            <w:noWrap/>
          </w:tcPr>
          <w:p w14:paraId="060EA9EE" w14:textId="2D900F63"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UNITI-</w:t>
            </w:r>
            <w:r w:rsidR="00A81E1D" w:rsidRPr="00E50289">
              <w:rPr>
                <w:rFonts w:eastAsia="Calibri"/>
                <w:szCs w:val="20"/>
                <w:lang w:eastAsia="en-US"/>
              </w:rPr>
              <w:t>I</w:t>
            </w:r>
          </w:p>
        </w:tc>
        <w:tc>
          <w:tcPr>
            <w:tcW w:w="787" w:type="pct"/>
            <w:tcBorders>
              <w:bottom w:val="single" w:sz="4" w:space="0" w:color="auto"/>
            </w:tcBorders>
            <w:vAlign w:val="center"/>
          </w:tcPr>
          <w:p w14:paraId="7B99C82E"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94/249 (37.8)</w:t>
            </w:r>
          </w:p>
        </w:tc>
        <w:tc>
          <w:tcPr>
            <w:tcW w:w="786" w:type="pct"/>
            <w:tcBorders>
              <w:bottom w:val="single" w:sz="4" w:space="0" w:color="auto"/>
            </w:tcBorders>
            <w:vAlign w:val="center"/>
          </w:tcPr>
          <w:p w14:paraId="55A179CE"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50/247 (20.2)</w:t>
            </w:r>
          </w:p>
        </w:tc>
        <w:tc>
          <w:tcPr>
            <w:tcW w:w="864" w:type="pct"/>
            <w:tcBorders>
              <w:bottom w:val="single" w:sz="4" w:space="0" w:color="auto"/>
            </w:tcBorders>
            <w:vAlign w:val="center"/>
          </w:tcPr>
          <w:p w14:paraId="2ECABFA9"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2.39 (1.60, 3.57)</w:t>
            </w:r>
          </w:p>
        </w:tc>
        <w:tc>
          <w:tcPr>
            <w:tcW w:w="864" w:type="pct"/>
            <w:tcBorders>
              <w:bottom w:val="single" w:sz="4" w:space="0" w:color="auto"/>
            </w:tcBorders>
            <w:vAlign w:val="center"/>
          </w:tcPr>
          <w:p w14:paraId="3327787B"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1.86 (1.39, 2.50)</w:t>
            </w:r>
          </w:p>
        </w:tc>
        <w:tc>
          <w:tcPr>
            <w:tcW w:w="994" w:type="pct"/>
            <w:tcBorders>
              <w:bottom w:val="single" w:sz="4" w:space="0" w:color="auto"/>
            </w:tcBorders>
            <w:shd w:val="clear" w:color="auto" w:fill="auto"/>
            <w:noWrap/>
            <w:vAlign w:val="center"/>
          </w:tcPr>
          <w:p w14:paraId="0C45E878"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0.18 (0.10, 0.25)</w:t>
            </w:r>
          </w:p>
        </w:tc>
      </w:tr>
      <w:tr w:rsidR="0059604F" w:rsidRPr="00E50289" w14:paraId="42E1722D" w14:textId="77777777" w:rsidTr="00823553">
        <w:trPr>
          <w:trHeight w:val="23"/>
        </w:trPr>
        <w:tc>
          <w:tcPr>
            <w:tcW w:w="705" w:type="pct"/>
            <w:tcBorders>
              <w:bottom w:val="single" w:sz="4" w:space="0" w:color="auto"/>
            </w:tcBorders>
            <w:shd w:val="clear" w:color="auto" w:fill="auto"/>
            <w:noWrap/>
          </w:tcPr>
          <w:p w14:paraId="5A969C7E" w14:textId="2C3C5AB5"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UNITI-</w:t>
            </w:r>
            <w:r w:rsidR="00A81E1D" w:rsidRPr="00E50289">
              <w:rPr>
                <w:rFonts w:eastAsia="Calibri"/>
                <w:szCs w:val="20"/>
                <w:lang w:eastAsia="en-US"/>
              </w:rPr>
              <w:t>II</w:t>
            </w:r>
          </w:p>
        </w:tc>
        <w:tc>
          <w:tcPr>
            <w:tcW w:w="787" w:type="pct"/>
            <w:tcBorders>
              <w:bottom w:val="single" w:sz="4" w:space="0" w:color="auto"/>
            </w:tcBorders>
            <w:vAlign w:val="center"/>
          </w:tcPr>
          <w:p w14:paraId="5EFE83C9"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121/209 (57.9)</w:t>
            </w:r>
          </w:p>
        </w:tc>
        <w:tc>
          <w:tcPr>
            <w:tcW w:w="786" w:type="pct"/>
            <w:tcBorders>
              <w:bottom w:val="single" w:sz="4" w:space="0" w:color="auto"/>
            </w:tcBorders>
            <w:vAlign w:val="center"/>
          </w:tcPr>
          <w:p w14:paraId="65129314"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67/209 (32.1)</w:t>
            </w:r>
          </w:p>
        </w:tc>
        <w:tc>
          <w:tcPr>
            <w:tcW w:w="864" w:type="pct"/>
            <w:tcBorders>
              <w:bottom w:val="single" w:sz="4" w:space="0" w:color="auto"/>
            </w:tcBorders>
            <w:vAlign w:val="center"/>
          </w:tcPr>
          <w:p w14:paraId="14A15709"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2.91 (1.95, 4.35)</w:t>
            </w:r>
          </w:p>
        </w:tc>
        <w:tc>
          <w:tcPr>
            <w:tcW w:w="864" w:type="pct"/>
            <w:tcBorders>
              <w:bottom w:val="single" w:sz="4" w:space="0" w:color="auto"/>
            </w:tcBorders>
            <w:vAlign w:val="center"/>
          </w:tcPr>
          <w:p w14:paraId="0C94B5E9"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1.81 (1.44, 2.27)</w:t>
            </w:r>
          </w:p>
        </w:tc>
        <w:tc>
          <w:tcPr>
            <w:tcW w:w="994" w:type="pct"/>
            <w:tcBorders>
              <w:bottom w:val="single" w:sz="4" w:space="0" w:color="auto"/>
            </w:tcBorders>
            <w:shd w:val="clear" w:color="auto" w:fill="auto"/>
            <w:noWrap/>
            <w:vAlign w:val="center"/>
          </w:tcPr>
          <w:p w14:paraId="4013639E"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0.26 (0.17, 0.35)</w:t>
            </w:r>
          </w:p>
        </w:tc>
      </w:tr>
      <w:tr w:rsidR="0059604F" w:rsidRPr="00E50289" w14:paraId="1B089ACB" w14:textId="77777777" w:rsidTr="00823553">
        <w:trPr>
          <w:trHeight w:val="23"/>
        </w:trPr>
        <w:tc>
          <w:tcPr>
            <w:tcW w:w="705" w:type="pct"/>
            <w:tcBorders>
              <w:bottom w:val="single" w:sz="4" w:space="0" w:color="auto"/>
            </w:tcBorders>
            <w:shd w:val="clear" w:color="auto" w:fill="auto"/>
            <w:noWrap/>
          </w:tcPr>
          <w:p w14:paraId="5DE5F0A7"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Pooled</w:t>
            </w:r>
          </w:p>
        </w:tc>
        <w:tc>
          <w:tcPr>
            <w:tcW w:w="787" w:type="pct"/>
            <w:tcBorders>
              <w:bottom w:val="single" w:sz="4" w:space="0" w:color="auto"/>
            </w:tcBorders>
            <w:vAlign w:val="center"/>
          </w:tcPr>
          <w:p w14:paraId="594E1B5F"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215/458 (46.9)</w:t>
            </w:r>
          </w:p>
        </w:tc>
        <w:tc>
          <w:tcPr>
            <w:tcW w:w="786" w:type="pct"/>
            <w:tcBorders>
              <w:bottom w:val="single" w:sz="4" w:space="0" w:color="auto"/>
            </w:tcBorders>
            <w:vAlign w:val="center"/>
          </w:tcPr>
          <w:p w14:paraId="247CEA26"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117/456 (25.7)</w:t>
            </w:r>
          </w:p>
        </w:tc>
        <w:tc>
          <w:tcPr>
            <w:tcW w:w="864" w:type="pct"/>
            <w:tcBorders>
              <w:bottom w:val="single" w:sz="4" w:space="0" w:color="auto"/>
            </w:tcBorders>
            <w:vAlign w:val="center"/>
          </w:tcPr>
          <w:p w14:paraId="672F7717"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2.64 (1.99, 3.50)</w:t>
            </w:r>
          </w:p>
        </w:tc>
        <w:tc>
          <w:tcPr>
            <w:tcW w:w="864" w:type="pct"/>
            <w:tcBorders>
              <w:bottom w:val="single" w:sz="4" w:space="0" w:color="auto"/>
            </w:tcBorders>
            <w:vAlign w:val="center"/>
          </w:tcPr>
          <w:p w14:paraId="22F88B8B"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1.83 (1.53, 2.20)</w:t>
            </w:r>
          </w:p>
        </w:tc>
        <w:tc>
          <w:tcPr>
            <w:tcW w:w="994" w:type="pct"/>
            <w:tcBorders>
              <w:bottom w:val="single" w:sz="4" w:space="0" w:color="auto"/>
            </w:tcBorders>
            <w:shd w:val="clear" w:color="auto" w:fill="auto"/>
            <w:noWrap/>
            <w:vAlign w:val="center"/>
          </w:tcPr>
          <w:p w14:paraId="340E1356"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0.21 (0.15, 0.27)</w:t>
            </w:r>
          </w:p>
        </w:tc>
      </w:tr>
      <w:tr w:rsidR="0059604F" w:rsidRPr="00E50289" w14:paraId="31D80B4B" w14:textId="77777777" w:rsidTr="00823553">
        <w:trPr>
          <w:trHeight w:val="23"/>
        </w:trPr>
        <w:tc>
          <w:tcPr>
            <w:tcW w:w="1492" w:type="pct"/>
            <w:gridSpan w:val="2"/>
            <w:vMerge w:val="restart"/>
            <w:shd w:val="clear" w:color="auto" w:fill="auto"/>
            <w:noWrap/>
          </w:tcPr>
          <w:p w14:paraId="34271B57" w14:textId="3D90CDB3" w:rsidR="0059604F" w:rsidRPr="00E50289" w:rsidRDefault="0059604F" w:rsidP="00D42558">
            <w:pPr>
              <w:pStyle w:val="Tabletext"/>
              <w:keepNext/>
              <w:widowControl w:val="0"/>
              <w:rPr>
                <w:rFonts w:eastAsia="Calibri"/>
                <w:b/>
                <w:bCs/>
                <w:szCs w:val="20"/>
                <w:lang w:eastAsia="en-US"/>
              </w:rPr>
            </w:pPr>
            <w:r w:rsidRPr="00E50289">
              <w:rPr>
                <w:rFonts w:eastAsia="Calibri"/>
                <w:b/>
                <w:bCs/>
                <w:szCs w:val="20"/>
                <w:lang w:eastAsia="en-US"/>
              </w:rPr>
              <w:t>Indirect comparisons</w:t>
            </w:r>
            <w:r w:rsidR="00CB7C01" w:rsidRPr="00E50289">
              <w:rPr>
                <w:rFonts w:eastAsia="Calibri"/>
                <w:b/>
                <w:bCs/>
                <w:szCs w:val="20"/>
                <w:lang w:eastAsia="en-US"/>
              </w:rPr>
              <w:t>: UPA vs comparators</w:t>
            </w:r>
          </w:p>
        </w:tc>
        <w:tc>
          <w:tcPr>
            <w:tcW w:w="786" w:type="pct"/>
            <w:tcBorders>
              <w:bottom w:val="single" w:sz="4" w:space="0" w:color="auto"/>
            </w:tcBorders>
            <w:shd w:val="clear" w:color="auto" w:fill="auto"/>
          </w:tcPr>
          <w:p w14:paraId="5B5097EB"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UPA vs. RISA</w:t>
            </w:r>
          </w:p>
        </w:tc>
        <w:tc>
          <w:tcPr>
            <w:tcW w:w="864" w:type="pct"/>
            <w:tcBorders>
              <w:bottom w:val="single" w:sz="4" w:space="0" w:color="auto"/>
            </w:tcBorders>
            <w:vAlign w:val="center"/>
          </w:tcPr>
          <w:p w14:paraId="3DE0FEDE"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0.83 (0.57, 1.23)</w:t>
            </w:r>
          </w:p>
        </w:tc>
        <w:tc>
          <w:tcPr>
            <w:tcW w:w="864" w:type="pct"/>
            <w:tcBorders>
              <w:bottom w:val="single" w:sz="4" w:space="0" w:color="auto"/>
            </w:tcBorders>
            <w:vAlign w:val="center"/>
          </w:tcPr>
          <w:p w14:paraId="7B9E6515" w14:textId="77777777" w:rsidR="0059604F" w:rsidRPr="00E50289" w:rsidRDefault="0059604F" w:rsidP="00D42558">
            <w:pPr>
              <w:pStyle w:val="Tabletext"/>
              <w:keepNext/>
              <w:widowControl w:val="0"/>
              <w:jc w:val="center"/>
              <w:rPr>
                <w:rFonts w:eastAsia="Calibri"/>
                <w:szCs w:val="20"/>
                <w:lang w:eastAsia="en-US"/>
              </w:rPr>
            </w:pPr>
            <w:bookmarkStart w:id="52" w:name="_Hlk121262405"/>
            <w:r w:rsidRPr="00E50289">
              <w:rPr>
                <w:rFonts w:eastAsia="Calibri"/>
                <w:szCs w:val="20"/>
                <w:lang w:eastAsia="en-US"/>
              </w:rPr>
              <w:t>0.93 (0.74, 1.17)</w:t>
            </w:r>
            <w:bookmarkEnd w:id="52"/>
          </w:p>
        </w:tc>
        <w:tc>
          <w:tcPr>
            <w:tcW w:w="994" w:type="pct"/>
            <w:tcBorders>
              <w:bottom w:val="single" w:sz="4" w:space="0" w:color="auto"/>
            </w:tcBorders>
            <w:shd w:val="clear" w:color="auto" w:fill="auto"/>
            <w:noWrap/>
            <w:vAlign w:val="center"/>
          </w:tcPr>
          <w:p w14:paraId="0698E00D" w14:textId="3BEEA53C"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-0.04 (-0.13,</w:t>
            </w:r>
            <w:r w:rsidR="00823553" w:rsidRPr="00E50289">
              <w:rPr>
                <w:rFonts w:eastAsia="Calibri"/>
                <w:szCs w:val="20"/>
                <w:lang w:eastAsia="en-US"/>
              </w:rPr>
              <w:t xml:space="preserve"> </w:t>
            </w:r>
            <w:r w:rsidRPr="00E50289">
              <w:rPr>
                <w:rFonts w:eastAsia="Calibri"/>
                <w:szCs w:val="20"/>
                <w:lang w:eastAsia="en-US"/>
              </w:rPr>
              <w:t>0.05)</w:t>
            </w:r>
          </w:p>
        </w:tc>
      </w:tr>
      <w:tr w:rsidR="0059604F" w:rsidRPr="00E50289" w14:paraId="1CF9FD9A" w14:textId="77777777" w:rsidTr="00823553">
        <w:trPr>
          <w:trHeight w:val="23"/>
        </w:trPr>
        <w:tc>
          <w:tcPr>
            <w:tcW w:w="1492" w:type="pct"/>
            <w:gridSpan w:val="2"/>
            <w:vMerge/>
            <w:shd w:val="clear" w:color="auto" w:fill="auto"/>
            <w:noWrap/>
          </w:tcPr>
          <w:p w14:paraId="48361B68" w14:textId="77777777" w:rsidR="0059604F" w:rsidRPr="00E50289" w:rsidRDefault="0059604F" w:rsidP="00D42558">
            <w:pPr>
              <w:pStyle w:val="Tabletext"/>
              <w:keepNext/>
              <w:widowControl w:val="0"/>
              <w:rPr>
                <w:rFonts w:eastAsia="Calibri"/>
                <w:szCs w:val="20"/>
                <w:lang w:eastAsia="en-US"/>
              </w:rPr>
            </w:pPr>
          </w:p>
        </w:tc>
        <w:tc>
          <w:tcPr>
            <w:tcW w:w="786" w:type="pct"/>
            <w:tcBorders>
              <w:bottom w:val="single" w:sz="4" w:space="0" w:color="auto"/>
            </w:tcBorders>
            <w:shd w:val="clear" w:color="auto" w:fill="auto"/>
          </w:tcPr>
          <w:p w14:paraId="5EC6327B"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UPA vs. ADA</w:t>
            </w:r>
          </w:p>
        </w:tc>
        <w:tc>
          <w:tcPr>
            <w:tcW w:w="864" w:type="pct"/>
            <w:tcBorders>
              <w:bottom w:val="single" w:sz="4" w:space="0" w:color="auto"/>
            </w:tcBorders>
            <w:vAlign w:val="center"/>
          </w:tcPr>
          <w:p w14:paraId="748B8062" w14:textId="77777777" w:rsidR="0059604F" w:rsidRPr="00E50289" w:rsidRDefault="0059604F" w:rsidP="00D42558">
            <w:pPr>
              <w:pStyle w:val="Tabletext"/>
              <w:keepNext/>
              <w:widowControl w:val="0"/>
              <w:jc w:val="center"/>
              <w:rPr>
                <w:rFonts w:eastAsia="Calibri"/>
                <w:bCs/>
                <w:szCs w:val="20"/>
                <w:lang w:eastAsia="en-US"/>
              </w:rPr>
            </w:pPr>
            <w:r w:rsidRPr="00E50289">
              <w:rPr>
                <w:rFonts w:eastAsia="Calibri"/>
                <w:szCs w:val="20"/>
                <w:lang w:eastAsia="en-US"/>
              </w:rPr>
              <w:t>1.05 (0.66, 1.66)</w:t>
            </w:r>
          </w:p>
        </w:tc>
        <w:tc>
          <w:tcPr>
            <w:tcW w:w="864" w:type="pct"/>
            <w:tcBorders>
              <w:bottom w:val="single" w:sz="4" w:space="0" w:color="auto"/>
            </w:tcBorders>
            <w:vAlign w:val="center"/>
          </w:tcPr>
          <w:p w14:paraId="26C9186E" w14:textId="77777777" w:rsidR="0059604F" w:rsidRPr="00E50289" w:rsidRDefault="0059604F" w:rsidP="00D42558">
            <w:pPr>
              <w:pStyle w:val="Tabletext"/>
              <w:keepNext/>
              <w:widowControl w:val="0"/>
              <w:jc w:val="center"/>
              <w:rPr>
                <w:rFonts w:eastAsia="Calibri"/>
                <w:bCs/>
                <w:szCs w:val="20"/>
                <w:lang w:eastAsia="en-US"/>
              </w:rPr>
            </w:pPr>
            <w:bookmarkStart w:id="53" w:name="_Hlk121262515"/>
            <w:r w:rsidRPr="00E50289">
              <w:rPr>
                <w:rFonts w:eastAsia="Calibri"/>
                <w:szCs w:val="20"/>
                <w:lang w:eastAsia="en-US"/>
              </w:rPr>
              <w:t>0.94 (0.69, 1.28)</w:t>
            </w:r>
            <w:bookmarkEnd w:id="53"/>
          </w:p>
        </w:tc>
        <w:tc>
          <w:tcPr>
            <w:tcW w:w="994" w:type="pct"/>
            <w:tcBorders>
              <w:bottom w:val="single" w:sz="4" w:space="0" w:color="auto"/>
            </w:tcBorders>
            <w:shd w:val="clear" w:color="auto" w:fill="auto"/>
            <w:noWrap/>
            <w:vAlign w:val="center"/>
          </w:tcPr>
          <w:p w14:paraId="0BBAEBF0" w14:textId="163F14B5" w:rsidR="0059604F" w:rsidRPr="00E50289" w:rsidRDefault="0059604F" w:rsidP="00D42558">
            <w:pPr>
              <w:pStyle w:val="Tabletext"/>
              <w:keepNext/>
              <w:widowControl w:val="0"/>
              <w:jc w:val="center"/>
              <w:rPr>
                <w:rFonts w:eastAsia="Calibri"/>
                <w:bCs/>
                <w:szCs w:val="20"/>
                <w:lang w:eastAsia="en-US"/>
              </w:rPr>
            </w:pPr>
            <w:r w:rsidRPr="00E50289">
              <w:rPr>
                <w:rFonts w:eastAsia="Calibri"/>
                <w:szCs w:val="20"/>
                <w:lang w:eastAsia="en-US"/>
              </w:rPr>
              <w:t>0.03 (-0.07,</w:t>
            </w:r>
            <w:r w:rsidR="00823553" w:rsidRPr="00E50289">
              <w:rPr>
                <w:rFonts w:eastAsia="Calibri"/>
                <w:szCs w:val="20"/>
                <w:lang w:eastAsia="en-US"/>
              </w:rPr>
              <w:t xml:space="preserve"> </w:t>
            </w:r>
            <w:r w:rsidRPr="00E50289">
              <w:rPr>
                <w:rFonts w:eastAsia="Calibri"/>
                <w:szCs w:val="20"/>
                <w:lang w:eastAsia="en-US"/>
              </w:rPr>
              <w:t>0.13)</w:t>
            </w:r>
          </w:p>
        </w:tc>
      </w:tr>
      <w:tr w:rsidR="0059604F" w:rsidRPr="00E50289" w14:paraId="3D5D40FB" w14:textId="77777777" w:rsidTr="00823553">
        <w:trPr>
          <w:trHeight w:val="23"/>
        </w:trPr>
        <w:tc>
          <w:tcPr>
            <w:tcW w:w="1492" w:type="pct"/>
            <w:gridSpan w:val="2"/>
            <w:vMerge/>
            <w:shd w:val="clear" w:color="auto" w:fill="auto"/>
            <w:noWrap/>
          </w:tcPr>
          <w:p w14:paraId="3D82C540" w14:textId="77777777" w:rsidR="0059604F" w:rsidRPr="00E50289" w:rsidRDefault="0059604F" w:rsidP="00D42558">
            <w:pPr>
              <w:pStyle w:val="Tabletext"/>
              <w:keepNext/>
              <w:widowControl w:val="0"/>
              <w:rPr>
                <w:rFonts w:eastAsia="Calibri"/>
                <w:szCs w:val="20"/>
                <w:lang w:eastAsia="en-US"/>
              </w:rPr>
            </w:pPr>
          </w:p>
        </w:tc>
        <w:tc>
          <w:tcPr>
            <w:tcW w:w="786" w:type="pct"/>
            <w:tcBorders>
              <w:bottom w:val="single" w:sz="4" w:space="0" w:color="auto"/>
            </w:tcBorders>
            <w:shd w:val="clear" w:color="auto" w:fill="auto"/>
          </w:tcPr>
          <w:p w14:paraId="5CD60CF4"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UPA vs. IFX</w:t>
            </w:r>
          </w:p>
        </w:tc>
        <w:tc>
          <w:tcPr>
            <w:tcW w:w="864" w:type="pct"/>
            <w:tcBorders>
              <w:bottom w:val="single" w:sz="4" w:space="0" w:color="auto"/>
            </w:tcBorders>
            <w:vAlign w:val="center"/>
          </w:tcPr>
          <w:p w14:paraId="1ABBCB47" w14:textId="77777777" w:rsidR="0059604F" w:rsidRPr="00E50289" w:rsidRDefault="0059604F" w:rsidP="00D42558">
            <w:pPr>
              <w:pStyle w:val="Tabletext"/>
              <w:keepNext/>
              <w:widowControl w:val="0"/>
              <w:jc w:val="center"/>
              <w:rPr>
                <w:rFonts w:eastAsia="Calibri"/>
                <w:b/>
                <w:color w:val="FF0000"/>
                <w:szCs w:val="20"/>
                <w:lang w:eastAsia="en-US"/>
              </w:rPr>
            </w:pPr>
            <w:r w:rsidRPr="00E50289">
              <w:rPr>
                <w:rFonts w:eastAsia="Calibri"/>
                <w:b/>
                <w:color w:val="FF0000"/>
                <w:szCs w:val="20"/>
                <w:lang w:eastAsia="en-US"/>
              </w:rPr>
              <w:t>0.11 (0.03, 0.48)</w:t>
            </w:r>
          </w:p>
        </w:tc>
        <w:tc>
          <w:tcPr>
            <w:tcW w:w="864" w:type="pct"/>
            <w:tcBorders>
              <w:bottom w:val="single" w:sz="4" w:space="0" w:color="auto"/>
            </w:tcBorders>
            <w:vAlign w:val="center"/>
          </w:tcPr>
          <w:p w14:paraId="31722614" w14:textId="77777777" w:rsidR="0059604F" w:rsidRPr="00E50289" w:rsidRDefault="0059604F" w:rsidP="00D42558">
            <w:pPr>
              <w:pStyle w:val="Tabletext"/>
              <w:keepNext/>
              <w:widowControl w:val="0"/>
              <w:jc w:val="center"/>
              <w:rPr>
                <w:rFonts w:eastAsia="Calibri"/>
                <w:b/>
                <w:color w:val="FF0000"/>
                <w:szCs w:val="20"/>
                <w:lang w:eastAsia="en-US"/>
              </w:rPr>
            </w:pPr>
            <w:r w:rsidRPr="00E50289">
              <w:rPr>
                <w:rFonts w:eastAsia="Calibri"/>
                <w:b/>
                <w:color w:val="FF0000"/>
                <w:szCs w:val="20"/>
                <w:lang w:eastAsia="en-US"/>
              </w:rPr>
              <w:t>0.34 (0.13, 0.85)</w:t>
            </w:r>
          </w:p>
        </w:tc>
        <w:tc>
          <w:tcPr>
            <w:tcW w:w="994" w:type="pct"/>
            <w:tcBorders>
              <w:bottom w:val="single" w:sz="4" w:space="0" w:color="auto"/>
            </w:tcBorders>
            <w:shd w:val="clear" w:color="auto" w:fill="auto"/>
            <w:noWrap/>
            <w:vAlign w:val="center"/>
          </w:tcPr>
          <w:p w14:paraId="032BAB74" w14:textId="5AD8D9AF" w:rsidR="0059604F" w:rsidRPr="00E50289" w:rsidRDefault="0059604F" w:rsidP="00D42558">
            <w:pPr>
              <w:pStyle w:val="Tabletext"/>
              <w:keepNext/>
              <w:widowControl w:val="0"/>
              <w:jc w:val="center"/>
              <w:rPr>
                <w:rFonts w:eastAsia="Calibri"/>
                <w:b/>
                <w:color w:val="FF0000"/>
                <w:szCs w:val="20"/>
                <w:lang w:eastAsia="en-US"/>
              </w:rPr>
            </w:pPr>
            <w:r w:rsidRPr="00E50289">
              <w:rPr>
                <w:rFonts w:eastAsia="Calibri"/>
                <w:b/>
                <w:color w:val="FF0000"/>
                <w:szCs w:val="20"/>
                <w:lang w:eastAsia="en-US"/>
              </w:rPr>
              <w:t>-0.44</w:t>
            </w:r>
            <w:r w:rsidR="00823553" w:rsidRPr="00E50289">
              <w:rPr>
                <w:rFonts w:eastAsia="Calibri"/>
                <w:b/>
                <w:color w:val="FF0000"/>
                <w:szCs w:val="20"/>
                <w:lang w:eastAsia="en-US"/>
              </w:rPr>
              <w:t xml:space="preserve"> </w:t>
            </w:r>
            <w:r w:rsidRPr="00E50289">
              <w:rPr>
                <w:rFonts w:eastAsia="Calibri"/>
                <w:b/>
                <w:color w:val="FF0000"/>
                <w:szCs w:val="20"/>
                <w:lang w:eastAsia="en-US"/>
              </w:rPr>
              <w:t>(-0.66,</w:t>
            </w:r>
            <w:r w:rsidR="00ED2DB8" w:rsidRPr="00E50289">
              <w:rPr>
                <w:rFonts w:eastAsia="Calibri"/>
                <w:b/>
                <w:color w:val="FF0000"/>
                <w:szCs w:val="20"/>
                <w:lang w:eastAsia="en-US"/>
              </w:rPr>
              <w:t xml:space="preserve"> </w:t>
            </w:r>
            <w:r w:rsidRPr="00E50289">
              <w:rPr>
                <w:rFonts w:eastAsia="Calibri"/>
                <w:b/>
                <w:color w:val="FF0000"/>
                <w:szCs w:val="20"/>
                <w:lang w:eastAsia="en-US"/>
              </w:rPr>
              <w:noBreakHyphen/>
              <w:t>0.22)</w:t>
            </w:r>
          </w:p>
        </w:tc>
      </w:tr>
      <w:tr w:rsidR="0059604F" w:rsidRPr="00E50289" w14:paraId="6A05AB97" w14:textId="77777777" w:rsidTr="00823553">
        <w:trPr>
          <w:trHeight w:val="23"/>
        </w:trPr>
        <w:tc>
          <w:tcPr>
            <w:tcW w:w="1492" w:type="pct"/>
            <w:gridSpan w:val="2"/>
            <w:vMerge/>
            <w:shd w:val="clear" w:color="auto" w:fill="auto"/>
            <w:noWrap/>
          </w:tcPr>
          <w:p w14:paraId="3D92ADBC" w14:textId="77777777" w:rsidR="0059604F" w:rsidRPr="00E50289" w:rsidRDefault="0059604F" w:rsidP="00D42558">
            <w:pPr>
              <w:pStyle w:val="Tabletext"/>
              <w:keepNext/>
              <w:widowControl w:val="0"/>
              <w:rPr>
                <w:rFonts w:eastAsia="Calibri"/>
                <w:szCs w:val="20"/>
                <w:lang w:eastAsia="en-US"/>
              </w:rPr>
            </w:pPr>
          </w:p>
        </w:tc>
        <w:tc>
          <w:tcPr>
            <w:tcW w:w="786" w:type="pct"/>
            <w:tcBorders>
              <w:bottom w:val="single" w:sz="4" w:space="0" w:color="auto"/>
            </w:tcBorders>
            <w:shd w:val="clear" w:color="auto" w:fill="auto"/>
          </w:tcPr>
          <w:p w14:paraId="3F1FD9E4"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UPA vs. VDZ</w:t>
            </w:r>
          </w:p>
        </w:tc>
        <w:tc>
          <w:tcPr>
            <w:tcW w:w="864" w:type="pct"/>
            <w:tcBorders>
              <w:bottom w:val="single" w:sz="4" w:space="0" w:color="auto"/>
            </w:tcBorders>
            <w:vAlign w:val="center"/>
          </w:tcPr>
          <w:p w14:paraId="43F6DC71"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1.38 (0.92, 2.05)</w:t>
            </w:r>
          </w:p>
        </w:tc>
        <w:tc>
          <w:tcPr>
            <w:tcW w:w="864" w:type="pct"/>
            <w:tcBorders>
              <w:bottom w:val="single" w:sz="4" w:space="0" w:color="auto"/>
            </w:tcBorders>
            <w:vAlign w:val="center"/>
          </w:tcPr>
          <w:p w14:paraId="7073A201" w14:textId="77777777" w:rsidR="0059604F" w:rsidRPr="00E50289" w:rsidRDefault="0059604F" w:rsidP="00D42558">
            <w:pPr>
              <w:pStyle w:val="Tabletext"/>
              <w:keepNext/>
              <w:widowControl w:val="0"/>
              <w:jc w:val="center"/>
              <w:rPr>
                <w:rFonts w:eastAsia="Calibri"/>
                <w:szCs w:val="20"/>
                <w:lang w:eastAsia="en-US"/>
              </w:rPr>
            </w:pPr>
            <w:bookmarkStart w:id="54" w:name="_Hlk121262587"/>
            <w:r w:rsidRPr="00E50289">
              <w:rPr>
                <w:rFonts w:eastAsia="Calibri"/>
                <w:szCs w:val="20"/>
                <w:lang w:eastAsia="en-US"/>
              </w:rPr>
              <w:t>1.11 (0.85, 1.45)</w:t>
            </w:r>
            <w:bookmarkEnd w:id="54"/>
          </w:p>
        </w:tc>
        <w:tc>
          <w:tcPr>
            <w:tcW w:w="994" w:type="pct"/>
            <w:tcBorders>
              <w:bottom w:val="single" w:sz="4" w:space="0" w:color="auto"/>
            </w:tcBorders>
            <w:shd w:val="clear" w:color="auto" w:fill="auto"/>
            <w:noWrap/>
            <w:vAlign w:val="center"/>
          </w:tcPr>
          <w:p w14:paraId="1F1B0118" w14:textId="77777777" w:rsidR="0059604F" w:rsidRPr="00E50289" w:rsidRDefault="0059604F" w:rsidP="00D42558">
            <w:pPr>
              <w:pStyle w:val="Tabletext"/>
              <w:keepNext/>
              <w:widowControl w:val="0"/>
              <w:jc w:val="center"/>
              <w:rPr>
                <w:rFonts w:eastAsia="Calibri"/>
                <w:b/>
                <w:szCs w:val="20"/>
                <w:lang w:eastAsia="en-US"/>
              </w:rPr>
            </w:pPr>
            <w:r w:rsidRPr="00E50289">
              <w:rPr>
                <w:rFonts w:eastAsia="Calibri"/>
                <w:b/>
                <w:szCs w:val="20"/>
                <w:lang w:eastAsia="en-US"/>
              </w:rPr>
              <w:t>0.10 (0.02, 0.18)</w:t>
            </w:r>
          </w:p>
        </w:tc>
      </w:tr>
      <w:tr w:rsidR="0059604F" w:rsidRPr="00E50289" w14:paraId="44B78346" w14:textId="77777777" w:rsidTr="00823553">
        <w:trPr>
          <w:trHeight w:val="23"/>
        </w:trPr>
        <w:tc>
          <w:tcPr>
            <w:tcW w:w="1492" w:type="pct"/>
            <w:gridSpan w:val="2"/>
            <w:vMerge/>
            <w:tcBorders>
              <w:bottom w:val="single" w:sz="4" w:space="0" w:color="auto"/>
            </w:tcBorders>
            <w:shd w:val="clear" w:color="auto" w:fill="auto"/>
            <w:noWrap/>
          </w:tcPr>
          <w:p w14:paraId="7694B0B2" w14:textId="77777777" w:rsidR="0059604F" w:rsidRPr="00E50289" w:rsidRDefault="0059604F" w:rsidP="00D42558">
            <w:pPr>
              <w:pStyle w:val="Tabletext"/>
              <w:keepNext/>
              <w:widowControl w:val="0"/>
              <w:rPr>
                <w:rFonts w:eastAsia="Calibri"/>
                <w:szCs w:val="20"/>
                <w:lang w:eastAsia="en-US"/>
              </w:rPr>
            </w:pPr>
          </w:p>
        </w:tc>
        <w:tc>
          <w:tcPr>
            <w:tcW w:w="786" w:type="pct"/>
            <w:tcBorders>
              <w:bottom w:val="single" w:sz="4" w:space="0" w:color="auto"/>
            </w:tcBorders>
            <w:shd w:val="clear" w:color="auto" w:fill="auto"/>
          </w:tcPr>
          <w:p w14:paraId="414B8BA2" w14:textId="77777777" w:rsidR="0059604F" w:rsidRPr="00E50289" w:rsidRDefault="0059604F" w:rsidP="00D42558">
            <w:pPr>
              <w:pStyle w:val="Tabletext"/>
              <w:keepNext/>
              <w:widowControl w:val="0"/>
              <w:rPr>
                <w:rFonts w:eastAsia="Calibri"/>
                <w:szCs w:val="20"/>
                <w:lang w:eastAsia="en-US"/>
              </w:rPr>
            </w:pPr>
            <w:r w:rsidRPr="00E50289">
              <w:rPr>
                <w:rFonts w:eastAsia="Calibri"/>
                <w:szCs w:val="20"/>
                <w:lang w:eastAsia="en-US"/>
              </w:rPr>
              <w:t>UPA vs. UST</w:t>
            </w:r>
          </w:p>
        </w:tc>
        <w:tc>
          <w:tcPr>
            <w:tcW w:w="864" w:type="pct"/>
            <w:tcBorders>
              <w:bottom w:val="single" w:sz="4" w:space="0" w:color="auto"/>
            </w:tcBorders>
            <w:vAlign w:val="center"/>
          </w:tcPr>
          <w:p w14:paraId="0A38A025"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0.91 (0.62, 1.35)</w:t>
            </w:r>
          </w:p>
        </w:tc>
        <w:tc>
          <w:tcPr>
            <w:tcW w:w="864" w:type="pct"/>
            <w:tcBorders>
              <w:bottom w:val="single" w:sz="4" w:space="0" w:color="auto"/>
            </w:tcBorders>
            <w:vAlign w:val="center"/>
          </w:tcPr>
          <w:p w14:paraId="39645A33" w14:textId="77777777" w:rsidR="0059604F" w:rsidRPr="00E50289" w:rsidRDefault="0059604F" w:rsidP="00D42558">
            <w:pPr>
              <w:pStyle w:val="Tabletext"/>
              <w:keepNext/>
              <w:widowControl w:val="0"/>
              <w:jc w:val="center"/>
              <w:rPr>
                <w:rFonts w:eastAsia="Calibri"/>
                <w:szCs w:val="20"/>
                <w:lang w:eastAsia="en-US"/>
              </w:rPr>
            </w:pPr>
            <w:bookmarkStart w:id="55" w:name="_Hlk121262457"/>
            <w:r w:rsidRPr="00E50289">
              <w:rPr>
                <w:rFonts w:eastAsia="Calibri"/>
                <w:szCs w:val="20"/>
                <w:lang w:eastAsia="en-US"/>
              </w:rPr>
              <w:t>0.90 (0.70, 1.15)</w:t>
            </w:r>
            <w:bookmarkEnd w:id="55"/>
          </w:p>
        </w:tc>
        <w:tc>
          <w:tcPr>
            <w:tcW w:w="994" w:type="pct"/>
            <w:tcBorders>
              <w:bottom w:val="single" w:sz="4" w:space="0" w:color="auto"/>
            </w:tcBorders>
            <w:shd w:val="clear" w:color="auto" w:fill="auto"/>
            <w:noWrap/>
            <w:vAlign w:val="center"/>
          </w:tcPr>
          <w:p w14:paraId="59E51730" w14:textId="77777777" w:rsidR="0059604F" w:rsidRPr="00E50289" w:rsidRDefault="0059604F" w:rsidP="00D42558">
            <w:pPr>
              <w:pStyle w:val="Tabletext"/>
              <w:keepNext/>
              <w:widowControl w:val="0"/>
              <w:jc w:val="center"/>
              <w:rPr>
                <w:rFonts w:eastAsia="Calibri"/>
                <w:szCs w:val="20"/>
                <w:lang w:eastAsia="en-US"/>
              </w:rPr>
            </w:pPr>
            <w:r w:rsidRPr="00E50289">
              <w:rPr>
                <w:rFonts w:eastAsia="Calibri"/>
                <w:szCs w:val="20"/>
                <w:lang w:eastAsia="en-US"/>
              </w:rPr>
              <w:t>0.00 (-0.08, 0.08)</w:t>
            </w:r>
          </w:p>
        </w:tc>
      </w:tr>
    </w:tbl>
    <w:p w14:paraId="4F33F16A" w14:textId="77777777" w:rsidR="0059604F" w:rsidRPr="00E50289" w:rsidRDefault="0059604F" w:rsidP="00D42558">
      <w:pPr>
        <w:pStyle w:val="TableFigureFooter"/>
        <w:keepNext/>
        <w:widowControl w:val="0"/>
      </w:pPr>
      <w:r w:rsidRPr="00E50289">
        <w:t xml:space="preserve">Source: Table 2.25, p142 of the submission. </w:t>
      </w:r>
    </w:p>
    <w:p w14:paraId="16C1594F" w14:textId="5563C729" w:rsidR="0059604F" w:rsidRPr="00E50289" w:rsidRDefault="0059604F" w:rsidP="00D42558">
      <w:pPr>
        <w:pStyle w:val="TableFigureFooter"/>
        <w:keepNext/>
        <w:widowControl w:val="0"/>
      </w:pPr>
      <w:r w:rsidRPr="00E50289">
        <w:t xml:space="preserve">ADA= adalimumab; CI= confidence interval; IFX= infliximab; kg= </w:t>
      </w:r>
      <w:r w:rsidR="002976AB" w:rsidRPr="00E50289">
        <w:t>kilogram</w:t>
      </w:r>
      <w:r w:rsidRPr="00E50289">
        <w:t xml:space="preserve">; mg= </w:t>
      </w:r>
      <w:r w:rsidR="002976AB" w:rsidRPr="00E50289">
        <w:t>milligram</w:t>
      </w:r>
      <w:r w:rsidRPr="00E50289">
        <w:t xml:space="preserve">; </w:t>
      </w:r>
      <w:r w:rsidR="00524F1A" w:rsidRPr="00E50289">
        <w:t>n</w:t>
      </w:r>
      <w:r w:rsidR="008B1228" w:rsidRPr="00E50289">
        <w:t xml:space="preserve">= </w:t>
      </w:r>
      <w:r w:rsidR="00524F1A" w:rsidRPr="00E50289">
        <w:t>number of participants with event; N</w:t>
      </w:r>
      <w:r w:rsidR="008B1228" w:rsidRPr="00E50289">
        <w:t xml:space="preserve">= </w:t>
      </w:r>
      <w:r w:rsidR="00524F1A" w:rsidRPr="00E50289">
        <w:t xml:space="preserve">total participants in group; </w:t>
      </w:r>
      <w:r w:rsidRPr="00E50289">
        <w:t xml:space="preserve">OR= odds ratio; PBO= placebo; RD= risk difference; RISA= risankizumab; RR= relative risk; </w:t>
      </w:r>
      <w:r w:rsidR="00524F1A" w:rsidRPr="00E50289">
        <w:t xml:space="preserve">UPA= upadacitinib; </w:t>
      </w:r>
      <w:r w:rsidRPr="00E50289">
        <w:t xml:space="preserve">UST= </w:t>
      </w:r>
      <w:r w:rsidRPr="00E50289">
        <w:lastRenderedPageBreak/>
        <w:t>ustekinumab; VDZ= vedolizumab; vs</w:t>
      </w:r>
      <w:r w:rsidR="008B1228" w:rsidRPr="00E50289">
        <w:t xml:space="preserve">= </w:t>
      </w:r>
      <w:r w:rsidRPr="00E50289">
        <w:t>versus.</w:t>
      </w:r>
    </w:p>
    <w:p w14:paraId="128BF176" w14:textId="1D1AC479" w:rsidR="0059604F" w:rsidRPr="00E50289" w:rsidRDefault="0059604F" w:rsidP="00D42558">
      <w:pPr>
        <w:pStyle w:val="TableFigureFooter"/>
        <w:keepNext/>
        <w:widowControl w:val="0"/>
      </w:pPr>
      <w:r w:rsidRPr="00E50289">
        <w:t>Note: These estimates were calculated as per Section 2.5</w:t>
      </w:r>
      <w:r w:rsidR="002976AB" w:rsidRPr="00E50289">
        <w:t xml:space="preserve"> of the evaluation</w:t>
      </w:r>
      <w:r w:rsidRPr="00E50289">
        <w:t>.</w:t>
      </w:r>
    </w:p>
    <w:p w14:paraId="1DBAF377" w14:textId="76C51488" w:rsidR="0059604F" w:rsidRPr="00E50289" w:rsidRDefault="0059604F" w:rsidP="00D42558">
      <w:pPr>
        <w:pStyle w:val="TableFigureFooter"/>
        <w:keepNext/>
        <w:widowControl w:val="0"/>
      </w:pPr>
      <w:r w:rsidRPr="00E50289">
        <w:rPr>
          <w:b/>
          <w:bCs/>
        </w:rPr>
        <w:t>BOLD</w:t>
      </w:r>
      <w:r w:rsidRPr="00E50289">
        <w:t xml:space="preserve"> </w:t>
      </w:r>
      <w:r w:rsidR="00F50E60" w:rsidRPr="00E50289">
        <w:t xml:space="preserve">values </w:t>
      </w:r>
      <w:r w:rsidRPr="00E50289">
        <w:t xml:space="preserve">mean statistically significant results. </w:t>
      </w:r>
      <w:r w:rsidRPr="00E50289">
        <w:rPr>
          <w:b/>
          <w:bCs/>
          <w:color w:val="FF0000"/>
        </w:rPr>
        <w:t>RED</w:t>
      </w:r>
      <w:r w:rsidRPr="00E50289">
        <w:t xml:space="preserve"> indicates significant results </w:t>
      </w:r>
      <w:r w:rsidR="00C9476D" w:rsidRPr="00E50289">
        <w:t>favouring</w:t>
      </w:r>
      <w:r w:rsidRPr="00E50289">
        <w:t xml:space="preserve"> comparators. </w:t>
      </w:r>
    </w:p>
    <w:p w14:paraId="281AED88" w14:textId="1135A36E" w:rsidR="0059604F" w:rsidRPr="00E50289" w:rsidRDefault="0059604F" w:rsidP="00A95C72">
      <w:pPr>
        <w:pStyle w:val="TableFigureFooter"/>
        <w:widowControl w:val="0"/>
      </w:pPr>
      <w:r w:rsidRPr="00E50289">
        <w:rPr>
          <w:vertAlign w:val="superscript"/>
        </w:rPr>
        <w:t>a</w:t>
      </w:r>
      <w:r w:rsidR="000F4B8F" w:rsidRPr="00E50289">
        <w:rPr>
          <w:vertAlign w:val="superscript"/>
        </w:rPr>
        <w:t xml:space="preserve"> </w:t>
      </w:r>
      <w:r w:rsidRPr="00E50289">
        <w:t xml:space="preserve">Corrected values were calculated during the evaluation. </w:t>
      </w:r>
    </w:p>
    <w:p w14:paraId="10BDE379" w14:textId="0DCA1408" w:rsidR="0059604F" w:rsidRPr="00E50289" w:rsidRDefault="0059604F" w:rsidP="00D42558">
      <w:pPr>
        <w:pStyle w:val="TableFigureHeading"/>
      </w:pPr>
      <w:bookmarkStart w:id="56" w:name="_Ref121578497"/>
      <w:r w:rsidRPr="00E50289">
        <w:t xml:space="preserve">Table </w:t>
      </w:r>
      <w:fldSimple w:instr=" SEQ Table \* ARABIC " w:fldLock="1">
        <w:r w:rsidR="0033335A" w:rsidRPr="00E50289">
          <w:rPr>
            <w:noProof/>
          </w:rPr>
          <w:t>7</w:t>
        </w:r>
      </w:fldSimple>
      <w:bookmarkEnd w:id="56"/>
      <w:r w:rsidRPr="00E50289">
        <w:t>: Clinical response, maintenance phase: trial and indirect comparison results of upadacitinib vs comparators</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276"/>
        <w:gridCol w:w="1559"/>
        <w:gridCol w:w="1559"/>
        <w:gridCol w:w="1654"/>
      </w:tblGrid>
      <w:tr w:rsidR="0059604F" w:rsidRPr="00E50289" w14:paraId="74624DAC" w14:textId="77777777" w:rsidTr="00431CD8">
        <w:trPr>
          <w:trHeight w:val="20"/>
          <w:tblHeader/>
        </w:trPr>
        <w:tc>
          <w:tcPr>
            <w:tcW w:w="1555" w:type="dxa"/>
            <w:tcBorders>
              <w:bottom w:val="single" w:sz="4" w:space="0" w:color="auto"/>
            </w:tcBorders>
            <w:shd w:val="clear" w:color="auto" w:fill="auto"/>
            <w:noWrap/>
          </w:tcPr>
          <w:p w14:paraId="5FCC62D6" w14:textId="77777777" w:rsidR="0059604F"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Intervention / Trial ID</w:t>
            </w:r>
          </w:p>
        </w:tc>
        <w:tc>
          <w:tcPr>
            <w:tcW w:w="1417" w:type="dxa"/>
            <w:tcBorders>
              <w:bottom w:val="single" w:sz="4" w:space="0" w:color="auto"/>
            </w:tcBorders>
            <w:shd w:val="clear" w:color="auto" w:fill="auto"/>
          </w:tcPr>
          <w:p w14:paraId="3EF88954" w14:textId="77777777" w:rsidR="0059604F"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Active treatment</w:t>
            </w:r>
          </w:p>
          <w:p w14:paraId="5FB93055" w14:textId="77777777" w:rsidR="0059604F"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n/N (%)</w:t>
            </w:r>
          </w:p>
        </w:tc>
        <w:tc>
          <w:tcPr>
            <w:tcW w:w="1276" w:type="dxa"/>
            <w:tcBorders>
              <w:bottom w:val="single" w:sz="4" w:space="0" w:color="auto"/>
            </w:tcBorders>
            <w:shd w:val="clear" w:color="auto" w:fill="auto"/>
          </w:tcPr>
          <w:p w14:paraId="5E801E65" w14:textId="77777777" w:rsidR="0059604F"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PBO</w:t>
            </w:r>
          </w:p>
          <w:p w14:paraId="741AE9A5" w14:textId="77777777" w:rsidR="0059604F"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n/N (%)</w:t>
            </w:r>
          </w:p>
        </w:tc>
        <w:tc>
          <w:tcPr>
            <w:tcW w:w="1559" w:type="dxa"/>
            <w:tcBorders>
              <w:bottom w:val="single" w:sz="4" w:space="0" w:color="auto"/>
            </w:tcBorders>
            <w:shd w:val="clear" w:color="auto" w:fill="auto"/>
          </w:tcPr>
          <w:p w14:paraId="478260CB" w14:textId="7F727C13" w:rsidR="0059604F"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OR (</w:t>
            </w:r>
            <w:r w:rsidR="000565B3" w:rsidRPr="00E50289">
              <w:rPr>
                <w:rFonts w:eastAsia="Calibri"/>
                <w:b/>
                <w:bCs/>
                <w:szCs w:val="20"/>
                <w:lang w:eastAsia="en-US"/>
              </w:rPr>
              <w:t>95% CI</w:t>
            </w:r>
            <w:r w:rsidRPr="00E50289">
              <w:rPr>
                <w:rFonts w:eastAsia="Calibri"/>
                <w:b/>
                <w:bCs/>
                <w:szCs w:val="20"/>
                <w:lang w:eastAsia="en-US"/>
              </w:rPr>
              <w:t xml:space="preserve">), result &gt;1 favours </w:t>
            </w:r>
            <w:r w:rsidR="002976AB" w:rsidRPr="00E50289">
              <w:rPr>
                <w:rFonts w:eastAsia="Calibri"/>
                <w:b/>
                <w:bCs/>
                <w:szCs w:val="20"/>
                <w:lang w:eastAsia="en-US"/>
              </w:rPr>
              <w:t>intervention</w:t>
            </w:r>
          </w:p>
        </w:tc>
        <w:tc>
          <w:tcPr>
            <w:tcW w:w="1559" w:type="dxa"/>
            <w:tcBorders>
              <w:bottom w:val="single" w:sz="4" w:space="0" w:color="auto"/>
            </w:tcBorders>
            <w:shd w:val="clear" w:color="auto" w:fill="auto"/>
          </w:tcPr>
          <w:p w14:paraId="6FC81D57" w14:textId="660EEF71" w:rsidR="0059604F"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RR (</w:t>
            </w:r>
            <w:r w:rsidR="000565B3" w:rsidRPr="00E50289">
              <w:rPr>
                <w:rFonts w:eastAsia="Calibri"/>
                <w:b/>
                <w:bCs/>
                <w:szCs w:val="20"/>
                <w:lang w:eastAsia="en-US"/>
              </w:rPr>
              <w:t>95% CI</w:t>
            </w:r>
            <w:r w:rsidRPr="00E50289">
              <w:rPr>
                <w:rFonts w:eastAsia="Calibri"/>
                <w:b/>
                <w:bCs/>
                <w:szCs w:val="20"/>
                <w:lang w:eastAsia="en-US"/>
              </w:rPr>
              <w:t xml:space="preserve">), </w:t>
            </w:r>
            <w:r w:rsidRPr="00E50289">
              <w:rPr>
                <w:rFonts w:eastAsia="Calibri"/>
                <w:b/>
                <w:bCs/>
                <w:szCs w:val="20"/>
                <w:lang w:eastAsia="en-US"/>
              </w:rPr>
              <w:br/>
              <w:t xml:space="preserve">result &gt;1 favours </w:t>
            </w:r>
            <w:r w:rsidR="002976AB" w:rsidRPr="00E50289">
              <w:rPr>
                <w:rFonts w:eastAsia="Calibri"/>
                <w:b/>
                <w:bCs/>
                <w:szCs w:val="20"/>
                <w:lang w:eastAsia="en-US"/>
              </w:rPr>
              <w:t>intervention</w:t>
            </w:r>
          </w:p>
        </w:tc>
        <w:tc>
          <w:tcPr>
            <w:tcW w:w="1654" w:type="dxa"/>
            <w:tcBorders>
              <w:bottom w:val="single" w:sz="4" w:space="0" w:color="auto"/>
            </w:tcBorders>
            <w:shd w:val="clear" w:color="auto" w:fill="auto"/>
          </w:tcPr>
          <w:p w14:paraId="6B1A8B63" w14:textId="6604BCB5" w:rsidR="0059604F"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RD (</w:t>
            </w:r>
            <w:r w:rsidR="000565B3" w:rsidRPr="00E50289">
              <w:rPr>
                <w:rFonts w:eastAsia="Calibri"/>
                <w:b/>
                <w:bCs/>
                <w:szCs w:val="20"/>
                <w:lang w:eastAsia="en-US"/>
              </w:rPr>
              <w:t>95% CI</w:t>
            </w:r>
            <w:r w:rsidRPr="00E50289">
              <w:rPr>
                <w:rFonts w:eastAsia="Calibri"/>
                <w:b/>
                <w:bCs/>
                <w:szCs w:val="20"/>
                <w:lang w:eastAsia="en-US"/>
              </w:rPr>
              <w:t xml:space="preserve">), </w:t>
            </w:r>
            <w:r w:rsidRPr="00E50289">
              <w:rPr>
                <w:rFonts w:eastAsia="Calibri"/>
                <w:b/>
                <w:bCs/>
                <w:szCs w:val="20"/>
                <w:lang w:eastAsia="en-US"/>
              </w:rPr>
              <w:br/>
              <w:t xml:space="preserve">result &gt;0 favours </w:t>
            </w:r>
            <w:r w:rsidR="002976AB" w:rsidRPr="00E50289">
              <w:rPr>
                <w:rFonts w:eastAsia="Calibri"/>
                <w:b/>
                <w:bCs/>
                <w:szCs w:val="20"/>
                <w:lang w:eastAsia="en-US"/>
              </w:rPr>
              <w:t>intervention</w:t>
            </w:r>
          </w:p>
        </w:tc>
      </w:tr>
      <w:tr w:rsidR="0059604F" w:rsidRPr="00E50289" w14:paraId="1E80AD84" w14:textId="77777777" w:rsidTr="00CA5F38">
        <w:trPr>
          <w:trHeight w:val="20"/>
        </w:trPr>
        <w:tc>
          <w:tcPr>
            <w:tcW w:w="9020" w:type="dxa"/>
            <w:gridSpan w:val="6"/>
            <w:shd w:val="clear" w:color="auto" w:fill="auto"/>
            <w:noWrap/>
            <w:vAlign w:val="center"/>
          </w:tcPr>
          <w:p w14:paraId="7A4AB14C" w14:textId="77777777" w:rsidR="0059604F" w:rsidRPr="00E50289" w:rsidRDefault="0059604F" w:rsidP="00D42558">
            <w:pPr>
              <w:pStyle w:val="Tabletext"/>
              <w:keepNext/>
              <w:rPr>
                <w:rFonts w:eastAsia="Calibri"/>
                <w:color w:val="000000"/>
                <w:szCs w:val="20"/>
                <w:lang w:eastAsia="en-US"/>
              </w:rPr>
            </w:pPr>
            <w:r w:rsidRPr="00E50289">
              <w:rPr>
                <w:rFonts w:eastAsia="Calibri"/>
                <w:b/>
                <w:bCs/>
                <w:szCs w:val="20"/>
                <w:lang w:eastAsia="en-US"/>
              </w:rPr>
              <w:t xml:space="preserve">UPA (30 / 15 mg) – week 52 results </w:t>
            </w:r>
          </w:p>
        </w:tc>
      </w:tr>
      <w:tr w:rsidR="0059604F" w:rsidRPr="00E50289" w14:paraId="5D71E601" w14:textId="77777777" w:rsidTr="001974A2">
        <w:trPr>
          <w:trHeight w:val="20"/>
        </w:trPr>
        <w:tc>
          <w:tcPr>
            <w:tcW w:w="1555" w:type="dxa"/>
            <w:tcBorders>
              <w:bottom w:val="single" w:sz="4" w:space="0" w:color="auto"/>
            </w:tcBorders>
            <w:shd w:val="clear" w:color="auto" w:fill="auto"/>
            <w:noWrap/>
            <w:vAlign w:val="center"/>
          </w:tcPr>
          <w:p w14:paraId="498D7300"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 xml:space="preserve">U-ENDURE (30 mg) </w:t>
            </w:r>
          </w:p>
        </w:tc>
        <w:tc>
          <w:tcPr>
            <w:tcW w:w="1417" w:type="dxa"/>
            <w:tcBorders>
              <w:bottom w:val="single" w:sz="4" w:space="0" w:color="auto"/>
            </w:tcBorders>
          </w:tcPr>
          <w:p w14:paraId="52819CDE" w14:textId="77777777" w:rsidR="0059604F" w:rsidRPr="00E50289" w:rsidRDefault="0059604F" w:rsidP="00D42558">
            <w:pPr>
              <w:pStyle w:val="Tabletext"/>
              <w:keepNext/>
              <w:jc w:val="center"/>
              <w:rPr>
                <w:rFonts w:eastAsia="Calibri"/>
                <w:color w:val="000000"/>
                <w:szCs w:val="20"/>
                <w:lang w:eastAsia="en-US"/>
              </w:rPr>
            </w:pPr>
            <w:r w:rsidRPr="00E50289">
              <w:rPr>
                <w:rFonts w:eastAsia="Calibri"/>
                <w:szCs w:val="20"/>
                <w:lang w:eastAsia="en-US"/>
              </w:rPr>
              <w:t>86/168 (51.2)</w:t>
            </w:r>
          </w:p>
        </w:tc>
        <w:tc>
          <w:tcPr>
            <w:tcW w:w="1276" w:type="dxa"/>
            <w:tcBorders>
              <w:bottom w:val="single" w:sz="4" w:space="0" w:color="auto"/>
            </w:tcBorders>
          </w:tcPr>
          <w:p w14:paraId="516BD0A1" w14:textId="77777777" w:rsidR="0059604F" w:rsidRPr="00E50289" w:rsidRDefault="0059604F" w:rsidP="00D42558">
            <w:pPr>
              <w:pStyle w:val="Tabletext"/>
              <w:keepNext/>
              <w:jc w:val="center"/>
              <w:rPr>
                <w:rFonts w:eastAsia="Calibri"/>
                <w:color w:val="000000"/>
                <w:szCs w:val="20"/>
                <w:lang w:eastAsia="en-US"/>
              </w:rPr>
            </w:pPr>
            <w:r w:rsidRPr="00E50289">
              <w:rPr>
                <w:rFonts w:eastAsia="Calibri"/>
                <w:szCs w:val="20"/>
                <w:lang w:eastAsia="en-US"/>
              </w:rPr>
              <w:t>25/165 (15.2)</w:t>
            </w:r>
          </w:p>
        </w:tc>
        <w:tc>
          <w:tcPr>
            <w:tcW w:w="1559" w:type="dxa"/>
            <w:tcBorders>
              <w:bottom w:val="single" w:sz="4" w:space="0" w:color="auto"/>
            </w:tcBorders>
          </w:tcPr>
          <w:p w14:paraId="302FA47B" w14:textId="77777777" w:rsidR="0059604F" w:rsidRPr="00E50289" w:rsidRDefault="0059604F" w:rsidP="00D42558">
            <w:pPr>
              <w:pStyle w:val="Tabletext"/>
              <w:keepNext/>
              <w:jc w:val="center"/>
              <w:rPr>
                <w:rFonts w:eastAsia="Calibri"/>
                <w:b/>
                <w:bCs/>
                <w:color w:val="000000"/>
                <w:szCs w:val="20"/>
                <w:lang w:eastAsia="en-US"/>
              </w:rPr>
            </w:pPr>
            <w:r w:rsidRPr="00E50289">
              <w:rPr>
                <w:rFonts w:eastAsia="Calibri"/>
                <w:b/>
                <w:bCs/>
                <w:szCs w:val="20"/>
                <w:lang w:eastAsia="en-US"/>
              </w:rPr>
              <w:t>5.87 (3.48, 9.90)</w:t>
            </w:r>
          </w:p>
        </w:tc>
        <w:tc>
          <w:tcPr>
            <w:tcW w:w="1559" w:type="dxa"/>
            <w:tcBorders>
              <w:bottom w:val="single" w:sz="4" w:space="0" w:color="auto"/>
            </w:tcBorders>
          </w:tcPr>
          <w:p w14:paraId="07038181" w14:textId="1A65E82B" w:rsidR="00357399"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2.73 (1.83,</w:t>
            </w:r>
            <w:r w:rsidR="00096641" w:rsidRPr="00E50289">
              <w:rPr>
                <w:rFonts w:eastAsia="Calibri"/>
                <w:b/>
                <w:bCs/>
                <w:szCs w:val="20"/>
                <w:lang w:eastAsia="en-US"/>
              </w:rPr>
              <w:t xml:space="preserve"> </w:t>
            </w:r>
            <w:r w:rsidRPr="00E50289">
              <w:rPr>
                <w:rFonts w:eastAsia="Calibri"/>
                <w:b/>
                <w:bCs/>
                <w:szCs w:val="20"/>
                <w:lang w:eastAsia="en-US"/>
              </w:rPr>
              <w:t>4.09)</w:t>
            </w:r>
          </w:p>
          <w:p w14:paraId="2EC5BD0E" w14:textId="2C8BE4BE" w:rsidR="00357399" w:rsidRPr="00E50289" w:rsidRDefault="00357399" w:rsidP="00D42558">
            <w:pPr>
              <w:pStyle w:val="Tabletext"/>
              <w:keepNext/>
              <w:jc w:val="center"/>
              <w:rPr>
                <w:rFonts w:eastAsia="Calibri"/>
                <w:b/>
                <w:bCs/>
                <w:color w:val="000000"/>
                <w:szCs w:val="20"/>
                <w:lang w:eastAsia="en-US"/>
              </w:rPr>
            </w:pPr>
            <w:r w:rsidRPr="00E50289">
              <w:rPr>
                <w:rFonts w:eastAsia="Calibri"/>
                <w:b/>
                <w:bCs/>
                <w:szCs w:val="20"/>
                <w:lang w:eastAsia="en-US"/>
              </w:rPr>
              <w:t xml:space="preserve">3.38 (2.29, </w:t>
            </w:r>
            <w:proofErr w:type="gramStart"/>
            <w:r w:rsidRPr="00E50289">
              <w:rPr>
                <w:rFonts w:eastAsia="Calibri"/>
                <w:b/>
                <w:bCs/>
                <w:szCs w:val="20"/>
                <w:lang w:eastAsia="en-US"/>
              </w:rPr>
              <w:t>4.99)</w:t>
            </w:r>
            <w:r w:rsidRPr="00E50289">
              <w:rPr>
                <w:rFonts w:eastAsia="Calibri"/>
                <w:b/>
                <w:bCs/>
                <w:szCs w:val="20"/>
                <w:vertAlign w:val="superscript"/>
                <w:lang w:eastAsia="en-US"/>
              </w:rPr>
              <w:t>a</w:t>
            </w:r>
            <w:proofErr w:type="gramEnd"/>
          </w:p>
        </w:tc>
        <w:tc>
          <w:tcPr>
            <w:tcW w:w="1654" w:type="dxa"/>
            <w:tcBorders>
              <w:bottom w:val="single" w:sz="4" w:space="0" w:color="auto"/>
            </w:tcBorders>
            <w:shd w:val="clear" w:color="auto" w:fill="auto"/>
            <w:noWrap/>
          </w:tcPr>
          <w:p w14:paraId="72F288AA" w14:textId="77777777" w:rsidR="0059604F" w:rsidRPr="00E50289" w:rsidRDefault="0059604F" w:rsidP="00D42558">
            <w:pPr>
              <w:pStyle w:val="Tabletext"/>
              <w:keepNext/>
              <w:jc w:val="center"/>
              <w:rPr>
                <w:rFonts w:eastAsia="Calibri"/>
                <w:b/>
                <w:bCs/>
                <w:color w:val="000000"/>
                <w:szCs w:val="20"/>
                <w:lang w:eastAsia="en-US"/>
              </w:rPr>
            </w:pPr>
            <w:r w:rsidRPr="00E50289">
              <w:rPr>
                <w:rFonts w:eastAsia="Calibri"/>
                <w:b/>
                <w:bCs/>
                <w:szCs w:val="20"/>
                <w:lang w:eastAsia="en-US"/>
              </w:rPr>
              <w:t>0.36 (0.27, 0.45)</w:t>
            </w:r>
          </w:p>
        </w:tc>
      </w:tr>
      <w:tr w:rsidR="0059604F" w:rsidRPr="00E50289" w14:paraId="5DB7EA88" w14:textId="77777777" w:rsidTr="001974A2">
        <w:trPr>
          <w:trHeight w:val="20"/>
        </w:trPr>
        <w:tc>
          <w:tcPr>
            <w:tcW w:w="1555" w:type="dxa"/>
            <w:tcBorders>
              <w:bottom w:val="single" w:sz="4" w:space="0" w:color="auto"/>
            </w:tcBorders>
            <w:shd w:val="clear" w:color="auto" w:fill="auto"/>
            <w:noWrap/>
            <w:vAlign w:val="center"/>
          </w:tcPr>
          <w:p w14:paraId="7591A521"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U-ENDURE (15 mg)</w:t>
            </w:r>
          </w:p>
        </w:tc>
        <w:tc>
          <w:tcPr>
            <w:tcW w:w="1417" w:type="dxa"/>
            <w:tcBorders>
              <w:bottom w:val="single" w:sz="4" w:space="0" w:color="auto"/>
            </w:tcBorders>
          </w:tcPr>
          <w:p w14:paraId="6F78CAFC" w14:textId="77777777" w:rsidR="0059604F" w:rsidRPr="00E50289" w:rsidRDefault="0059604F" w:rsidP="00D42558">
            <w:pPr>
              <w:pStyle w:val="Tabletext"/>
              <w:keepNext/>
              <w:jc w:val="center"/>
              <w:rPr>
                <w:rFonts w:eastAsia="Calibri"/>
                <w:color w:val="000000"/>
                <w:szCs w:val="20"/>
                <w:lang w:eastAsia="en-US"/>
              </w:rPr>
            </w:pPr>
            <w:r w:rsidRPr="00E50289">
              <w:rPr>
                <w:rFonts w:eastAsia="Calibri"/>
                <w:szCs w:val="20"/>
                <w:lang w:eastAsia="en-US"/>
              </w:rPr>
              <w:t>70/169 (41.4)</w:t>
            </w:r>
          </w:p>
        </w:tc>
        <w:tc>
          <w:tcPr>
            <w:tcW w:w="1276" w:type="dxa"/>
            <w:tcBorders>
              <w:bottom w:val="single" w:sz="4" w:space="0" w:color="auto"/>
            </w:tcBorders>
          </w:tcPr>
          <w:p w14:paraId="08102A40" w14:textId="77777777" w:rsidR="0059604F" w:rsidRPr="00E50289" w:rsidRDefault="0059604F" w:rsidP="00D42558">
            <w:pPr>
              <w:pStyle w:val="Tabletext"/>
              <w:keepNext/>
              <w:jc w:val="center"/>
              <w:rPr>
                <w:rFonts w:eastAsia="Calibri"/>
                <w:color w:val="000000"/>
                <w:szCs w:val="20"/>
                <w:lang w:eastAsia="en-US"/>
              </w:rPr>
            </w:pPr>
            <w:r w:rsidRPr="00E50289">
              <w:rPr>
                <w:rFonts w:eastAsia="Calibri"/>
                <w:szCs w:val="20"/>
                <w:lang w:eastAsia="en-US"/>
              </w:rPr>
              <w:t>25/165 (15.2)</w:t>
            </w:r>
          </w:p>
        </w:tc>
        <w:tc>
          <w:tcPr>
            <w:tcW w:w="1559" w:type="dxa"/>
            <w:tcBorders>
              <w:bottom w:val="single" w:sz="4" w:space="0" w:color="auto"/>
            </w:tcBorders>
          </w:tcPr>
          <w:p w14:paraId="6F3180BC" w14:textId="77777777" w:rsidR="0059604F" w:rsidRPr="00E50289" w:rsidRDefault="0059604F" w:rsidP="00D42558">
            <w:pPr>
              <w:pStyle w:val="Tabletext"/>
              <w:keepNext/>
              <w:jc w:val="center"/>
              <w:rPr>
                <w:rFonts w:eastAsia="Calibri"/>
                <w:b/>
                <w:bCs/>
                <w:color w:val="000000"/>
                <w:szCs w:val="20"/>
                <w:lang w:eastAsia="en-US"/>
              </w:rPr>
            </w:pPr>
            <w:r w:rsidRPr="00E50289">
              <w:rPr>
                <w:rFonts w:eastAsia="Calibri"/>
                <w:b/>
                <w:bCs/>
                <w:szCs w:val="20"/>
                <w:lang w:eastAsia="en-US"/>
              </w:rPr>
              <w:t>3.96 (2.34, 6.69)</w:t>
            </w:r>
          </w:p>
        </w:tc>
        <w:tc>
          <w:tcPr>
            <w:tcW w:w="1559" w:type="dxa"/>
            <w:tcBorders>
              <w:bottom w:val="single" w:sz="4" w:space="0" w:color="auto"/>
            </w:tcBorders>
          </w:tcPr>
          <w:p w14:paraId="79AF4F39" w14:textId="68F73DB4" w:rsidR="00357399"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3.38 (2.29,</w:t>
            </w:r>
            <w:r w:rsidR="00096641" w:rsidRPr="00E50289">
              <w:rPr>
                <w:rFonts w:eastAsia="Calibri"/>
                <w:b/>
                <w:bCs/>
                <w:szCs w:val="20"/>
                <w:lang w:eastAsia="en-US"/>
              </w:rPr>
              <w:t xml:space="preserve"> </w:t>
            </w:r>
            <w:r w:rsidRPr="00E50289">
              <w:rPr>
                <w:rFonts w:eastAsia="Calibri"/>
                <w:b/>
                <w:bCs/>
                <w:szCs w:val="20"/>
                <w:lang w:eastAsia="en-US"/>
              </w:rPr>
              <w:t>4.99)</w:t>
            </w:r>
          </w:p>
          <w:p w14:paraId="5924A1EF" w14:textId="557F421B" w:rsidR="00357399" w:rsidRPr="00E50289" w:rsidRDefault="00357399" w:rsidP="00D42558">
            <w:pPr>
              <w:pStyle w:val="Tabletext"/>
              <w:keepNext/>
              <w:jc w:val="center"/>
              <w:rPr>
                <w:rFonts w:eastAsia="Calibri"/>
                <w:b/>
                <w:bCs/>
                <w:color w:val="000000"/>
                <w:szCs w:val="20"/>
                <w:lang w:eastAsia="en-US"/>
              </w:rPr>
            </w:pPr>
            <w:r w:rsidRPr="00E50289">
              <w:rPr>
                <w:rFonts w:eastAsia="Calibri"/>
                <w:b/>
                <w:bCs/>
                <w:szCs w:val="20"/>
                <w:lang w:eastAsia="en-US"/>
              </w:rPr>
              <w:t xml:space="preserve">2.73 (1.83, </w:t>
            </w:r>
            <w:proofErr w:type="gramStart"/>
            <w:r w:rsidRPr="00E50289">
              <w:rPr>
                <w:rFonts w:eastAsia="Calibri"/>
                <w:b/>
                <w:bCs/>
                <w:szCs w:val="20"/>
                <w:lang w:eastAsia="en-US"/>
              </w:rPr>
              <w:t>4.09)</w:t>
            </w:r>
            <w:r w:rsidRPr="00E50289">
              <w:rPr>
                <w:rFonts w:eastAsia="Calibri"/>
                <w:b/>
                <w:bCs/>
                <w:szCs w:val="20"/>
                <w:vertAlign w:val="superscript"/>
                <w:lang w:eastAsia="en-US"/>
              </w:rPr>
              <w:t>a</w:t>
            </w:r>
            <w:proofErr w:type="gramEnd"/>
          </w:p>
        </w:tc>
        <w:tc>
          <w:tcPr>
            <w:tcW w:w="1654" w:type="dxa"/>
            <w:tcBorders>
              <w:bottom w:val="single" w:sz="4" w:space="0" w:color="auto"/>
            </w:tcBorders>
            <w:shd w:val="clear" w:color="auto" w:fill="auto"/>
            <w:noWrap/>
          </w:tcPr>
          <w:p w14:paraId="6D652E8E" w14:textId="77777777" w:rsidR="0059604F" w:rsidRPr="00E50289" w:rsidRDefault="0059604F" w:rsidP="00D42558">
            <w:pPr>
              <w:pStyle w:val="Tabletext"/>
              <w:keepNext/>
              <w:jc w:val="center"/>
              <w:rPr>
                <w:rFonts w:eastAsia="Calibri"/>
                <w:b/>
                <w:bCs/>
                <w:color w:val="000000"/>
                <w:szCs w:val="20"/>
                <w:lang w:eastAsia="en-US"/>
              </w:rPr>
            </w:pPr>
            <w:r w:rsidRPr="00E50289">
              <w:rPr>
                <w:rFonts w:eastAsia="Calibri"/>
                <w:b/>
                <w:bCs/>
                <w:szCs w:val="20"/>
                <w:lang w:eastAsia="en-US"/>
              </w:rPr>
              <w:t>0.26 (0.17, 0.35)</w:t>
            </w:r>
          </w:p>
        </w:tc>
      </w:tr>
      <w:tr w:rsidR="0059604F" w:rsidRPr="00E50289" w14:paraId="3907EAC9" w14:textId="77777777" w:rsidTr="001974A2">
        <w:trPr>
          <w:trHeight w:val="20"/>
        </w:trPr>
        <w:tc>
          <w:tcPr>
            <w:tcW w:w="1555" w:type="dxa"/>
            <w:tcBorders>
              <w:bottom w:val="single" w:sz="4" w:space="0" w:color="auto"/>
            </w:tcBorders>
            <w:shd w:val="clear" w:color="auto" w:fill="auto"/>
            <w:noWrap/>
            <w:vAlign w:val="center"/>
          </w:tcPr>
          <w:p w14:paraId="73AD4170"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U-ENDURE (30/15 mg)</w:t>
            </w:r>
          </w:p>
        </w:tc>
        <w:tc>
          <w:tcPr>
            <w:tcW w:w="1417" w:type="dxa"/>
            <w:tcBorders>
              <w:bottom w:val="single" w:sz="4" w:space="0" w:color="auto"/>
            </w:tcBorders>
          </w:tcPr>
          <w:p w14:paraId="58B46451" w14:textId="77777777" w:rsidR="0059604F" w:rsidRPr="00E50289" w:rsidRDefault="0059604F" w:rsidP="00D42558">
            <w:pPr>
              <w:pStyle w:val="Tabletext"/>
              <w:keepNext/>
              <w:jc w:val="center"/>
              <w:rPr>
                <w:rFonts w:eastAsia="Calibri"/>
                <w:color w:val="000000"/>
                <w:szCs w:val="20"/>
                <w:lang w:eastAsia="en-US"/>
              </w:rPr>
            </w:pPr>
            <w:r w:rsidRPr="00E50289">
              <w:rPr>
                <w:rFonts w:eastAsia="Calibri"/>
                <w:szCs w:val="20"/>
                <w:lang w:eastAsia="en-US"/>
              </w:rPr>
              <w:t>156/337(46.3)</w:t>
            </w:r>
          </w:p>
        </w:tc>
        <w:tc>
          <w:tcPr>
            <w:tcW w:w="1276" w:type="dxa"/>
            <w:tcBorders>
              <w:bottom w:val="single" w:sz="4" w:space="0" w:color="auto"/>
            </w:tcBorders>
          </w:tcPr>
          <w:p w14:paraId="1B79505E" w14:textId="77777777" w:rsidR="0059604F" w:rsidRPr="00E50289" w:rsidRDefault="0059604F" w:rsidP="00D42558">
            <w:pPr>
              <w:pStyle w:val="Tabletext"/>
              <w:keepNext/>
              <w:jc w:val="center"/>
              <w:rPr>
                <w:rFonts w:eastAsia="Calibri"/>
                <w:color w:val="000000"/>
                <w:szCs w:val="20"/>
                <w:lang w:eastAsia="en-US"/>
              </w:rPr>
            </w:pPr>
            <w:r w:rsidRPr="00E50289">
              <w:rPr>
                <w:rFonts w:eastAsia="Calibri"/>
                <w:szCs w:val="20"/>
                <w:lang w:eastAsia="en-US"/>
              </w:rPr>
              <w:t>25/165 (15.2)</w:t>
            </w:r>
          </w:p>
        </w:tc>
        <w:tc>
          <w:tcPr>
            <w:tcW w:w="1559" w:type="dxa"/>
            <w:tcBorders>
              <w:bottom w:val="single" w:sz="4" w:space="0" w:color="auto"/>
            </w:tcBorders>
          </w:tcPr>
          <w:p w14:paraId="0585C5F9" w14:textId="77777777" w:rsidR="0059604F"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4.66 (2.89, 7.50)</w:t>
            </w:r>
          </w:p>
          <w:p w14:paraId="180CF0EE" w14:textId="35B6A5C6" w:rsidR="00357399" w:rsidRPr="00E50289" w:rsidRDefault="00357399" w:rsidP="00D42558">
            <w:pPr>
              <w:pStyle w:val="Tabletext"/>
              <w:keepNext/>
              <w:jc w:val="center"/>
              <w:rPr>
                <w:rFonts w:eastAsia="Calibri"/>
                <w:b/>
                <w:bCs/>
                <w:color w:val="000000"/>
                <w:szCs w:val="20"/>
                <w:lang w:eastAsia="en-US"/>
              </w:rPr>
            </w:pPr>
            <w:r w:rsidRPr="00E50289">
              <w:rPr>
                <w:rFonts w:eastAsia="Calibri"/>
                <w:b/>
                <w:bCs/>
                <w:szCs w:val="20"/>
                <w:lang w:eastAsia="en-US"/>
              </w:rPr>
              <w:t>4.83 (3.00, 7.77)</w:t>
            </w:r>
            <w:r w:rsidRPr="00E50289">
              <w:rPr>
                <w:rFonts w:eastAsia="Calibri"/>
                <w:b/>
                <w:bCs/>
                <w:szCs w:val="20"/>
                <w:vertAlign w:val="superscript"/>
                <w:lang w:eastAsia="en-US"/>
              </w:rPr>
              <w:t xml:space="preserve"> a</w:t>
            </w:r>
          </w:p>
        </w:tc>
        <w:tc>
          <w:tcPr>
            <w:tcW w:w="1559" w:type="dxa"/>
            <w:tcBorders>
              <w:bottom w:val="single" w:sz="4" w:space="0" w:color="auto"/>
            </w:tcBorders>
          </w:tcPr>
          <w:p w14:paraId="43839894" w14:textId="4FC55E1C" w:rsidR="0059604F" w:rsidRPr="00E50289" w:rsidRDefault="0059604F" w:rsidP="00D42558">
            <w:pPr>
              <w:pStyle w:val="Tabletext"/>
              <w:keepNext/>
              <w:jc w:val="center"/>
              <w:rPr>
                <w:rFonts w:eastAsia="Calibri"/>
                <w:b/>
                <w:bCs/>
                <w:color w:val="000000"/>
                <w:szCs w:val="20"/>
                <w:lang w:eastAsia="en-US"/>
              </w:rPr>
            </w:pPr>
            <w:r w:rsidRPr="00E50289">
              <w:rPr>
                <w:rFonts w:eastAsia="Calibri"/>
                <w:b/>
                <w:bCs/>
                <w:szCs w:val="20"/>
                <w:lang w:eastAsia="en-US"/>
              </w:rPr>
              <w:t>3.00 (2.05,</w:t>
            </w:r>
            <w:r w:rsidR="00096641" w:rsidRPr="00E50289">
              <w:rPr>
                <w:rFonts w:eastAsia="Calibri"/>
                <w:b/>
                <w:bCs/>
                <w:szCs w:val="20"/>
                <w:lang w:eastAsia="en-US"/>
              </w:rPr>
              <w:t xml:space="preserve"> </w:t>
            </w:r>
            <w:r w:rsidRPr="00E50289">
              <w:rPr>
                <w:rFonts w:eastAsia="Calibri"/>
                <w:b/>
                <w:bCs/>
                <w:szCs w:val="20"/>
                <w:lang w:eastAsia="en-US"/>
              </w:rPr>
              <w:t>4.38)</w:t>
            </w:r>
          </w:p>
        </w:tc>
        <w:tc>
          <w:tcPr>
            <w:tcW w:w="1654" w:type="dxa"/>
            <w:tcBorders>
              <w:bottom w:val="single" w:sz="4" w:space="0" w:color="auto"/>
            </w:tcBorders>
            <w:shd w:val="clear" w:color="auto" w:fill="auto"/>
            <w:noWrap/>
          </w:tcPr>
          <w:p w14:paraId="2A812F7F" w14:textId="77777777" w:rsidR="0059604F" w:rsidRPr="00E50289" w:rsidRDefault="0059604F" w:rsidP="00D42558">
            <w:pPr>
              <w:pStyle w:val="Tabletext"/>
              <w:keepNext/>
              <w:jc w:val="center"/>
              <w:rPr>
                <w:rFonts w:eastAsia="Calibri"/>
                <w:b/>
                <w:bCs/>
                <w:color w:val="000000"/>
                <w:szCs w:val="20"/>
                <w:lang w:eastAsia="en-US"/>
              </w:rPr>
            </w:pPr>
            <w:r w:rsidRPr="00E50289">
              <w:rPr>
                <w:rFonts w:eastAsia="Calibri"/>
                <w:b/>
                <w:bCs/>
                <w:szCs w:val="20"/>
                <w:lang w:eastAsia="en-US"/>
              </w:rPr>
              <w:t>0.30 (0.23, 0.38)</w:t>
            </w:r>
          </w:p>
        </w:tc>
      </w:tr>
      <w:tr w:rsidR="0059604F" w:rsidRPr="00E50289" w14:paraId="100E3609" w14:textId="77777777" w:rsidTr="00CA5F38">
        <w:trPr>
          <w:trHeight w:val="20"/>
        </w:trPr>
        <w:tc>
          <w:tcPr>
            <w:tcW w:w="9020" w:type="dxa"/>
            <w:gridSpan w:val="6"/>
            <w:shd w:val="clear" w:color="auto" w:fill="auto"/>
            <w:noWrap/>
            <w:vAlign w:val="center"/>
          </w:tcPr>
          <w:p w14:paraId="7FC6FE14" w14:textId="77777777" w:rsidR="0059604F" w:rsidRPr="00E50289" w:rsidRDefault="0059604F" w:rsidP="00D42558">
            <w:pPr>
              <w:pStyle w:val="Tabletext"/>
              <w:keepNext/>
              <w:rPr>
                <w:rFonts w:eastAsia="Calibri"/>
                <w:b/>
                <w:bCs/>
                <w:color w:val="000000"/>
                <w:szCs w:val="20"/>
                <w:lang w:eastAsia="en-US"/>
              </w:rPr>
            </w:pPr>
            <w:r w:rsidRPr="00E50289">
              <w:rPr>
                <w:rFonts w:eastAsia="Calibri"/>
                <w:b/>
                <w:bCs/>
                <w:szCs w:val="20"/>
                <w:lang w:eastAsia="en-US"/>
              </w:rPr>
              <w:t xml:space="preserve">ADA (40mg q2w) – week 52 or 56 (excl. IP) </w:t>
            </w:r>
          </w:p>
        </w:tc>
      </w:tr>
      <w:tr w:rsidR="0059604F" w:rsidRPr="00E50289" w14:paraId="77905606" w14:textId="77777777" w:rsidTr="00096641">
        <w:trPr>
          <w:trHeight w:val="20"/>
        </w:trPr>
        <w:tc>
          <w:tcPr>
            <w:tcW w:w="1555" w:type="dxa"/>
            <w:shd w:val="clear" w:color="auto" w:fill="auto"/>
            <w:noWrap/>
            <w:vAlign w:val="center"/>
          </w:tcPr>
          <w:p w14:paraId="0C3BB8FC" w14:textId="33E34FCC" w:rsidR="0059604F" w:rsidRPr="00E50289" w:rsidRDefault="0059604F" w:rsidP="00D42558">
            <w:pPr>
              <w:pStyle w:val="Tabletext"/>
              <w:keepNext/>
              <w:rPr>
                <w:rFonts w:eastAsia="Calibri"/>
                <w:szCs w:val="20"/>
                <w:vertAlign w:val="superscript"/>
                <w:lang w:eastAsia="en-US"/>
              </w:rPr>
            </w:pPr>
            <w:r w:rsidRPr="00E50289">
              <w:rPr>
                <w:rFonts w:eastAsia="Calibri"/>
                <w:szCs w:val="20"/>
                <w:lang w:eastAsia="en-US"/>
              </w:rPr>
              <w:t>CLASSIC</w:t>
            </w:r>
            <w:r w:rsidR="001538FE" w:rsidRPr="00E50289">
              <w:rPr>
                <w:rFonts w:eastAsia="Calibri"/>
                <w:szCs w:val="20"/>
                <w:lang w:eastAsia="en-US"/>
              </w:rPr>
              <w:t xml:space="preserve"> </w:t>
            </w:r>
            <w:r w:rsidRPr="00E50289">
              <w:rPr>
                <w:rFonts w:eastAsia="Calibri"/>
                <w:szCs w:val="20"/>
                <w:lang w:eastAsia="en-US"/>
              </w:rPr>
              <w:t>II</w:t>
            </w:r>
            <w:r w:rsidRPr="00E50289">
              <w:rPr>
                <w:rFonts w:eastAsia="Calibri"/>
                <w:szCs w:val="20"/>
                <w:vertAlign w:val="superscript"/>
                <w:lang w:eastAsia="en-US"/>
              </w:rPr>
              <w:t>b</w:t>
            </w:r>
          </w:p>
        </w:tc>
        <w:tc>
          <w:tcPr>
            <w:tcW w:w="1417" w:type="dxa"/>
          </w:tcPr>
          <w:p w14:paraId="6A345A7C" w14:textId="77777777" w:rsidR="0059604F" w:rsidRPr="00E50289" w:rsidRDefault="0059604F" w:rsidP="00D42558">
            <w:pPr>
              <w:pStyle w:val="Tabletext"/>
              <w:keepNext/>
              <w:jc w:val="center"/>
              <w:rPr>
                <w:rFonts w:eastAsia="Calibri"/>
                <w:szCs w:val="20"/>
                <w:lang w:eastAsia="en-US"/>
              </w:rPr>
            </w:pPr>
            <w:r w:rsidRPr="00E50289">
              <w:rPr>
                <w:rFonts w:eastAsia="Calibri"/>
                <w:szCs w:val="20"/>
                <w:lang w:eastAsia="en-US"/>
              </w:rPr>
              <w:t>15/19 (79)</w:t>
            </w:r>
          </w:p>
        </w:tc>
        <w:tc>
          <w:tcPr>
            <w:tcW w:w="1276" w:type="dxa"/>
          </w:tcPr>
          <w:p w14:paraId="75803710" w14:textId="77777777" w:rsidR="0059604F" w:rsidRPr="00E50289" w:rsidRDefault="0059604F" w:rsidP="00D42558">
            <w:pPr>
              <w:pStyle w:val="Tabletext"/>
              <w:keepNext/>
              <w:jc w:val="center"/>
              <w:rPr>
                <w:rFonts w:eastAsia="Calibri"/>
                <w:szCs w:val="20"/>
                <w:lang w:eastAsia="en-US"/>
              </w:rPr>
            </w:pPr>
            <w:r w:rsidRPr="00E50289">
              <w:rPr>
                <w:rFonts w:eastAsia="Calibri"/>
                <w:szCs w:val="20"/>
                <w:lang w:eastAsia="en-US"/>
              </w:rPr>
              <w:t>10/18 (56)</w:t>
            </w:r>
          </w:p>
        </w:tc>
        <w:tc>
          <w:tcPr>
            <w:tcW w:w="1559" w:type="dxa"/>
          </w:tcPr>
          <w:p w14:paraId="52CD4FDB" w14:textId="77777777" w:rsidR="0059604F"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3.00 (0.71, 12.69)</w:t>
            </w:r>
          </w:p>
        </w:tc>
        <w:tc>
          <w:tcPr>
            <w:tcW w:w="1559" w:type="dxa"/>
          </w:tcPr>
          <w:p w14:paraId="297D65E4" w14:textId="39C1999A" w:rsidR="0059604F" w:rsidRPr="00E50289" w:rsidRDefault="0059604F" w:rsidP="00D42558">
            <w:pPr>
              <w:pStyle w:val="Tabletext"/>
              <w:keepNext/>
              <w:rPr>
                <w:rFonts w:eastAsia="Calibri"/>
                <w:b/>
                <w:bCs/>
                <w:color w:val="000000"/>
                <w:szCs w:val="20"/>
                <w:lang w:eastAsia="en-US"/>
              </w:rPr>
            </w:pPr>
            <w:r w:rsidRPr="00E50289">
              <w:rPr>
                <w:rFonts w:eastAsia="Calibri"/>
                <w:b/>
                <w:bCs/>
                <w:szCs w:val="20"/>
                <w:lang w:eastAsia="en-US"/>
              </w:rPr>
              <w:t>2.51 (1.71,</w:t>
            </w:r>
            <w:r w:rsidR="00096641" w:rsidRPr="00E50289">
              <w:rPr>
                <w:rFonts w:eastAsia="Calibri"/>
                <w:b/>
                <w:bCs/>
                <w:szCs w:val="20"/>
                <w:lang w:eastAsia="en-US"/>
              </w:rPr>
              <w:t xml:space="preserve"> </w:t>
            </w:r>
            <w:r w:rsidRPr="00E50289">
              <w:rPr>
                <w:rFonts w:eastAsia="Calibri"/>
                <w:b/>
                <w:bCs/>
                <w:szCs w:val="20"/>
                <w:lang w:eastAsia="en-US"/>
              </w:rPr>
              <w:t>3.67)</w:t>
            </w:r>
          </w:p>
        </w:tc>
        <w:tc>
          <w:tcPr>
            <w:tcW w:w="1654" w:type="dxa"/>
            <w:shd w:val="clear" w:color="auto" w:fill="auto"/>
            <w:noWrap/>
          </w:tcPr>
          <w:p w14:paraId="4ABAB3CB" w14:textId="77777777" w:rsidR="0059604F" w:rsidRPr="00E50289" w:rsidRDefault="0059604F" w:rsidP="00D42558">
            <w:pPr>
              <w:pStyle w:val="Tabletext"/>
              <w:keepNext/>
              <w:jc w:val="center"/>
              <w:rPr>
                <w:rFonts w:eastAsia="Calibri"/>
                <w:color w:val="000000"/>
                <w:szCs w:val="20"/>
                <w:lang w:eastAsia="en-US"/>
              </w:rPr>
            </w:pPr>
            <w:r w:rsidRPr="00E50289">
              <w:rPr>
                <w:rFonts w:eastAsia="Calibri"/>
                <w:szCs w:val="20"/>
                <w:lang w:eastAsia="en-US"/>
              </w:rPr>
              <w:t>0.23 (-0.06, 0.53)</w:t>
            </w:r>
          </w:p>
        </w:tc>
      </w:tr>
      <w:tr w:rsidR="0059604F" w:rsidRPr="00E50289" w14:paraId="79C39342" w14:textId="77777777" w:rsidTr="00096641">
        <w:trPr>
          <w:trHeight w:val="20"/>
        </w:trPr>
        <w:tc>
          <w:tcPr>
            <w:tcW w:w="1555" w:type="dxa"/>
            <w:shd w:val="clear" w:color="auto" w:fill="auto"/>
            <w:noWrap/>
            <w:vAlign w:val="center"/>
          </w:tcPr>
          <w:p w14:paraId="774117DE" w14:textId="77777777" w:rsidR="0059604F" w:rsidRPr="00E50289" w:rsidRDefault="0059604F" w:rsidP="00D42558">
            <w:pPr>
              <w:pStyle w:val="Tabletext"/>
              <w:keepNext/>
              <w:rPr>
                <w:rFonts w:eastAsia="Calibri"/>
                <w:szCs w:val="20"/>
                <w:vertAlign w:val="superscript"/>
                <w:lang w:eastAsia="en-US"/>
              </w:rPr>
            </w:pPr>
            <w:r w:rsidRPr="00E50289">
              <w:rPr>
                <w:rFonts w:eastAsia="Calibri"/>
                <w:szCs w:val="20"/>
                <w:lang w:eastAsia="en-US"/>
              </w:rPr>
              <w:t>CHARM</w:t>
            </w:r>
            <w:r w:rsidRPr="00E50289">
              <w:rPr>
                <w:rFonts w:eastAsia="Calibri"/>
                <w:szCs w:val="20"/>
                <w:vertAlign w:val="superscript"/>
                <w:lang w:eastAsia="en-US"/>
              </w:rPr>
              <w:t>c</w:t>
            </w:r>
          </w:p>
        </w:tc>
        <w:tc>
          <w:tcPr>
            <w:tcW w:w="1417" w:type="dxa"/>
          </w:tcPr>
          <w:p w14:paraId="173D8AE0" w14:textId="77777777" w:rsidR="0059604F" w:rsidRPr="00E50289" w:rsidRDefault="0059604F" w:rsidP="00D42558">
            <w:pPr>
              <w:pStyle w:val="Tabletext"/>
              <w:keepNext/>
              <w:jc w:val="center"/>
              <w:rPr>
                <w:rFonts w:eastAsia="Calibri"/>
                <w:szCs w:val="20"/>
                <w:lang w:eastAsia="en-US"/>
              </w:rPr>
            </w:pPr>
            <w:r w:rsidRPr="00E50289">
              <w:rPr>
                <w:rFonts w:eastAsia="Calibri"/>
                <w:szCs w:val="20"/>
                <w:lang w:eastAsia="en-US"/>
              </w:rPr>
              <w:t>71/172 (41.3)</w:t>
            </w:r>
          </w:p>
        </w:tc>
        <w:tc>
          <w:tcPr>
            <w:tcW w:w="1276" w:type="dxa"/>
          </w:tcPr>
          <w:p w14:paraId="2F056428" w14:textId="77777777" w:rsidR="0059604F" w:rsidRPr="00E50289" w:rsidRDefault="0059604F" w:rsidP="00D42558">
            <w:pPr>
              <w:pStyle w:val="Tabletext"/>
              <w:keepNext/>
              <w:jc w:val="center"/>
              <w:rPr>
                <w:rFonts w:eastAsia="Calibri"/>
                <w:szCs w:val="20"/>
                <w:lang w:eastAsia="en-US"/>
              </w:rPr>
            </w:pPr>
            <w:r w:rsidRPr="00E50289">
              <w:rPr>
                <w:rFonts w:eastAsia="Calibri"/>
                <w:szCs w:val="20"/>
                <w:lang w:eastAsia="en-US"/>
              </w:rPr>
              <w:t>28/170 (16.5)</w:t>
            </w:r>
          </w:p>
        </w:tc>
        <w:tc>
          <w:tcPr>
            <w:tcW w:w="1559" w:type="dxa"/>
          </w:tcPr>
          <w:p w14:paraId="7CE00F85" w14:textId="77777777" w:rsidR="0059604F"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3.57 (2.15, 5.92)</w:t>
            </w:r>
          </w:p>
        </w:tc>
        <w:tc>
          <w:tcPr>
            <w:tcW w:w="1559" w:type="dxa"/>
          </w:tcPr>
          <w:p w14:paraId="3AC05BFA" w14:textId="18780371" w:rsidR="0059604F" w:rsidRPr="00E50289" w:rsidRDefault="0059604F" w:rsidP="00D42558">
            <w:pPr>
              <w:pStyle w:val="Tabletext"/>
              <w:keepNext/>
              <w:rPr>
                <w:rFonts w:eastAsia="Calibri"/>
                <w:b/>
                <w:bCs/>
                <w:color w:val="000000"/>
                <w:szCs w:val="20"/>
                <w:lang w:eastAsia="en-US"/>
              </w:rPr>
            </w:pPr>
            <w:r w:rsidRPr="00E50289">
              <w:rPr>
                <w:rFonts w:eastAsia="Calibri"/>
                <w:szCs w:val="20"/>
                <w:lang w:eastAsia="en-US"/>
              </w:rPr>
              <w:t>1.42 (0.88,</w:t>
            </w:r>
            <w:r w:rsidR="00096641" w:rsidRPr="00E50289">
              <w:rPr>
                <w:rFonts w:eastAsia="Calibri"/>
                <w:szCs w:val="20"/>
                <w:lang w:eastAsia="en-US"/>
              </w:rPr>
              <w:t xml:space="preserve"> </w:t>
            </w:r>
            <w:r w:rsidRPr="00E50289">
              <w:rPr>
                <w:rFonts w:eastAsia="Calibri"/>
                <w:szCs w:val="20"/>
                <w:lang w:eastAsia="en-US"/>
              </w:rPr>
              <w:t>2.28)</w:t>
            </w:r>
          </w:p>
        </w:tc>
        <w:tc>
          <w:tcPr>
            <w:tcW w:w="1654" w:type="dxa"/>
            <w:shd w:val="clear" w:color="auto" w:fill="auto"/>
            <w:noWrap/>
          </w:tcPr>
          <w:p w14:paraId="009546A3" w14:textId="77777777" w:rsidR="0059604F" w:rsidRPr="00E50289" w:rsidRDefault="0059604F" w:rsidP="00D42558">
            <w:pPr>
              <w:pStyle w:val="Tabletext"/>
              <w:keepNext/>
              <w:jc w:val="center"/>
              <w:rPr>
                <w:rFonts w:eastAsia="Calibri"/>
                <w:b/>
                <w:bCs/>
                <w:color w:val="000000"/>
                <w:szCs w:val="20"/>
                <w:lang w:eastAsia="en-US"/>
              </w:rPr>
            </w:pPr>
            <w:r w:rsidRPr="00E50289">
              <w:rPr>
                <w:rFonts w:eastAsia="Calibri"/>
                <w:b/>
                <w:bCs/>
                <w:szCs w:val="20"/>
                <w:lang w:eastAsia="en-US"/>
              </w:rPr>
              <w:t>0.25 (0.16, 0.34)</w:t>
            </w:r>
          </w:p>
        </w:tc>
      </w:tr>
      <w:tr w:rsidR="0059604F" w:rsidRPr="00E50289" w14:paraId="589B342A" w14:textId="77777777" w:rsidTr="00096641">
        <w:trPr>
          <w:trHeight w:val="20"/>
        </w:trPr>
        <w:tc>
          <w:tcPr>
            <w:tcW w:w="1555" w:type="dxa"/>
            <w:tcBorders>
              <w:bottom w:val="single" w:sz="4" w:space="0" w:color="auto"/>
            </w:tcBorders>
            <w:shd w:val="clear" w:color="auto" w:fill="auto"/>
            <w:noWrap/>
            <w:vAlign w:val="bottom"/>
          </w:tcPr>
          <w:p w14:paraId="5EF54615"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Pooled</w:t>
            </w:r>
          </w:p>
        </w:tc>
        <w:tc>
          <w:tcPr>
            <w:tcW w:w="1417" w:type="dxa"/>
            <w:tcBorders>
              <w:bottom w:val="single" w:sz="4" w:space="0" w:color="auto"/>
            </w:tcBorders>
          </w:tcPr>
          <w:p w14:paraId="028E89CB" w14:textId="77777777" w:rsidR="0059604F" w:rsidRPr="00E50289" w:rsidRDefault="0059604F" w:rsidP="00D42558">
            <w:pPr>
              <w:pStyle w:val="Tabletext"/>
              <w:keepNext/>
              <w:jc w:val="center"/>
              <w:rPr>
                <w:rFonts w:eastAsia="Calibri"/>
                <w:szCs w:val="20"/>
                <w:lang w:eastAsia="en-US"/>
              </w:rPr>
            </w:pPr>
            <w:r w:rsidRPr="00E50289">
              <w:rPr>
                <w:rFonts w:eastAsia="Calibri"/>
                <w:szCs w:val="20"/>
                <w:lang w:eastAsia="en-US"/>
              </w:rPr>
              <w:t>86/191 (45.0)</w:t>
            </w:r>
          </w:p>
        </w:tc>
        <w:tc>
          <w:tcPr>
            <w:tcW w:w="1276" w:type="dxa"/>
            <w:tcBorders>
              <w:bottom w:val="single" w:sz="4" w:space="0" w:color="auto"/>
            </w:tcBorders>
          </w:tcPr>
          <w:p w14:paraId="3148F562" w14:textId="77777777" w:rsidR="0059604F" w:rsidRPr="00E50289" w:rsidRDefault="0059604F" w:rsidP="00D42558">
            <w:pPr>
              <w:pStyle w:val="Tabletext"/>
              <w:keepNext/>
              <w:jc w:val="center"/>
              <w:rPr>
                <w:rFonts w:eastAsia="Calibri"/>
                <w:szCs w:val="20"/>
                <w:lang w:eastAsia="en-US"/>
              </w:rPr>
            </w:pPr>
            <w:r w:rsidRPr="00E50289">
              <w:rPr>
                <w:rFonts w:eastAsia="Calibri"/>
                <w:szCs w:val="20"/>
                <w:lang w:eastAsia="en-US"/>
              </w:rPr>
              <w:t>38/188 (20.2)</w:t>
            </w:r>
          </w:p>
        </w:tc>
        <w:tc>
          <w:tcPr>
            <w:tcW w:w="1559" w:type="dxa"/>
            <w:tcBorders>
              <w:bottom w:val="single" w:sz="4" w:space="0" w:color="auto"/>
            </w:tcBorders>
            <w:vAlign w:val="center"/>
          </w:tcPr>
          <w:p w14:paraId="56FA72C4" w14:textId="77777777" w:rsidR="0059604F"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3.50 (2.17, 5.64)</w:t>
            </w:r>
          </w:p>
        </w:tc>
        <w:tc>
          <w:tcPr>
            <w:tcW w:w="1559" w:type="dxa"/>
            <w:tcBorders>
              <w:bottom w:val="single" w:sz="4" w:space="0" w:color="auto"/>
            </w:tcBorders>
            <w:vAlign w:val="center"/>
          </w:tcPr>
          <w:p w14:paraId="6111A297" w14:textId="6EB07695" w:rsidR="0059604F" w:rsidRPr="00E50289" w:rsidRDefault="0059604F" w:rsidP="00D42558">
            <w:pPr>
              <w:pStyle w:val="Tabletext"/>
              <w:keepNext/>
              <w:rPr>
                <w:rFonts w:eastAsia="Calibri"/>
                <w:b/>
                <w:bCs/>
                <w:color w:val="000000"/>
                <w:szCs w:val="20"/>
                <w:lang w:eastAsia="en-US"/>
              </w:rPr>
            </w:pPr>
            <w:r w:rsidRPr="00E50289">
              <w:rPr>
                <w:rFonts w:eastAsia="Calibri"/>
                <w:b/>
                <w:bCs/>
                <w:szCs w:val="20"/>
                <w:lang w:eastAsia="en-US"/>
              </w:rPr>
              <w:t>2.22 (1.62,</w:t>
            </w:r>
            <w:r w:rsidR="00096641" w:rsidRPr="00E50289">
              <w:rPr>
                <w:rFonts w:eastAsia="Calibri"/>
                <w:b/>
                <w:bCs/>
                <w:szCs w:val="20"/>
                <w:lang w:eastAsia="en-US"/>
              </w:rPr>
              <w:t xml:space="preserve"> </w:t>
            </w:r>
            <w:r w:rsidRPr="00E50289">
              <w:rPr>
                <w:rFonts w:eastAsia="Calibri"/>
                <w:b/>
                <w:bCs/>
                <w:szCs w:val="20"/>
                <w:lang w:eastAsia="en-US"/>
              </w:rPr>
              <w:t>3.04)</w:t>
            </w:r>
          </w:p>
        </w:tc>
        <w:tc>
          <w:tcPr>
            <w:tcW w:w="1654" w:type="dxa"/>
            <w:tcBorders>
              <w:bottom w:val="single" w:sz="4" w:space="0" w:color="auto"/>
            </w:tcBorders>
            <w:shd w:val="clear" w:color="auto" w:fill="auto"/>
            <w:noWrap/>
            <w:vAlign w:val="center"/>
          </w:tcPr>
          <w:p w14:paraId="7C976F71" w14:textId="77777777" w:rsidR="0059604F" w:rsidRPr="00E50289" w:rsidRDefault="0059604F" w:rsidP="00D42558">
            <w:pPr>
              <w:pStyle w:val="Tabletext"/>
              <w:keepNext/>
              <w:jc w:val="center"/>
              <w:rPr>
                <w:rFonts w:eastAsia="Calibri"/>
                <w:b/>
                <w:bCs/>
                <w:color w:val="000000"/>
                <w:szCs w:val="20"/>
                <w:lang w:eastAsia="en-US"/>
              </w:rPr>
            </w:pPr>
            <w:r w:rsidRPr="00E50289">
              <w:rPr>
                <w:rFonts w:eastAsia="Calibri"/>
                <w:b/>
                <w:bCs/>
                <w:szCs w:val="20"/>
                <w:lang w:eastAsia="en-US"/>
              </w:rPr>
              <w:t>0.25 (0.16, 0.33)</w:t>
            </w:r>
          </w:p>
        </w:tc>
      </w:tr>
      <w:tr w:rsidR="0059604F" w:rsidRPr="00E50289" w14:paraId="3F71AB56" w14:textId="77777777" w:rsidTr="00097C1E">
        <w:trPr>
          <w:trHeight w:val="20"/>
        </w:trPr>
        <w:tc>
          <w:tcPr>
            <w:tcW w:w="9020" w:type="dxa"/>
            <w:gridSpan w:val="6"/>
            <w:tcBorders>
              <w:bottom w:val="single" w:sz="4" w:space="0" w:color="auto"/>
            </w:tcBorders>
            <w:shd w:val="clear" w:color="auto" w:fill="auto"/>
            <w:noWrap/>
            <w:vAlign w:val="center"/>
          </w:tcPr>
          <w:p w14:paraId="552D21AC" w14:textId="77777777" w:rsidR="0059604F" w:rsidRPr="00E50289" w:rsidRDefault="0059604F" w:rsidP="00D42558">
            <w:pPr>
              <w:pStyle w:val="Tabletext"/>
              <w:keepNext/>
              <w:rPr>
                <w:rFonts w:eastAsia="Calibri"/>
                <w:b/>
                <w:bCs/>
                <w:szCs w:val="20"/>
                <w:lang w:eastAsia="en-US"/>
              </w:rPr>
            </w:pPr>
            <w:r w:rsidRPr="00E50289">
              <w:rPr>
                <w:rFonts w:eastAsia="Calibri"/>
                <w:b/>
                <w:bCs/>
                <w:szCs w:val="20"/>
                <w:lang w:eastAsia="en-US"/>
              </w:rPr>
              <w:t>RISA (150 mg) – week 64 results</w:t>
            </w:r>
          </w:p>
        </w:tc>
      </w:tr>
      <w:tr w:rsidR="0059604F" w:rsidRPr="00E50289" w14:paraId="66C202D5" w14:textId="77777777" w:rsidTr="00096641">
        <w:trPr>
          <w:trHeight w:val="20"/>
        </w:trPr>
        <w:tc>
          <w:tcPr>
            <w:tcW w:w="1555" w:type="dxa"/>
            <w:tcBorders>
              <w:bottom w:val="single" w:sz="4" w:space="0" w:color="auto"/>
            </w:tcBorders>
            <w:shd w:val="clear" w:color="auto" w:fill="auto"/>
            <w:noWrap/>
            <w:vAlign w:val="center"/>
          </w:tcPr>
          <w:p w14:paraId="06C6D2A5"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FORTIFY</w:t>
            </w:r>
          </w:p>
        </w:tc>
        <w:tc>
          <w:tcPr>
            <w:tcW w:w="1417" w:type="dxa"/>
            <w:tcBorders>
              <w:bottom w:val="single" w:sz="4" w:space="0" w:color="auto"/>
            </w:tcBorders>
          </w:tcPr>
          <w:p w14:paraId="148BB399" w14:textId="77777777" w:rsidR="0059604F" w:rsidRPr="00E50289" w:rsidRDefault="0059604F" w:rsidP="00D42558">
            <w:pPr>
              <w:pStyle w:val="Tabletext"/>
              <w:keepNext/>
              <w:jc w:val="center"/>
              <w:rPr>
                <w:rFonts w:eastAsia="Calibri"/>
                <w:szCs w:val="20"/>
                <w:lang w:eastAsia="en-US"/>
              </w:rPr>
            </w:pPr>
            <w:r w:rsidRPr="00E50289">
              <w:rPr>
                <w:rFonts w:eastAsia="Calibri"/>
                <w:szCs w:val="20"/>
                <w:lang w:eastAsia="en-US"/>
              </w:rPr>
              <w:t>87/141 (61.7)</w:t>
            </w:r>
          </w:p>
        </w:tc>
        <w:tc>
          <w:tcPr>
            <w:tcW w:w="1276" w:type="dxa"/>
            <w:tcBorders>
              <w:bottom w:val="single" w:sz="4" w:space="0" w:color="auto"/>
            </w:tcBorders>
          </w:tcPr>
          <w:p w14:paraId="4E75BC23" w14:textId="77777777" w:rsidR="0059604F" w:rsidRPr="00E50289" w:rsidRDefault="0059604F" w:rsidP="00D42558">
            <w:pPr>
              <w:pStyle w:val="Tabletext"/>
              <w:keepNext/>
              <w:jc w:val="center"/>
              <w:rPr>
                <w:rFonts w:eastAsia="Calibri"/>
                <w:szCs w:val="20"/>
                <w:lang w:eastAsia="en-US"/>
              </w:rPr>
            </w:pPr>
            <w:r w:rsidRPr="00E50289">
              <w:rPr>
                <w:rFonts w:eastAsia="Calibri"/>
                <w:szCs w:val="20"/>
                <w:lang w:eastAsia="en-US"/>
              </w:rPr>
              <w:t>79/164 (48.2)</w:t>
            </w:r>
          </w:p>
        </w:tc>
        <w:tc>
          <w:tcPr>
            <w:tcW w:w="1559" w:type="dxa"/>
            <w:tcBorders>
              <w:bottom w:val="single" w:sz="4" w:space="0" w:color="auto"/>
            </w:tcBorders>
            <w:vAlign w:val="center"/>
          </w:tcPr>
          <w:p w14:paraId="15BF7677" w14:textId="77777777" w:rsidR="0059604F"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1.73 (1.10, 2.74)</w:t>
            </w:r>
          </w:p>
        </w:tc>
        <w:tc>
          <w:tcPr>
            <w:tcW w:w="1559" w:type="dxa"/>
            <w:tcBorders>
              <w:bottom w:val="single" w:sz="4" w:space="0" w:color="auto"/>
            </w:tcBorders>
            <w:vAlign w:val="center"/>
          </w:tcPr>
          <w:p w14:paraId="6D306E59" w14:textId="77777777" w:rsidR="0059604F" w:rsidRPr="00E50289" w:rsidRDefault="0059604F" w:rsidP="00D42558">
            <w:pPr>
              <w:pStyle w:val="Tabletext"/>
              <w:keepNext/>
              <w:rPr>
                <w:rFonts w:eastAsia="Calibri"/>
                <w:b/>
                <w:bCs/>
                <w:szCs w:val="20"/>
                <w:lang w:eastAsia="en-US"/>
              </w:rPr>
            </w:pPr>
            <w:r w:rsidRPr="00E50289">
              <w:rPr>
                <w:rFonts w:eastAsia="Calibri"/>
                <w:b/>
                <w:bCs/>
                <w:color w:val="000000"/>
                <w:szCs w:val="20"/>
                <w:lang w:eastAsia="en-US"/>
              </w:rPr>
              <w:t>1.28 (1.1, 1.64)</w:t>
            </w:r>
          </w:p>
        </w:tc>
        <w:tc>
          <w:tcPr>
            <w:tcW w:w="1654" w:type="dxa"/>
            <w:tcBorders>
              <w:bottom w:val="single" w:sz="4" w:space="0" w:color="auto"/>
            </w:tcBorders>
            <w:shd w:val="clear" w:color="auto" w:fill="auto"/>
            <w:noWrap/>
            <w:vAlign w:val="center"/>
          </w:tcPr>
          <w:p w14:paraId="7606323B" w14:textId="77777777" w:rsidR="0059604F"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0.14 (0.02, 0.25)</w:t>
            </w:r>
          </w:p>
        </w:tc>
      </w:tr>
      <w:tr w:rsidR="0059604F" w:rsidRPr="00E50289" w14:paraId="0B63AAFB" w14:textId="77777777" w:rsidTr="00CA5F38">
        <w:trPr>
          <w:trHeight w:val="20"/>
        </w:trPr>
        <w:tc>
          <w:tcPr>
            <w:tcW w:w="9020" w:type="dxa"/>
            <w:gridSpan w:val="6"/>
            <w:shd w:val="clear" w:color="auto" w:fill="auto"/>
            <w:noWrap/>
            <w:vAlign w:val="center"/>
          </w:tcPr>
          <w:p w14:paraId="3BF399E5" w14:textId="77777777" w:rsidR="0059604F" w:rsidRPr="00E50289" w:rsidRDefault="0059604F" w:rsidP="00D42558">
            <w:pPr>
              <w:pStyle w:val="Tabletext"/>
              <w:keepNext/>
              <w:rPr>
                <w:rFonts w:eastAsia="Calibri"/>
                <w:b/>
                <w:bCs/>
                <w:color w:val="000000"/>
                <w:szCs w:val="20"/>
                <w:lang w:eastAsia="en-US"/>
              </w:rPr>
            </w:pPr>
            <w:r w:rsidRPr="00E50289">
              <w:rPr>
                <w:rFonts w:eastAsia="Calibri"/>
                <w:b/>
                <w:bCs/>
                <w:szCs w:val="20"/>
                <w:lang w:eastAsia="en-US"/>
              </w:rPr>
              <w:t>VDZ (300mg q8w) – week 52 results (incl. IP)</w:t>
            </w:r>
          </w:p>
        </w:tc>
      </w:tr>
      <w:tr w:rsidR="0059604F" w:rsidRPr="00E50289" w14:paraId="792C96AB" w14:textId="77777777" w:rsidTr="00096641">
        <w:trPr>
          <w:trHeight w:val="20"/>
        </w:trPr>
        <w:tc>
          <w:tcPr>
            <w:tcW w:w="1555" w:type="dxa"/>
            <w:shd w:val="clear" w:color="auto" w:fill="auto"/>
            <w:noWrap/>
            <w:vAlign w:val="center"/>
          </w:tcPr>
          <w:p w14:paraId="09A308EC" w14:textId="77777777" w:rsidR="0059604F" w:rsidRPr="00E50289" w:rsidRDefault="0059604F" w:rsidP="00D42558">
            <w:pPr>
              <w:pStyle w:val="Tabletext"/>
              <w:keepNext/>
              <w:rPr>
                <w:rFonts w:eastAsia="Calibri"/>
                <w:szCs w:val="20"/>
                <w:vertAlign w:val="superscript"/>
                <w:lang w:eastAsia="en-US"/>
              </w:rPr>
            </w:pPr>
            <w:r w:rsidRPr="00E50289">
              <w:rPr>
                <w:rFonts w:eastAsia="Calibri"/>
                <w:szCs w:val="20"/>
                <w:lang w:eastAsia="en-US"/>
              </w:rPr>
              <w:t>GEMINI II</w:t>
            </w:r>
            <w:r w:rsidRPr="00E50289">
              <w:rPr>
                <w:rFonts w:eastAsia="Calibri"/>
                <w:szCs w:val="20"/>
                <w:vertAlign w:val="superscript"/>
                <w:lang w:eastAsia="en-US"/>
              </w:rPr>
              <w:t>f</w:t>
            </w:r>
          </w:p>
        </w:tc>
        <w:tc>
          <w:tcPr>
            <w:tcW w:w="1417" w:type="dxa"/>
          </w:tcPr>
          <w:p w14:paraId="4E99FFE1" w14:textId="77777777" w:rsidR="0059604F" w:rsidRPr="00E50289" w:rsidRDefault="0059604F" w:rsidP="00D42558">
            <w:pPr>
              <w:pStyle w:val="Tabletext"/>
              <w:keepNext/>
              <w:jc w:val="center"/>
              <w:rPr>
                <w:rFonts w:eastAsia="Calibri"/>
                <w:szCs w:val="20"/>
                <w:lang w:eastAsia="en-US"/>
              </w:rPr>
            </w:pPr>
            <w:r w:rsidRPr="00E50289">
              <w:rPr>
                <w:rFonts w:eastAsia="Calibri"/>
                <w:szCs w:val="20"/>
                <w:lang w:eastAsia="en-US"/>
              </w:rPr>
              <w:t>67/154 (43.5)</w:t>
            </w:r>
          </w:p>
        </w:tc>
        <w:tc>
          <w:tcPr>
            <w:tcW w:w="1276" w:type="dxa"/>
          </w:tcPr>
          <w:p w14:paraId="04FA32C8" w14:textId="77777777" w:rsidR="0059604F" w:rsidRPr="00E50289" w:rsidRDefault="0059604F" w:rsidP="00D42558">
            <w:pPr>
              <w:pStyle w:val="Tabletext"/>
              <w:keepNext/>
              <w:jc w:val="center"/>
              <w:rPr>
                <w:rFonts w:eastAsia="Calibri"/>
                <w:szCs w:val="20"/>
                <w:lang w:eastAsia="en-US"/>
              </w:rPr>
            </w:pPr>
            <w:r w:rsidRPr="00E50289">
              <w:rPr>
                <w:rFonts w:eastAsia="Calibri"/>
                <w:szCs w:val="20"/>
                <w:lang w:eastAsia="en-US"/>
              </w:rPr>
              <w:t>46/153 (30.1)</w:t>
            </w:r>
          </w:p>
        </w:tc>
        <w:tc>
          <w:tcPr>
            <w:tcW w:w="1559" w:type="dxa"/>
          </w:tcPr>
          <w:p w14:paraId="0D7AE68B" w14:textId="77777777" w:rsidR="0059604F"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1.79 (1.12, 2.87)</w:t>
            </w:r>
          </w:p>
        </w:tc>
        <w:tc>
          <w:tcPr>
            <w:tcW w:w="1559" w:type="dxa"/>
          </w:tcPr>
          <w:p w14:paraId="3EEB2BB4" w14:textId="2246F3BA" w:rsidR="0059604F" w:rsidRPr="00E50289" w:rsidRDefault="0059604F" w:rsidP="00D42558">
            <w:pPr>
              <w:pStyle w:val="Tabletext"/>
              <w:keepNext/>
              <w:rPr>
                <w:rFonts w:eastAsia="Calibri"/>
                <w:b/>
                <w:bCs/>
                <w:color w:val="000000"/>
                <w:szCs w:val="20"/>
                <w:lang w:eastAsia="en-US"/>
              </w:rPr>
            </w:pPr>
            <w:r w:rsidRPr="00E50289">
              <w:rPr>
                <w:rFonts w:eastAsia="Calibri"/>
                <w:b/>
                <w:bCs/>
                <w:szCs w:val="20"/>
                <w:lang w:eastAsia="en-US"/>
              </w:rPr>
              <w:t>1.45 (1.07,</w:t>
            </w:r>
            <w:r w:rsidR="00096641" w:rsidRPr="00E50289">
              <w:rPr>
                <w:rFonts w:eastAsia="Calibri"/>
                <w:b/>
                <w:bCs/>
                <w:szCs w:val="20"/>
                <w:lang w:eastAsia="en-US"/>
              </w:rPr>
              <w:t xml:space="preserve"> </w:t>
            </w:r>
            <w:r w:rsidRPr="00E50289">
              <w:rPr>
                <w:rFonts w:eastAsia="Calibri"/>
                <w:b/>
                <w:bCs/>
                <w:szCs w:val="20"/>
                <w:lang w:eastAsia="en-US"/>
              </w:rPr>
              <w:t>1.96)</w:t>
            </w:r>
          </w:p>
        </w:tc>
        <w:tc>
          <w:tcPr>
            <w:tcW w:w="1654" w:type="dxa"/>
            <w:shd w:val="clear" w:color="auto" w:fill="auto"/>
            <w:noWrap/>
          </w:tcPr>
          <w:p w14:paraId="5EF85D9F" w14:textId="77777777" w:rsidR="0059604F" w:rsidRPr="00E50289" w:rsidRDefault="0059604F" w:rsidP="00D42558">
            <w:pPr>
              <w:pStyle w:val="Tabletext"/>
              <w:keepNext/>
              <w:jc w:val="center"/>
              <w:rPr>
                <w:rFonts w:eastAsia="Calibri"/>
                <w:b/>
                <w:bCs/>
                <w:color w:val="000000"/>
                <w:szCs w:val="20"/>
                <w:lang w:eastAsia="en-US"/>
              </w:rPr>
            </w:pPr>
            <w:r w:rsidRPr="00E50289">
              <w:rPr>
                <w:rFonts w:eastAsia="Calibri"/>
                <w:b/>
                <w:bCs/>
                <w:szCs w:val="20"/>
                <w:lang w:eastAsia="en-US"/>
              </w:rPr>
              <w:t>0.13 (0.03, 0.24)</w:t>
            </w:r>
          </w:p>
        </w:tc>
      </w:tr>
      <w:tr w:rsidR="0059604F" w:rsidRPr="00E50289" w14:paraId="777A58C6" w14:textId="77777777" w:rsidTr="005A7CC3">
        <w:trPr>
          <w:trHeight w:val="20"/>
        </w:trPr>
        <w:tc>
          <w:tcPr>
            <w:tcW w:w="1555" w:type="dxa"/>
            <w:shd w:val="clear" w:color="auto" w:fill="auto"/>
            <w:noWrap/>
          </w:tcPr>
          <w:p w14:paraId="3E9D0C44"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Watanabe 2020</w:t>
            </w:r>
            <w:r w:rsidRPr="00E50289">
              <w:rPr>
                <w:rFonts w:eastAsia="Calibri"/>
                <w:szCs w:val="20"/>
                <w:vertAlign w:val="superscript"/>
                <w:lang w:eastAsia="en-US"/>
              </w:rPr>
              <w:t>g</w:t>
            </w:r>
          </w:p>
        </w:tc>
        <w:tc>
          <w:tcPr>
            <w:tcW w:w="1417" w:type="dxa"/>
          </w:tcPr>
          <w:p w14:paraId="29EC6725" w14:textId="77777777" w:rsidR="0059604F" w:rsidRPr="00E50289" w:rsidRDefault="0059604F" w:rsidP="00D42558">
            <w:pPr>
              <w:pStyle w:val="Tabletext"/>
              <w:keepNext/>
              <w:jc w:val="center"/>
              <w:rPr>
                <w:rFonts w:eastAsia="Calibri"/>
                <w:szCs w:val="20"/>
                <w:lang w:eastAsia="en-US"/>
              </w:rPr>
            </w:pPr>
            <w:r w:rsidRPr="00E50289">
              <w:rPr>
                <w:rFonts w:eastAsia="Calibri"/>
                <w:szCs w:val="20"/>
                <w:lang w:eastAsia="en-US"/>
              </w:rPr>
              <w:t>7/12 (58.3)</w:t>
            </w:r>
          </w:p>
        </w:tc>
        <w:tc>
          <w:tcPr>
            <w:tcW w:w="1276" w:type="dxa"/>
          </w:tcPr>
          <w:p w14:paraId="6D3DB322" w14:textId="77777777" w:rsidR="0059604F" w:rsidRPr="00E50289" w:rsidRDefault="0059604F" w:rsidP="00D42558">
            <w:pPr>
              <w:pStyle w:val="Tabletext"/>
              <w:keepNext/>
              <w:jc w:val="center"/>
              <w:rPr>
                <w:rFonts w:eastAsia="Calibri"/>
                <w:szCs w:val="20"/>
                <w:lang w:eastAsia="en-US"/>
              </w:rPr>
            </w:pPr>
            <w:r w:rsidRPr="00E50289">
              <w:rPr>
                <w:rFonts w:eastAsia="Calibri"/>
                <w:szCs w:val="20"/>
                <w:lang w:eastAsia="en-US"/>
              </w:rPr>
              <w:t>1/12 (12.5)</w:t>
            </w:r>
          </w:p>
        </w:tc>
        <w:tc>
          <w:tcPr>
            <w:tcW w:w="1559" w:type="dxa"/>
          </w:tcPr>
          <w:p w14:paraId="521FEDE1" w14:textId="77777777" w:rsidR="00096641"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15.4</w:t>
            </w:r>
          </w:p>
          <w:p w14:paraId="730DFE22" w14:textId="1B639942" w:rsidR="0059604F"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(1.47,1</w:t>
            </w:r>
            <w:r w:rsidR="00096641" w:rsidRPr="00E50289">
              <w:rPr>
                <w:rFonts w:eastAsia="Calibri"/>
                <w:b/>
                <w:bCs/>
                <w:szCs w:val="20"/>
                <w:lang w:eastAsia="en-US"/>
              </w:rPr>
              <w:t xml:space="preserve"> </w:t>
            </w:r>
            <w:r w:rsidRPr="00E50289">
              <w:rPr>
                <w:rFonts w:eastAsia="Calibri"/>
                <w:b/>
                <w:bCs/>
                <w:szCs w:val="20"/>
                <w:lang w:eastAsia="en-US"/>
              </w:rPr>
              <w:t>60.97)</w:t>
            </w:r>
          </w:p>
        </w:tc>
        <w:tc>
          <w:tcPr>
            <w:tcW w:w="1559" w:type="dxa"/>
          </w:tcPr>
          <w:p w14:paraId="7ADB5602" w14:textId="0CC9C3D6" w:rsidR="0059604F" w:rsidRPr="00E50289" w:rsidRDefault="0059604F" w:rsidP="00D42558">
            <w:pPr>
              <w:pStyle w:val="Tabletext"/>
              <w:keepNext/>
              <w:rPr>
                <w:rFonts w:eastAsia="Calibri"/>
                <w:b/>
                <w:bCs/>
                <w:color w:val="000000"/>
                <w:szCs w:val="20"/>
                <w:lang w:eastAsia="en-US"/>
              </w:rPr>
            </w:pPr>
            <w:r w:rsidRPr="00E50289">
              <w:rPr>
                <w:rFonts w:eastAsia="Calibri"/>
                <w:b/>
                <w:bCs/>
                <w:szCs w:val="20"/>
                <w:lang w:eastAsia="en-US"/>
              </w:rPr>
              <w:t>7.0 (1.01,</w:t>
            </w:r>
            <w:r w:rsidR="00096641" w:rsidRPr="00E50289">
              <w:rPr>
                <w:rFonts w:eastAsia="Calibri"/>
                <w:b/>
                <w:bCs/>
                <w:szCs w:val="20"/>
                <w:lang w:eastAsia="en-US"/>
              </w:rPr>
              <w:t xml:space="preserve"> </w:t>
            </w:r>
            <w:r w:rsidRPr="00E50289">
              <w:rPr>
                <w:rFonts w:eastAsia="Calibri"/>
                <w:b/>
                <w:bCs/>
                <w:szCs w:val="20"/>
                <w:lang w:eastAsia="en-US"/>
              </w:rPr>
              <w:t>48.54)</w:t>
            </w:r>
          </w:p>
        </w:tc>
        <w:tc>
          <w:tcPr>
            <w:tcW w:w="1654" w:type="dxa"/>
            <w:shd w:val="clear" w:color="auto" w:fill="auto"/>
            <w:noWrap/>
          </w:tcPr>
          <w:p w14:paraId="4B7F8E13" w14:textId="77777777" w:rsidR="0059604F" w:rsidRPr="00E50289" w:rsidRDefault="0059604F" w:rsidP="00D42558">
            <w:pPr>
              <w:pStyle w:val="Tabletext"/>
              <w:keepNext/>
              <w:jc w:val="center"/>
              <w:rPr>
                <w:rFonts w:eastAsia="Calibri"/>
                <w:b/>
                <w:bCs/>
                <w:color w:val="000000"/>
                <w:szCs w:val="20"/>
                <w:lang w:eastAsia="en-US"/>
              </w:rPr>
            </w:pPr>
            <w:r w:rsidRPr="00E50289">
              <w:rPr>
                <w:rFonts w:eastAsia="Calibri"/>
                <w:b/>
                <w:bCs/>
                <w:szCs w:val="20"/>
                <w:lang w:eastAsia="en-US"/>
              </w:rPr>
              <w:t>0.50 (0.18, 0.82)</w:t>
            </w:r>
          </w:p>
        </w:tc>
      </w:tr>
      <w:tr w:rsidR="0059604F" w:rsidRPr="00E50289" w14:paraId="6F85549C" w14:textId="77777777" w:rsidTr="00096641">
        <w:trPr>
          <w:trHeight w:val="20"/>
        </w:trPr>
        <w:tc>
          <w:tcPr>
            <w:tcW w:w="1555" w:type="dxa"/>
            <w:shd w:val="clear" w:color="auto" w:fill="auto"/>
            <w:noWrap/>
            <w:vAlign w:val="bottom"/>
          </w:tcPr>
          <w:p w14:paraId="2BAC9705"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Pooled</w:t>
            </w:r>
          </w:p>
        </w:tc>
        <w:tc>
          <w:tcPr>
            <w:tcW w:w="1417" w:type="dxa"/>
          </w:tcPr>
          <w:p w14:paraId="172A74A9" w14:textId="77777777" w:rsidR="0059604F" w:rsidRPr="00E50289" w:rsidRDefault="0059604F" w:rsidP="00D42558">
            <w:pPr>
              <w:pStyle w:val="Tabletext"/>
              <w:keepNext/>
              <w:jc w:val="center"/>
              <w:rPr>
                <w:rFonts w:eastAsia="Calibri"/>
                <w:szCs w:val="20"/>
                <w:lang w:eastAsia="en-US"/>
              </w:rPr>
            </w:pPr>
            <w:r w:rsidRPr="00E50289">
              <w:rPr>
                <w:rFonts w:eastAsia="Calibri"/>
                <w:szCs w:val="20"/>
                <w:lang w:eastAsia="en-US"/>
              </w:rPr>
              <w:t>74/166 (44.6)</w:t>
            </w:r>
          </w:p>
        </w:tc>
        <w:tc>
          <w:tcPr>
            <w:tcW w:w="1276" w:type="dxa"/>
          </w:tcPr>
          <w:p w14:paraId="52CA22B4" w14:textId="77777777" w:rsidR="0059604F" w:rsidRPr="00E50289" w:rsidRDefault="0059604F" w:rsidP="00D42558">
            <w:pPr>
              <w:pStyle w:val="Tabletext"/>
              <w:keepNext/>
              <w:jc w:val="center"/>
              <w:rPr>
                <w:rFonts w:eastAsia="Calibri"/>
                <w:szCs w:val="20"/>
                <w:lang w:eastAsia="en-US"/>
              </w:rPr>
            </w:pPr>
            <w:r w:rsidRPr="00E50289">
              <w:rPr>
                <w:rFonts w:eastAsia="Calibri"/>
                <w:szCs w:val="20"/>
                <w:lang w:eastAsia="en-US"/>
              </w:rPr>
              <w:t>47/165 (28.5)</w:t>
            </w:r>
          </w:p>
        </w:tc>
        <w:tc>
          <w:tcPr>
            <w:tcW w:w="1559" w:type="dxa"/>
          </w:tcPr>
          <w:p w14:paraId="2FA22CC8" w14:textId="77777777" w:rsidR="0059604F" w:rsidRPr="00E50289" w:rsidRDefault="0059604F" w:rsidP="00D42558">
            <w:pPr>
              <w:pStyle w:val="Tabletext"/>
              <w:keepNext/>
              <w:jc w:val="center"/>
              <w:rPr>
                <w:rFonts w:eastAsia="Calibri"/>
                <w:b/>
                <w:bCs/>
                <w:szCs w:val="20"/>
                <w:lang w:eastAsia="en-US"/>
              </w:rPr>
            </w:pPr>
            <w:r w:rsidRPr="00E50289">
              <w:rPr>
                <w:rFonts w:eastAsia="Calibri"/>
                <w:b/>
                <w:bCs/>
                <w:szCs w:val="20"/>
                <w:lang w:eastAsia="en-US"/>
              </w:rPr>
              <w:t>2.01 (1.27, 3.16)</w:t>
            </w:r>
          </w:p>
        </w:tc>
        <w:tc>
          <w:tcPr>
            <w:tcW w:w="1559" w:type="dxa"/>
          </w:tcPr>
          <w:p w14:paraId="7B9CC2E1" w14:textId="46F86D73" w:rsidR="0059604F" w:rsidRPr="00E50289" w:rsidRDefault="0059604F" w:rsidP="00D42558">
            <w:pPr>
              <w:pStyle w:val="Tabletext"/>
              <w:keepNext/>
              <w:rPr>
                <w:rFonts w:eastAsia="Calibri"/>
                <w:b/>
                <w:bCs/>
                <w:color w:val="000000"/>
                <w:szCs w:val="20"/>
                <w:lang w:eastAsia="en-US"/>
              </w:rPr>
            </w:pPr>
            <w:r w:rsidRPr="00E50289">
              <w:rPr>
                <w:rFonts w:eastAsia="Calibri"/>
                <w:b/>
                <w:bCs/>
                <w:szCs w:val="20"/>
                <w:lang w:eastAsia="en-US"/>
              </w:rPr>
              <w:t>1.56 (1.16,</w:t>
            </w:r>
            <w:r w:rsidR="00096641" w:rsidRPr="00E50289">
              <w:rPr>
                <w:rFonts w:eastAsia="Calibri"/>
                <w:b/>
                <w:bCs/>
                <w:szCs w:val="20"/>
                <w:lang w:eastAsia="en-US"/>
              </w:rPr>
              <w:t xml:space="preserve"> </w:t>
            </w:r>
            <w:r w:rsidRPr="00E50289">
              <w:rPr>
                <w:rFonts w:eastAsia="Calibri"/>
                <w:b/>
                <w:bCs/>
                <w:szCs w:val="20"/>
                <w:lang w:eastAsia="en-US"/>
              </w:rPr>
              <w:t>2.11)</w:t>
            </w:r>
          </w:p>
        </w:tc>
        <w:tc>
          <w:tcPr>
            <w:tcW w:w="1654" w:type="dxa"/>
            <w:shd w:val="clear" w:color="auto" w:fill="auto"/>
            <w:noWrap/>
          </w:tcPr>
          <w:p w14:paraId="47ED23DB" w14:textId="77777777" w:rsidR="0059604F" w:rsidRPr="00E50289" w:rsidRDefault="0059604F" w:rsidP="00D42558">
            <w:pPr>
              <w:pStyle w:val="Tabletext"/>
              <w:keepNext/>
              <w:jc w:val="center"/>
              <w:rPr>
                <w:rFonts w:eastAsia="Calibri"/>
                <w:b/>
                <w:bCs/>
                <w:color w:val="000000"/>
                <w:szCs w:val="20"/>
                <w:lang w:eastAsia="en-US"/>
              </w:rPr>
            </w:pPr>
            <w:r w:rsidRPr="00E50289">
              <w:rPr>
                <w:rFonts w:eastAsia="Calibri"/>
                <w:b/>
                <w:bCs/>
                <w:szCs w:val="20"/>
                <w:lang w:eastAsia="en-US"/>
              </w:rPr>
              <w:t>0.16 (0.06, 0.26)</w:t>
            </w:r>
          </w:p>
        </w:tc>
      </w:tr>
      <w:tr w:rsidR="0059604F" w:rsidRPr="00E50289" w14:paraId="04B2013B" w14:textId="77777777" w:rsidTr="00CA5F38">
        <w:trPr>
          <w:trHeight w:val="20"/>
        </w:trPr>
        <w:tc>
          <w:tcPr>
            <w:tcW w:w="9020" w:type="dxa"/>
            <w:gridSpan w:val="6"/>
            <w:shd w:val="clear" w:color="auto" w:fill="auto"/>
            <w:noWrap/>
            <w:vAlign w:val="center"/>
          </w:tcPr>
          <w:p w14:paraId="690BCC85" w14:textId="77777777" w:rsidR="0059604F" w:rsidRPr="00E50289" w:rsidRDefault="0059604F" w:rsidP="00D42558">
            <w:pPr>
              <w:pStyle w:val="Tabletext"/>
              <w:keepNext/>
              <w:rPr>
                <w:rFonts w:eastAsia="Calibri"/>
                <w:b/>
                <w:bCs/>
                <w:color w:val="000000"/>
                <w:szCs w:val="20"/>
                <w:lang w:eastAsia="en-US"/>
              </w:rPr>
            </w:pPr>
            <w:r w:rsidRPr="00E50289">
              <w:rPr>
                <w:rFonts w:eastAsia="Calibri"/>
                <w:b/>
                <w:bCs/>
                <w:szCs w:val="20"/>
                <w:lang w:eastAsia="en-US"/>
              </w:rPr>
              <w:t>UST (90mg q8w) – week 52 results (incl. IP)</w:t>
            </w:r>
          </w:p>
        </w:tc>
      </w:tr>
      <w:tr w:rsidR="0059604F" w:rsidRPr="00E50289" w14:paraId="61B81297" w14:textId="77777777" w:rsidTr="00096641">
        <w:trPr>
          <w:trHeight w:val="20"/>
        </w:trPr>
        <w:tc>
          <w:tcPr>
            <w:tcW w:w="1555" w:type="dxa"/>
            <w:shd w:val="clear" w:color="auto" w:fill="auto"/>
            <w:noWrap/>
            <w:vAlign w:val="center"/>
          </w:tcPr>
          <w:p w14:paraId="3BE5F206"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IM-UNITI</w:t>
            </w:r>
            <w:r w:rsidRPr="00E50289">
              <w:rPr>
                <w:rFonts w:eastAsia="Calibri"/>
                <w:szCs w:val="20"/>
                <w:vertAlign w:val="superscript"/>
                <w:lang w:eastAsia="en-US"/>
              </w:rPr>
              <w:t>a</w:t>
            </w:r>
          </w:p>
        </w:tc>
        <w:tc>
          <w:tcPr>
            <w:tcW w:w="1417" w:type="dxa"/>
          </w:tcPr>
          <w:p w14:paraId="7F82B5DB" w14:textId="77777777" w:rsidR="0059604F" w:rsidRPr="00E50289" w:rsidRDefault="0059604F" w:rsidP="00D42558">
            <w:pPr>
              <w:pStyle w:val="Tabletext"/>
              <w:keepNext/>
              <w:jc w:val="center"/>
              <w:rPr>
                <w:rFonts w:eastAsia="Calibri"/>
                <w:szCs w:val="20"/>
                <w:lang w:eastAsia="en-US"/>
              </w:rPr>
            </w:pPr>
            <w:r w:rsidRPr="00E50289">
              <w:rPr>
                <w:rFonts w:eastAsia="Calibri"/>
                <w:szCs w:val="20"/>
                <w:lang w:eastAsia="en-US"/>
              </w:rPr>
              <w:t>76/128 (59.4)</w:t>
            </w:r>
          </w:p>
        </w:tc>
        <w:tc>
          <w:tcPr>
            <w:tcW w:w="1276" w:type="dxa"/>
          </w:tcPr>
          <w:p w14:paraId="54877F0E" w14:textId="77777777" w:rsidR="0059604F" w:rsidRPr="00E50289" w:rsidRDefault="0059604F" w:rsidP="00D42558">
            <w:pPr>
              <w:pStyle w:val="Tabletext"/>
              <w:keepNext/>
              <w:jc w:val="center"/>
              <w:rPr>
                <w:rFonts w:eastAsia="Calibri"/>
                <w:szCs w:val="20"/>
                <w:lang w:eastAsia="en-US"/>
              </w:rPr>
            </w:pPr>
            <w:r w:rsidRPr="00E50289">
              <w:rPr>
                <w:rFonts w:eastAsia="Calibri"/>
                <w:szCs w:val="20"/>
                <w:lang w:eastAsia="en-US"/>
              </w:rPr>
              <w:t>58/131 (44.3)</w:t>
            </w:r>
          </w:p>
        </w:tc>
        <w:tc>
          <w:tcPr>
            <w:tcW w:w="1559" w:type="dxa"/>
          </w:tcPr>
          <w:p w14:paraId="6D221686" w14:textId="77777777" w:rsidR="0059604F" w:rsidRPr="00E50289" w:rsidRDefault="0059604F" w:rsidP="00D42558">
            <w:pPr>
              <w:pStyle w:val="Tabletext"/>
              <w:keepNext/>
              <w:jc w:val="center"/>
              <w:rPr>
                <w:rFonts w:eastAsia="Calibri"/>
                <w:b/>
                <w:bCs/>
                <w:szCs w:val="20"/>
                <w:lang w:eastAsia="en-US"/>
              </w:rPr>
            </w:pPr>
            <w:r w:rsidRPr="00E50289">
              <w:rPr>
                <w:rFonts w:eastAsia="Calibri"/>
                <w:b/>
                <w:bCs/>
                <w:color w:val="000000"/>
                <w:szCs w:val="20"/>
                <w:lang w:eastAsia="en-US"/>
              </w:rPr>
              <w:t>1.84 (1.12, 3.01)</w:t>
            </w:r>
          </w:p>
        </w:tc>
        <w:tc>
          <w:tcPr>
            <w:tcW w:w="1559" w:type="dxa"/>
          </w:tcPr>
          <w:p w14:paraId="4FC6F5BC" w14:textId="39185AED" w:rsidR="0059604F" w:rsidRPr="00E50289" w:rsidRDefault="0059604F" w:rsidP="00D42558">
            <w:pPr>
              <w:pStyle w:val="Tabletext"/>
              <w:keepNext/>
              <w:rPr>
                <w:rFonts w:eastAsia="Calibri"/>
                <w:b/>
                <w:bCs/>
                <w:color w:val="000000"/>
                <w:szCs w:val="20"/>
                <w:lang w:eastAsia="en-US"/>
              </w:rPr>
            </w:pPr>
            <w:r w:rsidRPr="00E50289">
              <w:rPr>
                <w:rFonts w:eastAsia="Calibri"/>
                <w:b/>
                <w:bCs/>
                <w:color w:val="000000"/>
                <w:szCs w:val="20"/>
                <w:lang w:eastAsia="en-US"/>
              </w:rPr>
              <w:t>1.34 (1.06,</w:t>
            </w:r>
            <w:r w:rsidR="00096641" w:rsidRPr="00E50289">
              <w:rPr>
                <w:rFonts w:eastAsia="Calibri"/>
                <w:b/>
                <w:bCs/>
                <w:color w:val="000000"/>
                <w:szCs w:val="20"/>
                <w:lang w:eastAsia="en-US"/>
              </w:rPr>
              <w:t xml:space="preserve"> </w:t>
            </w:r>
            <w:r w:rsidRPr="00E50289">
              <w:rPr>
                <w:rFonts w:eastAsia="Calibri"/>
                <w:b/>
                <w:bCs/>
                <w:color w:val="000000"/>
                <w:szCs w:val="20"/>
                <w:lang w:eastAsia="en-US"/>
              </w:rPr>
              <w:t>1.70)</w:t>
            </w:r>
          </w:p>
        </w:tc>
        <w:tc>
          <w:tcPr>
            <w:tcW w:w="1654" w:type="dxa"/>
            <w:shd w:val="clear" w:color="auto" w:fill="auto"/>
            <w:noWrap/>
          </w:tcPr>
          <w:p w14:paraId="1ECE0C3C" w14:textId="77777777" w:rsidR="0059604F" w:rsidRPr="00E50289" w:rsidRDefault="0059604F" w:rsidP="00D42558">
            <w:pPr>
              <w:pStyle w:val="Tabletext"/>
              <w:keepNext/>
              <w:jc w:val="center"/>
              <w:rPr>
                <w:rFonts w:eastAsia="Calibri"/>
                <w:b/>
                <w:bCs/>
                <w:color w:val="000000"/>
                <w:szCs w:val="20"/>
                <w:lang w:eastAsia="en-US"/>
              </w:rPr>
            </w:pPr>
            <w:r w:rsidRPr="00E50289">
              <w:rPr>
                <w:rFonts w:eastAsia="Calibri"/>
                <w:b/>
                <w:bCs/>
                <w:color w:val="000000"/>
                <w:szCs w:val="20"/>
                <w:lang w:eastAsia="en-US"/>
              </w:rPr>
              <w:t>0.15 (0.03, 0.27)</w:t>
            </w:r>
          </w:p>
        </w:tc>
      </w:tr>
      <w:tr w:rsidR="0059604F" w:rsidRPr="00E50289" w14:paraId="0717E919" w14:textId="77777777" w:rsidTr="00096641">
        <w:trPr>
          <w:trHeight w:val="20"/>
        </w:trPr>
        <w:tc>
          <w:tcPr>
            <w:tcW w:w="2972" w:type="dxa"/>
            <w:gridSpan w:val="2"/>
            <w:vMerge w:val="restart"/>
            <w:shd w:val="clear" w:color="auto" w:fill="auto"/>
            <w:noWrap/>
          </w:tcPr>
          <w:p w14:paraId="6DAE1EEB" w14:textId="77777777" w:rsidR="0059604F" w:rsidRPr="00E50289" w:rsidRDefault="0059604F" w:rsidP="00D42558">
            <w:pPr>
              <w:pStyle w:val="Tabletext"/>
              <w:keepNext/>
              <w:rPr>
                <w:rFonts w:eastAsia="Calibri"/>
                <w:b/>
                <w:szCs w:val="20"/>
                <w:lang w:eastAsia="en-US"/>
              </w:rPr>
            </w:pPr>
            <w:r w:rsidRPr="00E50289">
              <w:rPr>
                <w:rFonts w:eastAsia="Calibri"/>
                <w:b/>
                <w:szCs w:val="20"/>
                <w:lang w:eastAsia="en-US"/>
              </w:rPr>
              <w:t>Indirect comparison:</w:t>
            </w:r>
          </w:p>
          <w:p w14:paraId="4BE50512" w14:textId="61EC37A3" w:rsidR="0059604F" w:rsidRPr="00E50289" w:rsidRDefault="0059604F" w:rsidP="00D42558">
            <w:pPr>
              <w:pStyle w:val="Tabletext"/>
              <w:keepNext/>
              <w:rPr>
                <w:rFonts w:eastAsia="Calibri"/>
                <w:b/>
                <w:szCs w:val="20"/>
                <w:lang w:eastAsia="en-US"/>
              </w:rPr>
            </w:pPr>
            <w:r w:rsidRPr="00E50289">
              <w:rPr>
                <w:rFonts w:eastAsia="Calibri"/>
                <w:b/>
                <w:szCs w:val="20"/>
                <w:lang w:eastAsia="en-US"/>
              </w:rPr>
              <w:t xml:space="preserve">UPA 15 mg </w:t>
            </w:r>
            <w:r w:rsidR="00CB7C01" w:rsidRPr="00E50289">
              <w:rPr>
                <w:rFonts w:eastAsia="Calibri"/>
                <w:b/>
                <w:bCs/>
                <w:szCs w:val="20"/>
                <w:lang w:eastAsia="en-US"/>
              </w:rPr>
              <w:t>vs</w:t>
            </w:r>
            <w:r w:rsidRPr="00E50289">
              <w:rPr>
                <w:rFonts w:eastAsia="Calibri"/>
                <w:b/>
                <w:szCs w:val="20"/>
                <w:lang w:eastAsia="en-US"/>
              </w:rPr>
              <w:t xml:space="preserve"> comparators</w:t>
            </w:r>
          </w:p>
          <w:p w14:paraId="2C006C5E" w14:textId="77777777" w:rsidR="0059604F" w:rsidRPr="00E50289" w:rsidRDefault="0059604F" w:rsidP="00D42558">
            <w:pPr>
              <w:pStyle w:val="Tabletext"/>
              <w:keepNext/>
              <w:rPr>
                <w:rFonts w:eastAsia="Calibri"/>
                <w:b/>
                <w:szCs w:val="20"/>
                <w:lang w:eastAsia="en-US"/>
              </w:rPr>
            </w:pPr>
          </w:p>
        </w:tc>
        <w:tc>
          <w:tcPr>
            <w:tcW w:w="1276" w:type="dxa"/>
            <w:shd w:val="clear" w:color="auto" w:fill="auto"/>
            <w:vAlign w:val="center"/>
          </w:tcPr>
          <w:p w14:paraId="274A0A0C"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UPA vs. ADA</w:t>
            </w:r>
          </w:p>
        </w:tc>
        <w:tc>
          <w:tcPr>
            <w:tcW w:w="1559" w:type="dxa"/>
            <w:shd w:val="clear" w:color="auto" w:fill="auto"/>
          </w:tcPr>
          <w:p w14:paraId="5E70352A" w14:textId="77777777" w:rsidR="0059604F" w:rsidRPr="00E50289" w:rsidRDefault="0059604F" w:rsidP="00D42558">
            <w:pPr>
              <w:pStyle w:val="Tabletext"/>
              <w:keepNext/>
              <w:jc w:val="center"/>
              <w:rPr>
                <w:rFonts w:eastAsia="Calibri"/>
                <w:b/>
                <w:bCs/>
                <w:szCs w:val="20"/>
                <w:lang w:eastAsia="en-US"/>
              </w:rPr>
            </w:pPr>
            <w:r w:rsidRPr="00E50289">
              <w:t>1.13 (0.56, 2.30)</w:t>
            </w:r>
          </w:p>
        </w:tc>
        <w:tc>
          <w:tcPr>
            <w:tcW w:w="1559" w:type="dxa"/>
            <w:shd w:val="clear" w:color="auto" w:fill="auto"/>
          </w:tcPr>
          <w:p w14:paraId="11B47F0D" w14:textId="142B3155" w:rsidR="0059604F" w:rsidRPr="00E50289" w:rsidRDefault="0059604F" w:rsidP="00D42558">
            <w:pPr>
              <w:pStyle w:val="Tabletext"/>
              <w:keepNext/>
              <w:rPr>
                <w:rFonts w:eastAsia="Calibri"/>
                <w:b/>
                <w:bCs/>
                <w:color w:val="000000"/>
                <w:szCs w:val="20"/>
                <w:lang w:eastAsia="en-US"/>
              </w:rPr>
            </w:pPr>
            <w:bookmarkStart w:id="57" w:name="_Hlk121262687"/>
            <w:r w:rsidRPr="00E50289">
              <w:t>1.23 (0.74,</w:t>
            </w:r>
            <w:r w:rsidR="00096641" w:rsidRPr="00E50289">
              <w:t xml:space="preserve"> </w:t>
            </w:r>
            <w:r w:rsidRPr="00E50289">
              <w:t>2.05)</w:t>
            </w:r>
            <w:bookmarkEnd w:id="57"/>
          </w:p>
        </w:tc>
        <w:tc>
          <w:tcPr>
            <w:tcW w:w="1654" w:type="dxa"/>
            <w:shd w:val="clear" w:color="auto" w:fill="auto"/>
            <w:noWrap/>
          </w:tcPr>
          <w:p w14:paraId="547AD3B0" w14:textId="77777777" w:rsidR="0059604F" w:rsidRPr="00E50289" w:rsidRDefault="0059604F" w:rsidP="00D42558">
            <w:pPr>
              <w:pStyle w:val="Tabletext"/>
              <w:keepNext/>
              <w:jc w:val="center"/>
              <w:rPr>
                <w:rFonts w:eastAsia="Calibri"/>
                <w:b/>
                <w:bCs/>
                <w:color w:val="000000"/>
                <w:szCs w:val="20"/>
                <w:lang w:eastAsia="en-US"/>
              </w:rPr>
            </w:pPr>
            <w:r w:rsidRPr="00E50289">
              <w:t>0.01 (-0.11, 0.14)</w:t>
            </w:r>
          </w:p>
        </w:tc>
      </w:tr>
      <w:tr w:rsidR="0059604F" w:rsidRPr="00E50289" w14:paraId="6B7266B6" w14:textId="77777777" w:rsidTr="00096641">
        <w:trPr>
          <w:trHeight w:val="20"/>
        </w:trPr>
        <w:tc>
          <w:tcPr>
            <w:tcW w:w="2972" w:type="dxa"/>
            <w:gridSpan w:val="2"/>
            <w:vMerge/>
            <w:shd w:val="clear" w:color="auto" w:fill="auto"/>
            <w:noWrap/>
            <w:vAlign w:val="center"/>
          </w:tcPr>
          <w:p w14:paraId="3B56159C" w14:textId="77777777" w:rsidR="0059604F" w:rsidRPr="00E50289" w:rsidRDefault="0059604F" w:rsidP="00D42558">
            <w:pPr>
              <w:pStyle w:val="Tabletext"/>
              <w:keepNext/>
              <w:rPr>
                <w:rFonts w:eastAsia="Calibri"/>
                <w:b/>
                <w:szCs w:val="20"/>
                <w:lang w:eastAsia="en-US"/>
              </w:rPr>
            </w:pPr>
          </w:p>
        </w:tc>
        <w:tc>
          <w:tcPr>
            <w:tcW w:w="1276" w:type="dxa"/>
            <w:shd w:val="clear" w:color="auto" w:fill="auto"/>
            <w:vAlign w:val="center"/>
          </w:tcPr>
          <w:p w14:paraId="7087DDFB"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UPA vs. RISA</w:t>
            </w:r>
          </w:p>
        </w:tc>
        <w:tc>
          <w:tcPr>
            <w:tcW w:w="1559" w:type="dxa"/>
            <w:shd w:val="clear" w:color="auto" w:fill="auto"/>
          </w:tcPr>
          <w:p w14:paraId="275BDDFF" w14:textId="77777777" w:rsidR="0059604F" w:rsidRPr="00E50289" w:rsidRDefault="0059604F" w:rsidP="00D42558">
            <w:pPr>
              <w:pStyle w:val="Tabletext"/>
              <w:keepNext/>
              <w:jc w:val="center"/>
              <w:rPr>
                <w:rFonts w:eastAsia="Calibri"/>
                <w:b/>
                <w:bCs/>
                <w:szCs w:val="20"/>
                <w:lang w:eastAsia="en-US"/>
              </w:rPr>
            </w:pPr>
            <w:r w:rsidRPr="00E50289">
              <w:rPr>
                <w:b/>
                <w:bCs/>
              </w:rPr>
              <w:t>2.28 (1.14, 4.58)</w:t>
            </w:r>
          </w:p>
        </w:tc>
        <w:tc>
          <w:tcPr>
            <w:tcW w:w="1559" w:type="dxa"/>
            <w:shd w:val="clear" w:color="auto" w:fill="auto"/>
          </w:tcPr>
          <w:p w14:paraId="0A604433" w14:textId="70004FDF" w:rsidR="0059604F" w:rsidRPr="00E50289" w:rsidRDefault="0059604F" w:rsidP="00D42558">
            <w:pPr>
              <w:pStyle w:val="Tabletext"/>
              <w:keepNext/>
              <w:rPr>
                <w:rFonts w:eastAsia="Calibri"/>
                <w:b/>
                <w:bCs/>
                <w:color w:val="000000"/>
                <w:szCs w:val="20"/>
                <w:lang w:eastAsia="en-US"/>
              </w:rPr>
            </w:pPr>
            <w:r w:rsidRPr="00E50289">
              <w:rPr>
                <w:b/>
                <w:bCs/>
              </w:rPr>
              <w:t>2.13 (1.36,</w:t>
            </w:r>
            <w:r w:rsidR="00096641" w:rsidRPr="00E50289">
              <w:rPr>
                <w:b/>
                <w:bCs/>
              </w:rPr>
              <w:t xml:space="preserve"> </w:t>
            </w:r>
            <w:r w:rsidRPr="00E50289">
              <w:rPr>
                <w:b/>
                <w:bCs/>
              </w:rPr>
              <w:t>3.36)</w:t>
            </w:r>
          </w:p>
        </w:tc>
        <w:tc>
          <w:tcPr>
            <w:tcW w:w="1654" w:type="dxa"/>
            <w:shd w:val="clear" w:color="auto" w:fill="auto"/>
            <w:noWrap/>
          </w:tcPr>
          <w:p w14:paraId="2A2513B9" w14:textId="77777777" w:rsidR="0059604F" w:rsidRPr="00E50289" w:rsidRDefault="0059604F" w:rsidP="00D42558">
            <w:pPr>
              <w:pStyle w:val="Tabletext"/>
              <w:keepNext/>
              <w:jc w:val="center"/>
              <w:rPr>
                <w:rFonts w:eastAsia="Calibri"/>
                <w:color w:val="000000"/>
                <w:szCs w:val="20"/>
                <w:lang w:eastAsia="en-US"/>
              </w:rPr>
            </w:pPr>
            <w:r w:rsidRPr="00E50289">
              <w:t>0.13 (-0.02, 0.27)</w:t>
            </w:r>
          </w:p>
        </w:tc>
      </w:tr>
      <w:tr w:rsidR="0059604F" w:rsidRPr="00E50289" w14:paraId="1A7D0B92" w14:textId="77777777" w:rsidTr="00096641">
        <w:trPr>
          <w:trHeight w:val="20"/>
        </w:trPr>
        <w:tc>
          <w:tcPr>
            <w:tcW w:w="2972" w:type="dxa"/>
            <w:gridSpan w:val="2"/>
            <w:vMerge/>
            <w:shd w:val="clear" w:color="auto" w:fill="auto"/>
            <w:noWrap/>
            <w:vAlign w:val="center"/>
          </w:tcPr>
          <w:p w14:paraId="1EDB5166" w14:textId="77777777" w:rsidR="0059604F" w:rsidRPr="00E50289" w:rsidRDefault="0059604F" w:rsidP="00D42558">
            <w:pPr>
              <w:pStyle w:val="Tabletext"/>
              <w:keepNext/>
              <w:rPr>
                <w:rFonts w:eastAsia="Calibri"/>
                <w:b/>
                <w:szCs w:val="20"/>
                <w:lang w:eastAsia="en-US"/>
              </w:rPr>
            </w:pPr>
          </w:p>
        </w:tc>
        <w:tc>
          <w:tcPr>
            <w:tcW w:w="1276" w:type="dxa"/>
            <w:shd w:val="clear" w:color="auto" w:fill="auto"/>
            <w:vAlign w:val="center"/>
          </w:tcPr>
          <w:p w14:paraId="5ECE8481"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UPA vs. VDZ</w:t>
            </w:r>
          </w:p>
        </w:tc>
        <w:tc>
          <w:tcPr>
            <w:tcW w:w="1559" w:type="dxa"/>
            <w:shd w:val="clear" w:color="auto" w:fill="auto"/>
          </w:tcPr>
          <w:p w14:paraId="33BE2986" w14:textId="77777777" w:rsidR="0059604F" w:rsidRPr="00E50289" w:rsidRDefault="0059604F" w:rsidP="00D42558">
            <w:pPr>
              <w:pStyle w:val="Tabletext"/>
              <w:keepNext/>
              <w:jc w:val="center"/>
              <w:rPr>
                <w:rFonts w:eastAsia="Calibri"/>
                <w:b/>
                <w:bCs/>
                <w:szCs w:val="20"/>
                <w:lang w:eastAsia="en-US"/>
              </w:rPr>
            </w:pPr>
            <w:r w:rsidRPr="00E50289">
              <w:t>1.97 (0.98, 3.95)</w:t>
            </w:r>
          </w:p>
        </w:tc>
        <w:tc>
          <w:tcPr>
            <w:tcW w:w="1559" w:type="dxa"/>
            <w:shd w:val="clear" w:color="auto" w:fill="auto"/>
          </w:tcPr>
          <w:p w14:paraId="214BB94C" w14:textId="53517A07" w:rsidR="0059604F" w:rsidRPr="00E50289" w:rsidRDefault="0059604F" w:rsidP="00D42558">
            <w:pPr>
              <w:pStyle w:val="Tabletext"/>
              <w:keepNext/>
              <w:rPr>
                <w:rFonts w:eastAsia="Calibri"/>
                <w:b/>
                <w:bCs/>
                <w:color w:val="000000"/>
                <w:szCs w:val="20"/>
                <w:lang w:eastAsia="en-US"/>
              </w:rPr>
            </w:pPr>
            <w:bookmarkStart w:id="58" w:name="_Hlk121262766"/>
            <w:r w:rsidRPr="00E50289">
              <w:rPr>
                <w:b/>
              </w:rPr>
              <w:t>1.75 (1.06,</w:t>
            </w:r>
            <w:r w:rsidR="00096641" w:rsidRPr="00E50289">
              <w:rPr>
                <w:b/>
              </w:rPr>
              <w:t xml:space="preserve"> </w:t>
            </w:r>
            <w:r w:rsidRPr="00E50289">
              <w:rPr>
                <w:b/>
              </w:rPr>
              <w:t>2.90)</w:t>
            </w:r>
            <w:bookmarkEnd w:id="58"/>
          </w:p>
        </w:tc>
        <w:tc>
          <w:tcPr>
            <w:tcW w:w="1654" w:type="dxa"/>
            <w:shd w:val="clear" w:color="auto" w:fill="auto"/>
            <w:noWrap/>
          </w:tcPr>
          <w:p w14:paraId="71105440" w14:textId="77777777" w:rsidR="0059604F" w:rsidRPr="00E50289" w:rsidRDefault="0059604F" w:rsidP="00D42558">
            <w:pPr>
              <w:pStyle w:val="Tabletext"/>
              <w:keepNext/>
              <w:jc w:val="center"/>
              <w:rPr>
                <w:rFonts w:eastAsia="Calibri"/>
                <w:b/>
                <w:bCs/>
                <w:color w:val="000000"/>
                <w:szCs w:val="20"/>
                <w:lang w:eastAsia="en-US"/>
              </w:rPr>
            </w:pPr>
            <w:r w:rsidRPr="00E50289">
              <w:t>0.10 (-0.03, 0.24)</w:t>
            </w:r>
          </w:p>
        </w:tc>
      </w:tr>
      <w:tr w:rsidR="0059604F" w:rsidRPr="00E50289" w14:paraId="651A82A0" w14:textId="77777777" w:rsidTr="00096641">
        <w:trPr>
          <w:trHeight w:val="271"/>
        </w:trPr>
        <w:tc>
          <w:tcPr>
            <w:tcW w:w="2972" w:type="dxa"/>
            <w:gridSpan w:val="2"/>
            <w:vMerge/>
            <w:shd w:val="clear" w:color="auto" w:fill="auto"/>
            <w:noWrap/>
            <w:vAlign w:val="center"/>
          </w:tcPr>
          <w:p w14:paraId="4A319E4E" w14:textId="77777777" w:rsidR="0059604F" w:rsidRPr="00E50289" w:rsidRDefault="0059604F" w:rsidP="00D42558">
            <w:pPr>
              <w:pStyle w:val="Tabletext"/>
              <w:keepNext/>
              <w:rPr>
                <w:rFonts w:eastAsia="Calibri"/>
                <w:b/>
                <w:szCs w:val="20"/>
                <w:lang w:eastAsia="en-US"/>
              </w:rPr>
            </w:pPr>
          </w:p>
        </w:tc>
        <w:tc>
          <w:tcPr>
            <w:tcW w:w="1276" w:type="dxa"/>
            <w:shd w:val="clear" w:color="auto" w:fill="auto"/>
          </w:tcPr>
          <w:p w14:paraId="6C92EE00"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UPA vs. UST</w:t>
            </w:r>
          </w:p>
        </w:tc>
        <w:tc>
          <w:tcPr>
            <w:tcW w:w="1559" w:type="dxa"/>
            <w:shd w:val="clear" w:color="auto" w:fill="auto"/>
          </w:tcPr>
          <w:p w14:paraId="5BC163C5" w14:textId="77777777" w:rsidR="0059604F" w:rsidRPr="00E50289" w:rsidRDefault="0059604F" w:rsidP="00D42558">
            <w:pPr>
              <w:pStyle w:val="Tabletext"/>
              <w:keepNext/>
              <w:jc w:val="center"/>
              <w:rPr>
                <w:rFonts w:eastAsia="Calibri"/>
                <w:b/>
                <w:bCs/>
                <w:szCs w:val="20"/>
                <w:lang w:eastAsia="en-US"/>
              </w:rPr>
            </w:pPr>
            <w:r w:rsidRPr="00E50289">
              <w:rPr>
                <w:b/>
                <w:bCs/>
              </w:rPr>
              <w:t>2.15 (1.05, 4.42)</w:t>
            </w:r>
          </w:p>
        </w:tc>
        <w:tc>
          <w:tcPr>
            <w:tcW w:w="1559" w:type="dxa"/>
            <w:shd w:val="clear" w:color="auto" w:fill="auto"/>
          </w:tcPr>
          <w:p w14:paraId="251D5A74" w14:textId="6DF45F28" w:rsidR="0059604F" w:rsidRPr="00E50289" w:rsidRDefault="0059604F" w:rsidP="00D42558">
            <w:pPr>
              <w:pStyle w:val="Tabletext"/>
              <w:keepNext/>
              <w:rPr>
                <w:rFonts w:eastAsia="Calibri"/>
                <w:b/>
                <w:bCs/>
                <w:color w:val="000000"/>
                <w:szCs w:val="20"/>
                <w:lang w:eastAsia="en-US"/>
              </w:rPr>
            </w:pPr>
            <w:bookmarkStart w:id="59" w:name="_Hlk121262727"/>
            <w:r w:rsidRPr="00E50289">
              <w:rPr>
                <w:b/>
                <w:bCs/>
              </w:rPr>
              <w:t>2.04 (1.28,</w:t>
            </w:r>
            <w:r w:rsidR="00096641" w:rsidRPr="00E50289">
              <w:rPr>
                <w:b/>
                <w:bCs/>
              </w:rPr>
              <w:t xml:space="preserve"> </w:t>
            </w:r>
            <w:r w:rsidRPr="00E50289">
              <w:rPr>
                <w:b/>
                <w:bCs/>
              </w:rPr>
              <w:t>3.26)</w:t>
            </w:r>
            <w:bookmarkEnd w:id="59"/>
          </w:p>
        </w:tc>
        <w:tc>
          <w:tcPr>
            <w:tcW w:w="1654" w:type="dxa"/>
            <w:shd w:val="clear" w:color="auto" w:fill="auto"/>
            <w:noWrap/>
          </w:tcPr>
          <w:p w14:paraId="7223DE77" w14:textId="77777777" w:rsidR="0059604F" w:rsidRPr="00E50289" w:rsidRDefault="0059604F" w:rsidP="00D42558">
            <w:pPr>
              <w:pStyle w:val="Tabletext"/>
              <w:keepNext/>
              <w:jc w:val="center"/>
              <w:rPr>
                <w:rFonts w:eastAsia="Calibri"/>
                <w:color w:val="000000"/>
                <w:szCs w:val="20"/>
                <w:lang w:eastAsia="en-US"/>
              </w:rPr>
            </w:pPr>
            <w:r w:rsidRPr="00E50289">
              <w:t>0.11 (-0.04, 0.26)</w:t>
            </w:r>
          </w:p>
        </w:tc>
      </w:tr>
      <w:tr w:rsidR="0059604F" w:rsidRPr="00E50289" w14:paraId="6825154F" w14:textId="77777777" w:rsidTr="00096641">
        <w:trPr>
          <w:trHeight w:val="20"/>
        </w:trPr>
        <w:tc>
          <w:tcPr>
            <w:tcW w:w="2972" w:type="dxa"/>
            <w:gridSpan w:val="2"/>
            <w:vMerge w:val="restart"/>
            <w:shd w:val="clear" w:color="auto" w:fill="auto"/>
            <w:noWrap/>
          </w:tcPr>
          <w:p w14:paraId="451216A8" w14:textId="77777777" w:rsidR="0059604F" w:rsidRPr="00E50289" w:rsidRDefault="0059604F" w:rsidP="00D42558">
            <w:pPr>
              <w:pStyle w:val="Tabletext"/>
              <w:keepNext/>
              <w:rPr>
                <w:rFonts w:eastAsia="Calibri"/>
                <w:b/>
                <w:szCs w:val="20"/>
                <w:lang w:eastAsia="en-US"/>
              </w:rPr>
            </w:pPr>
            <w:r w:rsidRPr="00E50289">
              <w:rPr>
                <w:rFonts w:eastAsia="Calibri"/>
                <w:b/>
                <w:szCs w:val="20"/>
                <w:lang w:eastAsia="en-US"/>
              </w:rPr>
              <w:t xml:space="preserve">Indirect comparison: </w:t>
            </w:r>
          </w:p>
          <w:p w14:paraId="61FBFF66" w14:textId="4D6F890E" w:rsidR="0059604F" w:rsidRPr="00E50289" w:rsidRDefault="0059604F" w:rsidP="00D42558">
            <w:pPr>
              <w:pStyle w:val="Tabletext"/>
              <w:keepNext/>
              <w:rPr>
                <w:rFonts w:eastAsia="Calibri"/>
                <w:b/>
                <w:szCs w:val="20"/>
                <w:lang w:eastAsia="en-US"/>
              </w:rPr>
            </w:pPr>
            <w:r w:rsidRPr="00E50289">
              <w:rPr>
                <w:rFonts w:eastAsia="Calibri"/>
                <w:b/>
                <w:szCs w:val="20"/>
                <w:lang w:eastAsia="en-US"/>
              </w:rPr>
              <w:t xml:space="preserve">UPA 30 mg </w:t>
            </w:r>
            <w:r w:rsidR="00CB7C01" w:rsidRPr="00E50289">
              <w:rPr>
                <w:rFonts w:eastAsia="Calibri"/>
                <w:b/>
                <w:bCs/>
                <w:szCs w:val="20"/>
                <w:lang w:eastAsia="en-US"/>
              </w:rPr>
              <w:t>vs</w:t>
            </w:r>
            <w:r w:rsidRPr="00E50289">
              <w:rPr>
                <w:rFonts w:eastAsia="Calibri"/>
                <w:b/>
                <w:szCs w:val="20"/>
                <w:lang w:eastAsia="en-US"/>
              </w:rPr>
              <w:t xml:space="preserve"> comparators</w:t>
            </w:r>
          </w:p>
          <w:p w14:paraId="1B81DA20" w14:textId="77777777" w:rsidR="0059604F" w:rsidRPr="00E50289" w:rsidRDefault="0059604F" w:rsidP="00D42558">
            <w:pPr>
              <w:pStyle w:val="Tabletext"/>
              <w:keepNext/>
              <w:rPr>
                <w:rFonts w:eastAsia="Calibri"/>
                <w:b/>
                <w:szCs w:val="20"/>
                <w:lang w:eastAsia="en-US"/>
              </w:rPr>
            </w:pPr>
          </w:p>
          <w:p w14:paraId="5F99D0F2" w14:textId="77777777" w:rsidR="0059604F" w:rsidRPr="00E50289" w:rsidRDefault="0059604F" w:rsidP="00D42558">
            <w:pPr>
              <w:pStyle w:val="Tabletext"/>
              <w:keepNext/>
              <w:rPr>
                <w:rFonts w:eastAsia="Calibri"/>
                <w:b/>
                <w:szCs w:val="20"/>
                <w:lang w:eastAsia="en-US"/>
              </w:rPr>
            </w:pPr>
          </w:p>
        </w:tc>
        <w:tc>
          <w:tcPr>
            <w:tcW w:w="1276" w:type="dxa"/>
            <w:shd w:val="clear" w:color="auto" w:fill="auto"/>
          </w:tcPr>
          <w:p w14:paraId="2AF1AD28"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UPA vs. ADA</w:t>
            </w:r>
          </w:p>
        </w:tc>
        <w:tc>
          <w:tcPr>
            <w:tcW w:w="1559" w:type="dxa"/>
            <w:shd w:val="clear" w:color="auto" w:fill="auto"/>
          </w:tcPr>
          <w:p w14:paraId="148C97D3" w14:textId="77777777" w:rsidR="0059604F" w:rsidRPr="00E50289" w:rsidRDefault="0059604F" w:rsidP="00D42558">
            <w:pPr>
              <w:pStyle w:val="Tabletext"/>
              <w:keepNext/>
              <w:jc w:val="center"/>
              <w:rPr>
                <w:rFonts w:eastAsia="Calibri"/>
                <w:b/>
                <w:bCs/>
                <w:szCs w:val="20"/>
                <w:lang w:eastAsia="en-US"/>
              </w:rPr>
            </w:pPr>
            <w:r w:rsidRPr="00E50289">
              <w:t>1.68 (0.83, 3.40)</w:t>
            </w:r>
          </w:p>
        </w:tc>
        <w:tc>
          <w:tcPr>
            <w:tcW w:w="1559" w:type="dxa"/>
            <w:shd w:val="clear" w:color="auto" w:fill="auto"/>
          </w:tcPr>
          <w:p w14:paraId="70A92748" w14:textId="474CFFC3" w:rsidR="0059604F" w:rsidRPr="00E50289" w:rsidRDefault="0059604F" w:rsidP="00D42558">
            <w:pPr>
              <w:pStyle w:val="Tabletext"/>
              <w:keepNext/>
              <w:rPr>
                <w:rFonts w:eastAsia="Calibri"/>
                <w:b/>
                <w:bCs/>
                <w:color w:val="000000"/>
                <w:szCs w:val="20"/>
                <w:lang w:eastAsia="en-US"/>
              </w:rPr>
            </w:pPr>
            <w:bookmarkStart w:id="60" w:name="_Hlk121262813"/>
            <w:r w:rsidRPr="00E50289">
              <w:t>1.52 (0.92,</w:t>
            </w:r>
            <w:r w:rsidR="00096641" w:rsidRPr="00E50289">
              <w:t xml:space="preserve"> </w:t>
            </w:r>
            <w:r w:rsidRPr="00E50289">
              <w:t>2.51)</w:t>
            </w:r>
            <w:bookmarkEnd w:id="60"/>
          </w:p>
        </w:tc>
        <w:tc>
          <w:tcPr>
            <w:tcW w:w="1654" w:type="dxa"/>
            <w:shd w:val="clear" w:color="auto" w:fill="auto"/>
            <w:noWrap/>
          </w:tcPr>
          <w:p w14:paraId="2454E6C0" w14:textId="77777777" w:rsidR="0059604F" w:rsidRPr="00E50289" w:rsidRDefault="0059604F" w:rsidP="00D42558">
            <w:pPr>
              <w:pStyle w:val="Tabletext"/>
              <w:keepNext/>
              <w:jc w:val="center"/>
              <w:rPr>
                <w:rFonts w:eastAsia="Calibri"/>
                <w:color w:val="000000"/>
                <w:szCs w:val="20"/>
                <w:lang w:eastAsia="en-US"/>
              </w:rPr>
            </w:pPr>
            <w:r w:rsidRPr="00E50289">
              <w:t>0.11 (-0.02, 0.24)</w:t>
            </w:r>
          </w:p>
        </w:tc>
      </w:tr>
      <w:tr w:rsidR="0059604F" w:rsidRPr="00E50289" w14:paraId="3B41B40B" w14:textId="77777777" w:rsidTr="00096641">
        <w:trPr>
          <w:trHeight w:val="20"/>
        </w:trPr>
        <w:tc>
          <w:tcPr>
            <w:tcW w:w="2972" w:type="dxa"/>
            <w:gridSpan w:val="2"/>
            <w:vMerge/>
            <w:shd w:val="clear" w:color="auto" w:fill="auto"/>
            <w:noWrap/>
            <w:vAlign w:val="center"/>
          </w:tcPr>
          <w:p w14:paraId="71AF756D" w14:textId="77777777" w:rsidR="0059604F" w:rsidRPr="00E50289" w:rsidRDefault="0059604F" w:rsidP="00D42558">
            <w:pPr>
              <w:pStyle w:val="Tabletext"/>
              <w:keepNext/>
              <w:rPr>
                <w:rFonts w:eastAsia="Calibri"/>
                <w:b/>
                <w:szCs w:val="20"/>
                <w:lang w:eastAsia="en-US"/>
              </w:rPr>
            </w:pPr>
          </w:p>
        </w:tc>
        <w:tc>
          <w:tcPr>
            <w:tcW w:w="1276" w:type="dxa"/>
            <w:shd w:val="clear" w:color="auto" w:fill="auto"/>
          </w:tcPr>
          <w:p w14:paraId="7338CEDB"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UPA vs RISA</w:t>
            </w:r>
          </w:p>
        </w:tc>
        <w:tc>
          <w:tcPr>
            <w:tcW w:w="1559" w:type="dxa"/>
            <w:shd w:val="clear" w:color="auto" w:fill="auto"/>
          </w:tcPr>
          <w:p w14:paraId="656495ED" w14:textId="77777777" w:rsidR="0059604F" w:rsidRPr="00E50289" w:rsidRDefault="0059604F" w:rsidP="00D42558">
            <w:pPr>
              <w:pStyle w:val="Tabletext"/>
              <w:keepNext/>
              <w:jc w:val="center"/>
              <w:rPr>
                <w:rFonts w:eastAsia="Calibri"/>
                <w:b/>
                <w:bCs/>
                <w:szCs w:val="20"/>
                <w:lang w:eastAsia="en-US"/>
              </w:rPr>
            </w:pPr>
            <w:r w:rsidRPr="00E50289">
              <w:rPr>
                <w:b/>
                <w:bCs/>
              </w:rPr>
              <w:t>3.39 (1.69, 6.78)</w:t>
            </w:r>
          </w:p>
        </w:tc>
        <w:tc>
          <w:tcPr>
            <w:tcW w:w="1559" w:type="dxa"/>
            <w:shd w:val="clear" w:color="auto" w:fill="auto"/>
          </w:tcPr>
          <w:p w14:paraId="5ED8945D" w14:textId="22D89836" w:rsidR="0059604F" w:rsidRPr="00E50289" w:rsidRDefault="0059604F" w:rsidP="00D42558">
            <w:pPr>
              <w:pStyle w:val="Tabletext"/>
              <w:keepNext/>
              <w:rPr>
                <w:rFonts w:eastAsia="Calibri"/>
                <w:b/>
                <w:bCs/>
                <w:color w:val="000000"/>
                <w:szCs w:val="20"/>
                <w:lang w:eastAsia="en-US"/>
              </w:rPr>
            </w:pPr>
            <w:r w:rsidRPr="00E50289">
              <w:rPr>
                <w:b/>
                <w:bCs/>
              </w:rPr>
              <w:t>2.64 (1.70,</w:t>
            </w:r>
            <w:r w:rsidR="00096641" w:rsidRPr="00E50289">
              <w:rPr>
                <w:b/>
                <w:bCs/>
              </w:rPr>
              <w:t xml:space="preserve"> </w:t>
            </w:r>
            <w:r w:rsidRPr="00E50289">
              <w:rPr>
                <w:b/>
                <w:bCs/>
              </w:rPr>
              <w:t>4.10)</w:t>
            </w:r>
          </w:p>
        </w:tc>
        <w:tc>
          <w:tcPr>
            <w:tcW w:w="1654" w:type="dxa"/>
            <w:shd w:val="clear" w:color="auto" w:fill="auto"/>
            <w:noWrap/>
          </w:tcPr>
          <w:p w14:paraId="35C0A9E0" w14:textId="77777777" w:rsidR="0059604F" w:rsidRPr="00E50289" w:rsidRDefault="0059604F" w:rsidP="00D42558">
            <w:pPr>
              <w:pStyle w:val="Tabletext"/>
              <w:keepNext/>
              <w:jc w:val="center"/>
              <w:rPr>
                <w:rFonts w:eastAsia="Calibri"/>
                <w:b/>
                <w:bCs/>
                <w:color w:val="000000"/>
                <w:szCs w:val="20"/>
                <w:lang w:eastAsia="en-US"/>
              </w:rPr>
            </w:pPr>
            <w:r w:rsidRPr="00E50289">
              <w:rPr>
                <w:b/>
                <w:bCs/>
              </w:rPr>
              <w:t>0.23 (0.08, 0.37)</w:t>
            </w:r>
          </w:p>
        </w:tc>
      </w:tr>
      <w:tr w:rsidR="0059604F" w:rsidRPr="00E50289" w14:paraId="2885D38B" w14:textId="77777777" w:rsidTr="00096641">
        <w:trPr>
          <w:trHeight w:val="20"/>
        </w:trPr>
        <w:tc>
          <w:tcPr>
            <w:tcW w:w="2972" w:type="dxa"/>
            <w:gridSpan w:val="2"/>
            <w:vMerge/>
            <w:shd w:val="clear" w:color="auto" w:fill="auto"/>
            <w:noWrap/>
            <w:vAlign w:val="center"/>
          </w:tcPr>
          <w:p w14:paraId="62A4D047" w14:textId="77777777" w:rsidR="0059604F" w:rsidRPr="00E50289" w:rsidRDefault="0059604F" w:rsidP="00D42558">
            <w:pPr>
              <w:pStyle w:val="Tabletext"/>
              <w:keepNext/>
              <w:rPr>
                <w:rFonts w:eastAsia="Calibri"/>
                <w:b/>
                <w:szCs w:val="20"/>
                <w:lang w:eastAsia="en-US"/>
              </w:rPr>
            </w:pPr>
          </w:p>
        </w:tc>
        <w:tc>
          <w:tcPr>
            <w:tcW w:w="1276" w:type="dxa"/>
            <w:shd w:val="clear" w:color="auto" w:fill="auto"/>
          </w:tcPr>
          <w:p w14:paraId="67D71C2A"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UPA vs. VDZ</w:t>
            </w:r>
          </w:p>
        </w:tc>
        <w:tc>
          <w:tcPr>
            <w:tcW w:w="1559" w:type="dxa"/>
            <w:shd w:val="clear" w:color="auto" w:fill="auto"/>
          </w:tcPr>
          <w:p w14:paraId="4260786F" w14:textId="77777777" w:rsidR="0059604F" w:rsidRPr="00E50289" w:rsidRDefault="0059604F" w:rsidP="00D42558">
            <w:pPr>
              <w:pStyle w:val="Tabletext"/>
              <w:keepNext/>
              <w:jc w:val="center"/>
              <w:rPr>
                <w:rFonts w:eastAsia="Calibri"/>
                <w:b/>
                <w:bCs/>
                <w:szCs w:val="20"/>
                <w:lang w:eastAsia="en-US"/>
              </w:rPr>
            </w:pPr>
            <w:r w:rsidRPr="00E50289">
              <w:rPr>
                <w:b/>
                <w:bCs/>
              </w:rPr>
              <w:t>2.92 (1.46, 5.84)</w:t>
            </w:r>
          </w:p>
        </w:tc>
        <w:tc>
          <w:tcPr>
            <w:tcW w:w="1559" w:type="dxa"/>
            <w:shd w:val="clear" w:color="auto" w:fill="auto"/>
          </w:tcPr>
          <w:p w14:paraId="09F919DD" w14:textId="2C6B0C46" w:rsidR="0059604F" w:rsidRPr="00E50289" w:rsidRDefault="0059604F" w:rsidP="00D42558">
            <w:pPr>
              <w:pStyle w:val="Tabletext"/>
              <w:keepNext/>
              <w:rPr>
                <w:rFonts w:eastAsia="Calibri"/>
                <w:b/>
                <w:bCs/>
                <w:color w:val="000000"/>
                <w:szCs w:val="20"/>
                <w:lang w:eastAsia="en-US"/>
              </w:rPr>
            </w:pPr>
            <w:bookmarkStart w:id="61" w:name="_Hlk121262890"/>
            <w:r w:rsidRPr="00E50289">
              <w:rPr>
                <w:b/>
                <w:bCs/>
              </w:rPr>
              <w:t>2.17 (1.32,</w:t>
            </w:r>
            <w:r w:rsidR="00096641" w:rsidRPr="00E50289">
              <w:rPr>
                <w:b/>
                <w:bCs/>
              </w:rPr>
              <w:t xml:space="preserve"> </w:t>
            </w:r>
            <w:r w:rsidRPr="00E50289">
              <w:rPr>
                <w:b/>
                <w:bCs/>
              </w:rPr>
              <w:t>3.54)</w:t>
            </w:r>
            <w:bookmarkEnd w:id="61"/>
          </w:p>
        </w:tc>
        <w:tc>
          <w:tcPr>
            <w:tcW w:w="1654" w:type="dxa"/>
            <w:shd w:val="clear" w:color="auto" w:fill="auto"/>
            <w:noWrap/>
          </w:tcPr>
          <w:p w14:paraId="3461D71A" w14:textId="77777777" w:rsidR="0059604F" w:rsidRPr="00E50289" w:rsidRDefault="0059604F" w:rsidP="00D42558">
            <w:pPr>
              <w:pStyle w:val="Tabletext"/>
              <w:keepNext/>
              <w:jc w:val="center"/>
              <w:rPr>
                <w:rFonts w:eastAsia="Calibri"/>
                <w:b/>
                <w:bCs/>
                <w:color w:val="000000"/>
                <w:szCs w:val="20"/>
                <w:lang w:eastAsia="en-US"/>
              </w:rPr>
            </w:pPr>
            <w:r w:rsidRPr="00E50289">
              <w:rPr>
                <w:b/>
                <w:bCs/>
              </w:rPr>
              <w:t>0.20 (0.06, 0.34)</w:t>
            </w:r>
          </w:p>
        </w:tc>
      </w:tr>
      <w:tr w:rsidR="0059604F" w:rsidRPr="00E50289" w14:paraId="0D6EEF42" w14:textId="77777777" w:rsidTr="00096641">
        <w:trPr>
          <w:trHeight w:val="20"/>
        </w:trPr>
        <w:tc>
          <w:tcPr>
            <w:tcW w:w="2972" w:type="dxa"/>
            <w:gridSpan w:val="2"/>
            <w:vMerge/>
            <w:shd w:val="clear" w:color="auto" w:fill="auto"/>
            <w:noWrap/>
            <w:vAlign w:val="center"/>
          </w:tcPr>
          <w:p w14:paraId="31113FD5" w14:textId="77777777" w:rsidR="0059604F" w:rsidRPr="00E50289" w:rsidRDefault="0059604F" w:rsidP="00D42558">
            <w:pPr>
              <w:pStyle w:val="Tabletext"/>
              <w:keepNext/>
              <w:rPr>
                <w:rFonts w:eastAsia="Calibri"/>
                <w:b/>
                <w:szCs w:val="20"/>
                <w:lang w:eastAsia="en-US"/>
              </w:rPr>
            </w:pPr>
          </w:p>
        </w:tc>
        <w:tc>
          <w:tcPr>
            <w:tcW w:w="1276" w:type="dxa"/>
            <w:shd w:val="clear" w:color="auto" w:fill="auto"/>
          </w:tcPr>
          <w:p w14:paraId="7DCA9B07"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UPA vs. UST</w:t>
            </w:r>
          </w:p>
        </w:tc>
        <w:tc>
          <w:tcPr>
            <w:tcW w:w="1559" w:type="dxa"/>
            <w:shd w:val="clear" w:color="auto" w:fill="auto"/>
          </w:tcPr>
          <w:p w14:paraId="60AA54C6" w14:textId="77777777" w:rsidR="0059604F" w:rsidRPr="00E50289" w:rsidRDefault="0059604F" w:rsidP="00D42558">
            <w:pPr>
              <w:pStyle w:val="Tabletext"/>
              <w:keepNext/>
              <w:jc w:val="center"/>
              <w:rPr>
                <w:rFonts w:eastAsia="Calibri"/>
                <w:b/>
                <w:bCs/>
                <w:szCs w:val="20"/>
                <w:lang w:eastAsia="en-US"/>
              </w:rPr>
            </w:pPr>
            <w:r w:rsidRPr="00E50289">
              <w:rPr>
                <w:b/>
                <w:bCs/>
              </w:rPr>
              <w:t>3.19 (1.56, 6.55)</w:t>
            </w:r>
          </w:p>
        </w:tc>
        <w:tc>
          <w:tcPr>
            <w:tcW w:w="1559" w:type="dxa"/>
            <w:shd w:val="clear" w:color="auto" w:fill="auto"/>
          </w:tcPr>
          <w:p w14:paraId="01832C3D" w14:textId="146B51BB" w:rsidR="0059604F" w:rsidRPr="00E50289" w:rsidRDefault="0059604F" w:rsidP="00D42558">
            <w:pPr>
              <w:pStyle w:val="Tabletext"/>
              <w:keepNext/>
              <w:rPr>
                <w:rFonts w:eastAsia="Calibri"/>
                <w:b/>
                <w:bCs/>
                <w:color w:val="000000"/>
                <w:szCs w:val="20"/>
                <w:lang w:eastAsia="en-US"/>
              </w:rPr>
            </w:pPr>
            <w:bookmarkStart w:id="62" w:name="_Hlk121262921"/>
            <w:r w:rsidRPr="00E50289">
              <w:rPr>
                <w:b/>
                <w:bCs/>
              </w:rPr>
              <w:t xml:space="preserve">2.52 (1.59, </w:t>
            </w:r>
            <w:r w:rsidR="00096641" w:rsidRPr="00E50289">
              <w:rPr>
                <w:b/>
                <w:bCs/>
              </w:rPr>
              <w:t>0</w:t>
            </w:r>
            <w:r w:rsidRPr="00E50289">
              <w:rPr>
                <w:b/>
                <w:bCs/>
              </w:rPr>
              <w:t>.98)</w:t>
            </w:r>
            <w:bookmarkEnd w:id="62"/>
          </w:p>
        </w:tc>
        <w:tc>
          <w:tcPr>
            <w:tcW w:w="1654" w:type="dxa"/>
            <w:shd w:val="clear" w:color="auto" w:fill="auto"/>
            <w:noWrap/>
          </w:tcPr>
          <w:p w14:paraId="2044E0C0" w14:textId="77777777" w:rsidR="0059604F" w:rsidRPr="00E50289" w:rsidRDefault="0059604F" w:rsidP="00D42558">
            <w:pPr>
              <w:pStyle w:val="Tabletext"/>
              <w:keepNext/>
              <w:jc w:val="center"/>
              <w:rPr>
                <w:rFonts w:eastAsia="Calibri"/>
                <w:b/>
                <w:bCs/>
                <w:color w:val="000000"/>
                <w:szCs w:val="20"/>
                <w:lang w:eastAsia="en-US"/>
              </w:rPr>
            </w:pPr>
            <w:r w:rsidRPr="00E50289">
              <w:rPr>
                <w:b/>
                <w:bCs/>
              </w:rPr>
              <w:t>0.21 (0.06, 0.36)</w:t>
            </w:r>
          </w:p>
        </w:tc>
      </w:tr>
      <w:tr w:rsidR="0059604F" w:rsidRPr="00E50289" w14:paraId="3BF693F7" w14:textId="77777777" w:rsidTr="00096641">
        <w:trPr>
          <w:trHeight w:val="20"/>
        </w:trPr>
        <w:tc>
          <w:tcPr>
            <w:tcW w:w="2972" w:type="dxa"/>
            <w:gridSpan w:val="2"/>
            <w:vMerge w:val="restart"/>
            <w:shd w:val="clear" w:color="auto" w:fill="auto"/>
            <w:noWrap/>
            <w:vAlign w:val="center"/>
          </w:tcPr>
          <w:p w14:paraId="73DD7D38" w14:textId="77777777" w:rsidR="0059604F" w:rsidRPr="00E50289" w:rsidRDefault="0059604F" w:rsidP="00D42558">
            <w:pPr>
              <w:pStyle w:val="In-tableHeading"/>
              <w:rPr>
                <w:rFonts w:eastAsia="Calibri"/>
                <w:szCs w:val="20"/>
                <w:lang w:eastAsia="en-US"/>
              </w:rPr>
            </w:pPr>
            <w:r w:rsidRPr="00E50289">
              <w:t>Indirect comparison:</w:t>
            </w:r>
            <w:r w:rsidRPr="00E50289">
              <w:rPr>
                <w:rFonts w:eastAsia="Calibri"/>
                <w:szCs w:val="20"/>
                <w:lang w:eastAsia="en-US"/>
              </w:rPr>
              <w:t xml:space="preserve"> </w:t>
            </w:r>
          </w:p>
          <w:p w14:paraId="1319C56B" w14:textId="4C240556" w:rsidR="0059604F" w:rsidRPr="00E50289" w:rsidRDefault="0059604F" w:rsidP="00D42558">
            <w:pPr>
              <w:pStyle w:val="In-tableHeading"/>
              <w:rPr>
                <w:lang w:eastAsia="en-US"/>
              </w:rPr>
            </w:pPr>
            <w:r w:rsidRPr="00E50289">
              <w:rPr>
                <w:lang w:eastAsia="en-US"/>
              </w:rPr>
              <w:t xml:space="preserve">UPA 30/15 mg </w:t>
            </w:r>
            <w:r w:rsidR="00CB7C01" w:rsidRPr="00E50289">
              <w:rPr>
                <w:bCs/>
                <w:lang w:eastAsia="en-US"/>
              </w:rPr>
              <w:t>vs</w:t>
            </w:r>
            <w:r w:rsidRPr="00E50289">
              <w:rPr>
                <w:lang w:eastAsia="en-US"/>
              </w:rPr>
              <w:t xml:space="preserve"> comparators</w:t>
            </w:r>
          </w:p>
          <w:p w14:paraId="5EB763AD" w14:textId="77777777" w:rsidR="0059604F" w:rsidRPr="00E50289" w:rsidRDefault="0059604F" w:rsidP="00D42558">
            <w:pPr>
              <w:pStyle w:val="Tabletext"/>
              <w:keepNext/>
              <w:rPr>
                <w:rFonts w:eastAsia="Calibri"/>
                <w:b/>
                <w:szCs w:val="20"/>
                <w:lang w:eastAsia="en-US"/>
              </w:rPr>
            </w:pPr>
          </w:p>
          <w:p w14:paraId="3C77BA77" w14:textId="77777777" w:rsidR="0059604F" w:rsidRPr="00E50289" w:rsidRDefault="0059604F" w:rsidP="00D42558">
            <w:pPr>
              <w:pStyle w:val="Tabletext"/>
              <w:keepNext/>
              <w:rPr>
                <w:rFonts w:eastAsia="Calibri"/>
                <w:b/>
                <w:szCs w:val="20"/>
                <w:lang w:eastAsia="en-US"/>
              </w:rPr>
            </w:pPr>
          </w:p>
        </w:tc>
        <w:tc>
          <w:tcPr>
            <w:tcW w:w="1276" w:type="dxa"/>
            <w:shd w:val="clear" w:color="auto" w:fill="auto"/>
          </w:tcPr>
          <w:p w14:paraId="5839402B" w14:textId="2CD3F4AE" w:rsidR="0059604F" w:rsidRPr="00E50289" w:rsidRDefault="0059604F" w:rsidP="00D42558">
            <w:pPr>
              <w:pStyle w:val="Tabletext"/>
              <w:keepNext/>
              <w:rPr>
                <w:rFonts w:eastAsia="Calibri"/>
                <w:szCs w:val="20"/>
                <w:lang w:eastAsia="en-US"/>
              </w:rPr>
            </w:pPr>
            <w:r w:rsidRPr="00E50289">
              <w:rPr>
                <w:rFonts w:eastAsia="Calibri"/>
                <w:szCs w:val="20"/>
                <w:lang w:eastAsia="en-US"/>
              </w:rPr>
              <w:t>UPA vs ADA</w:t>
            </w:r>
          </w:p>
        </w:tc>
        <w:tc>
          <w:tcPr>
            <w:tcW w:w="1559" w:type="dxa"/>
            <w:shd w:val="clear" w:color="auto" w:fill="auto"/>
          </w:tcPr>
          <w:p w14:paraId="275FA2C4" w14:textId="77777777" w:rsidR="0059604F" w:rsidRPr="00E50289" w:rsidRDefault="0059604F" w:rsidP="00D42558">
            <w:pPr>
              <w:pStyle w:val="Tabletext"/>
              <w:keepNext/>
              <w:jc w:val="center"/>
              <w:rPr>
                <w:rFonts w:eastAsia="Calibri"/>
                <w:b/>
                <w:bCs/>
                <w:szCs w:val="20"/>
                <w:lang w:eastAsia="en-US"/>
              </w:rPr>
            </w:pPr>
            <w:r w:rsidRPr="00E50289">
              <w:t>1.38 (0.70, 2.71)</w:t>
            </w:r>
          </w:p>
        </w:tc>
        <w:tc>
          <w:tcPr>
            <w:tcW w:w="1559" w:type="dxa"/>
            <w:shd w:val="clear" w:color="auto" w:fill="auto"/>
          </w:tcPr>
          <w:p w14:paraId="1AF3F752" w14:textId="76B0D2C9" w:rsidR="0059604F" w:rsidRPr="00E50289" w:rsidRDefault="0059604F" w:rsidP="00D42558">
            <w:pPr>
              <w:pStyle w:val="Tabletext"/>
              <w:keepNext/>
              <w:rPr>
                <w:rFonts w:eastAsia="Calibri"/>
                <w:b/>
                <w:bCs/>
                <w:szCs w:val="20"/>
                <w:lang w:eastAsia="en-US"/>
              </w:rPr>
            </w:pPr>
            <w:r w:rsidRPr="00E50289">
              <w:t>1.38 (0.84,</w:t>
            </w:r>
            <w:r w:rsidR="00096641" w:rsidRPr="00E50289">
              <w:t xml:space="preserve"> </w:t>
            </w:r>
            <w:r w:rsidRPr="00E50289">
              <w:t>2.25)</w:t>
            </w:r>
          </w:p>
        </w:tc>
        <w:tc>
          <w:tcPr>
            <w:tcW w:w="1654" w:type="dxa"/>
            <w:shd w:val="clear" w:color="auto" w:fill="auto"/>
            <w:noWrap/>
          </w:tcPr>
          <w:p w14:paraId="1C63CE85" w14:textId="77777777" w:rsidR="0059604F" w:rsidRPr="00E50289" w:rsidRDefault="0059604F" w:rsidP="00D42558">
            <w:pPr>
              <w:pStyle w:val="Tabletext"/>
              <w:keepNext/>
              <w:jc w:val="center"/>
              <w:rPr>
                <w:rFonts w:eastAsia="Calibri"/>
                <w:szCs w:val="20"/>
                <w:lang w:eastAsia="en-US"/>
              </w:rPr>
            </w:pPr>
            <w:r w:rsidRPr="00E50289">
              <w:t>0.06 (-0.05, 0.18)</w:t>
            </w:r>
          </w:p>
        </w:tc>
      </w:tr>
      <w:tr w:rsidR="0059604F" w:rsidRPr="00E50289" w14:paraId="1277355A" w14:textId="77777777" w:rsidTr="00096641">
        <w:trPr>
          <w:trHeight w:val="20"/>
        </w:trPr>
        <w:tc>
          <w:tcPr>
            <w:tcW w:w="2972" w:type="dxa"/>
            <w:gridSpan w:val="2"/>
            <w:vMerge/>
            <w:shd w:val="clear" w:color="auto" w:fill="auto"/>
            <w:noWrap/>
            <w:vAlign w:val="center"/>
          </w:tcPr>
          <w:p w14:paraId="7D9747CA" w14:textId="77777777" w:rsidR="0059604F" w:rsidRPr="00E50289" w:rsidRDefault="0059604F" w:rsidP="00D42558">
            <w:pPr>
              <w:pStyle w:val="Tabletext"/>
              <w:keepNext/>
              <w:rPr>
                <w:rFonts w:eastAsia="Calibri"/>
                <w:szCs w:val="20"/>
                <w:lang w:eastAsia="en-US"/>
              </w:rPr>
            </w:pPr>
          </w:p>
        </w:tc>
        <w:tc>
          <w:tcPr>
            <w:tcW w:w="1276" w:type="dxa"/>
            <w:shd w:val="clear" w:color="auto" w:fill="auto"/>
          </w:tcPr>
          <w:p w14:paraId="2FAA0127"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UPA vs. RISA</w:t>
            </w:r>
          </w:p>
        </w:tc>
        <w:tc>
          <w:tcPr>
            <w:tcW w:w="1559" w:type="dxa"/>
            <w:shd w:val="clear" w:color="auto" w:fill="auto"/>
          </w:tcPr>
          <w:p w14:paraId="27FAF6E2" w14:textId="77777777" w:rsidR="0059604F" w:rsidRPr="00E50289" w:rsidRDefault="0059604F" w:rsidP="00D42558">
            <w:pPr>
              <w:pStyle w:val="Tabletext"/>
              <w:keepNext/>
              <w:jc w:val="center"/>
              <w:rPr>
                <w:rFonts w:eastAsia="Calibri"/>
                <w:b/>
                <w:bCs/>
                <w:szCs w:val="20"/>
                <w:lang w:eastAsia="en-US"/>
              </w:rPr>
            </w:pPr>
            <w:r w:rsidRPr="00E50289">
              <w:rPr>
                <w:b/>
                <w:bCs/>
              </w:rPr>
              <w:t>2.78 (1.44, 5.39)</w:t>
            </w:r>
          </w:p>
        </w:tc>
        <w:tc>
          <w:tcPr>
            <w:tcW w:w="1559" w:type="dxa"/>
            <w:shd w:val="clear" w:color="auto" w:fill="auto"/>
          </w:tcPr>
          <w:p w14:paraId="61DDFB0A" w14:textId="6983C42A" w:rsidR="0059604F" w:rsidRPr="00E50289" w:rsidRDefault="0059604F" w:rsidP="00D42558">
            <w:pPr>
              <w:pStyle w:val="Tabletext"/>
              <w:keepNext/>
              <w:rPr>
                <w:rFonts w:eastAsia="Calibri"/>
                <w:b/>
                <w:bCs/>
                <w:szCs w:val="20"/>
                <w:lang w:eastAsia="en-US"/>
              </w:rPr>
            </w:pPr>
            <w:r w:rsidRPr="00E50289">
              <w:rPr>
                <w:b/>
                <w:bCs/>
              </w:rPr>
              <w:t>2.39 (1.55,</w:t>
            </w:r>
            <w:r w:rsidR="00096641" w:rsidRPr="00E50289">
              <w:rPr>
                <w:b/>
                <w:bCs/>
              </w:rPr>
              <w:t xml:space="preserve"> </w:t>
            </w:r>
            <w:r w:rsidRPr="00E50289">
              <w:rPr>
                <w:b/>
                <w:bCs/>
              </w:rPr>
              <w:t>3.67)</w:t>
            </w:r>
          </w:p>
        </w:tc>
        <w:tc>
          <w:tcPr>
            <w:tcW w:w="1654" w:type="dxa"/>
            <w:shd w:val="clear" w:color="auto" w:fill="auto"/>
            <w:noWrap/>
          </w:tcPr>
          <w:p w14:paraId="1BF49EA7" w14:textId="77777777" w:rsidR="0059604F" w:rsidRPr="00E50289" w:rsidRDefault="0059604F" w:rsidP="00D42558">
            <w:pPr>
              <w:pStyle w:val="Tabletext"/>
              <w:keepNext/>
              <w:jc w:val="center"/>
              <w:rPr>
                <w:rFonts w:eastAsia="Calibri"/>
                <w:b/>
                <w:bCs/>
                <w:szCs w:val="20"/>
                <w:lang w:eastAsia="en-US"/>
              </w:rPr>
            </w:pPr>
            <w:r w:rsidRPr="00E50289">
              <w:rPr>
                <w:b/>
                <w:bCs/>
              </w:rPr>
              <w:t>0.18 (0.04, 0.31)</w:t>
            </w:r>
          </w:p>
        </w:tc>
      </w:tr>
      <w:tr w:rsidR="0059604F" w:rsidRPr="00E50289" w14:paraId="412DA401" w14:textId="77777777" w:rsidTr="00096641">
        <w:trPr>
          <w:trHeight w:val="20"/>
        </w:trPr>
        <w:tc>
          <w:tcPr>
            <w:tcW w:w="2972" w:type="dxa"/>
            <w:gridSpan w:val="2"/>
            <w:vMerge/>
            <w:shd w:val="clear" w:color="auto" w:fill="auto"/>
            <w:noWrap/>
            <w:vAlign w:val="center"/>
          </w:tcPr>
          <w:p w14:paraId="02467885" w14:textId="77777777" w:rsidR="0059604F" w:rsidRPr="00E50289" w:rsidRDefault="0059604F" w:rsidP="00D42558">
            <w:pPr>
              <w:pStyle w:val="Tabletext"/>
              <w:keepNext/>
              <w:rPr>
                <w:rFonts w:eastAsia="Calibri"/>
                <w:szCs w:val="20"/>
                <w:lang w:eastAsia="en-US"/>
              </w:rPr>
            </w:pPr>
          </w:p>
        </w:tc>
        <w:tc>
          <w:tcPr>
            <w:tcW w:w="1276" w:type="dxa"/>
            <w:shd w:val="clear" w:color="auto" w:fill="auto"/>
          </w:tcPr>
          <w:p w14:paraId="648A29FB"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UPA vs UST</w:t>
            </w:r>
          </w:p>
        </w:tc>
        <w:tc>
          <w:tcPr>
            <w:tcW w:w="1559" w:type="dxa"/>
            <w:shd w:val="clear" w:color="auto" w:fill="auto"/>
          </w:tcPr>
          <w:p w14:paraId="23796DB6" w14:textId="77777777" w:rsidR="0059604F" w:rsidRPr="00E50289" w:rsidRDefault="0059604F" w:rsidP="00D42558">
            <w:pPr>
              <w:pStyle w:val="Tabletext"/>
              <w:keepNext/>
              <w:jc w:val="center"/>
              <w:rPr>
                <w:rFonts w:eastAsia="Calibri"/>
                <w:b/>
                <w:bCs/>
                <w:szCs w:val="20"/>
                <w:lang w:eastAsia="en-US"/>
              </w:rPr>
            </w:pPr>
            <w:r w:rsidRPr="00E50289">
              <w:rPr>
                <w:b/>
                <w:bCs/>
              </w:rPr>
              <w:t>2.40 (1.24, 4.64)</w:t>
            </w:r>
          </w:p>
        </w:tc>
        <w:tc>
          <w:tcPr>
            <w:tcW w:w="1559" w:type="dxa"/>
            <w:shd w:val="clear" w:color="auto" w:fill="auto"/>
          </w:tcPr>
          <w:p w14:paraId="04729C56" w14:textId="5526C914" w:rsidR="0059604F" w:rsidRPr="00E50289" w:rsidRDefault="0059604F" w:rsidP="00D42558">
            <w:pPr>
              <w:pStyle w:val="Tabletext"/>
              <w:keepNext/>
              <w:rPr>
                <w:rFonts w:eastAsia="Calibri"/>
                <w:b/>
                <w:bCs/>
                <w:szCs w:val="20"/>
                <w:lang w:eastAsia="en-US"/>
              </w:rPr>
            </w:pPr>
            <w:r w:rsidRPr="00E50289">
              <w:rPr>
                <w:b/>
                <w:bCs/>
              </w:rPr>
              <w:t>1.96 (1.21,</w:t>
            </w:r>
            <w:r w:rsidR="00096641" w:rsidRPr="00E50289">
              <w:rPr>
                <w:b/>
                <w:bCs/>
              </w:rPr>
              <w:t xml:space="preserve"> </w:t>
            </w:r>
            <w:r w:rsidRPr="00E50289">
              <w:rPr>
                <w:b/>
                <w:bCs/>
              </w:rPr>
              <w:t>3.17)</w:t>
            </w:r>
          </w:p>
        </w:tc>
        <w:tc>
          <w:tcPr>
            <w:tcW w:w="1654" w:type="dxa"/>
            <w:shd w:val="clear" w:color="auto" w:fill="auto"/>
            <w:noWrap/>
          </w:tcPr>
          <w:p w14:paraId="3BE45214" w14:textId="77777777" w:rsidR="0059604F" w:rsidRPr="00E50289" w:rsidRDefault="0059604F" w:rsidP="00D42558">
            <w:pPr>
              <w:pStyle w:val="Tabletext"/>
              <w:keepNext/>
              <w:jc w:val="center"/>
              <w:rPr>
                <w:rFonts w:eastAsia="Calibri"/>
                <w:b/>
                <w:bCs/>
                <w:szCs w:val="20"/>
                <w:lang w:eastAsia="en-US"/>
              </w:rPr>
            </w:pPr>
            <w:r w:rsidRPr="00E50289">
              <w:rPr>
                <w:b/>
                <w:bCs/>
              </w:rPr>
              <w:t>0.15 (0.03, 0.28)</w:t>
            </w:r>
          </w:p>
        </w:tc>
      </w:tr>
      <w:tr w:rsidR="0059604F" w:rsidRPr="00E50289" w14:paraId="23CDE7E3" w14:textId="77777777" w:rsidTr="00096641">
        <w:trPr>
          <w:trHeight w:val="20"/>
        </w:trPr>
        <w:tc>
          <w:tcPr>
            <w:tcW w:w="2972" w:type="dxa"/>
            <w:gridSpan w:val="2"/>
            <w:vMerge/>
            <w:shd w:val="clear" w:color="auto" w:fill="auto"/>
            <w:noWrap/>
            <w:vAlign w:val="center"/>
          </w:tcPr>
          <w:p w14:paraId="0EF992EF" w14:textId="77777777" w:rsidR="0059604F" w:rsidRPr="00E50289" w:rsidRDefault="0059604F" w:rsidP="00D42558">
            <w:pPr>
              <w:pStyle w:val="Tabletext"/>
              <w:keepNext/>
              <w:rPr>
                <w:rFonts w:eastAsia="Calibri"/>
                <w:szCs w:val="20"/>
                <w:lang w:eastAsia="en-US"/>
              </w:rPr>
            </w:pPr>
          </w:p>
        </w:tc>
        <w:tc>
          <w:tcPr>
            <w:tcW w:w="1276" w:type="dxa"/>
            <w:shd w:val="clear" w:color="auto" w:fill="auto"/>
          </w:tcPr>
          <w:p w14:paraId="178682C4" w14:textId="77777777" w:rsidR="0059604F" w:rsidRPr="00E50289" w:rsidRDefault="0059604F" w:rsidP="00D42558">
            <w:pPr>
              <w:pStyle w:val="Tabletext"/>
              <w:keepNext/>
              <w:rPr>
                <w:rFonts w:eastAsia="Calibri"/>
                <w:szCs w:val="20"/>
                <w:lang w:eastAsia="en-US"/>
              </w:rPr>
            </w:pPr>
            <w:r w:rsidRPr="00E50289">
              <w:rPr>
                <w:rFonts w:eastAsia="Calibri"/>
                <w:szCs w:val="20"/>
                <w:lang w:eastAsia="en-US"/>
              </w:rPr>
              <w:t>UPA vs VDZ</w:t>
            </w:r>
          </w:p>
        </w:tc>
        <w:tc>
          <w:tcPr>
            <w:tcW w:w="1559" w:type="dxa"/>
            <w:shd w:val="clear" w:color="auto" w:fill="auto"/>
          </w:tcPr>
          <w:p w14:paraId="1E534590" w14:textId="77777777" w:rsidR="0059604F" w:rsidRPr="00E50289" w:rsidRDefault="0059604F" w:rsidP="00D42558">
            <w:pPr>
              <w:pStyle w:val="Tabletext"/>
              <w:keepNext/>
              <w:jc w:val="center"/>
              <w:rPr>
                <w:rFonts w:eastAsia="Calibri"/>
                <w:b/>
                <w:bCs/>
                <w:szCs w:val="20"/>
                <w:lang w:eastAsia="en-US"/>
              </w:rPr>
            </w:pPr>
            <w:r w:rsidRPr="00E50289">
              <w:rPr>
                <w:b/>
                <w:bCs/>
              </w:rPr>
              <w:t>2.62 (1.32, 5.21)</w:t>
            </w:r>
          </w:p>
        </w:tc>
        <w:tc>
          <w:tcPr>
            <w:tcW w:w="1559" w:type="dxa"/>
            <w:shd w:val="clear" w:color="auto" w:fill="auto"/>
          </w:tcPr>
          <w:p w14:paraId="7BA06D2A" w14:textId="75E13648" w:rsidR="0059604F" w:rsidRPr="00E50289" w:rsidRDefault="0059604F" w:rsidP="00D42558">
            <w:pPr>
              <w:pStyle w:val="Tabletext"/>
              <w:keepNext/>
              <w:rPr>
                <w:rFonts w:eastAsia="Calibri"/>
                <w:b/>
                <w:bCs/>
                <w:szCs w:val="20"/>
                <w:lang w:eastAsia="en-US"/>
              </w:rPr>
            </w:pPr>
            <w:r w:rsidRPr="00E50289">
              <w:rPr>
                <w:b/>
                <w:bCs/>
              </w:rPr>
              <w:t>2.28 (1.45,</w:t>
            </w:r>
            <w:r w:rsidR="00096641" w:rsidRPr="00E50289">
              <w:rPr>
                <w:b/>
                <w:bCs/>
              </w:rPr>
              <w:t xml:space="preserve"> </w:t>
            </w:r>
            <w:r w:rsidRPr="00E50289">
              <w:rPr>
                <w:b/>
                <w:bCs/>
              </w:rPr>
              <w:t>3.57)</w:t>
            </w:r>
          </w:p>
        </w:tc>
        <w:tc>
          <w:tcPr>
            <w:tcW w:w="1654" w:type="dxa"/>
            <w:shd w:val="clear" w:color="auto" w:fill="auto"/>
            <w:noWrap/>
          </w:tcPr>
          <w:p w14:paraId="5488EBE1" w14:textId="77777777" w:rsidR="0059604F" w:rsidRPr="00E50289" w:rsidRDefault="0059604F" w:rsidP="00D42558">
            <w:pPr>
              <w:pStyle w:val="Tabletext"/>
              <w:keepNext/>
              <w:jc w:val="center"/>
              <w:rPr>
                <w:rFonts w:eastAsia="Calibri"/>
                <w:b/>
                <w:bCs/>
                <w:szCs w:val="20"/>
                <w:lang w:eastAsia="en-US"/>
              </w:rPr>
            </w:pPr>
            <w:r w:rsidRPr="00E50289">
              <w:rPr>
                <w:b/>
                <w:bCs/>
              </w:rPr>
              <w:t>0.16 (0.02, 0.30)</w:t>
            </w:r>
          </w:p>
        </w:tc>
      </w:tr>
    </w:tbl>
    <w:p w14:paraId="2D45BE71" w14:textId="77777777" w:rsidR="0059604F" w:rsidRPr="00E50289" w:rsidRDefault="0059604F" w:rsidP="00D42558">
      <w:pPr>
        <w:pStyle w:val="TableFigureFooter"/>
        <w:keepNext/>
      </w:pPr>
      <w:r w:rsidRPr="00E50289">
        <w:t xml:space="preserve">Source: Table 2.26, p145 of the submission. </w:t>
      </w:r>
    </w:p>
    <w:p w14:paraId="67A7B9C2" w14:textId="461F7300" w:rsidR="0059604F" w:rsidRPr="00E50289" w:rsidRDefault="0059604F" w:rsidP="00D42558">
      <w:pPr>
        <w:pStyle w:val="TableFigureFooter"/>
        <w:keepNext/>
      </w:pPr>
      <w:r w:rsidRPr="00E50289">
        <w:t xml:space="preserve">ADA= adalimumab; biologic; CI= confidence interval; IFX= infliximab; IP= induction phase; mg= </w:t>
      </w:r>
      <w:r w:rsidR="000E106F" w:rsidRPr="00E50289">
        <w:t>milligram</w:t>
      </w:r>
      <w:r w:rsidRPr="00E50289">
        <w:t xml:space="preserve">; </w:t>
      </w:r>
      <w:r w:rsidR="001C0359" w:rsidRPr="00E50289">
        <w:t>n</w:t>
      </w:r>
      <w:r w:rsidR="008B1228" w:rsidRPr="00E50289">
        <w:t xml:space="preserve">= </w:t>
      </w:r>
      <w:r w:rsidR="001C0359" w:rsidRPr="00E50289">
        <w:t>number of participants with event; N</w:t>
      </w:r>
      <w:r w:rsidR="008B1228" w:rsidRPr="00E50289">
        <w:t xml:space="preserve">= </w:t>
      </w:r>
      <w:r w:rsidR="001C0359" w:rsidRPr="00E50289">
        <w:t xml:space="preserve">total participants in group; </w:t>
      </w:r>
      <w:r w:rsidRPr="00E50289">
        <w:t xml:space="preserve">NR= not reported; OR= odds ratio; PBO= placebo; Q8W= 8-weekly; Q2W= 2-weekly; RD= risk </w:t>
      </w:r>
      <w:r w:rsidRPr="00E50289">
        <w:lastRenderedPageBreak/>
        <w:t>difference; RISA= risankizumab; RR= relative risk; SC= subcutaneous; UST= ustekinumab; UPA= upadacitinib; VDZ= vedolizumab; vs= versus.</w:t>
      </w:r>
    </w:p>
    <w:p w14:paraId="288E36F9" w14:textId="324D4479" w:rsidR="0059604F" w:rsidRPr="00E50289" w:rsidRDefault="0059604F" w:rsidP="00D42558">
      <w:pPr>
        <w:pStyle w:val="TableFigureFooter"/>
        <w:keepNext/>
      </w:pPr>
      <w:bookmarkStart w:id="63" w:name="_Hlk121544017"/>
      <w:r w:rsidRPr="00E50289">
        <w:t>Note: The submission did not report</w:t>
      </w:r>
      <w:r w:rsidR="00A65C00" w:rsidRPr="00E50289">
        <w:t xml:space="preserve"> </w:t>
      </w:r>
      <w:r w:rsidRPr="00E50289">
        <w:t>indirect comparison</w:t>
      </w:r>
      <w:r w:rsidR="00622084" w:rsidRPr="00E50289">
        <w:t>s</w:t>
      </w:r>
      <w:r w:rsidRPr="00E50289">
        <w:t xml:space="preserve"> for upadacitinib vs infliximab.</w:t>
      </w:r>
      <w:r w:rsidR="00930A46" w:rsidRPr="00E50289">
        <w:t xml:space="preserve"> The PBAC previously noted that the trial data for the comparator infliximab had extremely wide confidence intervals and small patient numbers making the indirect comparison unreliable (Paragraph 7.8, Vedolizumab</w:t>
      </w:r>
      <w:r w:rsidR="00A73C35" w:rsidRPr="00E50289">
        <w:t>,</w:t>
      </w:r>
      <w:r w:rsidR="00930A46" w:rsidRPr="00E50289">
        <w:t xml:space="preserve"> </w:t>
      </w:r>
      <w:r w:rsidR="00D42558">
        <w:t>PSD</w:t>
      </w:r>
      <w:r w:rsidR="00930A46" w:rsidRPr="00E50289">
        <w:t>, March 2015 PBAC meeting).</w:t>
      </w:r>
    </w:p>
    <w:p w14:paraId="72DFACB8" w14:textId="653C9579" w:rsidR="0059604F" w:rsidRPr="00E50289" w:rsidRDefault="0059604F" w:rsidP="00D42558">
      <w:pPr>
        <w:pStyle w:val="TableFigureFooter"/>
        <w:keepNext/>
      </w:pPr>
      <w:r w:rsidRPr="00E50289">
        <w:rPr>
          <w:b/>
          <w:bCs/>
        </w:rPr>
        <w:t>BOLD</w:t>
      </w:r>
      <w:r w:rsidRPr="00E50289">
        <w:t xml:space="preserve"> </w:t>
      </w:r>
      <w:r w:rsidR="000D7B73" w:rsidRPr="00E50289">
        <w:t>values mean statistically</w:t>
      </w:r>
      <w:r w:rsidRPr="00E50289">
        <w:t xml:space="preserve"> significant result</w:t>
      </w:r>
      <w:r w:rsidR="000D7B73" w:rsidRPr="00E50289">
        <w:t>s</w:t>
      </w:r>
      <w:r w:rsidRPr="00E50289">
        <w:t xml:space="preserve">. </w:t>
      </w:r>
    </w:p>
    <w:bookmarkEnd w:id="63"/>
    <w:p w14:paraId="09F20CE0" w14:textId="009584C7" w:rsidR="0059604F" w:rsidRPr="00E50289" w:rsidRDefault="0059604F" w:rsidP="00D42558">
      <w:pPr>
        <w:pStyle w:val="TableFigureFooter"/>
        <w:keepNext/>
      </w:pPr>
      <w:r w:rsidRPr="00E50289">
        <w:rPr>
          <w:vertAlign w:val="superscript"/>
        </w:rPr>
        <w:t>a</w:t>
      </w:r>
      <w:r w:rsidRPr="00E50289">
        <w:t xml:space="preserve"> CR-100 responders at week 8 following induction with either 130</w:t>
      </w:r>
      <w:r w:rsidR="0034364A">
        <w:rPr>
          <w:rFonts w:eastAsiaTheme="majorEastAsia"/>
        </w:rPr>
        <w:t> </w:t>
      </w:r>
      <w:r w:rsidRPr="00E50289">
        <w:t>mg, weight-based dose or placebo at week 0 (UNITI-</w:t>
      </w:r>
      <w:r w:rsidR="00C252E2" w:rsidRPr="00E50289">
        <w:t xml:space="preserve">I </w:t>
      </w:r>
      <w:r w:rsidRPr="00E50289">
        <w:t>or UNITI-</w:t>
      </w:r>
      <w:r w:rsidR="00C252E2" w:rsidRPr="00E50289">
        <w:t>II</w:t>
      </w:r>
      <w:r w:rsidRPr="00E50289">
        <w:t>)</w:t>
      </w:r>
      <w:r w:rsidR="000D7B73" w:rsidRPr="00E50289">
        <w:t>.</w:t>
      </w:r>
    </w:p>
    <w:p w14:paraId="25E4B4EF" w14:textId="1FE85F36" w:rsidR="0059604F" w:rsidRPr="00E50289" w:rsidRDefault="0059604F" w:rsidP="00D42558">
      <w:pPr>
        <w:pStyle w:val="TableFigureFooter"/>
        <w:keepNext/>
      </w:pPr>
      <w:r w:rsidRPr="00E50289">
        <w:rPr>
          <w:vertAlign w:val="superscript"/>
        </w:rPr>
        <w:t>b</w:t>
      </w:r>
      <w:r w:rsidRPr="00E50289">
        <w:t xml:space="preserve"> CDAI&lt;</w:t>
      </w:r>
      <w:r w:rsidR="0034364A">
        <w:rPr>
          <w:rFonts w:eastAsiaTheme="majorEastAsia"/>
        </w:rPr>
        <w:t> </w:t>
      </w:r>
      <w:r w:rsidRPr="00E50289">
        <w:t>150 ‘remission’ at week 4 and week 8 following induction with either 160/80</w:t>
      </w:r>
      <w:r w:rsidR="0034364A">
        <w:rPr>
          <w:rFonts w:eastAsiaTheme="majorEastAsia"/>
        </w:rPr>
        <w:t> </w:t>
      </w:r>
      <w:r w:rsidRPr="00E50289">
        <w:t>mg, 80/40</w:t>
      </w:r>
      <w:r w:rsidR="0034364A">
        <w:rPr>
          <w:rFonts w:eastAsiaTheme="majorEastAsia"/>
        </w:rPr>
        <w:t> </w:t>
      </w:r>
      <w:r w:rsidRPr="00E50289">
        <w:t>mg, 40/20</w:t>
      </w:r>
      <w:r w:rsidR="0034364A">
        <w:rPr>
          <w:rFonts w:eastAsiaTheme="majorEastAsia"/>
        </w:rPr>
        <w:t> </w:t>
      </w:r>
      <w:r w:rsidRPr="00E50289">
        <w:t>mg or placebo at week 0 and week</w:t>
      </w:r>
      <w:r w:rsidR="0034364A">
        <w:rPr>
          <w:rFonts w:eastAsiaTheme="majorEastAsia"/>
        </w:rPr>
        <w:t> </w:t>
      </w:r>
      <w:r w:rsidRPr="00E50289">
        <w:t>2 (in CLASSIC</w:t>
      </w:r>
      <w:r w:rsidR="001538FE" w:rsidRPr="00E50289">
        <w:t xml:space="preserve"> </w:t>
      </w:r>
      <w:r w:rsidRPr="00E50289">
        <w:t>I) then 40</w:t>
      </w:r>
      <w:r w:rsidR="0034364A">
        <w:rPr>
          <w:rFonts w:eastAsiaTheme="majorEastAsia"/>
        </w:rPr>
        <w:t> </w:t>
      </w:r>
      <w:r w:rsidRPr="00E50289">
        <w:t>mg at week 4 and week 6 (Open label phase in CLASSIC</w:t>
      </w:r>
      <w:r w:rsidR="001538FE" w:rsidRPr="00E50289">
        <w:t xml:space="preserve"> </w:t>
      </w:r>
      <w:r w:rsidRPr="00E50289">
        <w:t>II)</w:t>
      </w:r>
      <w:r w:rsidR="000D7B73" w:rsidRPr="00E50289">
        <w:t>.</w:t>
      </w:r>
    </w:p>
    <w:p w14:paraId="51FDFA35" w14:textId="246DFB64" w:rsidR="0059604F" w:rsidRPr="00E50289" w:rsidRDefault="0059604F" w:rsidP="00D42558">
      <w:pPr>
        <w:pStyle w:val="TableFigureFooter"/>
        <w:keepNext/>
      </w:pPr>
      <w:r w:rsidRPr="00E50289">
        <w:rPr>
          <w:vertAlign w:val="superscript"/>
        </w:rPr>
        <w:t>c</w:t>
      </w:r>
      <w:r w:rsidRPr="00E50289">
        <w:t xml:space="preserve"> CR-70 responders at week 4 following induction with 80/40</w:t>
      </w:r>
      <w:r w:rsidR="0034364A">
        <w:rPr>
          <w:rFonts w:eastAsiaTheme="majorEastAsia"/>
        </w:rPr>
        <w:t> </w:t>
      </w:r>
      <w:r w:rsidRPr="00E50289">
        <w:t>mg at week 0 and week 2</w:t>
      </w:r>
      <w:r w:rsidR="000D7B73" w:rsidRPr="00E50289">
        <w:t>.</w:t>
      </w:r>
    </w:p>
    <w:p w14:paraId="1774A4BD" w14:textId="1D529CA5" w:rsidR="0059604F" w:rsidRPr="00E50289" w:rsidRDefault="0059604F" w:rsidP="00D42558">
      <w:pPr>
        <w:pStyle w:val="TableFigureFooter"/>
        <w:keepNext/>
      </w:pPr>
      <w:r w:rsidRPr="00E50289">
        <w:rPr>
          <w:vertAlign w:val="superscript"/>
        </w:rPr>
        <w:t>d</w:t>
      </w:r>
      <w:r w:rsidRPr="00E50289">
        <w:t xml:space="preserve"> CR-70 responders at week 4 following induction with either 160/80</w:t>
      </w:r>
      <w:r w:rsidR="0034364A">
        <w:rPr>
          <w:rFonts w:eastAsiaTheme="majorEastAsia"/>
        </w:rPr>
        <w:t> </w:t>
      </w:r>
      <w:r w:rsidRPr="00E50289">
        <w:t>mg, 80/40</w:t>
      </w:r>
      <w:r w:rsidR="0034364A">
        <w:rPr>
          <w:rFonts w:eastAsiaTheme="majorEastAsia"/>
        </w:rPr>
        <w:t> </w:t>
      </w:r>
      <w:r w:rsidRPr="00E50289">
        <w:t>mg or placebo at week 0 or week 2</w:t>
      </w:r>
      <w:r w:rsidR="000D7B73" w:rsidRPr="00E50289">
        <w:t>.</w:t>
      </w:r>
    </w:p>
    <w:p w14:paraId="70E0A632" w14:textId="34B9A49E" w:rsidR="0059604F" w:rsidRPr="00E50289" w:rsidRDefault="0059604F" w:rsidP="00D42558">
      <w:pPr>
        <w:pStyle w:val="TableFigureFooter"/>
        <w:keepNext/>
      </w:pPr>
      <w:r w:rsidRPr="00E50289">
        <w:rPr>
          <w:vertAlign w:val="superscript"/>
        </w:rPr>
        <w:t>e</w:t>
      </w:r>
      <w:r w:rsidRPr="00E50289">
        <w:t xml:space="preserve"> CR-70 responders at week 2 following induction with 5</w:t>
      </w:r>
      <w:r w:rsidR="0034364A">
        <w:rPr>
          <w:rFonts w:eastAsiaTheme="majorEastAsia"/>
        </w:rPr>
        <w:t> </w:t>
      </w:r>
      <w:r w:rsidRPr="00E50289">
        <w:t>mg/kg at week 0</w:t>
      </w:r>
      <w:r w:rsidR="000D7B73" w:rsidRPr="00E50289">
        <w:t>.</w:t>
      </w:r>
    </w:p>
    <w:p w14:paraId="7554CD90" w14:textId="646618A9" w:rsidR="0059604F" w:rsidRPr="00E50289" w:rsidRDefault="0059604F" w:rsidP="00D42558">
      <w:pPr>
        <w:pStyle w:val="TableFigureFooter"/>
        <w:keepNext/>
      </w:pPr>
      <w:r w:rsidRPr="00E50289">
        <w:rPr>
          <w:vertAlign w:val="superscript"/>
        </w:rPr>
        <w:t>f</w:t>
      </w:r>
      <w:r w:rsidRPr="00E50289">
        <w:t xml:space="preserve"> CR-70 responders at week 6 following induction with 300</w:t>
      </w:r>
      <w:r w:rsidR="0034364A">
        <w:rPr>
          <w:rFonts w:eastAsiaTheme="majorEastAsia"/>
        </w:rPr>
        <w:t> </w:t>
      </w:r>
      <w:r w:rsidRPr="00E50289">
        <w:t>mg at week 0 and week 2</w:t>
      </w:r>
      <w:r w:rsidR="000D7B73" w:rsidRPr="00E50289">
        <w:t>.</w:t>
      </w:r>
    </w:p>
    <w:p w14:paraId="44D5E6E0" w14:textId="202F6F90" w:rsidR="0059604F" w:rsidRPr="00E50289" w:rsidRDefault="0059604F" w:rsidP="007D234C">
      <w:pPr>
        <w:pStyle w:val="TableFigureFooter"/>
      </w:pPr>
      <w:r w:rsidRPr="00E50289">
        <w:rPr>
          <w:vertAlign w:val="superscript"/>
        </w:rPr>
        <w:t>g</w:t>
      </w:r>
      <w:r w:rsidRPr="00E50289">
        <w:t xml:space="preserve"> CR-70 responders at week 10 following induction with 300</w:t>
      </w:r>
      <w:r w:rsidR="0034364A">
        <w:rPr>
          <w:rFonts w:eastAsiaTheme="majorEastAsia"/>
        </w:rPr>
        <w:t> </w:t>
      </w:r>
      <w:r w:rsidRPr="00E50289">
        <w:t>mg at week 0, week 2 and week 6</w:t>
      </w:r>
      <w:r w:rsidR="000D7B73" w:rsidRPr="00E50289">
        <w:t>.</w:t>
      </w:r>
    </w:p>
    <w:p w14:paraId="1927861B" w14:textId="2E40757D" w:rsidR="0059604F" w:rsidRPr="00E50289" w:rsidRDefault="0059604F" w:rsidP="00E43184">
      <w:pPr>
        <w:pStyle w:val="3-BodyText"/>
        <w:keepNext/>
        <w:rPr>
          <w:color w:val="000000" w:themeColor="text1"/>
        </w:rPr>
      </w:pPr>
      <w:r w:rsidRPr="00E50289">
        <w:rPr>
          <w:color w:val="000000" w:themeColor="text1"/>
        </w:rPr>
        <w:t>A statistically significant greater proportion of patients treated with upadacitinib compared to placebo achieved clinical response in all upadacitinib trials (induction and maintenance phase</w:t>
      </w:r>
      <w:r w:rsidR="00E5390C" w:rsidRPr="00E50289">
        <w:rPr>
          <w:color w:val="000000" w:themeColor="text1"/>
        </w:rPr>
        <w:t>s</w:t>
      </w:r>
      <w:r w:rsidRPr="00E50289">
        <w:rPr>
          <w:color w:val="000000" w:themeColor="text1"/>
        </w:rPr>
        <w:t>). Similar results were observed in the comparator trials</w:t>
      </w:r>
      <w:r w:rsidR="00E564BE" w:rsidRPr="00E50289">
        <w:rPr>
          <w:color w:val="000000" w:themeColor="text1"/>
        </w:rPr>
        <w:t>,</w:t>
      </w:r>
      <w:r w:rsidR="00E5390C" w:rsidRPr="00E50289">
        <w:rPr>
          <w:color w:val="000000" w:themeColor="text1"/>
        </w:rPr>
        <w:t xml:space="preserve"> with the treatment arm achieving a better clinical response than </w:t>
      </w:r>
      <w:r w:rsidR="00E564BE" w:rsidRPr="00E50289">
        <w:rPr>
          <w:color w:val="000000" w:themeColor="text1"/>
        </w:rPr>
        <w:t xml:space="preserve">the </w:t>
      </w:r>
      <w:r w:rsidR="00E5390C" w:rsidRPr="00E50289">
        <w:rPr>
          <w:color w:val="000000" w:themeColor="text1"/>
        </w:rPr>
        <w:t>placebo</w:t>
      </w:r>
      <w:r w:rsidR="00A276D3" w:rsidRPr="00E50289">
        <w:rPr>
          <w:color w:val="000000" w:themeColor="text1"/>
        </w:rPr>
        <w:t xml:space="preserve"> arm</w:t>
      </w:r>
      <w:r w:rsidRPr="00E50289">
        <w:rPr>
          <w:color w:val="000000" w:themeColor="text1"/>
        </w:rPr>
        <w:t xml:space="preserve">. </w:t>
      </w:r>
    </w:p>
    <w:p w14:paraId="7F314EC5" w14:textId="6BEDE52F" w:rsidR="0016637F" w:rsidRPr="00E50289" w:rsidRDefault="00E5390C" w:rsidP="0016637F">
      <w:pPr>
        <w:pStyle w:val="3-BodyText"/>
        <w:rPr>
          <w:color w:val="000000" w:themeColor="text1"/>
        </w:rPr>
      </w:pPr>
      <w:r w:rsidRPr="00E50289">
        <w:rPr>
          <w:color w:val="000000" w:themeColor="text1"/>
        </w:rPr>
        <w:t xml:space="preserve">Induction phase: </w:t>
      </w:r>
      <w:r w:rsidR="0059604F" w:rsidRPr="00E50289">
        <w:rPr>
          <w:color w:val="000000" w:themeColor="text1"/>
        </w:rPr>
        <w:t>The indirect comparison</w:t>
      </w:r>
      <w:r w:rsidRPr="00E50289">
        <w:rPr>
          <w:color w:val="000000" w:themeColor="text1"/>
        </w:rPr>
        <w:t xml:space="preserve">s </w:t>
      </w:r>
      <w:r w:rsidR="0059604F" w:rsidRPr="00E50289">
        <w:rPr>
          <w:color w:val="000000" w:themeColor="text1"/>
        </w:rPr>
        <w:t>showed statistically significant results favouring infliximab over upadacitinib (</w:t>
      </w:r>
      <w:r w:rsidR="00C67475" w:rsidRPr="00E50289">
        <w:rPr>
          <w:rFonts w:eastAsia="Calibri" w:cs="Calibri"/>
          <w:color w:val="000000" w:themeColor="text1"/>
          <w:szCs w:val="20"/>
          <w:lang w:eastAsia="en-US"/>
        </w:rPr>
        <w:t>in terms of</w:t>
      </w:r>
      <w:r w:rsidR="0059604F" w:rsidRPr="00E50289">
        <w:rPr>
          <w:rFonts w:eastAsia="Calibri" w:cs="Calibri"/>
          <w:color w:val="000000" w:themeColor="text1"/>
          <w:szCs w:val="20"/>
          <w:lang w:eastAsia="en-US"/>
        </w:rPr>
        <w:t xml:space="preserve"> </w:t>
      </w:r>
      <w:r w:rsidRPr="00E50289">
        <w:rPr>
          <w:snapToGrid/>
          <w:color w:val="000000" w:themeColor="text1"/>
          <w:lang w:val="en-US"/>
        </w:rPr>
        <w:t>OR</w:t>
      </w:r>
      <w:r w:rsidR="0059604F" w:rsidRPr="00E50289">
        <w:rPr>
          <w:color w:val="000000" w:themeColor="text1"/>
        </w:rPr>
        <w:t xml:space="preserve">, </w:t>
      </w:r>
      <w:r w:rsidRPr="00E50289">
        <w:rPr>
          <w:snapToGrid/>
          <w:color w:val="000000" w:themeColor="text1"/>
          <w:lang w:val="en-US"/>
        </w:rPr>
        <w:t xml:space="preserve">RR </w:t>
      </w:r>
      <w:r w:rsidR="0059604F" w:rsidRPr="00E50289">
        <w:rPr>
          <w:color w:val="000000" w:themeColor="text1"/>
        </w:rPr>
        <w:t xml:space="preserve">and </w:t>
      </w:r>
      <w:r w:rsidRPr="00E50289">
        <w:rPr>
          <w:snapToGrid/>
          <w:color w:val="000000" w:themeColor="text1"/>
          <w:lang w:val="en-US"/>
        </w:rPr>
        <w:t>RD</w:t>
      </w:r>
      <w:r w:rsidR="0059604F" w:rsidRPr="00E50289">
        <w:rPr>
          <w:color w:val="000000" w:themeColor="text1"/>
        </w:rPr>
        <w:t>)</w:t>
      </w:r>
      <w:r w:rsidRPr="00E50289">
        <w:rPr>
          <w:color w:val="000000" w:themeColor="text1"/>
        </w:rPr>
        <w:t xml:space="preserve"> (</w:t>
      </w:r>
      <w:r w:rsidRPr="00E50289">
        <w:rPr>
          <w:color w:val="000000" w:themeColor="text1"/>
        </w:rPr>
        <w:fldChar w:fldCharType="begin" w:fldLock="1"/>
      </w:r>
      <w:r w:rsidRPr="00E50289">
        <w:rPr>
          <w:color w:val="000000" w:themeColor="text1"/>
        </w:rPr>
        <w:instrText xml:space="preserve"> REF _Ref121578487 \h </w:instrText>
      </w:r>
      <w:r w:rsidR="00E50289" w:rsidRPr="00E50289">
        <w:rPr>
          <w:color w:val="000000" w:themeColor="text1"/>
        </w:rPr>
        <w:instrText xml:space="preserve"> \* MERGEFORMAT </w:instrText>
      </w:r>
      <w:r w:rsidRPr="00E50289">
        <w:rPr>
          <w:color w:val="000000" w:themeColor="text1"/>
        </w:rPr>
      </w:r>
      <w:r w:rsidRPr="00E50289">
        <w:rPr>
          <w:color w:val="000000" w:themeColor="text1"/>
        </w:rPr>
        <w:fldChar w:fldCharType="separate"/>
      </w:r>
      <w:r w:rsidR="0033335A" w:rsidRPr="00E50289">
        <w:t xml:space="preserve">Table </w:t>
      </w:r>
      <w:r w:rsidR="0033335A" w:rsidRPr="00E50289">
        <w:rPr>
          <w:noProof/>
        </w:rPr>
        <w:t>6</w:t>
      </w:r>
      <w:r w:rsidRPr="00E50289">
        <w:rPr>
          <w:color w:val="000000" w:themeColor="text1"/>
        </w:rPr>
        <w:fldChar w:fldCharType="end"/>
      </w:r>
      <w:r w:rsidRPr="00E50289">
        <w:rPr>
          <w:color w:val="000000" w:themeColor="text1"/>
        </w:rPr>
        <w:t>)</w:t>
      </w:r>
      <w:r w:rsidR="0059604F" w:rsidRPr="00E50289">
        <w:rPr>
          <w:color w:val="000000" w:themeColor="text1"/>
        </w:rPr>
        <w:t xml:space="preserve">. Adalimumab and </w:t>
      </w:r>
      <w:r w:rsidR="001C0029" w:rsidRPr="00E50289">
        <w:rPr>
          <w:color w:val="000000" w:themeColor="text1"/>
        </w:rPr>
        <w:t xml:space="preserve">vedolizumab </w:t>
      </w:r>
      <w:r w:rsidR="00CA2E63" w:rsidRPr="00E50289">
        <w:rPr>
          <w:color w:val="000000" w:themeColor="text1"/>
        </w:rPr>
        <w:t xml:space="preserve">also </w:t>
      </w:r>
      <w:r w:rsidR="0059604F" w:rsidRPr="00E50289">
        <w:rPr>
          <w:color w:val="000000" w:themeColor="text1"/>
        </w:rPr>
        <w:t xml:space="preserve">achieved higher clinical response rates </w:t>
      </w:r>
      <w:r w:rsidR="006F2D39" w:rsidRPr="00E50289">
        <w:rPr>
          <w:color w:val="000000" w:themeColor="text1"/>
        </w:rPr>
        <w:t>than</w:t>
      </w:r>
      <w:r w:rsidR="0059604F" w:rsidRPr="00E50289">
        <w:rPr>
          <w:color w:val="000000" w:themeColor="text1"/>
        </w:rPr>
        <w:t xml:space="preserve"> upadacitinib, but the results were not statistically significant.</w:t>
      </w:r>
    </w:p>
    <w:p w14:paraId="566BC4F2" w14:textId="7EE44C25" w:rsidR="0059604F" w:rsidRPr="00E50289" w:rsidRDefault="00E5390C" w:rsidP="0016637F">
      <w:pPr>
        <w:pStyle w:val="3-BodyText"/>
        <w:rPr>
          <w:color w:val="000000" w:themeColor="text1"/>
        </w:rPr>
      </w:pPr>
      <w:r w:rsidRPr="00E50289">
        <w:rPr>
          <w:rFonts w:eastAsia="Calibri" w:cs="Calibri"/>
          <w:color w:val="000000" w:themeColor="text1"/>
          <w:szCs w:val="20"/>
          <w:lang w:eastAsia="en-US"/>
        </w:rPr>
        <w:t>M</w:t>
      </w:r>
      <w:r w:rsidR="0059604F" w:rsidRPr="00E50289">
        <w:rPr>
          <w:rFonts w:eastAsia="Calibri" w:cs="Calibri"/>
          <w:color w:val="000000" w:themeColor="text1"/>
          <w:szCs w:val="20"/>
          <w:lang w:eastAsia="en-US"/>
        </w:rPr>
        <w:t>aintenance phase</w:t>
      </w:r>
      <w:r w:rsidRPr="00E50289">
        <w:rPr>
          <w:rFonts w:eastAsia="Calibri" w:cs="Calibri"/>
          <w:color w:val="000000" w:themeColor="text1"/>
          <w:szCs w:val="20"/>
          <w:lang w:eastAsia="en-US"/>
        </w:rPr>
        <w:t>: T</w:t>
      </w:r>
      <w:r w:rsidR="0059604F" w:rsidRPr="00E50289">
        <w:rPr>
          <w:rFonts w:eastAsia="Calibri" w:cs="Calibri"/>
          <w:color w:val="000000" w:themeColor="text1"/>
          <w:szCs w:val="20"/>
          <w:lang w:eastAsia="en-US"/>
        </w:rPr>
        <w:t>hree doses of upadacitinib were indirectly compared with the comparators: 15</w:t>
      </w:r>
      <w:r w:rsidR="0034364A">
        <w:rPr>
          <w:rFonts w:ascii="Arial Narrow" w:eastAsiaTheme="majorEastAsia" w:hAnsi="Arial Narrow"/>
          <w:sz w:val="18"/>
          <w:szCs w:val="22"/>
        </w:rPr>
        <w:t> </w:t>
      </w:r>
      <w:r w:rsidR="0059604F" w:rsidRPr="00E50289">
        <w:rPr>
          <w:rFonts w:eastAsia="Calibri" w:cs="Calibri"/>
          <w:color w:val="000000" w:themeColor="text1"/>
          <w:szCs w:val="20"/>
          <w:lang w:eastAsia="en-US"/>
        </w:rPr>
        <w:t>mg, 30</w:t>
      </w:r>
      <w:r w:rsidR="0034364A">
        <w:rPr>
          <w:rFonts w:ascii="Arial Narrow" w:eastAsiaTheme="majorEastAsia" w:hAnsi="Arial Narrow"/>
          <w:sz w:val="18"/>
          <w:szCs w:val="22"/>
        </w:rPr>
        <w:t> </w:t>
      </w:r>
      <w:r w:rsidRPr="00E50289">
        <w:rPr>
          <w:rFonts w:eastAsia="Calibri" w:cs="Calibri"/>
          <w:color w:val="000000" w:themeColor="text1"/>
          <w:szCs w:val="20"/>
          <w:lang w:eastAsia="en-US"/>
        </w:rPr>
        <w:t>mg,</w:t>
      </w:r>
      <w:r w:rsidR="0059604F" w:rsidRPr="00E50289">
        <w:rPr>
          <w:rFonts w:eastAsia="Calibri" w:cs="Calibri"/>
          <w:color w:val="000000" w:themeColor="text1"/>
          <w:szCs w:val="20"/>
          <w:lang w:eastAsia="en-US"/>
        </w:rPr>
        <w:t xml:space="preserve"> and pooled 15/30</w:t>
      </w:r>
      <w:r w:rsidR="0034364A">
        <w:rPr>
          <w:rFonts w:ascii="Arial Narrow" w:eastAsiaTheme="majorEastAsia" w:hAnsi="Arial Narrow"/>
          <w:sz w:val="18"/>
          <w:szCs w:val="22"/>
        </w:rPr>
        <w:t> </w:t>
      </w:r>
      <w:r w:rsidR="0059604F" w:rsidRPr="00E50289">
        <w:rPr>
          <w:rFonts w:eastAsia="Calibri" w:cs="Calibri"/>
          <w:color w:val="000000" w:themeColor="text1"/>
          <w:szCs w:val="20"/>
          <w:lang w:eastAsia="en-US"/>
        </w:rPr>
        <w:t>mg data</w:t>
      </w:r>
      <w:r w:rsidR="00CA2E63" w:rsidRPr="00E50289">
        <w:rPr>
          <w:rFonts w:eastAsia="Calibri" w:cs="Calibri"/>
          <w:color w:val="000000" w:themeColor="text1"/>
          <w:szCs w:val="20"/>
          <w:lang w:eastAsia="en-US"/>
        </w:rPr>
        <w:t xml:space="preserve"> (</w:t>
      </w:r>
      <w:r w:rsidR="00CA2E63" w:rsidRPr="00E50289">
        <w:rPr>
          <w:rFonts w:ascii="Calibri" w:eastAsia="Calibri" w:hAnsi="Calibri" w:cs="Calibri"/>
          <w:snapToGrid/>
          <w:color w:val="000000" w:themeColor="text1"/>
          <w:szCs w:val="20"/>
          <w:lang w:eastAsia="en-US"/>
        </w:rPr>
        <w:fldChar w:fldCharType="begin" w:fldLock="1"/>
      </w:r>
      <w:r w:rsidR="00CA2E63" w:rsidRPr="00E50289">
        <w:rPr>
          <w:rFonts w:eastAsia="Calibri" w:cs="Calibri"/>
          <w:color w:val="000000" w:themeColor="text1"/>
          <w:szCs w:val="20"/>
          <w:lang w:eastAsia="en-US"/>
        </w:rPr>
        <w:instrText xml:space="preserve"> REF _Ref121578497 \h </w:instrText>
      </w:r>
      <w:r w:rsidR="00E50289" w:rsidRPr="00E50289">
        <w:rPr>
          <w:rFonts w:ascii="Calibri" w:eastAsia="Calibri" w:hAnsi="Calibri" w:cs="Calibri"/>
          <w:snapToGrid/>
          <w:color w:val="000000" w:themeColor="text1"/>
          <w:szCs w:val="20"/>
          <w:lang w:eastAsia="en-US"/>
        </w:rPr>
        <w:instrText xml:space="preserve"> \* MERGEFORMAT </w:instrText>
      </w:r>
      <w:r w:rsidR="00CA2E63" w:rsidRPr="00E50289">
        <w:rPr>
          <w:rFonts w:ascii="Calibri" w:eastAsia="Calibri" w:hAnsi="Calibri" w:cs="Calibri"/>
          <w:snapToGrid/>
          <w:color w:val="000000" w:themeColor="text1"/>
          <w:szCs w:val="20"/>
          <w:lang w:eastAsia="en-US"/>
        </w:rPr>
      </w:r>
      <w:r w:rsidR="00CA2E63" w:rsidRPr="00E50289">
        <w:rPr>
          <w:rFonts w:ascii="Calibri" w:eastAsia="Calibri" w:hAnsi="Calibri" w:cs="Calibri"/>
          <w:snapToGrid/>
          <w:color w:val="000000" w:themeColor="text1"/>
          <w:szCs w:val="20"/>
          <w:lang w:eastAsia="en-US"/>
        </w:rPr>
        <w:fldChar w:fldCharType="separate"/>
      </w:r>
      <w:r w:rsidR="0033335A" w:rsidRPr="00E50289">
        <w:t xml:space="preserve">Table </w:t>
      </w:r>
      <w:r w:rsidR="0033335A" w:rsidRPr="00E50289">
        <w:rPr>
          <w:noProof/>
        </w:rPr>
        <w:t>7</w:t>
      </w:r>
      <w:r w:rsidR="00CA2E63" w:rsidRPr="00E50289">
        <w:rPr>
          <w:rFonts w:eastAsia="Calibri" w:cs="Calibri"/>
          <w:color w:val="000000" w:themeColor="text1"/>
          <w:szCs w:val="20"/>
          <w:lang w:eastAsia="en-US"/>
        </w:rPr>
        <w:fldChar w:fldCharType="end"/>
      </w:r>
      <w:r w:rsidR="00CA2E63" w:rsidRPr="00E50289">
        <w:rPr>
          <w:rFonts w:eastAsia="Calibri" w:cs="Calibri"/>
          <w:color w:val="000000" w:themeColor="text1"/>
          <w:szCs w:val="20"/>
          <w:lang w:eastAsia="en-US"/>
        </w:rPr>
        <w:t>)</w:t>
      </w:r>
      <w:r w:rsidR="0059604F" w:rsidRPr="00E50289">
        <w:rPr>
          <w:rFonts w:eastAsia="Calibri" w:cs="Calibri"/>
          <w:color w:val="000000" w:themeColor="text1"/>
          <w:szCs w:val="20"/>
          <w:lang w:eastAsia="en-US"/>
        </w:rPr>
        <w:t>. Upadacitinib 15</w:t>
      </w:r>
      <w:r w:rsidR="0034364A">
        <w:rPr>
          <w:rFonts w:ascii="Arial Narrow" w:eastAsiaTheme="majorEastAsia" w:hAnsi="Arial Narrow"/>
          <w:sz w:val="18"/>
          <w:szCs w:val="22"/>
        </w:rPr>
        <w:t> </w:t>
      </w:r>
      <w:r w:rsidR="0059604F" w:rsidRPr="00E50289">
        <w:rPr>
          <w:rFonts w:eastAsia="Calibri" w:cs="Calibri"/>
          <w:color w:val="000000" w:themeColor="text1"/>
          <w:szCs w:val="20"/>
          <w:lang w:eastAsia="en-US"/>
        </w:rPr>
        <w:t xml:space="preserve">mg patients had </w:t>
      </w:r>
      <w:r w:rsidR="00CA2E63" w:rsidRPr="00E50289">
        <w:rPr>
          <w:rFonts w:eastAsia="Calibri" w:cs="Calibri"/>
          <w:color w:val="000000" w:themeColor="text1"/>
          <w:szCs w:val="20"/>
          <w:lang w:eastAsia="en-US"/>
        </w:rPr>
        <w:t xml:space="preserve">a </w:t>
      </w:r>
      <w:r w:rsidR="0059604F" w:rsidRPr="00E50289">
        <w:rPr>
          <w:rFonts w:eastAsia="Calibri" w:cs="Calibri"/>
          <w:color w:val="000000" w:themeColor="text1"/>
          <w:szCs w:val="20"/>
          <w:lang w:eastAsia="en-US"/>
        </w:rPr>
        <w:t>significantly higher clinical response</w:t>
      </w:r>
      <w:r w:rsidR="0059604F" w:rsidRPr="00E50289">
        <w:rPr>
          <w:rFonts w:eastAsia="Calibri" w:cs="Calibri"/>
          <w:b/>
          <w:bCs/>
          <w:color w:val="000000" w:themeColor="text1"/>
          <w:szCs w:val="20"/>
          <w:lang w:eastAsia="en-US"/>
        </w:rPr>
        <w:t xml:space="preserve"> </w:t>
      </w:r>
      <w:r w:rsidR="0059604F" w:rsidRPr="00E50289">
        <w:rPr>
          <w:rFonts w:eastAsia="Calibri" w:cs="Calibri"/>
          <w:color w:val="000000" w:themeColor="text1"/>
          <w:szCs w:val="20"/>
          <w:lang w:eastAsia="en-US"/>
        </w:rPr>
        <w:t xml:space="preserve">compared to risankizumab and ustekinumab (for </w:t>
      </w:r>
      <w:r w:rsidR="00CA2E63" w:rsidRPr="00E50289">
        <w:rPr>
          <w:snapToGrid/>
          <w:color w:val="000000" w:themeColor="text1"/>
          <w:lang w:val="en-US"/>
        </w:rPr>
        <w:t>OR</w:t>
      </w:r>
      <w:r w:rsidR="001C0029" w:rsidRPr="00E50289">
        <w:rPr>
          <w:snapToGrid/>
          <w:color w:val="000000" w:themeColor="text1"/>
          <w:lang w:val="en-US"/>
        </w:rPr>
        <w:t xml:space="preserve"> and </w:t>
      </w:r>
      <w:r w:rsidR="00CA2E63" w:rsidRPr="00E50289">
        <w:rPr>
          <w:snapToGrid/>
          <w:color w:val="000000" w:themeColor="text1"/>
          <w:lang w:val="en-US"/>
        </w:rPr>
        <w:t>RR</w:t>
      </w:r>
      <w:r w:rsidR="0059604F" w:rsidRPr="00E50289">
        <w:rPr>
          <w:rFonts w:eastAsia="Calibri" w:cs="Calibri"/>
          <w:color w:val="000000" w:themeColor="text1"/>
          <w:szCs w:val="20"/>
          <w:lang w:eastAsia="en-US"/>
        </w:rPr>
        <w:t>)</w:t>
      </w:r>
      <w:r w:rsidR="00645992" w:rsidRPr="00E50289">
        <w:rPr>
          <w:rFonts w:eastAsia="Calibri" w:cs="Calibri"/>
          <w:color w:val="000000" w:themeColor="text1"/>
          <w:szCs w:val="20"/>
          <w:lang w:eastAsia="en-US"/>
        </w:rPr>
        <w:t xml:space="preserve"> and vedolizumab (</w:t>
      </w:r>
      <w:r w:rsidR="00C67475" w:rsidRPr="00E50289">
        <w:rPr>
          <w:rFonts w:eastAsia="Calibri" w:cs="Calibri"/>
          <w:color w:val="000000" w:themeColor="text1"/>
          <w:szCs w:val="20"/>
          <w:lang w:eastAsia="en-US"/>
        </w:rPr>
        <w:t xml:space="preserve">for </w:t>
      </w:r>
      <w:r w:rsidR="00645992" w:rsidRPr="00E50289">
        <w:rPr>
          <w:rFonts w:eastAsia="Calibri" w:cs="Calibri"/>
          <w:color w:val="000000" w:themeColor="text1"/>
          <w:szCs w:val="20"/>
          <w:lang w:eastAsia="en-US"/>
        </w:rPr>
        <w:t>RR only)</w:t>
      </w:r>
      <w:r w:rsidR="0059604F" w:rsidRPr="00E50289">
        <w:rPr>
          <w:rFonts w:eastAsia="Calibri" w:cs="Calibri"/>
          <w:color w:val="000000" w:themeColor="text1"/>
          <w:szCs w:val="20"/>
          <w:lang w:eastAsia="en-US"/>
        </w:rPr>
        <w:t>. Upadacitinib 30</w:t>
      </w:r>
      <w:r w:rsidR="0034364A">
        <w:rPr>
          <w:rFonts w:ascii="Arial Narrow" w:eastAsiaTheme="majorEastAsia" w:hAnsi="Arial Narrow"/>
          <w:sz w:val="18"/>
          <w:szCs w:val="22"/>
        </w:rPr>
        <w:t> </w:t>
      </w:r>
      <w:r w:rsidR="0059604F" w:rsidRPr="00E50289">
        <w:rPr>
          <w:rFonts w:eastAsia="Calibri" w:cs="Calibri"/>
          <w:color w:val="000000" w:themeColor="text1"/>
          <w:szCs w:val="20"/>
          <w:lang w:eastAsia="en-US"/>
        </w:rPr>
        <w:t>mg patients had significant</w:t>
      </w:r>
      <w:r w:rsidR="004B04A7" w:rsidRPr="00E50289">
        <w:rPr>
          <w:rFonts w:eastAsia="Calibri" w:cs="Calibri"/>
          <w:color w:val="000000" w:themeColor="text1"/>
          <w:szCs w:val="20"/>
          <w:lang w:eastAsia="en-US"/>
        </w:rPr>
        <w:t>ly</w:t>
      </w:r>
      <w:r w:rsidR="0059604F" w:rsidRPr="00E50289">
        <w:rPr>
          <w:rFonts w:eastAsia="Calibri" w:cs="Calibri"/>
          <w:color w:val="000000" w:themeColor="text1"/>
          <w:szCs w:val="20"/>
          <w:lang w:eastAsia="en-US"/>
        </w:rPr>
        <w:t xml:space="preserve"> higher clinical response compared to risankizumab, </w:t>
      </w:r>
      <w:bookmarkStart w:id="64" w:name="_Hlk121743610"/>
      <w:r w:rsidR="0059604F" w:rsidRPr="00E50289">
        <w:rPr>
          <w:rFonts w:eastAsia="Calibri" w:cs="Calibri"/>
          <w:color w:val="000000" w:themeColor="text1"/>
          <w:szCs w:val="20"/>
          <w:lang w:eastAsia="en-US"/>
        </w:rPr>
        <w:t>vedolizumab</w:t>
      </w:r>
      <w:bookmarkEnd w:id="64"/>
      <w:r w:rsidR="0059604F" w:rsidRPr="00E50289">
        <w:rPr>
          <w:rFonts w:eastAsia="Calibri" w:cs="Calibri"/>
          <w:color w:val="000000" w:themeColor="text1"/>
          <w:szCs w:val="20"/>
          <w:lang w:eastAsia="en-US"/>
        </w:rPr>
        <w:t xml:space="preserve"> and ustekinumab (in terms of </w:t>
      </w:r>
      <w:r w:rsidR="001A31B0" w:rsidRPr="00E50289">
        <w:rPr>
          <w:snapToGrid/>
          <w:color w:val="000000" w:themeColor="text1"/>
          <w:lang w:val="en-US"/>
        </w:rPr>
        <w:t>OR</w:t>
      </w:r>
      <w:r w:rsidR="0059604F" w:rsidRPr="00E50289">
        <w:rPr>
          <w:rFonts w:eastAsia="Calibri" w:cs="Calibri"/>
          <w:color w:val="000000" w:themeColor="text1"/>
          <w:szCs w:val="20"/>
          <w:lang w:eastAsia="en-US"/>
        </w:rPr>
        <w:t xml:space="preserve">, </w:t>
      </w:r>
      <w:r w:rsidR="001A31B0" w:rsidRPr="00E50289">
        <w:rPr>
          <w:snapToGrid/>
          <w:color w:val="000000" w:themeColor="text1"/>
          <w:lang w:val="en-US"/>
        </w:rPr>
        <w:t>RR</w:t>
      </w:r>
      <w:r w:rsidR="0059604F" w:rsidRPr="00E50289">
        <w:rPr>
          <w:rFonts w:eastAsia="Calibri" w:cs="Calibri"/>
          <w:color w:val="000000" w:themeColor="text1"/>
          <w:szCs w:val="20"/>
          <w:lang w:eastAsia="en-US"/>
        </w:rPr>
        <w:t xml:space="preserve"> and </w:t>
      </w:r>
      <w:r w:rsidR="001A31B0" w:rsidRPr="00E50289">
        <w:rPr>
          <w:snapToGrid/>
          <w:color w:val="000000" w:themeColor="text1"/>
          <w:lang w:val="en-US"/>
        </w:rPr>
        <w:t>RD</w:t>
      </w:r>
      <w:r w:rsidR="0059604F" w:rsidRPr="00E50289">
        <w:rPr>
          <w:rFonts w:eastAsia="Calibri" w:cs="Calibri"/>
          <w:color w:val="000000" w:themeColor="text1"/>
          <w:szCs w:val="20"/>
          <w:lang w:eastAsia="en-US"/>
        </w:rPr>
        <w:t>).</w:t>
      </w:r>
      <w:r w:rsidR="000C52FF">
        <w:rPr>
          <w:rFonts w:eastAsia="Calibri" w:cs="Calibri"/>
          <w:color w:val="000000" w:themeColor="text1"/>
          <w:szCs w:val="20"/>
          <w:lang w:eastAsia="en-US"/>
        </w:rPr>
        <w:t xml:space="preserve"> </w:t>
      </w:r>
    </w:p>
    <w:p w14:paraId="1474DDBE" w14:textId="30995E21" w:rsidR="00FE2454" w:rsidRPr="00E50289" w:rsidRDefault="00A65C00" w:rsidP="00A65C00">
      <w:pPr>
        <w:pStyle w:val="3-BodyText"/>
        <w:rPr>
          <w:rFonts w:ascii="Arial Narrow" w:eastAsiaTheme="majorEastAsia" w:hAnsi="Arial Narrow" w:cstheme="majorBidi"/>
          <w:b/>
          <w:bCs/>
          <w:sz w:val="20"/>
        </w:rPr>
      </w:pPr>
      <w:r w:rsidRPr="00E50289">
        <w:t>The submission did not report an indirect comparison for upadacitinib vs infliximab</w:t>
      </w:r>
      <w:r w:rsidR="00CB7C01" w:rsidRPr="00E50289">
        <w:t xml:space="preserve"> </w:t>
      </w:r>
      <w:r w:rsidRPr="00E50289">
        <w:rPr>
          <w:snapToGrid/>
          <w:color w:val="000000" w:themeColor="text1"/>
          <w:lang w:val="en-US"/>
        </w:rPr>
        <w:t>in the maintenance phase</w:t>
      </w:r>
      <w:r w:rsidR="00CB7C01" w:rsidRPr="00E50289">
        <w:rPr>
          <w:snapToGrid/>
          <w:color w:val="000000" w:themeColor="text1"/>
          <w:lang w:val="en-US"/>
        </w:rPr>
        <w:t>.</w:t>
      </w:r>
      <w:r w:rsidR="00127E40" w:rsidRPr="00E50289">
        <w:rPr>
          <w:snapToGrid/>
          <w:color w:val="000000" w:themeColor="text1"/>
          <w:lang w:val="en-US"/>
        </w:rPr>
        <w:t xml:space="preserve"> The </w:t>
      </w:r>
      <w:r w:rsidR="0099270D" w:rsidRPr="00E50289">
        <w:rPr>
          <w:snapToGrid/>
          <w:color w:val="000000" w:themeColor="text1"/>
          <w:lang w:val="en-US"/>
        </w:rPr>
        <w:t xml:space="preserve">PBAC previously noted that the trial data for the comparator infliximab had extremely wide confidence intervals and small patient numbers making the indirect comparison unreliable (Paragraph 7.8, </w:t>
      </w:r>
      <w:r w:rsidR="007F5FCE" w:rsidRPr="00E50289">
        <w:rPr>
          <w:snapToGrid/>
          <w:color w:val="000000" w:themeColor="text1"/>
          <w:lang w:val="en-US"/>
        </w:rPr>
        <w:t>Vedolizumab</w:t>
      </w:r>
      <w:r w:rsidR="00D71B40" w:rsidRPr="00E50289">
        <w:rPr>
          <w:snapToGrid/>
          <w:color w:val="000000" w:themeColor="text1"/>
          <w:lang w:val="en-US"/>
        </w:rPr>
        <w:t>,</w:t>
      </w:r>
      <w:r w:rsidR="007F5FCE" w:rsidRPr="00E50289">
        <w:rPr>
          <w:snapToGrid/>
          <w:color w:val="000000" w:themeColor="text1"/>
          <w:lang w:val="en-US"/>
        </w:rPr>
        <w:t xml:space="preserve"> </w:t>
      </w:r>
      <w:r w:rsidR="00507D16">
        <w:rPr>
          <w:snapToGrid/>
          <w:color w:val="000000" w:themeColor="text1"/>
          <w:lang w:val="en-US"/>
        </w:rPr>
        <w:t>PSD</w:t>
      </w:r>
      <w:r w:rsidR="007F5FCE" w:rsidRPr="00E50289">
        <w:rPr>
          <w:snapToGrid/>
          <w:color w:val="000000" w:themeColor="text1"/>
          <w:lang w:val="en-US"/>
        </w:rPr>
        <w:t>, March 2015 PBAC meeting</w:t>
      </w:r>
      <w:r w:rsidR="0099270D" w:rsidRPr="00E50289">
        <w:rPr>
          <w:snapToGrid/>
          <w:color w:val="000000" w:themeColor="text1"/>
          <w:lang w:val="en-US"/>
        </w:rPr>
        <w:t>)</w:t>
      </w:r>
      <w:r w:rsidR="007F5FCE" w:rsidRPr="00E50289">
        <w:rPr>
          <w:snapToGrid/>
          <w:color w:val="000000" w:themeColor="text1"/>
          <w:lang w:val="en-US"/>
        </w:rPr>
        <w:t>.</w:t>
      </w:r>
    </w:p>
    <w:p w14:paraId="5299F402" w14:textId="2200E8B7" w:rsidR="0059604F" w:rsidRPr="00C9624D" w:rsidRDefault="0059604F" w:rsidP="00BF5897">
      <w:pPr>
        <w:pStyle w:val="4-SubsectionHeading"/>
      </w:pPr>
      <w:bookmarkStart w:id="65" w:name="_Toc22897642"/>
      <w:bookmarkStart w:id="66" w:name="_Toc22898854"/>
      <w:bookmarkStart w:id="67" w:name="_Toc124863503"/>
      <w:r w:rsidRPr="00C9624D">
        <w:t>Comparative harms</w:t>
      </w:r>
      <w:bookmarkEnd w:id="65"/>
      <w:bookmarkEnd w:id="66"/>
      <w:bookmarkEnd w:id="67"/>
    </w:p>
    <w:p w14:paraId="27D531C7" w14:textId="5B08DDE4" w:rsidR="00AA5F2F" w:rsidRPr="00AA5F2F" w:rsidRDefault="00AA5F2F" w:rsidP="00AA5F2F">
      <w:pPr>
        <w:rPr>
          <w:snapToGrid w:val="0"/>
          <w:u w:val="single"/>
        </w:rPr>
      </w:pPr>
      <w:r w:rsidRPr="00A71954">
        <w:rPr>
          <w:snapToGrid w:val="0"/>
          <w:u w:val="single"/>
        </w:rPr>
        <w:t>Safety</w:t>
      </w:r>
      <w:r>
        <w:rPr>
          <w:snapToGrid w:val="0"/>
          <w:u w:val="single"/>
        </w:rPr>
        <w:t xml:space="preserve">: </w:t>
      </w:r>
      <w:r w:rsidRPr="00A71954">
        <w:rPr>
          <w:snapToGrid w:val="0"/>
          <w:u w:val="single"/>
        </w:rPr>
        <w:t xml:space="preserve">induction phase </w:t>
      </w:r>
    </w:p>
    <w:p w14:paraId="7732D341" w14:textId="3753E06B" w:rsidR="0059604F" w:rsidRDefault="0059604F" w:rsidP="00BF5897">
      <w:pPr>
        <w:pStyle w:val="3-BodyText"/>
        <w:keepNext/>
        <w:rPr>
          <w:color w:val="000000" w:themeColor="text1"/>
        </w:rPr>
      </w:pPr>
      <w:r>
        <w:rPr>
          <w:color w:val="000000" w:themeColor="text1"/>
        </w:rPr>
        <w:fldChar w:fldCharType="begin" w:fldLock="1"/>
      </w:r>
      <w:r>
        <w:rPr>
          <w:color w:val="000000" w:themeColor="text1"/>
        </w:rPr>
        <w:instrText xml:space="preserve"> REF _Ref121578532 \h </w:instrText>
      </w:r>
      <w:r>
        <w:rPr>
          <w:color w:val="000000" w:themeColor="text1"/>
        </w:rPr>
      </w:r>
      <w:r>
        <w:rPr>
          <w:color w:val="000000" w:themeColor="text1"/>
        </w:rPr>
        <w:fldChar w:fldCharType="separate"/>
      </w:r>
      <w:r w:rsidR="0033335A">
        <w:t xml:space="preserve">Table </w:t>
      </w:r>
      <w:r w:rsidR="0033335A">
        <w:rPr>
          <w:noProof/>
        </w:rPr>
        <w:t>8</w:t>
      </w:r>
      <w:r>
        <w:rPr>
          <w:color w:val="000000" w:themeColor="text1"/>
        </w:rPr>
        <w:fldChar w:fldCharType="end"/>
      </w:r>
      <w:r w:rsidRPr="00094E07">
        <w:rPr>
          <w:color w:val="000000" w:themeColor="text1"/>
        </w:rPr>
        <w:t xml:space="preserve"> </w:t>
      </w:r>
      <w:r w:rsidRPr="00565549">
        <w:t>presents a summary of the safety results for the induction phase.</w:t>
      </w:r>
    </w:p>
    <w:p w14:paraId="18898FC6" w14:textId="1A8D6353" w:rsidR="0059604F" w:rsidRDefault="0059604F" w:rsidP="006E0383">
      <w:pPr>
        <w:pStyle w:val="TableFigureHeading"/>
        <w:keepLines/>
        <w:pageBreakBefore/>
      </w:pPr>
      <w:bookmarkStart w:id="68" w:name="_Ref121578532"/>
      <w:r>
        <w:lastRenderedPageBreak/>
        <w:t xml:space="preserve">Table </w:t>
      </w:r>
      <w:fldSimple w:instr=" SEQ Table \* ARABIC " w:fldLock="1">
        <w:r w:rsidR="0033335A">
          <w:rPr>
            <w:noProof/>
          </w:rPr>
          <w:t>8</w:t>
        </w:r>
      </w:fldSimple>
      <w:bookmarkEnd w:id="68"/>
      <w:r>
        <w:t>:</w:t>
      </w:r>
      <w:r w:rsidRPr="005275E2">
        <w:t xml:space="preserve"> Safety summary, induction phase: trial and indirect comparison results</w:t>
      </w:r>
    </w:p>
    <w:tbl>
      <w:tblPr>
        <w:tblpPr w:leftFromText="180" w:rightFromText="180" w:vertAnchor="text" w:tblpY="1"/>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1"/>
        <w:gridCol w:w="993"/>
        <w:gridCol w:w="1275"/>
        <w:gridCol w:w="1275"/>
        <w:gridCol w:w="1418"/>
        <w:gridCol w:w="1416"/>
        <w:gridCol w:w="1419"/>
      </w:tblGrid>
      <w:tr w:rsidR="0059604F" w:rsidRPr="006E0383" w14:paraId="344415BD" w14:textId="77777777" w:rsidTr="006E0383">
        <w:trPr>
          <w:trHeight w:val="20"/>
          <w:tblHeader/>
        </w:trPr>
        <w:tc>
          <w:tcPr>
            <w:tcW w:w="634" w:type="pct"/>
            <w:shd w:val="clear" w:color="auto" w:fill="auto"/>
          </w:tcPr>
          <w:p w14:paraId="705D5088" w14:textId="77777777" w:rsidR="0059604F" w:rsidRPr="006E0383" w:rsidRDefault="0059604F" w:rsidP="006E0383">
            <w:pPr>
              <w:keepNext/>
              <w:jc w:val="center"/>
              <w:rPr>
                <w:rFonts w:ascii="Arial Narrow" w:eastAsia="Calibri" w:hAnsi="Arial Narrow" w:cs="Times New Roman"/>
                <w:b/>
                <w:bCs/>
                <w:snapToGrid w:val="0"/>
                <w:sz w:val="19"/>
                <w:szCs w:val="19"/>
                <w:lang w:eastAsia="en-US"/>
              </w:rPr>
            </w:pPr>
            <w:r w:rsidRPr="006E0383">
              <w:rPr>
                <w:rFonts w:ascii="Arial Narrow" w:eastAsia="Calibri" w:hAnsi="Arial Narrow" w:cs="Times New Roman"/>
                <w:b/>
                <w:bCs/>
                <w:snapToGrid w:val="0"/>
                <w:sz w:val="19"/>
                <w:szCs w:val="19"/>
                <w:lang w:eastAsia="en-US"/>
              </w:rPr>
              <w:t>Trial type or estimate</w:t>
            </w:r>
          </w:p>
        </w:tc>
        <w:tc>
          <w:tcPr>
            <w:tcW w:w="556" w:type="pct"/>
            <w:shd w:val="clear" w:color="auto" w:fill="auto"/>
          </w:tcPr>
          <w:p w14:paraId="46E754B0" w14:textId="77777777" w:rsidR="0059604F" w:rsidRPr="006E0383" w:rsidRDefault="0059604F" w:rsidP="006E0383">
            <w:pPr>
              <w:keepNext/>
              <w:jc w:val="center"/>
              <w:rPr>
                <w:rFonts w:ascii="Arial Narrow" w:eastAsia="Calibri" w:hAnsi="Arial Narrow" w:cs="Times New Roman"/>
                <w:b/>
                <w:bCs/>
                <w:snapToGrid w:val="0"/>
                <w:sz w:val="19"/>
                <w:szCs w:val="19"/>
                <w:lang w:eastAsia="en-US"/>
              </w:rPr>
            </w:pPr>
            <w:r w:rsidRPr="006E0383">
              <w:rPr>
                <w:rFonts w:ascii="Arial Narrow" w:eastAsia="Calibri" w:hAnsi="Arial Narrow" w:cs="Times New Roman"/>
                <w:b/>
                <w:bCs/>
                <w:snapToGrid w:val="0"/>
                <w:sz w:val="19"/>
                <w:szCs w:val="19"/>
                <w:lang w:eastAsia="en-US"/>
              </w:rPr>
              <w:t>Trial ID</w:t>
            </w:r>
          </w:p>
        </w:tc>
        <w:tc>
          <w:tcPr>
            <w:tcW w:w="714" w:type="pct"/>
            <w:shd w:val="clear" w:color="auto" w:fill="auto"/>
          </w:tcPr>
          <w:p w14:paraId="33A8B157" w14:textId="5C571018" w:rsidR="0059604F" w:rsidRPr="006E0383" w:rsidRDefault="0059604F" w:rsidP="006E0383">
            <w:pPr>
              <w:keepNext/>
              <w:jc w:val="center"/>
              <w:rPr>
                <w:rFonts w:ascii="Arial Narrow" w:eastAsia="Calibri" w:hAnsi="Arial Narrow" w:cs="Times New Roman"/>
                <w:b/>
                <w:bCs/>
                <w:snapToGrid w:val="0"/>
                <w:sz w:val="19"/>
                <w:szCs w:val="19"/>
                <w:lang w:eastAsia="en-US"/>
              </w:rPr>
            </w:pPr>
            <w:r w:rsidRPr="006E0383">
              <w:rPr>
                <w:rFonts w:ascii="Arial Narrow" w:eastAsia="Calibri" w:hAnsi="Arial Narrow" w:cs="Times New Roman"/>
                <w:b/>
                <w:bCs/>
                <w:snapToGrid w:val="0"/>
                <w:sz w:val="19"/>
                <w:szCs w:val="19"/>
                <w:lang w:eastAsia="en-US"/>
              </w:rPr>
              <w:t>Active</w:t>
            </w:r>
          </w:p>
          <w:p w14:paraId="69A8226E" w14:textId="77777777" w:rsidR="0059604F" w:rsidRPr="006E0383" w:rsidRDefault="0059604F" w:rsidP="006E0383">
            <w:pPr>
              <w:keepNext/>
              <w:jc w:val="center"/>
              <w:rPr>
                <w:rFonts w:ascii="Arial Narrow" w:eastAsia="Calibri" w:hAnsi="Arial Narrow" w:cs="Times New Roman"/>
                <w:b/>
                <w:bCs/>
                <w:snapToGrid w:val="0"/>
                <w:sz w:val="19"/>
                <w:szCs w:val="19"/>
                <w:lang w:eastAsia="en-US"/>
              </w:rPr>
            </w:pPr>
            <w:r w:rsidRPr="006E0383">
              <w:rPr>
                <w:rFonts w:ascii="Arial Narrow" w:eastAsia="Calibri" w:hAnsi="Arial Narrow" w:cs="Times New Roman"/>
                <w:b/>
                <w:bCs/>
                <w:snapToGrid w:val="0"/>
                <w:sz w:val="19"/>
                <w:szCs w:val="19"/>
                <w:lang w:eastAsia="en-US"/>
              </w:rPr>
              <w:t>Treatment</w:t>
            </w:r>
          </w:p>
          <w:p w14:paraId="723DCF44" w14:textId="77777777" w:rsidR="0059604F" w:rsidRPr="006E0383" w:rsidRDefault="0059604F" w:rsidP="006E0383">
            <w:pPr>
              <w:keepNext/>
              <w:jc w:val="center"/>
              <w:rPr>
                <w:rFonts w:ascii="Arial Narrow" w:eastAsia="Calibri" w:hAnsi="Arial Narrow" w:cs="Times New Roman"/>
                <w:b/>
                <w:bCs/>
                <w:snapToGrid w:val="0"/>
                <w:sz w:val="19"/>
                <w:szCs w:val="19"/>
                <w:lang w:eastAsia="en-US"/>
              </w:rPr>
            </w:pPr>
            <w:r w:rsidRPr="006E0383">
              <w:rPr>
                <w:rFonts w:ascii="Arial Narrow" w:eastAsia="Calibri" w:hAnsi="Arial Narrow" w:cs="Times New Roman"/>
                <w:b/>
                <w:bCs/>
                <w:snapToGrid w:val="0"/>
                <w:sz w:val="19"/>
                <w:szCs w:val="19"/>
                <w:lang w:eastAsia="en-US"/>
              </w:rPr>
              <w:t>n/N (%)</w:t>
            </w:r>
          </w:p>
        </w:tc>
        <w:tc>
          <w:tcPr>
            <w:tcW w:w="714" w:type="pct"/>
            <w:shd w:val="clear" w:color="auto" w:fill="auto"/>
          </w:tcPr>
          <w:p w14:paraId="484566D4" w14:textId="77777777" w:rsidR="0059604F" w:rsidRPr="006E0383" w:rsidRDefault="0059604F" w:rsidP="006E0383">
            <w:pPr>
              <w:keepNext/>
              <w:jc w:val="center"/>
              <w:rPr>
                <w:rFonts w:ascii="Arial Narrow" w:eastAsia="Calibri" w:hAnsi="Arial Narrow" w:cs="Times New Roman"/>
                <w:b/>
                <w:bCs/>
                <w:snapToGrid w:val="0"/>
                <w:sz w:val="19"/>
                <w:szCs w:val="19"/>
                <w:lang w:eastAsia="en-US"/>
              </w:rPr>
            </w:pPr>
            <w:r w:rsidRPr="006E0383">
              <w:rPr>
                <w:rFonts w:ascii="Arial Narrow" w:eastAsia="Calibri" w:hAnsi="Arial Narrow" w:cs="Times New Roman"/>
                <w:b/>
                <w:bCs/>
                <w:snapToGrid w:val="0"/>
                <w:sz w:val="19"/>
                <w:szCs w:val="19"/>
                <w:lang w:eastAsia="en-US"/>
              </w:rPr>
              <w:t>PBO</w:t>
            </w:r>
          </w:p>
          <w:p w14:paraId="2986A810" w14:textId="77777777" w:rsidR="0059604F" w:rsidRPr="006E0383" w:rsidRDefault="0059604F" w:rsidP="006E0383">
            <w:pPr>
              <w:keepNext/>
              <w:jc w:val="center"/>
              <w:rPr>
                <w:rFonts w:ascii="Arial Narrow" w:eastAsia="Calibri" w:hAnsi="Arial Narrow" w:cs="Times New Roman"/>
                <w:b/>
                <w:bCs/>
                <w:snapToGrid w:val="0"/>
                <w:sz w:val="19"/>
                <w:szCs w:val="19"/>
                <w:lang w:eastAsia="en-US"/>
              </w:rPr>
            </w:pPr>
            <w:r w:rsidRPr="006E0383">
              <w:rPr>
                <w:rFonts w:ascii="Arial Narrow" w:eastAsia="Calibri" w:hAnsi="Arial Narrow" w:cs="Times New Roman"/>
                <w:b/>
                <w:bCs/>
                <w:snapToGrid w:val="0"/>
                <w:sz w:val="19"/>
                <w:szCs w:val="19"/>
                <w:lang w:eastAsia="en-US"/>
              </w:rPr>
              <w:t>n/N (%)</w:t>
            </w:r>
          </w:p>
        </w:tc>
        <w:tc>
          <w:tcPr>
            <w:tcW w:w="794" w:type="pct"/>
            <w:shd w:val="clear" w:color="auto" w:fill="auto"/>
          </w:tcPr>
          <w:p w14:paraId="2DEA2782" w14:textId="77777777" w:rsidR="0059604F" w:rsidRPr="006E0383" w:rsidRDefault="0059604F" w:rsidP="006E0383">
            <w:pPr>
              <w:pStyle w:val="Tabletext"/>
              <w:keepNext/>
              <w:jc w:val="center"/>
              <w:rPr>
                <w:rFonts w:eastAsia="Calibri"/>
                <w:b/>
                <w:bCs/>
                <w:sz w:val="19"/>
                <w:szCs w:val="19"/>
                <w:lang w:eastAsia="en-US"/>
              </w:rPr>
            </w:pPr>
            <w:r w:rsidRPr="006E0383">
              <w:rPr>
                <w:rFonts w:eastAsia="Calibri"/>
                <w:b/>
                <w:bCs/>
                <w:sz w:val="19"/>
                <w:szCs w:val="19"/>
                <w:lang w:eastAsia="en-US"/>
              </w:rPr>
              <w:t>OR (95% CI)</w:t>
            </w:r>
          </w:p>
          <w:p w14:paraId="0AFA7AD3" w14:textId="77777777" w:rsidR="0059604F" w:rsidRPr="006E0383" w:rsidRDefault="0059604F" w:rsidP="006E0383">
            <w:pPr>
              <w:keepNext/>
              <w:jc w:val="center"/>
              <w:rPr>
                <w:rFonts w:ascii="Arial Narrow" w:eastAsia="Calibri" w:hAnsi="Arial Narrow" w:cs="Times New Roman"/>
                <w:b/>
                <w:bCs/>
                <w:snapToGrid w:val="0"/>
                <w:sz w:val="19"/>
                <w:szCs w:val="19"/>
                <w:lang w:eastAsia="en-US"/>
              </w:rPr>
            </w:pPr>
            <w:r w:rsidRPr="006E0383">
              <w:rPr>
                <w:rFonts w:ascii="Arial Narrow" w:eastAsia="Calibri" w:hAnsi="Arial Narrow"/>
                <w:b/>
                <w:bCs/>
                <w:sz w:val="19"/>
                <w:szCs w:val="19"/>
                <w:lang w:eastAsia="en-US"/>
              </w:rPr>
              <w:t>Results &lt;1 favours intervention</w:t>
            </w:r>
          </w:p>
        </w:tc>
        <w:tc>
          <w:tcPr>
            <w:tcW w:w="793" w:type="pct"/>
            <w:shd w:val="clear" w:color="auto" w:fill="auto"/>
          </w:tcPr>
          <w:p w14:paraId="4646A6E6" w14:textId="77777777" w:rsidR="0059604F" w:rsidRPr="006E0383" w:rsidRDefault="0059604F" w:rsidP="006E0383">
            <w:pPr>
              <w:keepNext/>
              <w:jc w:val="center"/>
              <w:rPr>
                <w:rFonts w:ascii="Arial Narrow" w:eastAsia="Calibri" w:hAnsi="Arial Narrow" w:cs="Times New Roman"/>
                <w:b/>
                <w:bCs/>
                <w:snapToGrid w:val="0"/>
                <w:sz w:val="19"/>
                <w:szCs w:val="19"/>
                <w:lang w:eastAsia="en-US"/>
              </w:rPr>
            </w:pPr>
            <w:r w:rsidRPr="006E0383">
              <w:rPr>
                <w:rFonts w:ascii="Arial Narrow" w:eastAsia="Calibri" w:hAnsi="Arial Narrow"/>
                <w:b/>
                <w:bCs/>
                <w:sz w:val="19"/>
                <w:szCs w:val="19"/>
                <w:lang w:eastAsia="en-US"/>
              </w:rPr>
              <w:t>RR (95% CI) Results &lt;1 favours intervention</w:t>
            </w:r>
          </w:p>
        </w:tc>
        <w:tc>
          <w:tcPr>
            <w:tcW w:w="794" w:type="pct"/>
            <w:shd w:val="clear" w:color="auto" w:fill="auto"/>
            <w:vAlign w:val="center"/>
          </w:tcPr>
          <w:p w14:paraId="1F7DB2E1" w14:textId="77777777" w:rsidR="0059604F" w:rsidRPr="006E0383" w:rsidRDefault="0059604F" w:rsidP="006E0383">
            <w:pPr>
              <w:keepNext/>
              <w:jc w:val="center"/>
              <w:rPr>
                <w:rFonts w:ascii="Arial Narrow" w:eastAsia="Calibri" w:hAnsi="Arial Narrow" w:cs="Times New Roman"/>
                <w:b/>
                <w:bCs/>
                <w:snapToGrid w:val="0"/>
                <w:sz w:val="19"/>
                <w:szCs w:val="19"/>
                <w:lang w:eastAsia="en-US"/>
              </w:rPr>
            </w:pPr>
            <w:r w:rsidRPr="006E0383">
              <w:rPr>
                <w:rFonts w:ascii="Arial Narrow" w:eastAsia="Calibri" w:hAnsi="Arial Narrow"/>
                <w:b/>
                <w:bCs/>
                <w:sz w:val="19"/>
                <w:szCs w:val="19"/>
                <w:lang w:eastAsia="en-US"/>
              </w:rPr>
              <w:t>RD (95% CI) Results &lt;0 favours intervention</w:t>
            </w:r>
          </w:p>
        </w:tc>
      </w:tr>
      <w:tr w:rsidR="0059604F" w:rsidRPr="006E0383" w14:paraId="0DE8B54C" w14:textId="77777777" w:rsidTr="006E0383">
        <w:trPr>
          <w:trHeight w:val="20"/>
        </w:trPr>
        <w:tc>
          <w:tcPr>
            <w:tcW w:w="5000" w:type="pct"/>
            <w:gridSpan w:val="7"/>
            <w:shd w:val="clear" w:color="auto" w:fill="auto"/>
          </w:tcPr>
          <w:p w14:paraId="3302CFC0" w14:textId="77777777" w:rsidR="0059604F" w:rsidRPr="006E0383" w:rsidRDefault="0059604F" w:rsidP="006E0383">
            <w:pPr>
              <w:keepNext/>
              <w:jc w:val="left"/>
              <w:rPr>
                <w:rFonts w:ascii="Arial Narrow" w:eastAsia="Calibri" w:hAnsi="Arial Narrow" w:cs="Times New Roman"/>
                <w:b/>
                <w:bCs/>
                <w:snapToGrid w:val="0"/>
                <w:sz w:val="19"/>
                <w:szCs w:val="19"/>
                <w:lang w:eastAsia="en-US"/>
              </w:rPr>
            </w:pPr>
            <w:r w:rsidRPr="006E0383">
              <w:rPr>
                <w:rFonts w:ascii="Arial Narrow" w:eastAsia="Calibri" w:hAnsi="Arial Narrow" w:cs="Times New Roman"/>
                <w:b/>
                <w:bCs/>
                <w:snapToGrid w:val="0"/>
                <w:sz w:val="19"/>
                <w:szCs w:val="19"/>
                <w:lang w:eastAsia="en-US"/>
              </w:rPr>
              <w:t>Any AE</w:t>
            </w:r>
          </w:p>
        </w:tc>
      </w:tr>
      <w:tr w:rsidR="0059604F" w:rsidRPr="006E0383" w14:paraId="68C2A283" w14:textId="77777777" w:rsidTr="006E0383">
        <w:trPr>
          <w:trHeight w:val="20"/>
        </w:trPr>
        <w:tc>
          <w:tcPr>
            <w:tcW w:w="634" w:type="pct"/>
            <w:vMerge w:val="restart"/>
            <w:vAlign w:val="center"/>
          </w:tcPr>
          <w:p w14:paraId="337FCF18" w14:textId="77777777" w:rsidR="0059604F" w:rsidRPr="006E0383" w:rsidRDefault="0059604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PBO</w:t>
            </w:r>
          </w:p>
        </w:tc>
        <w:tc>
          <w:tcPr>
            <w:tcW w:w="556" w:type="pct"/>
            <w:vAlign w:val="center"/>
          </w:tcPr>
          <w:p w14:paraId="4938A52F" w14:textId="77777777" w:rsidR="0059604F" w:rsidRPr="006E0383" w:rsidRDefault="0059604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U-EXCEED</w:t>
            </w:r>
          </w:p>
        </w:tc>
        <w:tc>
          <w:tcPr>
            <w:tcW w:w="714" w:type="pct"/>
            <w:vAlign w:val="center"/>
          </w:tcPr>
          <w:p w14:paraId="1D25D145"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221/324 (68.2)</w:t>
            </w:r>
          </w:p>
        </w:tc>
        <w:tc>
          <w:tcPr>
            <w:tcW w:w="714" w:type="pct"/>
            <w:vAlign w:val="center"/>
          </w:tcPr>
          <w:p w14:paraId="4EDA0BB3"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112/171 (65.5)</w:t>
            </w:r>
          </w:p>
        </w:tc>
        <w:tc>
          <w:tcPr>
            <w:tcW w:w="794" w:type="pct"/>
            <w:vAlign w:val="center"/>
          </w:tcPr>
          <w:p w14:paraId="1DFF9E62"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1.13 (0.76,1.67)</w:t>
            </w:r>
          </w:p>
        </w:tc>
        <w:tc>
          <w:tcPr>
            <w:tcW w:w="793" w:type="pct"/>
            <w:vAlign w:val="center"/>
          </w:tcPr>
          <w:p w14:paraId="726BCC99"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1.04 (0.91,1.19)</w:t>
            </w:r>
          </w:p>
        </w:tc>
        <w:tc>
          <w:tcPr>
            <w:tcW w:w="794" w:type="pct"/>
            <w:vAlign w:val="center"/>
          </w:tcPr>
          <w:p w14:paraId="2C94EFDC"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0.03 (-0.06, 0.11)</w:t>
            </w:r>
          </w:p>
        </w:tc>
      </w:tr>
      <w:tr w:rsidR="0059604F" w:rsidRPr="006E0383" w14:paraId="6BBCB049" w14:textId="77777777" w:rsidTr="006E0383">
        <w:trPr>
          <w:trHeight w:val="20"/>
        </w:trPr>
        <w:tc>
          <w:tcPr>
            <w:tcW w:w="634" w:type="pct"/>
            <w:vMerge/>
            <w:vAlign w:val="center"/>
          </w:tcPr>
          <w:p w14:paraId="0DE16265" w14:textId="77777777" w:rsidR="0059604F" w:rsidRPr="006E0383" w:rsidRDefault="0059604F" w:rsidP="006E0383">
            <w:pPr>
              <w:keepNext/>
              <w:jc w:val="left"/>
              <w:rPr>
                <w:rFonts w:ascii="Arial Narrow" w:eastAsia="Calibri" w:hAnsi="Arial Narrow" w:cs="Times New Roman"/>
                <w:snapToGrid w:val="0"/>
                <w:sz w:val="19"/>
                <w:szCs w:val="19"/>
                <w:lang w:eastAsia="en-US"/>
              </w:rPr>
            </w:pPr>
          </w:p>
        </w:tc>
        <w:tc>
          <w:tcPr>
            <w:tcW w:w="556" w:type="pct"/>
            <w:vAlign w:val="center"/>
          </w:tcPr>
          <w:p w14:paraId="1A887843" w14:textId="77777777" w:rsidR="0059604F" w:rsidRPr="006E0383" w:rsidRDefault="0059604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U-EXCEL</w:t>
            </w:r>
          </w:p>
        </w:tc>
        <w:tc>
          <w:tcPr>
            <w:tcW w:w="714" w:type="pct"/>
            <w:vAlign w:val="center"/>
          </w:tcPr>
          <w:p w14:paraId="007A6554"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219/350 (62.6)</w:t>
            </w:r>
          </w:p>
        </w:tc>
        <w:tc>
          <w:tcPr>
            <w:tcW w:w="714" w:type="pct"/>
            <w:vAlign w:val="center"/>
          </w:tcPr>
          <w:p w14:paraId="728E09D3"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103/176 (58.5)</w:t>
            </w:r>
          </w:p>
        </w:tc>
        <w:tc>
          <w:tcPr>
            <w:tcW w:w="794" w:type="pct"/>
            <w:vAlign w:val="center"/>
          </w:tcPr>
          <w:p w14:paraId="4E1BDA57"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1.18 (0.82,1.72)</w:t>
            </w:r>
          </w:p>
        </w:tc>
        <w:tc>
          <w:tcPr>
            <w:tcW w:w="793" w:type="pct"/>
            <w:vAlign w:val="center"/>
          </w:tcPr>
          <w:p w14:paraId="1D941632"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1.07 (0.92,1.24)</w:t>
            </w:r>
          </w:p>
        </w:tc>
        <w:tc>
          <w:tcPr>
            <w:tcW w:w="794" w:type="pct"/>
            <w:vAlign w:val="center"/>
          </w:tcPr>
          <w:p w14:paraId="552446CB"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0.04 (-0.05, 0.13)</w:t>
            </w:r>
          </w:p>
        </w:tc>
      </w:tr>
      <w:tr w:rsidR="0059604F" w:rsidRPr="006E0383" w14:paraId="0E2D49D9" w14:textId="77777777" w:rsidTr="006E0383">
        <w:trPr>
          <w:trHeight w:val="20"/>
        </w:trPr>
        <w:tc>
          <w:tcPr>
            <w:tcW w:w="634" w:type="pct"/>
            <w:vMerge/>
            <w:vAlign w:val="center"/>
          </w:tcPr>
          <w:p w14:paraId="40C3D8DB" w14:textId="77777777" w:rsidR="0059604F" w:rsidRPr="006E0383" w:rsidRDefault="0059604F" w:rsidP="006E0383">
            <w:pPr>
              <w:keepNext/>
              <w:jc w:val="left"/>
              <w:rPr>
                <w:rFonts w:ascii="Arial Narrow" w:eastAsia="Calibri" w:hAnsi="Arial Narrow" w:cs="Times New Roman"/>
                <w:snapToGrid w:val="0"/>
                <w:sz w:val="19"/>
                <w:szCs w:val="19"/>
                <w:lang w:eastAsia="en-US"/>
              </w:rPr>
            </w:pPr>
          </w:p>
        </w:tc>
        <w:tc>
          <w:tcPr>
            <w:tcW w:w="556" w:type="pct"/>
            <w:vAlign w:val="center"/>
          </w:tcPr>
          <w:p w14:paraId="3463189C" w14:textId="77777777" w:rsidR="0059604F" w:rsidRPr="006E0383" w:rsidRDefault="0059604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Pooled</w:t>
            </w:r>
          </w:p>
        </w:tc>
        <w:tc>
          <w:tcPr>
            <w:tcW w:w="714" w:type="pct"/>
          </w:tcPr>
          <w:p w14:paraId="58B3E459"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440/674 (65.2)</w:t>
            </w:r>
          </w:p>
        </w:tc>
        <w:tc>
          <w:tcPr>
            <w:tcW w:w="714" w:type="pct"/>
          </w:tcPr>
          <w:p w14:paraId="084C15B5"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215/317 (62.0)</w:t>
            </w:r>
          </w:p>
          <w:p w14:paraId="69E97F64" w14:textId="608D1619"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215/347</w:t>
            </w:r>
            <w:r w:rsidR="002722F3" w:rsidRPr="006E0383" w:rsidDel="002722F3">
              <w:rPr>
                <w:rFonts w:ascii="Arial Narrow" w:eastAsia="Calibri" w:hAnsi="Arial Narrow" w:cs="Times New Roman"/>
                <w:snapToGrid w:val="0"/>
                <w:sz w:val="19"/>
                <w:szCs w:val="19"/>
                <w:vertAlign w:val="superscript"/>
                <w:lang w:eastAsia="en-US"/>
              </w:rPr>
              <w:t xml:space="preserve"> </w:t>
            </w:r>
            <w:r w:rsidRPr="006E0383">
              <w:rPr>
                <w:rFonts w:ascii="Arial Narrow" w:eastAsia="Calibri" w:hAnsi="Arial Narrow" w:cs="Times New Roman"/>
                <w:snapToGrid w:val="0"/>
                <w:sz w:val="19"/>
                <w:szCs w:val="19"/>
                <w:lang w:eastAsia="en-US"/>
              </w:rPr>
              <w:t>(</w:t>
            </w:r>
            <w:proofErr w:type="gramStart"/>
            <w:r w:rsidRPr="006E0383">
              <w:rPr>
                <w:rFonts w:ascii="Arial Narrow" w:eastAsia="Calibri" w:hAnsi="Arial Narrow" w:cs="Times New Roman"/>
                <w:snapToGrid w:val="0"/>
                <w:sz w:val="19"/>
                <w:szCs w:val="19"/>
                <w:lang w:eastAsia="en-US"/>
              </w:rPr>
              <w:t>62.0)</w:t>
            </w:r>
            <w:r w:rsidR="002722F3" w:rsidRPr="006E0383">
              <w:rPr>
                <w:rFonts w:ascii="Arial Narrow" w:eastAsia="Calibri" w:hAnsi="Arial Narrow" w:cs="Times New Roman"/>
                <w:snapToGrid w:val="0"/>
                <w:sz w:val="19"/>
                <w:szCs w:val="19"/>
                <w:vertAlign w:val="superscript"/>
                <w:lang w:eastAsia="en-US"/>
              </w:rPr>
              <w:t>a</w:t>
            </w:r>
            <w:proofErr w:type="gramEnd"/>
          </w:p>
        </w:tc>
        <w:tc>
          <w:tcPr>
            <w:tcW w:w="794" w:type="pct"/>
          </w:tcPr>
          <w:p w14:paraId="3DC919D6"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1.16 (0.89,1.52)</w:t>
            </w:r>
          </w:p>
        </w:tc>
        <w:tc>
          <w:tcPr>
            <w:tcW w:w="793" w:type="pct"/>
          </w:tcPr>
          <w:p w14:paraId="66F0FFE8"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1.05 (0.96,1.16)</w:t>
            </w:r>
          </w:p>
        </w:tc>
        <w:tc>
          <w:tcPr>
            <w:tcW w:w="794" w:type="pct"/>
          </w:tcPr>
          <w:p w14:paraId="469646F7"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0.03 (-0.03, 0.10)</w:t>
            </w:r>
          </w:p>
        </w:tc>
      </w:tr>
      <w:tr w:rsidR="0059604F" w:rsidRPr="006E0383" w14:paraId="545D6DAC" w14:textId="77777777" w:rsidTr="006E0383">
        <w:trPr>
          <w:trHeight w:val="20"/>
        </w:trPr>
        <w:tc>
          <w:tcPr>
            <w:tcW w:w="1904" w:type="pct"/>
            <w:gridSpan w:val="3"/>
            <w:vMerge w:val="restart"/>
            <w:shd w:val="clear" w:color="auto" w:fill="auto"/>
          </w:tcPr>
          <w:p w14:paraId="45E92756" w14:textId="77777777" w:rsidR="00C12CEF" w:rsidRPr="006E0383" w:rsidRDefault="00C12CEF" w:rsidP="006E0383">
            <w:pPr>
              <w:pStyle w:val="In-tableHeading"/>
              <w:rPr>
                <w:snapToGrid w:val="0"/>
                <w:sz w:val="19"/>
                <w:szCs w:val="19"/>
                <w:lang w:eastAsia="en-US"/>
              </w:rPr>
            </w:pPr>
            <w:r w:rsidRPr="006E0383">
              <w:rPr>
                <w:snapToGrid w:val="0"/>
                <w:sz w:val="19"/>
                <w:szCs w:val="19"/>
                <w:lang w:eastAsia="en-US"/>
              </w:rPr>
              <w:t xml:space="preserve">Indirect comparisons: </w:t>
            </w:r>
          </w:p>
          <w:p w14:paraId="28CEFAE0" w14:textId="5D7033AF" w:rsidR="0059604F" w:rsidRPr="006E0383" w:rsidRDefault="00C12CEF" w:rsidP="006E0383">
            <w:pPr>
              <w:keepNext/>
              <w:jc w:val="left"/>
              <w:rPr>
                <w:rFonts w:ascii="Arial Narrow" w:eastAsia="Calibri" w:hAnsi="Arial Narrow" w:cs="Times New Roman"/>
                <w:snapToGrid w:val="0"/>
                <w:sz w:val="19"/>
                <w:szCs w:val="19"/>
                <w:lang w:eastAsia="en-US"/>
              </w:rPr>
            </w:pPr>
            <w:r w:rsidRPr="006E0383">
              <w:rPr>
                <w:rFonts w:ascii="Arial Narrow" w:eastAsiaTheme="majorEastAsia" w:hAnsi="Arial Narrow" w:cs="Times New Roman"/>
                <w:b/>
                <w:snapToGrid w:val="0"/>
                <w:sz w:val="19"/>
                <w:szCs w:val="19"/>
                <w:lang w:val="en-US" w:eastAsia="en-US"/>
              </w:rPr>
              <w:t>UPA vs comparators</w:t>
            </w:r>
          </w:p>
        </w:tc>
        <w:tc>
          <w:tcPr>
            <w:tcW w:w="714" w:type="pct"/>
            <w:shd w:val="clear" w:color="auto" w:fill="auto"/>
          </w:tcPr>
          <w:p w14:paraId="340C7F92" w14:textId="2800F0C9" w:rsidR="00C12CEF" w:rsidRPr="006E0383" w:rsidRDefault="00C12CE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ADA</w:t>
            </w:r>
          </w:p>
        </w:tc>
        <w:tc>
          <w:tcPr>
            <w:tcW w:w="794" w:type="pct"/>
            <w:shd w:val="clear" w:color="auto" w:fill="auto"/>
          </w:tcPr>
          <w:p w14:paraId="277B1CB2" w14:textId="77777777" w:rsidR="0059604F" w:rsidRPr="006E0383" w:rsidRDefault="0059604F" w:rsidP="006E0383">
            <w:pPr>
              <w:keepNext/>
              <w:jc w:val="center"/>
              <w:rPr>
                <w:rFonts w:ascii="Arial Narrow" w:eastAsia="Calibri" w:hAnsi="Arial Narrow" w:cs="Times New Roman"/>
                <w:b/>
                <w:bCs/>
                <w:snapToGrid w:val="0"/>
                <w:color w:val="FF0000"/>
                <w:sz w:val="19"/>
                <w:szCs w:val="19"/>
                <w:lang w:eastAsia="en-US"/>
              </w:rPr>
            </w:pPr>
            <w:r w:rsidRPr="006E0383">
              <w:rPr>
                <w:rFonts w:ascii="Arial Narrow" w:hAnsi="Arial Narrow"/>
                <w:b/>
                <w:bCs/>
                <w:color w:val="FF0000"/>
                <w:sz w:val="19"/>
                <w:szCs w:val="19"/>
              </w:rPr>
              <w:t>1.81 (1.15, 2.85)</w:t>
            </w:r>
          </w:p>
        </w:tc>
        <w:tc>
          <w:tcPr>
            <w:tcW w:w="793" w:type="pct"/>
            <w:shd w:val="clear" w:color="auto" w:fill="auto"/>
          </w:tcPr>
          <w:p w14:paraId="3908B0C8" w14:textId="77777777" w:rsidR="0059604F" w:rsidRPr="006E0383" w:rsidRDefault="0059604F" w:rsidP="006E0383">
            <w:pPr>
              <w:keepNext/>
              <w:jc w:val="center"/>
              <w:rPr>
                <w:rFonts w:ascii="Arial Narrow" w:eastAsia="Calibri" w:hAnsi="Arial Narrow" w:cs="Times New Roman"/>
                <w:b/>
                <w:bCs/>
                <w:snapToGrid w:val="0"/>
                <w:color w:val="FF0000"/>
                <w:sz w:val="19"/>
                <w:szCs w:val="19"/>
                <w:lang w:eastAsia="en-US"/>
              </w:rPr>
            </w:pPr>
            <w:r w:rsidRPr="006E0383">
              <w:rPr>
                <w:rFonts w:ascii="Arial Narrow" w:hAnsi="Arial Narrow"/>
                <w:b/>
                <w:bCs/>
                <w:color w:val="FF0000"/>
                <w:sz w:val="19"/>
                <w:szCs w:val="19"/>
              </w:rPr>
              <w:t>1.22 (1.05, 1.42)</w:t>
            </w:r>
          </w:p>
        </w:tc>
        <w:tc>
          <w:tcPr>
            <w:tcW w:w="794" w:type="pct"/>
            <w:shd w:val="clear" w:color="auto" w:fill="auto"/>
          </w:tcPr>
          <w:p w14:paraId="1D72B383" w14:textId="77777777" w:rsidR="0059604F" w:rsidRPr="006E0383" w:rsidRDefault="0059604F" w:rsidP="006E0383">
            <w:pPr>
              <w:keepNext/>
              <w:jc w:val="center"/>
              <w:rPr>
                <w:rFonts w:ascii="Arial Narrow" w:eastAsia="Calibri" w:hAnsi="Arial Narrow" w:cs="Times New Roman"/>
                <w:b/>
                <w:bCs/>
                <w:snapToGrid w:val="0"/>
                <w:color w:val="FF0000"/>
                <w:sz w:val="19"/>
                <w:szCs w:val="19"/>
                <w:lang w:eastAsia="en-US"/>
              </w:rPr>
            </w:pPr>
            <w:r w:rsidRPr="006E0383">
              <w:rPr>
                <w:rFonts w:ascii="Arial Narrow" w:hAnsi="Arial Narrow"/>
                <w:b/>
                <w:bCs/>
                <w:color w:val="FF0000"/>
                <w:sz w:val="19"/>
                <w:szCs w:val="19"/>
              </w:rPr>
              <w:t>0.13 (0.03, 0.23)</w:t>
            </w:r>
          </w:p>
        </w:tc>
      </w:tr>
      <w:tr w:rsidR="0059604F" w:rsidRPr="006E0383" w14:paraId="20A03A35" w14:textId="77777777" w:rsidTr="006E0383">
        <w:trPr>
          <w:trHeight w:val="20"/>
        </w:trPr>
        <w:tc>
          <w:tcPr>
            <w:tcW w:w="1904" w:type="pct"/>
            <w:gridSpan w:val="3"/>
            <w:vMerge/>
          </w:tcPr>
          <w:p w14:paraId="406C9787" w14:textId="69BEB842" w:rsidR="0059604F" w:rsidRPr="006E0383" w:rsidRDefault="0059604F" w:rsidP="006E0383">
            <w:pPr>
              <w:keepNext/>
              <w:jc w:val="left"/>
              <w:rPr>
                <w:rFonts w:ascii="Arial Narrow" w:eastAsia="Calibri" w:hAnsi="Arial Narrow" w:cs="Times New Roman"/>
                <w:snapToGrid w:val="0"/>
                <w:sz w:val="19"/>
                <w:szCs w:val="19"/>
                <w:lang w:eastAsia="en-US"/>
              </w:rPr>
            </w:pPr>
          </w:p>
        </w:tc>
        <w:tc>
          <w:tcPr>
            <w:tcW w:w="714" w:type="pct"/>
            <w:shd w:val="clear" w:color="auto" w:fill="auto"/>
          </w:tcPr>
          <w:p w14:paraId="312B0425" w14:textId="4722068B" w:rsidR="00C12CEF" w:rsidRPr="006E0383" w:rsidRDefault="00C12CE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RISA</w:t>
            </w:r>
          </w:p>
        </w:tc>
        <w:tc>
          <w:tcPr>
            <w:tcW w:w="794" w:type="pct"/>
            <w:shd w:val="clear" w:color="auto" w:fill="auto"/>
          </w:tcPr>
          <w:p w14:paraId="20FDEF96" w14:textId="77777777" w:rsidR="0059604F" w:rsidRPr="006E0383" w:rsidRDefault="0059604F" w:rsidP="006E0383">
            <w:pPr>
              <w:keepNext/>
              <w:jc w:val="center"/>
              <w:rPr>
                <w:rFonts w:ascii="Arial Narrow" w:eastAsia="Calibri" w:hAnsi="Arial Narrow" w:cs="Times New Roman"/>
                <w:b/>
                <w:bCs/>
                <w:snapToGrid w:val="0"/>
                <w:color w:val="FF0000"/>
                <w:sz w:val="19"/>
                <w:szCs w:val="19"/>
                <w:lang w:eastAsia="en-US"/>
              </w:rPr>
            </w:pPr>
            <w:r w:rsidRPr="006E0383">
              <w:rPr>
                <w:rFonts w:ascii="Arial Narrow" w:hAnsi="Arial Narrow"/>
                <w:b/>
                <w:bCs/>
                <w:color w:val="FF0000"/>
                <w:sz w:val="19"/>
                <w:szCs w:val="19"/>
              </w:rPr>
              <w:t>1.59 (1.09, 2.31)</w:t>
            </w:r>
          </w:p>
        </w:tc>
        <w:tc>
          <w:tcPr>
            <w:tcW w:w="793" w:type="pct"/>
            <w:shd w:val="clear" w:color="auto" w:fill="auto"/>
          </w:tcPr>
          <w:p w14:paraId="48DD034A" w14:textId="77777777" w:rsidR="0059604F" w:rsidRPr="006E0383" w:rsidRDefault="0059604F" w:rsidP="006E0383">
            <w:pPr>
              <w:keepNext/>
              <w:jc w:val="center"/>
              <w:rPr>
                <w:rFonts w:ascii="Arial Narrow" w:eastAsia="Calibri" w:hAnsi="Arial Narrow" w:cs="Times New Roman"/>
                <w:b/>
                <w:bCs/>
                <w:snapToGrid w:val="0"/>
                <w:color w:val="FF0000"/>
                <w:sz w:val="19"/>
                <w:szCs w:val="19"/>
                <w:lang w:eastAsia="en-US"/>
              </w:rPr>
            </w:pPr>
            <w:r w:rsidRPr="006E0383">
              <w:rPr>
                <w:rFonts w:ascii="Arial Narrow" w:hAnsi="Arial Narrow"/>
                <w:b/>
                <w:bCs/>
                <w:color w:val="FF0000"/>
                <w:sz w:val="19"/>
                <w:szCs w:val="19"/>
              </w:rPr>
              <w:t>1.19 (1.03, 1.38)</w:t>
            </w:r>
          </w:p>
        </w:tc>
        <w:tc>
          <w:tcPr>
            <w:tcW w:w="794" w:type="pct"/>
          </w:tcPr>
          <w:p w14:paraId="61D417C1" w14:textId="77777777" w:rsidR="0059604F" w:rsidRPr="006E0383" w:rsidRDefault="0059604F" w:rsidP="006E0383">
            <w:pPr>
              <w:keepNext/>
              <w:jc w:val="center"/>
              <w:rPr>
                <w:rFonts w:ascii="Arial Narrow" w:eastAsia="Calibri" w:hAnsi="Arial Narrow" w:cs="Times New Roman"/>
                <w:b/>
                <w:bCs/>
                <w:snapToGrid w:val="0"/>
                <w:color w:val="FF0000"/>
                <w:sz w:val="19"/>
                <w:szCs w:val="19"/>
                <w:lang w:eastAsia="en-US"/>
              </w:rPr>
            </w:pPr>
            <w:r w:rsidRPr="006E0383">
              <w:rPr>
                <w:rFonts w:ascii="Arial Narrow" w:hAnsi="Arial Narrow"/>
                <w:b/>
                <w:bCs/>
                <w:color w:val="FF0000"/>
                <w:sz w:val="19"/>
                <w:szCs w:val="19"/>
              </w:rPr>
              <w:t>0.10 (0.01, 0.19)</w:t>
            </w:r>
          </w:p>
        </w:tc>
      </w:tr>
      <w:tr w:rsidR="0059604F" w:rsidRPr="006E0383" w14:paraId="0B517421" w14:textId="77777777" w:rsidTr="006E0383">
        <w:trPr>
          <w:trHeight w:val="20"/>
        </w:trPr>
        <w:tc>
          <w:tcPr>
            <w:tcW w:w="1904" w:type="pct"/>
            <w:gridSpan w:val="3"/>
            <w:vMerge/>
          </w:tcPr>
          <w:p w14:paraId="309FF59B" w14:textId="54AFA8B2" w:rsidR="0059604F" w:rsidRPr="006E0383" w:rsidRDefault="0059604F" w:rsidP="006E0383">
            <w:pPr>
              <w:keepNext/>
              <w:jc w:val="left"/>
              <w:rPr>
                <w:rFonts w:ascii="Arial Narrow" w:eastAsia="Calibri" w:hAnsi="Arial Narrow" w:cs="Times New Roman"/>
                <w:snapToGrid w:val="0"/>
                <w:sz w:val="19"/>
                <w:szCs w:val="19"/>
                <w:lang w:eastAsia="en-US"/>
              </w:rPr>
            </w:pPr>
          </w:p>
        </w:tc>
        <w:tc>
          <w:tcPr>
            <w:tcW w:w="714" w:type="pct"/>
            <w:shd w:val="clear" w:color="auto" w:fill="auto"/>
          </w:tcPr>
          <w:p w14:paraId="6D08E114" w14:textId="7F61CCD2" w:rsidR="00C12CEF" w:rsidRPr="006E0383" w:rsidRDefault="00C12CE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UST</w:t>
            </w:r>
          </w:p>
        </w:tc>
        <w:tc>
          <w:tcPr>
            <w:tcW w:w="794" w:type="pct"/>
            <w:shd w:val="clear" w:color="auto" w:fill="auto"/>
          </w:tcPr>
          <w:p w14:paraId="039E14B4" w14:textId="77777777" w:rsidR="0059604F" w:rsidRPr="006E0383" w:rsidRDefault="0059604F" w:rsidP="006E0383">
            <w:pPr>
              <w:keepNext/>
              <w:jc w:val="center"/>
              <w:rPr>
                <w:rFonts w:ascii="Arial Narrow" w:eastAsia="Calibri" w:hAnsi="Arial Narrow" w:cs="Times New Roman"/>
                <w:snapToGrid w:val="0"/>
                <w:color w:val="000000"/>
                <w:sz w:val="19"/>
                <w:szCs w:val="19"/>
                <w:lang w:eastAsia="en-US"/>
              </w:rPr>
            </w:pPr>
            <w:r w:rsidRPr="006E0383">
              <w:rPr>
                <w:rFonts w:ascii="Arial Narrow" w:hAnsi="Arial Narrow"/>
                <w:sz w:val="19"/>
                <w:szCs w:val="19"/>
              </w:rPr>
              <w:t>1.10 (0.76, 1.61)</w:t>
            </w:r>
          </w:p>
        </w:tc>
        <w:tc>
          <w:tcPr>
            <w:tcW w:w="793" w:type="pct"/>
            <w:shd w:val="clear" w:color="auto" w:fill="auto"/>
          </w:tcPr>
          <w:p w14:paraId="628CE540"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hAnsi="Arial Narrow"/>
                <w:sz w:val="19"/>
                <w:szCs w:val="19"/>
              </w:rPr>
              <w:t>1.03 (0.90, 1.18)</w:t>
            </w:r>
          </w:p>
        </w:tc>
        <w:tc>
          <w:tcPr>
            <w:tcW w:w="794" w:type="pct"/>
          </w:tcPr>
          <w:p w14:paraId="5243BA5D"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hAnsi="Arial Narrow"/>
                <w:sz w:val="19"/>
                <w:szCs w:val="19"/>
              </w:rPr>
              <w:t>0.02 (-0.07, 0.11)</w:t>
            </w:r>
          </w:p>
        </w:tc>
      </w:tr>
      <w:tr w:rsidR="002360D1" w:rsidRPr="006E0383" w14:paraId="33E8F363" w14:textId="77777777" w:rsidTr="006E0383">
        <w:trPr>
          <w:trHeight w:val="20"/>
        </w:trPr>
        <w:tc>
          <w:tcPr>
            <w:tcW w:w="1904" w:type="pct"/>
            <w:gridSpan w:val="3"/>
            <w:vMerge/>
          </w:tcPr>
          <w:p w14:paraId="21ABDFBF" w14:textId="71E7A401" w:rsidR="002360D1" w:rsidRPr="006E0383" w:rsidRDefault="002360D1" w:rsidP="006E0383">
            <w:pPr>
              <w:keepNext/>
              <w:jc w:val="left"/>
              <w:rPr>
                <w:rFonts w:ascii="Arial Narrow" w:eastAsia="Calibri" w:hAnsi="Arial Narrow" w:cs="Times New Roman"/>
                <w:snapToGrid w:val="0"/>
                <w:sz w:val="19"/>
                <w:szCs w:val="19"/>
                <w:lang w:eastAsia="en-US"/>
              </w:rPr>
            </w:pPr>
          </w:p>
        </w:tc>
        <w:tc>
          <w:tcPr>
            <w:tcW w:w="714" w:type="pct"/>
            <w:shd w:val="clear" w:color="auto" w:fill="auto"/>
          </w:tcPr>
          <w:p w14:paraId="559FE51D" w14:textId="65FB9BAF" w:rsidR="00C12CEF" w:rsidRPr="006E0383" w:rsidRDefault="00C12CE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VDZ</w:t>
            </w:r>
          </w:p>
        </w:tc>
        <w:tc>
          <w:tcPr>
            <w:tcW w:w="794" w:type="pct"/>
            <w:shd w:val="clear" w:color="auto" w:fill="auto"/>
          </w:tcPr>
          <w:p w14:paraId="59B37807" w14:textId="77777777" w:rsidR="002360D1" w:rsidRPr="006E0383" w:rsidRDefault="002360D1" w:rsidP="006E0383">
            <w:pPr>
              <w:keepNext/>
              <w:jc w:val="center"/>
              <w:rPr>
                <w:rFonts w:ascii="Arial Narrow" w:eastAsia="Calibri" w:hAnsi="Arial Narrow" w:cs="Times New Roman"/>
                <w:snapToGrid w:val="0"/>
                <w:color w:val="000000"/>
                <w:sz w:val="19"/>
                <w:szCs w:val="19"/>
                <w:lang w:eastAsia="en-US"/>
              </w:rPr>
            </w:pPr>
            <w:r w:rsidRPr="006E0383">
              <w:rPr>
                <w:rFonts w:ascii="Arial Narrow" w:hAnsi="Arial Narrow"/>
                <w:sz w:val="19"/>
                <w:szCs w:val="19"/>
              </w:rPr>
              <w:t>1.35 (0.91, 1.99)</w:t>
            </w:r>
          </w:p>
          <w:p w14:paraId="551095FC" w14:textId="613E6786" w:rsidR="002360D1" w:rsidRPr="006E0383" w:rsidRDefault="002360D1" w:rsidP="006E0383">
            <w:pPr>
              <w:keepNext/>
              <w:jc w:val="center"/>
              <w:rPr>
                <w:rFonts w:ascii="Arial Narrow" w:eastAsia="Calibri" w:hAnsi="Arial Narrow" w:cs="Times New Roman"/>
                <w:snapToGrid w:val="0"/>
                <w:color w:val="000000"/>
                <w:sz w:val="19"/>
                <w:szCs w:val="19"/>
                <w:lang w:eastAsia="en-US"/>
              </w:rPr>
            </w:pPr>
            <w:r w:rsidRPr="006E0383">
              <w:rPr>
                <w:rFonts w:ascii="Arial Narrow" w:eastAsia="Calibri" w:hAnsi="Arial Narrow" w:cs="Times New Roman"/>
                <w:snapToGrid w:val="0"/>
                <w:color w:val="000000"/>
                <w:sz w:val="19"/>
                <w:szCs w:val="19"/>
                <w:lang w:eastAsia="en-US"/>
              </w:rPr>
              <w:t>1.23 (0.84,1.</w:t>
            </w:r>
            <w:proofErr w:type="gramStart"/>
            <w:r w:rsidRPr="006E0383">
              <w:rPr>
                <w:rFonts w:ascii="Arial Narrow" w:eastAsia="Calibri" w:hAnsi="Arial Narrow" w:cs="Times New Roman"/>
                <w:snapToGrid w:val="0"/>
                <w:color w:val="000000"/>
                <w:sz w:val="19"/>
                <w:szCs w:val="19"/>
                <w:lang w:eastAsia="en-US"/>
              </w:rPr>
              <w:t>78)</w:t>
            </w:r>
            <w:r w:rsidRPr="006E0383">
              <w:rPr>
                <w:rFonts w:ascii="Arial Narrow" w:eastAsia="Calibri" w:hAnsi="Arial Narrow" w:cs="Times New Roman"/>
                <w:snapToGrid w:val="0"/>
                <w:color w:val="000000"/>
                <w:sz w:val="19"/>
                <w:szCs w:val="19"/>
                <w:vertAlign w:val="superscript"/>
                <w:lang w:eastAsia="en-US"/>
              </w:rPr>
              <w:t>a</w:t>
            </w:r>
            <w:proofErr w:type="gramEnd"/>
          </w:p>
        </w:tc>
        <w:tc>
          <w:tcPr>
            <w:tcW w:w="793" w:type="pct"/>
            <w:shd w:val="clear" w:color="auto" w:fill="auto"/>
          </w:tcPr>
          <w:p w14:paraId="7856BE88" w14:textId="2865F198" w:rsidR="002360D1" w:rsidRPr="006E0383" w:rsidRDefault="002360D1" w:rsidP="006E0383">
            <w:pPr>
              <w:keepNext/>
              <w:jc w:val="center"/>
              <w:rPr>
                <w:rFonts w:ascii="Arial Narrow" w:hAnsi="Arial Narrow"/>
                <w:sz w:val="19"/>
                <w:szCs w:val="19"/>
              </w:rPr>
            </w:pPr>
            <w:r w:rsidRPr="006E0383">
              <w:rPr>
                <w:rFonts w:ascii="Arial Narrow" w:hAnsi="Arial Narrow"/>
                <w:sz w:val="19"/>
                <w:szCs w:val="19"/>
              </w:rPr>
              <w:t>1.12 (0.96, 1.30)</w:t>
            </w:r>
          </w:p>
        </w:tc>
        <w:tc>
          <w:tcPr>
            <w:tcW w:w="794" w:type="pct"/>
          </w:tcPr>
          <w:p w14:paraId="32D86D61" w14:textId="69F22763" w:rsidR="002360D1" w:rsidRPr="006E0383" w:rsidRDefault="002360D1" w:rsidP="006E0383">
            <w:pPr>
              <w:keepNext/>
              <w:jc w:val="center"/>
              <w:rPr>
                <w:rFonts w:ascii="Arial Narrow" w:hAnsi="Arial Narrow"/>
                <w:sz w:val="19"/>
                <w:szCs w:val="19"/>
              </w:rPr>
            </w:pPr>
            <w:r w:rsidRPr="006E0383">
              <w:rPr>
                <w:rFonts w:ascii="Arial Narrow" w:hAnsi="Arial Narrow"/>
                <w:sz w:val="19"/>
                <w:szCs w:val="19"/>
              </w:rPr>
              <w:t>0.07 (-0.03, 0.17)</w:t>
            </w:r>
          </w:p>
        </w:tc>
      </w:tr>
      <w:tr w:rsidR="0059604F" w:rsidRPr="006E0383" w14:paraId="14917079" w14:textId="77777777" w:rsidTr="006E0383">
        <w:trPr>
          <w:trHeight w:val="20"/>
        </w:trPr>
        <w:tc>
          <w:tcPr>
            <w:tcW w:w="1190" w:type="pct"/>
            <w:gridSpan w:val="2"/>
            <w:tcBorders>
              <w:right w:val="nil"/>
            </w:tcBorders>
            <w:shd w:val="clear" w:color="auto" w:fill="auto"/>
          </w:tcPr>
          <w:p w14:paraId="0ACDEBF1" w14:textId="4BAE151A" w:rsidR="0059604F" w:rsidRPr="006E0383" w:rsidRDefault="006E0A24"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b/>
                <w:bCs/>
                <w:snapToGrid w:val="0"/>
                <w:sz w:val="19"/>
                <w:szCs w:val="19"/>
                <w:lang w:eastAsia="en-US"/>
              </w:rPr>
              <w:t>S</w:t>
            </w:r>
            <w:r w:rsidR="00C43B16" w:rsidRPr="006E0383">
              <w:rPr>
                <w:rFonts w:ascii="Arial Narrow" w:eastAsia="Calibri" w:hAnsi="Arial Narrow" w:cs="Times New Roman"/>
                <w:b/>
                <w:bCs/>
                <w:snapToGrid w:val="0"/>
                <w:sz w:val="19"/>
                <w:szCs w:val="19"/>
                <w:lang w:eastAsia="en-US"/>
              </w:rPr>
              <w:t xml:space="preserve">erious </w:t>
            </w:r>
            <w:r w:rsidR="0059604F" w:rsidRPr="006E0383">
              <w:rPr>
                <w:rFonts w:ascii="Arial Narrow" w:eastAsia="Calibri" w:hAnsi="Arial Narrow" w:cs="Times New Roman"/>
                <w:b/>
                <w:bCs/>
                <w:snapToGrid w:val="0"/>
                <w:sz w:val="19"/>
                <w:szCs w:val="19"/>
                <w:lang w:eastAsia="en-US"/>
              </w:rPr>
              <w:t>AE</w:t>
            </w:r>
            <w:r w:rsidR="00837859" w:rsidRPr="006E0383">
              <w:rPr>
                <w:rFonts w:ascii="Arial Narrow" w:eastAsia="Calibri" w:hAnsi="Arial Narrow" w:cs="Times New Roman"/>
                <w:b/>
                <w:bCs/>
                <w:snapToGrid w:val="0"/>
                <w:sz w:val="19"/>
                <w:szCs w:val="19"/>
                <w:lang w:eastAsia="en-US"/>
              </w:rPr>
              <w:t>s</w:t>
            </w:r>
          </w:p>
        </w:tc>
        <w:tc>
          <w:tcPr>
            <w:tcW w:w="3810" w:type="pct"/>
            <w:gridSpan w:val="5"/>
            <w:tcBorders>
              <w:left w:val="nil"/>
            </w:tcBorders>
            <w:shd w:val="clear" w:color="auto" w:fill="auto"/>
          </w:tcPr>
          <w:p w14:paraId="18E14143" w14:textId="77777777" w:rsidR="0059604F" w:rsidRPr="006E0383" w:rsidRDefault="0059604F" w:rsidP="006E0383">
            <w:pPr>
              <w:keepNext/>
              <w:jc w:val="center"/>
              <w:rPr>
                <w:rFonts w:ascii="Arial Narrow" w:eastAsia="Calibri" w:hAnsi="Arial Narrow" w:cs="Times New Roman"/>
                <w:snapToGrid w:val="0"/>
                <w:sz w:val="19"/>
                <w:szCs w:val="19"/>
                <w:lang w:eastAsia="en-US"/>
              </w:rPr>
            </w:pPr>
          </w:p>
        </w:tc>
      </w:tr>
      <w:tr w:rsidR="0059604F" w:rsidRPr="006E0383" w14:paraId="649DA583" w14:textId="77777777" w:rsidTr="006E0383">
        <w:trPr>
          <w:trHeight w:val="20"/>
        </w:trPr>
        <w:tc>
          <w:tcPr>
            <w:tcW w:w="634" w:type="pct"/>
            <w:vMerge w:val="restart"/>
            <w:vAlign w:val="center"/>
          </w:tcPr>
          <w:p w14:paraId="2A949039" w14:textId="77777777" w:rsidR="0059604F" w:rsidRPr="006E0383" w:rsidRDefault="0059604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PBO</w:t>
            </w:r>
          </w:p>
        </w:tc>
        <w:tc>
          <w:tcPr>
            <w:tcW w:w="556" w:type="pct"/>
          </w:tcPr>
          <w:p w14:paraId="206DB260" w14:textId="77777777" w:rsidR="0059604F" w:rsidRPr="006E0383" w:rsidRDefault="0059604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U-EXCEED</w:t>
            </w:r>
          </w:p>
        </w:tc>
        <w:tc>
          <w:tcPr>
            <w:tcW w:w="714" w:type="pct"/>
          </w:tcPr>
          <w:p w14:paraId="2B60D449"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30/324 (9.3)</w:t>
            </w:r>
          </w:p>
        </w:tc>
        <w:tc>
          <w:tcPr>
            <w:tcW w:w="714" w:type="pct"/>
          </w:tcPr>
          <w:p w14:paraId="3CBCABF8"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17/171 (9.9)</w:t>
            </w:r>
          </w:p>
        </w:tc>
        <w:tc>
          <w:tcPr>
            <w:tcW w:w="794" w:type="pct"/>
          </w:tcPr>
          <w:p w14:paraId="2D1E0C75"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0.93 (0.53, 1.64)</w:t>
            </w:r>
          </w:p>
        </w:tc>
        <w:tc>
          <w:tcPr>
            <w:tcW w:w="793" w:type="pct"/>
          </w:tcPr>
          <w:p w14:paraId="74D0A34A"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0.92 (0.49, 1.73)</w:t>
            </w:r>
          </w:p>
        </w:tc>
        <w:tc>
          <w:tcPr>
            <w:tcW w:w="794" w:type="pct"/>
          </w:tcPr>
          <w:p w14:paraId="03155655" w14:textId="167C58F6"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-0.01</w:t>
            </w:r>
            <w:r w:rsidR="006E0383">
              <w:rPr>
                <w:rFonts w:ascii="Arial Narrow" w:eastAsia="Calibri" w:hAnsi="Arial Narrow" w:cs="Times New Roman"/>
                <w:snapToGrid w:val="0"/>
                <w:sz w:val="19"/>
                <w:szCs w:val="19"/>
                <w:lang w:eastAsia="en-US"/>
              </w:rPr>
              <w:t xml:space="preserve"> </w:t>
            </w:r>
            <w:r w:rsidRPr="006E0383">
              <w:rPr>
                <w:rFonts w:ascii="Arial Narrow" w:eastAsia="Calibri" w:hAnsi="Arial Narrow" w:cs="Times New Roman"/>
                <w:snapToGrid w:val="0"/>
                <w:sz w:val="19"/>
                <w:szCs w:val="19"/>
                <w:lang w:eastAsia="en-US"/>
              </w:rPr>
              <w:t>(-0.06, 0.05)</w:t>
            </w:r>
          </w:p>
        </w:tc>
      </w:tr>
      <w:tr w:rsidR="0059604F" w:rsidRPr="006E0383" w14:paraId="4205C28B" w14:textId="77777777" w:rsidTr="006E0383">
        <w:trPr>
          <w:trHeight w:val="20"/>
        </w:trPr>
        <w:tc>
          <w:tcPr>
            <w:tcW w:w="634" w:type="pct"/>
            <w:vMerge/>
            <w:vAlign w:val="center"/>
          </w:tcPr>
          <w:p w14:paraId="0EE379FF" w14:textId="77777777" w:rsidR="0059604F" w:rsidRPr="006E0383" w:rsidRDefault="0059604F" w:rsidP="006E0383">
            <w:pPr>
              <w:keepNext/>
              <w:jc w:val="left"/>
              <w:rPr>
                <w:rFonts w:ascii="Arial Narrow" w:eastAsia="Calibri" w:hAnsi="Arial Narrow" w:cs="Times New Roman"/>
                <w:snapToGrid w:val="0"/>
                <w:sz w:val="19"/>
                <w:szCs w:val="19"/>
                <w:lang w:eastAsia="en-US"/>
              </w:rPr>
            </w:pPr>
          </w:p>
        </w:tc>
        <w:tc>
          <w:tcPr>
            <w:tcW w:w="556" w:type="pct"/>
            <w:vAlign w:val="center"/>
          </w:tcPr>
          <w:p w14:paraId="47CBE93A" w14:textId="77777777" w:rsidR="0059604F" w:rsidRPr="006E0383" w:rsidRDefault="0059604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U-EXCEL</w:t>
            </w:r>
          </w:p>
        </w:tc>
        <w:tc>
          <w:tcPr>
            <w:tcW w:w="714" w:type="pct"/>
          </w:tcPr>
          <w:p w14:paraId="74BF3BBF"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24/350 (6.9)</w:t>
            </w:r>
          </w:p>
        </w:tc>
        <w:tc>
          <w:tcPr>
            <w:tcW w:w="714" w:type="pct"/>
          </w:tcPr>
          <w:p w14:paraId="6763FAE1"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12/176 (6.8)</w:t>
            </w:r>
          </w:p>
        </w:tc>
        <w:tc>
          <w:tcPr>
            <w:tcW w:w="794" w:type="pct"/>
          </w:tcPr>
          <w:p w14:paraId="019C8A8B"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1.01 (0.52, 1.96)</w:t>
            </w:r>
          </w:p>
        </w:tc>
        <w:tc>
          <w:tcPr>
            <w:tcW w:w="793" w:type="pct"/>
          </w:tcPr>
          <w:p w14:paraId="6D7BB330"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1.01 (0.49, 2.06)</w:t>
            </w:r>
          </w:p>
        </w:tc>
        <w:tc>
          <w:tcPr>
            <w:tcW w:w="794" w:type="pct"/>
          </w:tcPr>
          <w:p w14:paraId="3D961739"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0.00 (-0.05, 0.05)</w:t>
            </w:r>
          </w:p>
        </w:tc>
      </w:tr>
      <w:tr w:rsidR="0059604F" w:rsidRPr="006E0383" w14:paraId="6FDC864A" w14:textId="77777777" w:rsidTr="006E0383">
        <w:trPr>
          <w:trHeight w:val="20"/>
        </w:trPr>
        <w:tc>
          <w:tcPr>
            <w:tcW w:w="634" w:type="pct"/>
            <w:vMerge/>
            <w:vAlign w:val="center"/>
          </w:tcPr>
          <w:p w14:paraId="72052A5B" w14:textId="77777777" w:rsidR="0059604F" w:rsidRPr="006E0383" w:rsidRDefault="0059604F" w:rsidP="006E0383">
            <w:pPr>
              <w:keepNext/>
              <w:jc w:val="left"/>
              <w:rPr>
                <w:rFonts w:ascii="Arial Narrow" w:eastAsia="Calibri" w:hAnsi="Arial Narrow" w:cs="Times New Roman"/>
                <w:snapToGrid w:val="0"/>
                <w:sz w:val="19"/>
                <w:szCs w:val="19"/>
                <w:lang w:eastAsia="en-US"/>
              </w:rPr>
            </w:pPr>
          </w:p>
        </w:tc>
        <w:tc>
          <w:tcPr>
            <w:tcW w:w="556" w:type="pct"/>
            <w:vAlign w:val="center"/>
          </w:tcPr>
          <w:p w14:paraId="4B36D96C" w14:textId="77777777" w:rsidR="0059604F" w:rsidRPr="006E0383" w:rsidRDefault="0059604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Pooled</w:t>
            </w:r>
          </w:p>
        </w:tc>
        <w:tc>
          <w:tcPr>
            <w:tcW w:w="714" w:type="pct"/>
          </w:tcPr>
          <w:p w14:paraId="123FE186"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54/674 (8.0)</w:t>
            </w:r>
          </w:p>
        </w:tc>
        <w:tc>
          <w:tcPr>
            <w:tcW w:w="714" w:type="pct"/>
          </w:tcPr>
          <w:p w14:paraId="37BB8AA0"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29/347 (8.4)</w:t>
            </w:r>
          </w:p>
        </w:tc>
        <w:tc>
          <w:tcPr>
            <w:tcW w:w="794" w:type="pct"/>
          </w:tcPr>
          <w:p w14:paraId="30C1F7C3"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0.96 (0.62, 1.48)</w:t>
            </w:r>
          </w:p>
        </w:tc>
        <w:tc>
          <w:tcPr>
            <w:tcW w:w="793" w:type="pct"/>
          </w:tcPr>
          <w:p w14:paraId="1C4AD34D"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0.96 (0.60, 1.54)</w:t>
            </w:r>
          </w:p>
        </w:tc>
        <w:tc>
          <w:tcPr>
            <w:tcW w:w="794" w:type="pct"/>
          </w:tcPr>
          <w:p w14:paraId="7D98F42E"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0.00 (-0.04, 0.03)</w:t>
            </w:r>
          </w:p>
        </w:tc>
      </w:tr>
      <w:tr w:rsidR="0059604F" w:rsidRPr="006E0383" w14:paraId="7174414D" w14:textId="77777777" w:rsidTr="006E0383">
        <w:trPr>
          <w:trHeight w:val="20"/>
        </w:trPr>
        <w:tc>
          <w:tcPr>
            <w:tcW w:w="1904" w:type="pct"/>
            <w:gridSpan w:val="3"/>
            <w:vMerge w:val="restart"/>
            <w:shd w:val="clear" w:color="auto" w:fill="auto"/>
          </w:tcPr>
          <w:p w14:paraId="5E1F7E26" w14:textId="77777777" w:rsidR="00C12CEF" w:rsidRPr="006E0383" w:rsidRDefault="00C12CEF" w:rsidP="006E0383">
            <w:pPr>
              <w:pStyle w:val="In-tableHeading"/>
              <w:rPr>
                <w:snapToGrid w:val="0"/>
                <w:sz w:val="19"/>
                <w:szCs w:val="19"/>
                <w:lang w:eastAsia="en-US"/>
              </w:rPr>
            </w:pPr>
            <w:r w:rsidRPr="006E0383">
              <w:rPr>
                <w:snapToGrid w:val="0"/>
                <w:sz w:val="19"/>
                <w:szCs w:val="19"/>
                <w:lang w:eastAsia="en-US"/>
              </w:rPr>
              <w:t>Indirect comparisons:</w:t>
            </w:r>
          </w:p>
          <w:p w14:paraId="3B1F87A5" w14:textId="3D5AB065" w:rsidR="0059604F" w:rsidRPr="006E0383" w:rsidRDefault="0059604F" w:rsidP="006E0383">
            <w:pPr>
              <w:keepNext/>
              <w:jc w:val="left"/>
              <w:rPr>
                <w:rFonts w:ascii="Arial Narrow" w:eastAsia="Calibri" w:hAnsi="Arial Narrow" w:cs="Times New Roman"/>
                <w:snapToGrid w:val="0"/>
                <w:sz w:val="19"/>
                <w:szCs w:val="19"/>
                <w:lang w:eastAsia="en-US"/>
              </w:rPr>
            </w:pPr>
            <w:r w:rsidRPr="006E0383">
              <w:rPr>
                <w:rFonts w:ascii="Arial Narrow" w:eastAsiaTheme="majorEastAsia" w:hAnsi="Arial Narrow" w:cs="Times New Roman"/>
                <w:b/>
                <w:snapToGrid w:val="0"/>
                <w:sz w:val="19"/>
                <w:szCs w:val="19"/>
                <w:lang w:val="en-US" w:eastAsia="en-US"/>
              </w:rPr>
              <w:t xml:space="preserve">UPA vs </w:t>
            </w:r>
            <w:r w:rsidR="00C12CEF" w:rsidRPr="006E0383">
              <w:rPr>
                <w:rFonts w:ascii="Arial Narrow" w:eastAsiaTheme="majorEastAsia" w:hAnsi="Arial Narrow" w:cs="Times New Roman"/>
                <w:b/>
                <w:snapToGrid w:val="0"/>
                <w:sz w:val="19"/>
                <w:szCs w:val="19"/>
                <w:lang w:val="en-US" w:eastAsia="en-US"/>
              </w:rPr>
              <w:t>comparators</w:t>
            </w:r>
          </w:p>
        </w:tc>
        <w:tc>
          <w:tcPr>
            <w:tcW w:w="714" w:type="pct"/>
            <w:shd w:val="clear" w:color="auto" w:fill="auto"/>
          </w:tcPr>
          <w:p w14:paraId="43EDC7C2" w14:textId="208806A8" w:rsidR="00C12CEF" w:rsidRPr="006E0383" w:rsidRDefault="00C12CE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ADA</w:t>
            </w:r>
          </w:p>
        </w:tc>
        <w:tc>
          <w:tcPr>
            <w:tcW w:w="794" w:type="pct"/>
            <w:shd w:val="clear" w:color="auto" w:fill="auto"/>
          </w:tcPr>
          <w:p w14:paraId="43A3974A"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2.23 (0.75, 6.66)</w:t>
            </w:r>
          </w:p>
        </w:tc>
        <w:tc>
          <w:tcPr>
            <w:tcW w:w="793" w:type="pct"/>
            <w:shd w:val="clear" w:color="auto" w:fill="auto"/>
          </w:tcPr>
          <w:p w14:paraId="75EFBD42"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2.18 (0.76, 6.24)</w:t>
            </w:r>
          </w:p>
        </w:tc>
        <w:tc>
          <w:tcPr>
            <w:tcW w:w="794" w:type="pct"/>
            <w:shd w:val="clear" w:color="auto" w:fill="auto"/>
          </w:tcPr>
          <w:p w14:paraId="093C82D8"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0.03 (-0.02, 0.08)</w:t>
            </w:r>
          </w:p>
        </w:tc>
      </w:tr>
      <w:tr w:rsidR="0059604F" w:rsidRPr="006E0383" w14:paraId="21A750BB" w14:textId="77777777" w:rsidTr="006E0383">
        <w:trPr>
          <w:trHeight w:val="20"/>
        </w:trPr>
        <w:tc>
          <w:tcPr>
            <w:tcW w:w="1904" w:type="pct"/>
            <w:gridSpan w:val="3"/>
            <w:vMerge/>
          </w:tcPr>
          <w:p w14:paraId="7EB51B67" w14:textId="278E99C0" w:rsidR="0059604F" w:rsidRPr="006E0383" w:rsidRDefault="0059604F" w:rsidP="006E0383">
            <w:pPr>
              <w:keepNext/>
              <w:jc w:val="left"/>
              <w:rPr>
                <w:rFonts w:ascii="Arial Narrow" w:eastAsia="Calibri" w:hAnsi="Arial Narrow" w:cs="Times New Roman"/>
                <w:snapToGrid w:val="0"/>
                <w:sz w:val="19"/>
                <w:szCs w:val="19"/>
                <w:lang w:eastAsia="en-US"/>
              </w:rPr>
            </w:pPr>
          </w:p>
        </w:tc>
        <w:tc>
          <w:tcPr>
            <w:tcW w:w="714" w:type="pct"/>
            <w:shd w:val="clear" w:color="auto" w:fill="auto"/>
          </w:tcPr>
          <w:p w14:paraId="0D4F788F" w14:textId="1D7430AE" w:rsidR="00C12CEF" w:rsidRPr="006E0383" w:rsidRDefault="00C12CE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RISA</w:t>
            </w:r>
          </w:p>
        </w:tc>
        <w:tc>
          <w:tcPr>
            <w:tcW w:w="794" w:type="pct"/>
            <w:shd w:val="clear" w:color="auto" w:fill="auto"/>
          </w:tcPr>
          <w:p w14:paraId="04E94A8A" w14:textId="77777777" w:rsidR="0059604F" w:rsidRPr="006E0383" w:rsidRDefault="0059604F" w:rsidP="006E0383">
            <w:pPr>
              <w:keepNext/>
              <w:jc w:val="center"/>
              <w:rPr>
                <w:rFonts w:ascii="Arial Narrow" w:eastAsia="Calibri" w:hAnsi="Arial Narrow" w:cs="Times New Roman"/>
                <w:b/>
                <w:bCs/>
                <w:snapToGrid w:val="0"/>
                <w:color w:val="FF0000"/>
                <w:sz w:val="19"/>
                <w:szCs w:val="19"/>
                <w:lang w:eastAsia="en-US"/>
              </w:rPr>
            </w:pPr>
            <w:r w:rsidRPr="006E0383">
              <w:rPr>
                <w:rFonts w:ascii="Arial Narrow" w:eastAsia="Calibri" w:hAnsi="Arial Narrow" w:cs="Times New Roman"/>
                <w:b/>
                <w:bCs/>
                <w:snapToGrid w:val="0"/>
                <w:color w:val="FF0000"/>
                <w:sz w:val="19"/>
                <w:szCs w:val="19"/>
                <w:lang w:eastAsia="en-US"/>
              </w:rPr>
              <w:t>2.67 (1.39, 5.10)</w:t>
            </w:r>
          </w:p>
        </w:tc>
        <w:tc>
          <w:tcPr>
            <w:tcW w:w="793" w:type="pct"/>
            <w:shd w:val="clear" w:color="auto" w:fill="auto"/>
          </w:tcPr>
          <w:p w14:paraId="04DD3706" w14:textId="77777777" w:rsidR="0059604F" w:rsidRPr="006E0383" w:rsidRDefault="0059604F" w:rsidP="006E0383">
            <w:pPr>
              <w:keepNext/>
              <w:jc w:val="center"/>
              <w:rPr>
                <w:rFonts w:ascii="Arial Narrow" w:eastAsia="Calibri" w:hAnsi="Arial Narrow" w:cs="Times New Roman"/>
                <w:b/>
                <w:bCs/>
                <w:snapToGrid w:val="0"/>
                <w:color w:val="FF0000"/>
                <w:sz w:val="19"/>
                <w:szCs w:val="19"/>
                <w:lang w:eastAsia="en-US"/>
              </w:rPr>
            </w:pPr>
            <w:r w:rsidRPr="006E0383">
              <w:rPr>
                <w:rFonts w:ascii="Arial Narrow" w:eastAsia="Calibri" w:hAnsi="Arial Narrow" w:cs="Times New Roman"/>
                <w:b/>
                <w:bCs/>
                <w:snapToGrid w:val="0"/>
                <w:color w:val="FF0000"/>
                <w:sz w:val="19"/>
                <w:szCs w:val="19"/>
                <w:lang w:eastAsia="en-US"/>
              </w:rPr>
              <w:t>2.40 (1.33, 4.33)</w:t>
            </w:r>
          </w:p>
        </w:tc>
        <w:tc>
          <w:tcPr>
            <w:tcW w:w="794" w:type="pct"/>
          </w:tcPr>
          <w:p w14:paraId="35949F12" w14:textId="77777777" w:rsidR="0059604F" w:rsidRPr="006E0383" w:rsidRDefault="0059604F" w:rsidP="006E0383">
            <w:pPr>
              <w:keepNext/>
              <w:jc w:val="center"/>
              <w:rPr>
                <w:rFonts w:ascii="Arial Narrow" w:eastAsia="Calibri" w:hAnsi="Arial Narrow" w:cs="Times New Roman"/>
                <w:b/>
                <w:bCs/>
                <w:snapToGrid w:val="0"/>
                <w:color w:val="FF0000"/>
                <w:sz w:val="19"/>
                <w:szCs w:val="19"/>
                <w:lang w:eastAsia="en-US"/>
              </w:rPr>
            </w:pPr>
            <w:r w:rsidRPr="006E0383">
              <w:rPr>
                <w:rFonts w:ascii="Arial Narrow" w:eastAsia="Calibri" w:hAnsi="Arial Narrow" w:cs="Times New Roman"/>
                <w:b/>
                <w:bCs/>
                <w:snapToGrid w:val="0"/>
                <w:color w:val="FF0000"/>
                <w:sz w:val="19"/>
                <w:szCs w:val="19"/>
                <w:lang w:eastAsia="en-US"/>
              </w:rPr>
              <w:t>0.09 (0.04, 0.14)</w:t>
            </w:r>
          </w:p>
        </w:tc>
      </w:tr>
      <w:tr w:rsidR="0059604F" w:rsidRPr="006E0383" w14:paraId="16831B80" w14:textId="77777777" w:rsidTr="006E0383">
        <w:trPr>
          <w:trHeight w:val="20"/>
        </w:trPr>
        <w:tc>
          <w:tcPr>
            <w:tcW w:w="1904" w:type="pct"/>
            <w:gridSpan w:val="3"/>
            <w:vMerge/>
          </w:tcPr>
          <w:p w14:paraId="271EEF11" w14:textId="24AD1B44" w:rsidR="0059604F" w:rsidRPr="006E0383" w:rsidRDefault="0059604F" w:rsidP="006E0383">
            <w:pPr>
              <w:keepNext/>
              <w:jc w:val="left"/>
              <w:rPr>
                <w:rFonts w:ascii="Arial Narrow" w:eastAsia="Calibri" w:hAnsi="Arial Narrow" w:cs="Times New Roman"/>
                <w:snapToGrid w:val="0"/>
                <w:sz w:val="19"/>
                <w:szCs w:val="19"/>
                <w:lang w:eastAsia="en-US"/>
              </w:rPr>
            </w:pPr>
          </w:p>
        </w:tc>
        <w:tc>
          <w:tcPr>
            <w:tcW w:w="714" w:type="pct"/>
            <w:shd w:val="clear" w:color="auto" w:fill="auto"/>
          </w:tcPr>
          <w:p w14:paraId="10622C32" w14:textId="0D7C3EEF" w:rsidR="00C12CEF" w:rsidRPr="006E0383" w:rsidRDefault="00C12CE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UST</w:t>
            </w:r>
          </w:p>
        </w:tc>
        <w:tc>
          <w:tcPr>
            <w:tcW w:w="794" w:type="pct"/>
            <w:shd w:val="clear" w:color="auto" w:fill="auto"/>
          </w:tcPr>
          <w:p w14:paraId="68C63424"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1.10 (0.53, 2.30)</w:t>
            </w:r>
          </w:p>
        </w:tc>
        <w:tc>
          <w:tcPr>
            <w:tcW w:w="793" w:type="pct"/>
            <w:shd w:val="clear" w:color="auto" w:fill="auto"/>
          </w:tcPr>
          <w:p w14:paraId="16CB4889"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1.09 (0.55, 2.17)</w:t>
            </w:r>
          </w:p>
        </w:tc>
        <w:tc>
          <w:tcPr>
            <w:tcW w:w="794" w:type="pct"/>
          </w:tcPr>
          <w:p w14:paraId="0FAA6220"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-0.03 (-0.09,0.03)</w:t>
            </w:r>
          </w:p>
        </w:tc>
      </w:tr>
      <w:tr w:rsidR="0059604F" w:rsidRPr="006E0383" w14:paraId="081FA0BB" w14:textId="77777777" w:rsidTr="006E0383">
        <w:trPr>
          <w:trHeight w:val="20"/>
        </w:trPr>
        <w:tc>
          <w:tcPr>
            <w:tcW w:w="1904" w:type="pct"/>
            <w:gridSpan w:val="3"/>
            <w:vMerge/>
          </w:tcPr>
          <w:p w14:paraId="517EB0CA" w14:textId="1FFBC23E" w:rsidR="0059604F" w:rsidRPr="006E0383" w:rsidRDefault="0059604F" w:rsidP="006E0383">
            <w:pPr>
              <w:keepNext/>
              <w:jc w:val="left"/>
              <w:rPr>
                <w:rFonts w:ascii="Arial Narrow" w:eastAsia="Calibri" w:hAnsi="Arial Narrow" w:cs="Times New Roman"/>
                <w:snapToGrid w:val="0"/>
                <w:sz w:val="19"/>
                <w:szCs w:val="19"/>
                <w:lang w:eastAsia="en-US"/>
              </w:rPr>
            </w:pPr>
          </w:p>
        </w:tc>
        <w:tc>
          <w:tcPr>
            <w:tcW w:w="714" w:type="pct"/>
            <w:shd w:val="clear" w:color="auto" w:fill="auto"/>
          </w:tcPr>
          <w:p w14:paraId="5819050C" w14:textId="72870161" w:rsidR="00C12CEF" w:rsidRPr="006E0383" w:rsidRDefault="00C12CE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VDZ</w:t>
            </w:r>
          </w:p>
        </w:tc>
        <w:tc>
          <w:tcPr>
            <w:tcW w:w="794" w:type="pct"/>
            <w:shd w:val="clear" w:color="auto" w:fill="auto"/>
          </w:tcPr>
          <w:p w14:paraId="04510F9A"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0.88 (0.43, 1.81)</w:t>
            </w:r>
          </w:p>
        </w:tc>
        <w:tc>
          <w:tcPr>
            <w:tcW w:w="793" w:type="pct"/>
            <w:shd w:val="clear" w:color="auto" w:fill="auto"/>
          </w:tcPr>
          <w:p w14:paraId="34D02EBC"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0.89 (0.45, 1.74)</w:t>
            </w:r>
          </w:p>
        </w:tc>
        <w:tc>
          <w:tcPr>
            <w:tcW w:w="794" w:type="pct"/>
          </w:tcPr>
          <w:p w14:paraId="618A09B2" w14:textId="77777777" w:rsidR="00C252E2"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-0.01</w:t>
            </w:r>
          </w:p>
          <w:p w14:paraId="319DA715" w14:textId="4997D9C4"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(-0.06, 0.04)</w:t>
            </w:r>
          </w:p>
        </w:tc>
      </w:tr>
      <w:tr w:rsidR="0059604F" w:rsidRPr="006E0383" w14:paraId="1F52374F" w14:textId="77777777" w:rsidTr="006E0383">
        <w:trPr>
          <w:trHeight w:val="20"/>
        </w:trPr>
        <w:tc>
          <w:tcPr>
            <w:tcW w:w="5000" w:type="pct"/>
            <w:gridSpan w:val="7"/>
            <w:shd w:val="clear" w:color="auto" w:fill="auto"/>
          </w:tcPr>
          <w:p w14:paraId="4065E014" w14:textId="77777777" w:rsidR="0059604F" w:rsidRPr="006E0383" w:rsidRDefault="0059604F" w:rsidP="006E0383">
            <w:pPr>
              <w:keepNext/>
              <w:rPr>
                <w:rFonts w:ascii="Arial Narrow" w:eastAsia="Calibri" w:hAnsi="Arial Narrow" w:cs="Times New Roman"/>
                <w:snapToGrid w:val="0"/>
                <w:sz w:val="19"/>
                <w:szCs w:val="19"/>
                <w:lang w:eastAsia="en-US"/>
              </w:rPr>
            </w:pPr>
            <w:r w:rsidRPr="006E0383">
              <w:rPr>
                <w:rFonts w:ascii="Arial Narrow" w:eastAsia="Calibri" w:hAnsi="Arial Narrow" w:cs="Times New Roman"/>
                <w:b/>
                <w:bCs/>
                <w:snapToGrid w:val="0"/>
                <w:sz w:val="19"/>
                <w:szCs w:val="19"/>
                <w:lang w:eastAsia="en-US"/>
              </w:rPr>
              <w:t>Serious infections</w:t>
            </w:r>
          </w:p>
        </w:tc>
      </w:tr>
      <w:tr w:rsidR="0059604F" w:rsidRPr="006E0383" w14:paraId="579CEB41" w14:textId="77777777" w:rsidTr="006E0383">
        <w:trPr>
          <w:trHeight w:val="20"/>
        </w:trPr>
        <w:tc>
          <w:tcPr>
            <w:tcW w:w="634" w:type="pct"/>
            <w:vMerge w:val="restart"/>
            <w:vAlign w:val="center"/>
          </w:tcPr>
          <w:p w14:paraId="30209596" w14:textId="77777777" w:rsidR="0059604F" w:rsidRPr="006E0383" w:rsidRDefault="0059604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PBO</w:t>
            </w:r>
          </w:p>
        </w:tc>
        <w:tc>
          <w:tcPr>
            <w:tcW w:w="556" w:type="pct"/>
            <w:vAlign w:val="center"/>
          </w:tcPr>
          <w:p w14:paraId="6D1764B2" w14:textId="77777777" w:rsidR="0059604F" w:rsidRPr="006E0383" w:rsidRDefault="0059604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U-EXCEED</w:t>
            </w:r>
          </w:p>
        </w:tc>
        <w:tc>
          <w:tcPr>
            <w:tcW w:w="714" w:type="pct"/>
          </w:tcPr>
          <w:p w14:paraId="357EEC43"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9/324 (2.8)</w:t>
            </w:r>
          </w:p>
        </w:tc>
        <w:tc>
          <w:tcPr>
            <w:tcW w:w="714" w:type="pct"/>
          </w:tcPr>
          <w:p w14:paraId="613A99E2"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3/171 (1.8)</w:t>
            </w:r>
          </w:p>
        </w:tc>
        <w:tc>
          <w:tcPr>
            <w:tcW w:w="794" w:type="pct"/>
          </w:tcPr>
          <w:p w14:paraId="202E6140"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1.58 (0.43, 5.77)</w:t>
            </w:r>
          </w:p>
        </w:tc>
        <w:tc>
          <w:tcPr>
            <w:tcW w:w="793" w:type="pct"/>
          </w:tcPr>
          <w:p w14:paraId="2E55882D"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1.60 (0.43, 5.99)</w:t>
            </w:r>
          </w:p>
        </w:tc>
        <w:tc>
          <w:tcPr>
            <w:tcW w:w="794" w:type="pct"/>
          </w:tcPr>
          <w:p w14:paraId="2255FB78"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0.01 (-0.02, 0.04)</w:t>
            </w:r>
          </w:p>
        </w:tc>
      </w:tr>
      <w:tr w:rsidR="0059604F" w:rsidRPr="006E0383" w14:paraId="05347A09" w14:textId="77777777" w:rsidTr="006E0383">
        <w:trPr>
          <w:trHeight w:val="20"/>
        </w:trPr>
        <w:tc>
          <w:tcPr>
            <w:tcW w:w="634" w:type="pct"/>
            <w:vMerge/>
            <w:vAlign w:val="center"/>
          </w:tcPr>
          <w:p w14:paraId="39FA1373" w14:textId="77777777" w:rsidR="0059604F" w:rsidRPr="006E0383" w:rsidRDefault="0059604F" w:rsidP="006E0383">
            <w:pPr>
              <w:keepNext/>
              <w:jc w:val="left"/>
              <w:rPr>
                <w:rFonts w:ascii="Arial Narrow" w:eastAsia="Calibri" w:hAnsi="Arial Narrow" w:cs="Times New Roman"/>
                <w:snapToGrid w:val="0"/>
                <w:sz w:val="19"/>
                <w:szCs w:val="19"/>
                <w:lang w:eastAsia="en-US"/>
              </w:rPr>
            </w:pPr>
          </w:p>
        </w:tc>
        <w:tc>
          <w:tcPr>
            <w:tcW w:w="556" w:type="pct"/>
            <w:tcBorders>
              <w:bottom w:val="single" w:sz="4" w:space="0" w:color="auto"/>
            </w:tcBorders>
            <w:vAlign w:val="center"/>
          </w:tcPr>
          <w:p w14:paraId="49C8FFC3" w14:textId="77777777" w:rsidR="0059604F" w:rsidRPr="006E0383" w:rsidRDefault="0059604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U-EXCEL</w:t>
            </w:r>
          </w:p>
        </w:tc>
        <w:tc>
          <w:tcPr>
            <w:tcW w:w="714" w:type="pct"/>
            <w:tcBorders>
              <w:bottom w:val="single" w:sz="4" w:space="0" w:color="auto"/>
            </w:tcBorders>
          </w:tcPr>
          <w:p w14:paraId="3F08C5A4"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4/350 (1.1)</w:t>
            </w:r>
          </w:p>
        </w:tc>
        <w:tc>
          <w:tcPr>
            <w:tcW w:w="714" w:type="pct"/>
            <w:tcBorders>
              <w:bottom w:val="single" w:sz="4" w:space="0" w:color="auto"/>
            </w:tcBorders>
          </w:tcPr>
          <w:p w14:paraId="4E92EA56"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3/176 (1.7)</w:t>
            </w:r>
          </w:p>
        </w:tc>
        <w:tc>
          <w:tcPr>
            <w:tcW w:w="794" w:type="pct"/>
            <w:tcBorders>
              <w:bottom w:val="single" w:sz="4" w:space="0" w:color="auto"/>
            </w:tcBorders>
          </w:tcPr>
          <w:p w14:paraId="7534C333"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0.67 (0.15, 2.96)</w:t>
            </w:r>
          </w:p>
        </w:tc>
        <w:tc>
          <w:tcPr>
            <w:tcW w:w="793" w:type="pct"/>
            <w:tcBorders>
              <w:bottom w:val="single" w:sz="4" w:space="0" w:color="auto"/>
            </w:tcBorders>
          </w:tcPr>
          <w:p w14:paraId="04317331"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0.67 (0.15, 3.01)</w:t>
            </w:r>
          </w:p>
        </w:tc>
        <w:tc>
          <w:tcPr>
            <w:tcW w:w="794" w:type="pct"/>
            <w:tcBorders>
              <w:bottom w:val="single" w:sz="4" w:space="0" w:color="auto"/>
            </w:tcBorders>
          </w:tcPr>
          <w:p w14:paraId="1C1F6747" w14:textId="77777777" w:rsidR="00C252E2"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-0.01</w:t>
            </w:r>
          </w:p>
          <w:p w14:paraId="781CD56C" w14:textId="709EEE0D"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(-0.03, 0.02)</w:t>
            </w:r>
          </w:p>
        </w:tc>
      </w:tr>
      <w:tr w:rsidR="0059604F" w:rsidRPr="006E0383" w14:paraId="6067B562" w14:textId="77777777" w:rsidTr="006E0383">
        <w:trPr>
          <w:trHeight w:val="20"/>
        </w:trPr>
        <w:tc>
          <w:tcPr>
            <w:tcW w:w="634" w:type="pct"/>
            <w:vMerge/>
            <w:vAlign w:val="center"/>
          </w:tcPr>
          <w:p w14:paraId="493A7107" w14:textId="77777777" w:rsidR="0059604F" w:rsidRPr="006E0383" w:rsidRDefault="0059604F" w:rsidP="006E0383">
            <w:pPr>
              <w:keepNext/>
              <w:jc w:val="left"/>
              <w:rPr>
                <w:rFonts w:ascii="Arial Narrow" w:eastAsia="Calibri" w:hAnsi="Arial Narrow" w:cs="Times New Roman"/>
                <w:snapToGrid w:val="0"/>
                <w:sz w:val="19"/>
                <w:szCs w:val="19"/>
                <w:lang w:eastAsia="en-US"/>
              </w:rPr>
            </w:pPr>
          </w:p>
        </w:tc>
        <w:tc>
          <w:tcPr>
            <w:tcW w:w="556" w:type="pct"/>
            <w:vAlign w:val="center"/>
          </w:tcPr>
          <w:p w14:paraId="620EF780" w14:textId="77777777" w:rsidR="0059604F" w:rsidRPr="006E0383" w:rsidRDefault="0059604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Pooled</w:t>
            </w:r>
          </w:p>
        </w:tc>
        <w:tc>
          <w:tcPr>
            <w:tcW w:w="714" w:type="pct"/>
          </w:tcPr>
          <w:p w14:paraId="7339E128"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13/674 (1.9)</w:t>
            </w:r>
          </w:p>
        </w:tc>
        <w:tc>
          <w:tcPr>
            <w:tcW w:w="714" w:type="pct"/>
          </w:tcPr>
          <w:p w14:paraId="0E7FBECF"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6/347 (1.7)</w:t>
            </w:r>
          </w:p>
        </w:tc>
        <w:tc>
          <w:tcPr>
            <w:tcW w:w="794" w:type="pct"/>
          </w:tcPr>
          <w:p w14:paraId="55C7C7AA"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1.12 (0.43, 2.92)</w:t>
            </w:r>
          </w:p>
        </w:tc>
        <w:tc>
          <w:tcPr>
            <w:tcW w:w="793" w:type="pct"/>
          </w:tcPr>
          <w:p w14:paraId="6C43B4FF"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1.13 (0.42, 2.98)</w:t>
            </w:r>
          </w:p>
        </w:tc>
        <w:tc>
          <w:tcPr>
            <w:tcW w:w="794" w:type="pct"/>
          </w:tcPr>
          <w:p w14:paraId="7C839E95"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0.00 (-0.02, 0.02)</w:t>
            </w:r>
          </w:p>
        </w:tc>
      </w:tr>
      <w:tr w:rsidR="00E51414" w:rsidRPr="006E0383" w14:paraId="347761D5" w14:textId="77777777" w:rsidTr="006E0383">
        <w:trPr>
          <w:trHeight w:val="20"/>
        </w:trPr>
        <w:tc>
          <w:tcPr>
            <w:tcW w:w="1904" w:type="pct"/>
            <w:gridSpan w:val="3"/>
            <w:vMerge w:val="restart"/>
            <w:shd w:val="clear" w:color="auto" w:fill="auto"/>
          </w:tcPr>
          <w:p w14:paraId="160A1F55" w14:textId="77777777" w:rsidR="00E51414" w:rsidRPr="006E0383" w:rsidRDefault="00E51414" w:rsidP="006E0383">
            <w:pPr>
              <w:pStyle w:val="In-tableHeading"/>
              <w:rPr>
                <w:snapToGrid w:val="0"/>
                <w:sz w:val="19"/>
                <w:szCs w:val="19"/>
                <w:lang w:eastAsia="en-US"/>
              </w:rPr>
            </w:pPr>
            <w:r w:rsidRPr="006E0383">
              <w:rPr>
                <w:snapToGrid w:val="0"/>
                <w:sz w:val="19"/>
                <w:szCs w:val="19"/>
                <w:lang w:eastAsia="en-US"/>
              </w:rPr>
              <w:t>Indirect comparisons:</w:t>
            </w:r>
          </w:p>
          <w:p w14:paraId="14786AEE" w14:textId="5FB6AB6F" w:rsidR="00E51414" w:rsidRPr="006E0383" w:rsidRDefault="00E51414" w:rsidP="006E0383">
            <w:pPr>
              <w:keepNext/>
              <w:jc w:val="left"/>
              <w:rPr>
                <w:rFonts w:ascii="Arial Narrow" w:eastAsia="Calibri" w:hAnsi="Arial Narrow" w:cs="Times New Roman"/>
                <w:snapToGrid w:val="0"/>
                <w:sz w:val="19"/>
                <w:szCs w:val="19"/>
                <w:lang w:eastAsia="en-US"/>
              </w:rPr>
            </w:pPr>
            <w:r w:rsidRPr="006E0383">
              <w:rPr>
                <w:rFonts w:ascii="Arial Narrow" w:eastAsiaTheme="majorEastAsia" w:hAnsi="Arial Narrow" w:cs="Times New Roman"/>
                <w:b/>
                <w:snapToGrid w:val="0"/>
                <w:sz w:val="19"/>
                <w:szCs w:val="19"/>
                <w:lang w:val="en-US" w:eastAsia="en-US"/>
              </w:rPr>
              <w:t>UPA vs comparators</w:t>
            </w:r>
          </w:p>
        </w:tc>
        <w:tc>
          <w:tcPr>
            <w:tcW w:w="714" w:type="pct"/>
            <w:shd w:val="clear" w:color="auto" w:fill="auto"/>
          </w:tcPr>
          <w:p w14:paraId="35EFE260" w14:textId="72D7FC01" w:rsidR="00E51414" w:rsidRPr="006E0383" w:rsidRDefault="00E51414"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ADA</w:t>
            </w:r>
          </w:p>
        </w:tc>
        <w:tc>
          <w:tcPr>
            <w:tcW w:w="794" w:type="pct"/>
            <w:shd w:val="clear" w:color="auto" w:fill="auto"/>
          </w:tcPr>
          <w:p w14:paraId="6AAAF417" w14:textId="6FF63D39" w:rsidR="00E51414" w:rsidRPr="006E0383" w:rsidRDefault="00E51414"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color w:val="000000"/>
                <w:sz w:val="19"/>
                <w:szCs w:val="19"/>
                <w:lang w:eastAsia="en-US"/>
              </w:rPr>
              <w:t>1.88 (0.33,10.88)</w:t>
            </w:r>
          </w:p>
        </w:tc>
        <w:tc>
          <w:tcPr>
            <w:tcW w:w="793" w:type="pct"/>
            <w:shd w:val="clear" w:color="auto" w:fill="auto"/>
          </w:tcPr>
          <w:p w14:paraId="3B630912" w14:textId="503897F2" w:rsidR="00E51414" w:rsidRPr="006E0383" w:rsidRDefault="00E51414" w:rsidP="006E0383">
            <w:pPr>
              <w:keepNext/>
              <w:jc w:val="center"/>
              <w:rPr>
                <w:rFonts w:ascii="Arial Narrow" w:eastAsia="Calibri" w:hAnsi="Arial Narrow" w:cs="Times New Roman"/>
                <w:snapToGrid w:val="0"/>
                <w:color w:val="000000"/>
                <w:sz w:val="19"/>
                <w:szCs w:val="19"/>
                <w:lang w:eastAsia="en-US"/>
              </w:rPr>
            </w:pPr>
            <w:r w:rsidRPr="006E0383">
              <w:rPr>
                <w:rFonts w:ascii="Arial Narrow" w:eastAsia="Calibri" w:hAnsi="Arial Narrow" w:cs="Times New Roman"/>
                <w:snapToGrid w:val="0"/>
                <w:color w:val="000000"/>
                <w:sz w:val="19"/>
                <w:szCs w:val="19"/>
                <w:lang w:eastAsia="en-US"/>
              </w:rPr>
              <w:t>1.84 (0.32,10.48)</w:t>
            </w:r>
          </w:p>
        </w:tc>
        <w:tc>
          <w:tcPr>
            <w:tcW w:w="794" w:type="pct"/>
            <w:shd w:val="clear" w:color="auto" w:fill="auto"/>
          </w:tcPr>
          <w:p w14:paraId="615FD4E6" w14:textId="77777777" w:rsidR="00E51414" w:rsidRPr="006E0383" w:rsidRDefault="00E51414"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color w:val="000000"/>
                <w:sz w:val="19"/>
                <w:szCs w:val="19"/>
                <w:lang w:eastAsia="en-US"/>
              </w:rPr>
              <w:t>0.01 (-0.02, 0.04)</w:t>
            </w:r>
          </w:p>
        </w:tc>
      </w:tr>
      <w:tr w:rsidR="00E51414" w:rsidRPr="006E0383" w14:paraId="69CA08BF" w14:textId="77777777" w:rsidTr="006E0383">
        <w:trPr>
          <w:trHeight w:val="20"/>
        </w:trPr>
        <w:tc>
          <w:tcPr>
            <w:tcW w:w="1904" w:type="pct"/>
            <w:gridSpan w:val="3"/>
            <w:vMerge/>
            <w:shd w:val="clear" w:color="auto" w:fill="auto"/>
          </w:tcPr>
          <w:p w14:paraId="5295D406" w14:textId="16239EDB" w:rsidR="00E51414" w:rsidRPr="006E0383" w:rsidRDefault="00E51414" w:rsidP="006E0383">
            <w:pPr>
              <w:keepNext/>
              <w:jc w:val="left"/>
              <w:rPr>
                <w:rFonts w:ascii="Arial Narrow" w:eastAsia="Calibri" w:hAnsi="Arial Narrow" w:cs="Times New Roman"/>
                <w:snapToGrid w:val="0"/>
                <w:sz w:val="19"/>
                <w:szCs w:val="19"/>
                <w:lang w:eastAsia="en-US"/>
              </w:rPr>
            </w:pPr>
          </w:p>
        </w:tc>
        <w:tc>
          <w:tcPr>
            <w:tcW w:w="714" w:type="pct"/>
            <w:shd w:val="clear" w:color="auto" w:fill="auto"/>
          </w:tcPr>
          <w:p w14:paraId="71F1057C" w14:textId="62EBA24E" w:rsidR="00E51414" w:rsidRPr="006E0383" w:rsidRDefault="00E51414"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RISA</w:t>
            </w:r>
          </w:p>
        </w:tc>
        <w:tc>
          <w:tcPr>
            <w:tcW w:w="794" w:type="pct"/>
            <w:shd w:val="clear" w:color="auto" w:fill="auto"/>
          </w:tcPr>
          <w:p w14:paraId="3838B043" w14:textId="77777777" w:rsidR="00E51414" w:rsidRPr="006E0383" w:rsidRDefault="00E51414" w:rsidP="006E0383">
            <w:pPr>
              <w:keepNext/>
              <w:jc w:val="center"/>
              <w:rPr>
                <w:rFonts w:ascii="Arial Narrow" w:eastAsia="Calibri" w:hAnsi="Arial Narrow" w:cs="Times New Roman"/>
                <w:b/>
                <w:bCs/>
                <w:snapToGrid w:val="0"/>
                <w:color w:val="FF0000"/>
                <w:sz w:val="19"/>
                <w:szCs w:val="19"/>
                <w:lang w:eastAsia="en-US"/>
              </w:rPr>
            </w:pPr>
            <w:r w:rsidRPr="006E0383">
              <w:rPr>
                <w:rFonts w:ascii="Arial Narrow" w:eastAsia="Calibri" w:hAnsi="Arial Narrow" w:cs="Times New Roman"/>
                <w:b/>
                <w:bCs/>
                <w:snapToGrid w:val="0"/>
                <w:color w:val="FF0000"/>
                <w:sz w:val="19"/>
                <w:szCs w:val="19"/>
                <w:lang w:eastAsia="en-US"/>
              </w:rPr>
              <w:t xml:space="preserve">4.35 </w:t>
            </w:r>
          </w:p>
          <w:p w14:paraId="58F3D03B" w14:textId="0D84BC4E" w:rsidR="00E51414" w:rsidRPr="006E0383" w:rsidRDefault="00E51414" w:rsidP="006E0383">
            <w:pPr>
              <w:keepNext/>
              <w:jc w:val="center"/>
              <w:rPr>
                <w:rFonts w:ascii="Arial Narrow" w:eastAsia="Calibri" w:hAnsi="Arial Narrow" w:cs="Times New Roman"/>
                <w:b/>
                <w:bCs/>
                <w:snapToGrid w:val="0"/>
                <w:color w:val="FF0000"/>
                <w:sz w:val="19"/>
                <w:szCs w:val="19"/>
                <w:lang w:eastAsia="en-US"/>
              </w:rPr>
            </w:pPr>
            <w:r w:rsidRPr="006E0383">
              <w:rPr>
                <w:rFonts w:ascii="Arial Narrow" w:eastAsia="Calibri" w:hAnsi="Arial Narrow" w:cs="Times New Roman"/>
                <w:b/>
                <w:bCs/>
                <w:snapToGrid w:val="0"/>
                <w:color w:val="FF0000"/>
                <w:sz w:val="19"/>
                <w:szCs w:val="19"/>
                <w:lang w:eastAsia="en-US"/>
              </w:rPr>
              <w:t>(1.10, 17.20)</w:t>
            </w:r>
          </w:p>
        </w:tc>
        <w:tc>
          <w:tcPr>
            <w:tcW w:w="793" w:type="pct"/>
            <w:shd w:val="clear" w:color="auto" w:fill="auto"/>
          </w:tcPr>
          <w:p w14:paraId="25F9A288" w14:textId="77777777" w:rsidR="00E51414" w:rsidRPr="006E0383" w:rsidRDefault="00E51414" w:rsidP="006E0383">
            <w:pPr>
              <w:keepNext/>
              <w:jc w:val="center"/>
              <w:rPr>
                <w:rFonts w:ascii="Arial Narrow" w:eastAsia="Calibri" w:hAnsi="Arial Narrow" w:cs="Times New Roman"/>
                <w:b/>
                <w:bCs/>
                <w:snapToGrid w:val="0"/>
                <w:color w:val="FF0000"/>
                <w:sz w:val="19"/>
                <w:szCs w:val="19"/>
                <w:lang w:eastAsia="en-US"/>
              </w:rPr>
            </w:pPr>
            <w:r w:rsidRPr="006E0383">
              <w:rPr>
                <w:rFonts w:ascii="Arial Narrow" w:eastAsia="Calibri" w:hAnsi="Arial Narrow" w:cs="Times New Roman"/>
                <w:b/>
                <w:bCs/>
                <w:snapToGrid w:val="0"/>
                <w:color w:val="FF0000"/>
                <w:sz w:val="19"/>
                <w:szCs w:val="19"/>
                <w:lang w:eastAsia="en-US"/>
              </w:rPr>
              <w:t xml:space="preserve">4.15 </w:t>
            </w:r>
          </w:p>
          <w:p w14:paraId="1C885069" w14:textId="71CECF75" w:rsidR="00E51414" w:rsidRPr="006E0383" w:rsidRDefault="00E51414" w:rsidP="006E0383">
            <w:pPr>
              <w:keepNext/>
              <w:jc w:val="center"/>
              <w:rPr>
                <w:rFonts w:ascii="Arial Narrow" w:eastAsia="Calibri" w:hAnsi="Arial Narrow" w:cs="Times New Roman"/>
                <w:b/>
                <w:bCs/>
                <w:snapToGrid w:val="0"/>
                <w:color w:val="FF0000"/>
                <w:sz w:val="19"/>
                <w:szCs w:val="19"/>
                <w:lang w:eastAsia="en-US"/>
              </w:rPr>
            </w:pPr>
            <w:r w:rsidRPr="006E0383">
              <w:rPr>
                <w:rFonts w:ascii="Arial Narrow" w:eastAsia="Calibri" w:hAnsi="Arial Narrow" w:cs="Times New Roman"/>
                <w:b/>
                <w:bCs/>
                <w:snapToGrid w:val="0"/>
                <w:color w:val="FF0000"/>
                <w:sz w:val="19"/>
                <w:szCs w:val="19"/>
                <w:lang w:eastAsia="en-US"/>
              </w:rPr>
              <w:t>(1.10, 15.63)</w:t>
            </w:r>
          </w:p>
        </w:tc>
        <w:tc>
          <w:tcPr>
            <w:tcW w:w="794" w:type="pct"/>
          </w:tcPr>
          <w:p w14:paraId="348191FB" w14:textId="77777777" w:rsidR="00E51414" w:rsidRPr="006E0383" w:rsidRDefault="00E51414" w:rsidP="006E0383">
            <w:pPr>
              <w:keepNext/>
              <w:jc w:val="center"/>
              <w:rPr>
                <w:rFonts w:ascii="Arial Narrow" w:eastAsia="Calibri" w:hAnsi="Arial Narrow" w:cs="Times New Roman"/>
                <w:b/>
                <w:bCs/>
                <w:snapToGrid w:val="0"/>
                <w:color w:val="FF0000"/>
                <w:sz w:val="19"/>
                <w:szCs w:val="19"/>
                <w:lang w:eastAsia="en-US"/>
              </w:rPr>
            </w:pPr>
            <w:r w:rsidRPr="006E0383">
              <w:rPr>
                <w:rFonts w:ascii="Arial Narrow" w:eastAsia="Calibri" w:hAnsi="Arial Narrow" w:cs="Times New Roman"/>
                <w:b/>
                <w:bCs/>
                <w:snapToGrid w:val="0"/>
                <w:color w:val="FF0000"/>
                <w:sz w:val="19"/>
                <w:szCs w:val="19"/>
                <w:lang w:eastAsia="en-US"/>
              </w:rPr>
              <w:t>0.03 (0.01, 0.06)</w:t>
            </w:r>
          </w:p>
        </w:tc>
      </w:tr>
      <w:tr w:rsidR="00E51414" w:rsidRPr="006E0383" w14:paraId="3B7234C2" w14:textId="77777777" w:rsidTr="006E0383">
        <w:trPr>
          <w:trHeight w:val="20"/>
        </w:trPr>
        <w:tc>
          <w:tcPr>
            <w:tcW w:w="1904" w:type="pct"/>
            <w:gridSpan w:val="3"/>
            <w:vMerge/>
            <w:shd w:val="clear" w:color="auto" w:fill="auto"/>
          </w:tcPr>
          <w:p w14:paraId="547EB362" w14:textId="6F920242" w:rsidR="00E51414" w:rsidRPr="006E0383" w:rsidRDefault="00E51414" w:rsidP="006E0383">
            <w:pPr>
              <w:keepNext/>
              <w:jc w:val="left"/>
              <w:rPr>
                <w:rFonts w:ascii="Arial Narrow" w:eastAsia="Calibri" w:hAnsi="Arial Narrow" w:cs="Times New Roman"/>
                <w:snapToGrid w:val="0"/>
                <w:sz w:val="19"/>
                <w:szCs w:val="19"/>
                <w:lang w:eastAsia="en-US"/>
              </w:rPr>
            </w:pPr>
          </w:p>
        </w:tc>
        <w:tc>
          <w:tcPr>
            <w:tcW w:w="714" w:type="pct"/>
            <w:shd w:val="clear" w:color="auto" w:fill="auto"/>
            <w:vAlign w:val="center"/>
          </w:tcPr>
          <w:p w14:paraId="6A86E5C4" w14:textId="04BE7291" w:rsidR="00E51414" w:rsidRPr="006E0383" w:rsidRDefault="00E51414"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UST</w:t>
            </w:r>
          </w:p>
        </w:tc>
        <w:tc>
          <w:tcPr>
            <w:tcW w:w="794" w:type="pct"/>
            <w:shd w:val="clear" w:color="auto" w:fill="auto"/>
          </w:tcPr>
          <w:p w14:paraId="1BB495EA" w14:textId="77777777" w:rsidR="00E51414" w:rsidRPr="006E0383" w:rsidRDefault="00E51414"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color w:val="000000"/>
                <w:sz w:val="19"/>
                <w:szCs w:val="19"/>
                <w:lang w:eastAsia="en-US"/>
              </w:rPr>
              <w:t>1.03 (0.13, 8.44)</w:t>
            </w:r>
          </w:p>
        </w:tc>
        <w:tc>
          <w:tcPr>
            <w:tcW w:w="793" w:type="pct"/>
            <w:shd w:val="clear" w:color="auto" w:fill="auto"/>
          </w:tcPr>
          <w:p w14:paraId="79E7E747" w14:textId="77777777" w:rsidR="00E51414" w:rsidRPr="006E0383" w:rsidRDefault="00E51414" w:rsidP="006E0383">
            <w:pPr>
              <w:keepNext/>
              <w:jc w:val="center"/>
              <w:rPr>
                <w:rFonts w:ascii="Arial Narrow" w:eastAsia="Calibri" w:hAnsi="Arial Narrow" w:cs="Times New Roman"/>
                <w:snapToGrid w:val="0"/>
                <w:color w:val="000000"/>
                <w:sz w:val="19"/>
                <w:szCs w:val="19"/>
                <w:lang w:eastAsia="en-US"/>
              </w:rPr>
            </w:pPr>
            <w:r w:rsidRPr="006E0383">
              <w:rPr>
                <w:rFonts w:ascii="Arial Narrow" w:eastAsia="Calibri" w:hAnsi="Arial Narrow" w:cs="Times New Roman"/>
                <w:snapToGrid w:val="0"/>
                <w:color w:val="000000"/>
                <w:sz w:val="19"/>
                <w:szCs w:val="19"/>
                <w:lang w:eastAsia="en-US"/>
              </w:rPr>
              <w:t>0.85 (0.20, 3.53)</w:t>
            </w:r>
          </w:p>
        </w:tc>
        <w:tc>
          <w:tcPr>
            <w:tcW w:w="794" w:type="pct"/>
          </w:tcPr>
          <w:p w14:paraId="50A0949D" w14:textId="77777777" w:rsidR="00E51414" w:rsidRPr="006E0383" w:rsidRDefault="00E51414"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color w:val="000000"/>
                <w:sz w:val="19"/>
                <w:szCs w:val="19"/>
                <w:lang w:eastAsia="en-US"/>
              </w:rPr>
              <w:t>0.00 (-0.03, 0.03)</w:t>
            </w:r>
          </w:p>
        </w:tc>
      </w:tr>
      <w:tr w:rsidR="00E51414" w:rsidRPr="006E0383" w14:paraId="4D7DC2DD" w14:textId="77777777" w:rsidTr="006E0383">
        <w:trPr>
          <w:trHeight w:val="20"/>
        </w:trPr>
        <w:tc>
          <w:tcPr>
            <w:tcW w:w="1904" w:type="pct"/>
            <w:gridSpan w:val="3"/>
            <w:vMerge/>
            <w:shd w:val="clear" w:color="auto" w:fill="auto"/>
          </w:tcPr>
          <w:p w14:paraId="7D1C9191" w14:textId="4F6DA1DA" w:rsidR="00E51414" w:rsidRPr="006E0383" w:rsidRDefault="00E51414" w:rsidP="006E0383">
            <w:pPr>
              <w:keepNext/>
              <w:jc w:val="left"/>
              <w:rPr>
                <w:rFonts w:ascii="Arial Narrow" w:eastAsia="Calibri" w:hAnsi="Arial Narrow" w:cs="Times New Roman"/>
                <w:snapToGrid w:val="0"/>
                <w:sz w:val="19"/>
                <w:szCs w:val="19"/>
                <w:lang w:eastAsia="en-US"/>
              </w:rPr>
            </w:pPr>
          </w:p>
        </w:tc>
        <w:tc>
          <w:tcPr>
            <w:tcW w:w="714" w:type="pct"/>
            <w:shd w:val="clear" w:color="auto" w:fill="auto"/>
            <w:vAlign w:val="center"/>
          </w:tcPr>
          <w:p w14:paraId="0271DB1A" w14:textId="193DCB31" w:rsidR="00E51414" w:rsidRPr="006E0383" w:rsidRDefault="00E51414"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VDZ</w:t>
            </w:r>
          </w:p>
        </w:tc>
        <w:tc>
          <w:tcPr>
            <w:tcW w:w="794" w:type="pct"/>
            <w:shd w:val="clear" w:color="auto" w:fill="auto"/>
          </w:tcPr>
          <w:p w14:paraId="4C095EF6" w14:textId="77777777" w:rsidR="00E51414" w:rsidRPr="006E0383" w:rsidRDefault="00E51414"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color w:val="000000"/>
                <w:sz w:val="19"/>
                <w:szCs w:val="19"/>
                <w:lang w:eastAsia="en-US"/>
              </w:rPr>
              <w:t>0.99 (0.15, 6.44)</w:t>
            </w:r>
          </w:p>
        </w:tc>
        <w:tc>
          <w:tcPr>
            <w:tcW w:w="793" w:type="pct"/>
            <w:shd w:val="clear" w:color="auto" w:fill="auto"/>
          </w:tcPr>
          <w:p w14:paraId="1E8CE3CD" w14:textId="77777777" w:rsidR="00E51414" w:rsidRPr="006E0383" w:rsidRDefault="00E51414" w:rsidP="006E0383">
            <w:pPr>
              <w:keepNext/>
              <w:jc w:val="center"/>
              <w:rPr>
                <w:rFonts w:ascii="Arial Narrow" w:eastAsia="Calibri" w:hAnsi="Arial Narrow" w:cs="Times New Roman"/>
                <w:snapToGrid w:val="0"/>
                <w:color w:val="000000"/>
                <w:sz w:val="19"/>
                <w:szCs w:val="19"/>
                <w:lang w:eastAsia="en-US"/>
              </w:rPr>
            </w:pPr>
            <w:r w:rsidRPr="006E0383">
              <w:rPr>
                <w:rFonts w:ascii="Arial Narrow" w:eastAsia="Calibri" w:hAnsi="Arial Narrow" w:cs="Times New Roman"/>
                <w:snapToGrid w:val="0"/>
                <w:color w:val="000000"/>
                <w:sz w:val="19"/>
                <w:szCs w:val="19"/>
                <w:lang w:eastAsia="en-US"/>
              </w:rPr>
              <w:t>0.98 (0.16, 6.06)</w:t>
            </w:r>
          </w:p>
        </w:tc>
        <w:tc>
          <w:tcPr>
            <w:tcW w:w="794" w:type="pct"/>
          </w:tcPr>
          <w:p w14:paraId="1E0C008C" w14:textId="77777777" w:rsidR="00E51414" w:rsidRPr="006E0383" w:rsidRDefault="00E51414"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color w:val="000000"/>
                <w:sz w:val="19"/>
                <w:szCs w:val="19"/>
                <w:lang w:eastAsia="en-US"/>
              </w:rPr>
              <w:t>0.00 (-0.02, 0.02)</w:t>
            </w:r>
          </w:p>
        </w:tc>
      </w:tr>
      <w:tr w:rsidR="0059604F" w:rsidRPr="006E0383" w14:paraId="3EBF4270" w14:textId="77777777" w:rsidTr="006E0383">
        <w:trPr>
          <w:trHeight w:val="20"/>
        </w:trPr>
        <w:tc>
          <w:tcPr>
            <w:tcW w:w="5000" w:type="pct"/>
            <w:gridSpan w:val="7"/>
            <w:shd w:val="clear" w:color="auto" w:fill="auto"/>
          </w:tcPr>
          <w:p w14:paraId="6CA9877A" w14:textId="77777777" w:rsidR="0059604F" w:rsidRPr="006E0383" w:rsidRDefault="0059604F" w:rsidP="006E0383">
            <w:pPr>
              <w:keepNext/>
              <w:rPr>
                <w:rFonts w:ascii="Arial Narrow" w:eastAsia="Calibri" w:hAnsi="Arial Narrow" w:cs="Times New Roman"/>
                <w:b/>
                <w:bCs/>
                <w:snapToGrid w:val="0"/>
                <w:sz w:val="19"/>
                <w:szCs w:val="19"/>
                <w:lang w:eastAsia="en-US"/>
              </w:rPr>
            </w:pPr>
            <w:r w:rsidRPr="006E0383">
              <w:rPr>
                <w:rFonts w:ascii="Arial Narrow" w:eastAsia="Calibri" w:hAnsi="Arial Narrow" w:cs="Times New Roman"/>
                <w:b/>
                <w:bCs/>
                <w:snapToGrid w:val="0"/>
                <w:sz w:val="19"/>
                <w:szCs w:val="19"/>
                <w:lang w:eastAsia="en-US"/>
              </w:rPr>
              <w:t>AEs leading to discontinuations</w:t>
            </w:r>
          </w:p>
        </w:tc>
      </w:tr>
      <w:tr w:rsidR="0059604F" w:rsidRPr="006E0383" w14:paraId="2EC05EB8" w14:textId="77777777" w:rsidTr="006E0383">
        <w:trPr>
          <w:trHeight w:val="20"/>
        </w:trPr>
        <w:tc>
          <w:tcPr>
            <w:tcW w:w="634" w:type="pct"/>
            <w:vMerge w:val="restart"/>
            <w:vAlign w:val="center"/>
          </w:tcPr>
          <w:p w14:paraId="4A64AAEA" w14:textId="77777777" w:rsidR="0059604F" w:rsidRPr="006E0383" w:rsidRDefault="0059604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PBO</w:t>
            </w:r>
          </w:p>
        </w:tc>
        <w:tc>
          <w:tcPr>
            <w:tcW w:w="556" w:type="pct"/>
            <w:vAlign w:val="center"/>
          </w:tcPr>
          <w:p w14:paraId="12FD9FE3" w14:textId="77777777" w:rsidR="0059604F" w:rsidRPr="006E0383" w:rsidRDefault="0059604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U-EXCEED</w:t>
            </w:r>
          </w:p>
        </w:tc>
        <w:tc>
          <w:tcPr>
            <w:tcW w:w="714" w:type="pct"/>
            <w:vAlign w:val="center"/>
          </w:tcPr>
          <w:p w14:paraId="26EB88E1"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18/324 (5.6)</w:t>
            </w:r>
          </w:p>
        </w:tc>
        <w:tc>
          <w:tcPr>
            <w:tcW w:w="714" w:type="pct"/>
            <w:vAlign w:val="center"/>
          </w:tcPr>
          <w:p w14:paraId="34EEE92B"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7/171 (4.1)</w:t>
            </w:r>
          </w:p>
        </w:tc>
        <w:tc>
          <w:tcPr>
            <w:tcW w:w="794" w:type="pct"/>
          </w:tcPr>
          <w:p w14:paraId="4C73F0C2"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1.36 (0.58, 3.19)</w:t>
            </w:r>
          </w:p>
        </w:tc>
        <w:tc>
          <w:tcPr>
            <w:tcW w:w="793" w:type="pct"/>
          </w:tcPr>
          <w:p w14:paraId="16E83006"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1.38 (0.56, 3.37)</w:t>
            </w:r>
          </w:p>
        </w:tc>
        <w:tc>
          <w:tcPr>
            <w:tcW w:w="794" w:type="pct"/>
          </w:tcPr>
          <w:p w14:paraId="64871F15"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0.01 (-0.02, 0.05)</w:t>
            </w:r>
          </w:p>
        </w:tc>
      </w:tr>
      <w:tr w:rsidR="0059604F" w:rsidRPr="006E0383" w14:paraId="11903BAD" w14:textId="77777777" w:rsidTr="006E0383">
        <w:trPr>
          <w:trHeight w:val="20"/>
        </w:trPr>
        <w:tc>
          <w:tcPr>
            <w:tcW w:w="634" w:type="pct"/>
            <w:vMerge/>
            <w:vAlign w:val="center"/>
          </w:tcPr>
          <w:p w14:paraId="24FE7683" w14:textId="77777777" w:rsidR="0059604F" w:rsidRPr="006E0383" w:rsidRDefault="0059604F" w:rsidP="006E0383">
            <w:pPr>
              <w:keepNext/>
              <w:jc w:val="left"/>
              <w:rPr>
                <w:rFonts w:ascii="Arial Narrow" w:eastAsia="Calibri" w:hAnsi="Arial Narrow" w:cs="Times New Roman"/>
                <w:snapToGrid w:val="0"/>
                <w:sz w:val="19"/>
                <w:szCs w:val="19"/>
                <w:lang w:eastAsia="en-US"/>
              </w:rPr>
            </w:pPr>
          </w:p>
        </w:tc>
        <w:tc>
          <w:tcPr>
            <w:tcW w:w="556" w:type="pct"/>
            <w:vAlign w:val="center"/>
          </w:tcPr>
          <w:p w14:paraId="511545DF" w14:textId="77777777" w:rsidR="0059604F" w:rsidRPr="006E0383" w:rsidRDefault="0059604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U-EXCEL</w:t>
            </w:r>
          </w:p>
        </w:tc>
        <w:tc>
          <w:tcPr>
            <w:tcW w:w="714" w:type="pct"/>
            <w:vAlign w:val="center"/>
          </w:tcPr>
          <w:p w14:paraId="38266463"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15/350 (4.3)</w:t>
            </w:r>
          </w:p>
        </w:tc>
        <w:tc>
          <w:tcPr>
            <w:tcW w:w="714" w:type="pct"/>
            <w:vAlign w:val="center"/>
          </w:tcPr>
          <w:p w14:paraId="33E604C7"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10/176 (5.7)</w:t>
            </w:r>
          </w:p>
        </w:tc>
        <w:tc>
          <w:tcPr>
            <w:tcW w:w="794" w:type="pct"/>
          </w:tcPr>
          <w:p w14:paraId="1A5225D4"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0.75 (0.35, 1.64)</w:t>
            </w:r>
          </w:p>
        </w:tc>
        <w:tc>
          <w:tcPr>
            <w:tcW w:w="793" w:type="pct"/>
          </w:tcPr>
          <w:p w14:paraId="5C820031"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0.74 (0.33, 1.69)</w:t>
            </w:r>
          </w:p>
        </w:tc>
        <w:tc>
          <w:tcPr>
            <w:tcW w:w="794" w:type="pct"/>
          </w:tcPr>
          <w:p w14:paraId="6D8A7A94" w14:textId="77777777" w:rsidR="00F13FF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-0.01</w:t>
            </w:r>
          </w:p>
          <w:p w14:paraId="024E5143" w14:textId="1CDD36C2"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(-0.05, 0.03)</w:t>
            </w:r>
          </w:p>
        </w:tc>
      </w:tr>
      <w:tr w:rsidR="0059604F" w:rsidRPr="006E0383" w14:paraId="478BA01F" w14:textId="77777777" w:rsidTr="006E0383">
        <w:trPr>
          <w:trHeight w:val="20"/>
        </w:trPr>
        <w:tc>
          <w:tcPr>
            <w:tcW w:w="634" w:type="pct"/>
            <w:vMerge/>
            <w:vAlign w:val="center"/>
          </w:tcPr>
          <w:p w14:paraId="654E2880" w14:textId="77777777" w:rsidR="0059604F" w:rsidRPr="006E0383" w:rsidRDefault="0059604F" w:rsidP="006E0383">
            <w:pPr>
              <w:keepNext/>
              <w:jc w:val="left"/>
              <w:rPr>
                <w:rFonts w:ascii="Arial Narrow" w:eastAsia="Calibri" w:hAnsi="Arial Narrow" w:cs="Times New Roman"/>
                <w:snapToGrid w:val="0"/>
                <w:sz w:val="19"/>
                <w:szCs w:val="19"/>
                <w:lang w:eastAsia="en-US"/>
              </w:rPr>
            </w:pPr>
          </w:p>
        </w:tc>
        <w:tc>
          <w:tcPr>
            <w:tcW w:w="556" w:type="pct"/>
            <w:vAlign w:val="center"/>
          </w:tcPr>
          <w:p w14:paraId="0274A061" w14:textId="77777777" w:rsidR="0059604F" w:rsidRPr="006E0383" w:rsidRDefault="0059604F" w:rsidP="006E0383">
            <w:pPr>
              <w:keepNext/>
              <w:jc w:val="left"/>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Pooled</w:t>
            </w:r>
          </w:p>
        </w:tc>
        <w:tc>
          <w:tcPr>
            <w:tcW w:w="714" w:type="pct"/>
            <w:vAlign w:val="center"/>
          </w:tcPr>
          <w:p w14:paraId="4F394F9A"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33/674 (4.9)</w:t>
            </w:r>
          </w:p>
        </w:tc>
        <w:tc>
          <w:tcPr>
            <w:tcW w:w="714" w:type="pct"/>
            <w:vAlign w:val="center"/>
          </w:tcPr>
          <w:p w14:paraId="64AFA0C9"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17/347 (4.9)</w:t>
            </w:r>
          </w:p>
        </w:tc>
        <w:tc>
          <w:tcPr>
            <w:tcW w:w="794" w:type="pct"/>
          </w:tcPr>
          <w:p w14:paraId="40B827B2"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1.00 (0.57, 1.77)</w:t>
            </w:r>
          </w:p>
        </w:tc>
        <w:tc>
          <w:tcPr>
            <w:tcW w:w="793" w:type="pct"/>
          </w:tcPr>
          <w:p w14:paraId="73D7A7FC"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1.00 (0.55, 1.82)</w:t>
            </w:r>
          </w:p>
        </w:tc>
        <w:tc>
          <w:tcPr>
            <w:tcW w:w="794" w:type="pct"/>
          </w:tcPr>
          <w:p w14:paraId="335463F6" w14:textId="77777777" w:rsidR="0059604F" w:rsidRPr="006E0383" w:rsidRDefault="0059604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0.00 (-0.03, 0.03)</w:t>
            </w:r>
          </w:p>
        </w:tc>
      </w:tr>
      <w:tr w:rsidR="006E0A24" w:rsidRPr="006E0383" w14:paraId="5FB556F1" w14:textId="77777777" w:rsidTr="006E0383">
        <w:trPr>
          <w:trHeight w:val="20"/>
        </w:trPr>
        <w:tc>
          <w:tcPr>
            <w:tcW w:w="1904" w:type="pct"/>
            <w:gridSpan w:val="3"/>
            <w:vMerge w:val="restart"/>
            <w:tcBorders>
              <w:right w:val="single" w:sz="4" w:space="0" w:color="auto"/>
            </w:tcBorders>
            <w:shd w:val="clear" w:color="auto" w:fill="auto"/>
          </w:tcPr>
          <w:p w14:paraId="2AAEE6A0" w14:textId="77777777" w:rsidR="00C12CEF" w:rsidRPr="006E0383" w:rsidRDefault="00C12CEF" w:rsidP="006E0383">
            <w:pPr>
              <w:pStyle w:val="In-tableHeading"/>
              <w:rPr>
                <w:snapToGrid w:val="0"/>
                <w:sz w:val="19"/>
                <w:szCs w:val="19"/>
                <w:lang w:eastAsia="en-US"/>
              </w:rPr>
            </w:pPr>
            <w:r w:rsidRPr="006E0383">
              <w:rPr>
                <w:snapToGrid w:val="0"/>
                <w:sz w:val="19"/>
                <w:szCs w:val="19"/>
                <w:lang w:eastAsia="en-US"/>
              </w:rPr>
              <w:t>Indirect comparisons:</w:t>
            </w:r>
          </w:p>
          <w:p w14:paraId="3F047C9B" w14:textId="6FDEF0B8" w:rsidR="006E0A24" w:rsidRPr="006E0383" w:rsidRDefault="00C12CEF" w:rsidP="006E0383">
            <w:pPr>
              <w:keepNext/>
              <w:jc w:val="left"/>
              <w:rPr>
                <w:rFonts w:ascii="Arial Narrow" w:eastAsia="Calibri" w:hAnsi="Arial Narrow" w:cs="Times New Roman"/>
                <w:snapToGrid w:val="0"/>
                <w:sz w:val="19"/>
                <w:szCs w:val="19"/>
                <w:lang w:eastAsia="en-US"/>
              </w:rPr>
            </w:pPr>
            <w:r w:rsidRPr="006E0383">
              <w:rPr>
                <w:rFonts w:ascii="Arial Narrow" w:eastAsiaTheme="majorEastAsia" w:hAnsi="Arial Narrow" w:cs="Times New Roman"/>
                <w:b/>
                <w:snapToGrid w:val="0"/>
                <w:sz w:val="19"/>
                <w:szCs w:val="19"/>
                <w:lang w:val="en-US" w:eastAsia="en-US"/>
              </w:rPr>
              <w:t>UPA vs comparators</w:t>
            </w:r>
          </w:p>
        </w:tc>
        <w:tc>
          <w:tcPr>
            <w:tcW w:w="714" w:type="pct"/>
            <w:tcBorders>
              <w:right w:val="single" w:sz="4" w:space="0" w:color="auto"/>
            </w:tcBorders>
            <w:shd w:val="clear" w:color="auto" w:fill="auto"/>
            <w:vAlign w:val="center"/>
          </w:tcPr>
          <w:p w14:paraId="470664B0" w14:textId="45AFACA9" w:rsidR="00C12CEF" w:rsidRPr="006E0383" w:rsidRDefault="00C12CE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ADA</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2A2D2000" w14:textId="77777777" w:rsidR="006E0A24" w:rsidRPr="006E0383" w:rsidRDefault="006E0A24" w:rsidP="006E0383">
            <w:pPr>
              <w:keepNext/>
              <w:jc w:val="center"/>
              <w:rPr>
                <w:rFonts w:ascii="Arial Narrow" w:eastAsia="Calibri" w:hAnsi="Arial Narrow" w:cs="Times New Roman"/>
                <w:snapToGrid w:val="0"/>
                <w:color w:val="000000"/>
                <w:sz w:val="19"/>
                <w:szCs w:val="19"/>
                <w:lang w:eastAsia="en-US"/>
              </w:rPr>
            </w:pPr>
            <w:r w:rsidRPr="006E0383">
              <w:rPr>
                <w:rFonts w:ascii="Arial Narrow" w:eastAsia="Calibri" w:hAnsi="Arial Narrow" w:cs="Times New Roman"/>
                <w:snapToGrid w:val="0"/>
                <w:color w:val="000000"/>
                <w:sz w:val="19"/>
                <w:szCs w:val="19"/>
                <w:lang w:eastAsia="en-US"/>
              </w:rPr>
              <w:t>2.33 (0.56, 9.60)</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20317220" w14:textId="77777777" w:rsidR="006E0A24" w:rsidRPr="006E0383" w:rsidRDefault="006E0A24"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2.27 (0.56, 9.26)</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23F3EC1A" w14:textId="77777777" w:rsidR="006E0A24" w:rsidRPr="006E0383" w:rsidRDefault="006E0A24"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color w:val="000000"/>
                <w:sz w:val="19"/>
                <w:szCs w:val="19"/>
                <w:lang w:eastAsia="en-US"/>
              </w:rPr>
              <w:t>0.02 (-0.02, 0.06)</w:t>
            </w:r>
          </w:p>
        </w:tc>
      </w:tr>
      <w:tr w:rsidR="006E0A24" w:rsidRPr="006E0383" w14:paraId="719AC15A" w14:textId="77777777" w:rsidTr="006E0383">
        <w:trPr>
          <w:trHeight w:val="20"/>
        </w:trPr>
        <w:tc>
          <w:tcPr>
            <w:tcW w:w="1904" w:type="pct"/>
            <w:gridSpan w:val="3"/>
            <w:vMerge/>
            <w:tcBorders>
              <w:right w:val="single" w:sz="4" w:space="0" w:color="auto"/>
            </w:tcBorders>
            <w:vAlign w:val="center"/>
          </w:tcPr>
          <w:p w14:paraId="7467A137" w14:textId="7F459DA8" w:rsidR="006E0A24" w:rsidRPr="006E0383" w:rsidRDefault="006E0A24" w:rsidP="006E0383">
            <w:pPr>
              <w:keepNext/>
              <w:jc w:val="left"/>
              <w:rPr>
                <w:rFonts w:ascii="Arial Narrow" w:eastAsia="Calibri" w:hAnsi="Arial Narrow" w:cs="Times New Roman"/>
                <w:snapToGrid w:val="0"/>
                <w:sz w:val="19"/>
                <w:szCs w:val="19"/>
                <w:lang w:eastAsia="en-US"/>
              </w:rPr>
            </w:pPr>
          </w:p>
        </w:tc>
        <w:tc>
          <w:tcPr>
            <w:tcW w:w="714" w:type="pct"/>
            <w:tcBorders>
              <w:left w:val="single" w:sz="4" w:space="0" w:color="auto"/>
              <w:right w:val="single" w:sz="4" w:space="0" w:color="auto"/>
            </w:tcBorders>
            <w:shd w:val="clear" w:color="auto" w:fill="auto"/>
            <w:vAlign w:val="center"/>
          </w:tcPr>
          <w:p w14:paraId="23CF363D" w14:textId="7F7FBA2A" w:rsidR="00C12CEF" w:rsidRPr="006E0383" w:rsidRDefault="00C12CE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RISA</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0D9D02B" w14:textId="77777777" w:rsidR="00117A6B" w:rsidRPr="006E0383" w:rsidRDefault="006E0A24" w:rsidP="006E0383">
            <w:pPr>
              <w:keepNext/>
              <w:jc w:val="center"/>
              <w:rPr>
                <w:rFonts w:ascii="Arial Narrow" w:eastAsia="Calibri" w:hAnsi="Arial Narrow" w:cs="Times New Roman"/>
                <w:b/>
                <w:bCs/>
                <w:snapToGrid w:val="0"/>
                <w:color w:val="FF0000"/>
                <w:sz w:val="19"/>
                <w:szCs w:val="19"/>
                <w:lang w:eastAsia="en-US"/>
              </w:rPr>
            </w:pPr>
            <w:r w:rsidRPr="006E0383">
              <w:rPr>
                <w:rFonts w:ascii="Arial Narrow" w:eastAsia="Calibri" w:hAnsi="Arial Narrow" w:cs="Times New Roman"/>
                <w:b/>
                <w:bCs/>
                <w:snapToGrid w:val="0"/>
                <w:color w:val="FF0000"/>
                <w:sz w:val="19"/>
                <w:szCs w:val="19"/>
                <w:lang w:eastAsia="en-US"/>
              </w:rPr>
              <w:t xml:space="preserve">3.85 </w:t>
            </w:r>
          </w:p>
          <w:p w14:paraId="46A0B9AF" w14:textId="34AA35AC" w:rsidR="006E0A24" w:rsidRPr="006E0383" w:rsidRDefault="006E0A24" w:rsidP="006E0383">
            <w:pPr>
              <w:keepNext/>
              <w:jc w:val="center"/>
              <w:rPr>
                <w:rFonts w:ascii="Arial Narrow" w:eastAsia="Calibri" w:hAnsi="Arial Narrow" w:cs="Times New Roman"/>
                <w:b/>
                <w:bCs/>
                <w:snapToGrid w:val="0"/>
                <w:color w:val="FF0000"/>
                <w:sz w:val="19"/>
                <w:szCs w:val="19"/>
                <w:lang w:eastAsia="en-US"/>
              </w:rPr>
            </w:pPr>
            <w:r w:rsidRPr="006E0383">
              <w:rPr>
                <w:rFonts w:ascii="Arial Narrow" w:eastAsia="Calibri" w:hAnsi="Arial Narrow" w:cs="Times New Roman"/>
                <w:b/>
                <w:bCs/>
                <w:snapToGrid w:val="0"/>
                <w:color w:val="FF0000"/>
                <w:sz w:val="19"/>
                <w:szCs w:val="19"/>
                <w:lang w:eastAsia="en-US"/>
              </w:rPr>
              <w:t>(1.23,</w:t>
            </w:r>
            <w:r w:rsidR="00117A6B" w:rsidRPr="006E0383">
              <w:rPr>
                <w:rFonts w:ascii="Arial Narrow" w:eastAsia="Calibri" w:hAnsi="Arial Narrow" w:cs="Times New Roman"/>
                <w:b/>
                <w:bCs/>
                <w:snapToGrid w:val="0"/>
                <w:color w:val="FF0000"/>
                <w:sz w:val="19"/>
                <w:szCs w:val="19"/>
                <w:lang w:eastAsia="en-US"/>
              </w:rPr>
              <w:t xml:space="preserve"> </w:t>
            </w:r>
            <w:r w:rsidRPr="006E0383">
              <w:rPr>
                <w:rFonts w:ascii="Arial Narrow" w:eastAsia="Calibri" w:hAnsi="Arial Narrow" w:cs="Times New Roman"/>
                <w:b/>
                <w:bCs/>
                <w:snapToGrid w:val="0"/>
                <w:color w:val="FF0000"/>
                <w:sz w:val="19"/>
                <w:szCs w:val="19"/>
                <w:lang w:eastAsia="en-US"/>
              </w:rPr>
              <w:t>11.98)</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1F004E69" w14:textId="77777777" w:rsidR="006E0A24" w:rsidRPr="006E0383" w:rsidRDefault="006E0A24" w:rsidP="006E0383">
            <w:pPr>
              <w:keepNext/>
              <w:jc w:val="center"/>
              <w:rPr>
                <w:rFonts w:ascii="Arial Narrow" w:eastAsia="Calibri" w:hAnsi="Arial Narrow" w:cs="Times New Roman"/>
                <w:b/>
                <w:bCs/>
                <w:snapToGrid w:val="0"/>
                <w:color w:val="FF0000"/>
                <w:sz w:val="19"/>
                <w:szCs w:val="19"/>
                <w:lang w:eastAsia="en-US"/>
              </w:rPr>
            </w:pPr>
            <w:r w:rsidRPr="006E0383">
              <w:rPr>
                <w:rFonts w:ascii="Arial Narrow" w:eastAsia="Calibri" w:hAnsi="Arial Narrow" w:cs="Times New Roman"/>
                <w:b/>
                <w:bCs/>
                <w:snapToGrid w:val="0"/>
                <w:color w:val="FF0000"/>
                <w:sz w:val="19"/>
                <w:szCs w:val="19"/>
                <w:lang w:eastAsia="en-US"/>
              </w:rPr>
              <w:t>3.57 (1.49, 8.56)</w:t>
            </w:r>
          </w:p>
        </w:tc>
        <w:tc>
          <w:tcPr>
            <w:tcW w:w="794" w:type="pct"/>
            <w:tcBorders>
              <w:top w:val="single" w:sz="4" w:space="0" w:color="auto"/>
              <w:left w:val="single" w:sz="4" w:space="0" w:color="auto"/>
              <w:bottom w:val="single" w:sz="4" w:space="0" w:color="auto"/>
              <w:right w:val="single" w:sz="4" w:space="0" w:color="auto"/>
            </w:tcBorders>
          </w:tcPr>
          <w:p w14:paraId="69CCD1D5" w14:textId="77777777" w:rsidR="006E0A24" w:rsidRPr="006E0383" w:rsidRDefault="006E0A24"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color w:val="000000"/>
                <w:sz w:val="19"/>
                <w:szCs w:val="19"/>
                <w:lang w:eastAsia="en-US"/>
              </w:rPr>
              <w:t>0.03 (-0.01, 0.07)</w:t>
            </w:r>
          </w:p>
        </w:tc>
      </w:tr>
      <w:tr w:rsidR="005B14A6" w:rsidRPr="006E0383" w14:paraId="013E73AA" w14:textId="77777777" w:rsidTr="006E0383">
        <w:trPr>
          <w:trHeight w:val="20"/>
        </w:trPr>
        <w:tc>
          <w:tcPr>
            <w:tcW w:w="1904" w:type="pct"/>
            <w:gridSpan w:val="3"/>
            <w:vMerge/>
            <w:tcBorders>
              <w:right w:val="single" w:sz="4" w:space="0" w:color="auto"/>
            </w:tcBorders>
            <w:vAlign w:val="center"/>
          </w:tcPr>
          <w:p w14:paraId="26D02516" w14:textId="77777777" w:rsidR="005B14A6" w:rsidRPr="006E0383" w:rsidRDefault="005B14A6" w:rsidP="006E0383">
            <w:pPr>
              <w:keepNext/>
              <w:jc w:val="left"/>
              <w:rPr>
                <w:rFonts w:ascii="Arial Narrow" w:eastAsia="Calibri" w:hAnsi="Arial Narrow" w:cs="Times New Roman"/>
                <w:snapToGrid w:val="0"/>
                <w:sz w:val="19"/>
                <w:szCs w:val="19"/>
                <w:lang w:eastAsia="en-US"/>
              </w:rPr>
            </w:pPr>
          </w:p>
        </w:tc>
        <w:tc>
          <w:tcPr>
            <w:tcW w:w="714" w:type="pct"/>
            <w:tcBorders>
              <w:left w:val="single" w:sz="4" w:space="0" w:color="auto"/>
              <w:right w:val="single" w:sz="4" w:space="0" w:color="auto"/>
            </w:tcBorders>
            <w:shd w:val="clear" w:color="auto" w:fill="auto"/>
          </w:tcPr>
          <w:p w14:paraId="39B416CB" w14:textId="6215D73D" w:rsidR="00C12CEF" w:rsidRPr="006E0383" w:rsidRDefault="00C12CE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UST</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1A2B7E68" w14:textId="2C14EC25" w:rsidR="005B14A6" w:rsidRPr="006E0383" w:rsidRDefault="00C12CE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NR</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119D2537" w14:textId="3CE57D33" w:rsidR="005B14A6" w:rsidRPr="006E0383" w:rsidRDefault="00C12CE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NR</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54A962C1" w14:textId="4B00E1D2" w:rsidR="005B14A6" w:rsidRPr="006E0383" w:rsidRDefault="00C12CE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NR</w:t>
            </w:r>
          </w:p>
        </w:tc>
      </w:tr>
      <w:tr w:rsidR="006E0A24" w:rsidRPr="006E0383" w14:paraId="36FE8678" w14:textId="77777777" w:rsidTr="006E0383">
        <w:trPr>
          <w:trHeight w:val="20"/>
        </w:trPr>
        <w:tc>
          <w:tcPr>
            <w:tcW w:w="1904" w:type="pct"/>
            <w:gridSpan w:val="3"/>
            <w:vMerge/>
            <w:tcBorders>
              <w:right w:val="single" w:sz="4" w:space="0" w:color="auto"/>
            </w:tcBorders>
          </w:tcPr>
          <w:p w14:paraId="513560C1" w14:textId="14E93384" w:rsidR="006E0A24" w:rsidRPr="006E0383" w:rsidRDefault="006E0A24" w:rsidP="006E0383">
            <w:pPr>
              <w:keepNext/>
              <w:jc w:val="left"/>
              <w:rPr>
                <w:rFonts w:ascii="Arial Narrow" w:eastAsia="Calibri" w:hAnsi="Arial Narrow" w:cs="Times New Roman"/>
                <w:snapToGrid w:val="0"/>
                <w:sz w:val="19"/>
                <w:szCs w:val="19"/>
                <w:lang w:eastAsia="en-US"/>
              </w:rPr>
            </w:pPr>
          </w:p>
        </w:tc>
        <w:tc>
          <w:tcPr>
            <w:tcW w:w="714" w:type="pct"/>
            <w:tcBorders>
              <w:left w:val="single" w:sz="4" w:space="0" w:color="auto"/>
              <w:right w:val="single" w:sz="4" w:space="0" w:color="auto"/>
            </w:tcBorders>
            <w:shd w:val="clear" w:color="auto" w:fill="auto"/>
            <w:vAlign w:val="center"/>
          </w:tcPr>
          <w:p w14:paraId="4DC79C82" w14:textId="7AEF3445" w:rsidR="00C12CEF" w:rsidRPr="006E0383" w:rsidRDefault="00C12CEF"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UPA vs VDZ</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7CDBFA8" w14:textId="77777777" w:rsidR="006E0A24" w:rsidRPr="006E0383" w:rsidRDefault="006E0A24" w:rsidP="006E0383">
            <w:pPr>
              <w:keepNext/>
              <w:jc w:val="center"/>
              <w:rPr>
                <w:rFonts w:ascii="Arial Narrow" w:eastAsia="Calibri" w:hAnsi="Arial Narrow" w:cs="Times New Roman"/>
                <w:snapToGrid w:val="0"/>
                <w:color w:val="000000"/>
                <w:sz w:val="19"/>
                <w:szCs w:val="19"/>
                <w:lang w:eastAsia="en-US"/>
              </w:rPr>
            </w:pPr>
            <w:r w:rsidRPr="006E0383">
              <w:rPr>
                <w:rFonts w:ascii="Arial Narrow" w:eastAsia="Calibri" w:hAnsi="Arial Narrow" w:cs="Times New Roman"/>
                <w:snapToGrid w:val="0"/>
                <w:color w:val="000000"/>
                <w:sz w:val="19"/>
                <w:szCs w:val="19"/>
                <w:lang w:eastAsia="en-US"/>
              </w:rPr>
              <w:t>2.04 (0.52, 8.02)</w:t>
            </w:r>
          </w:p>
          <w:p w14:paraId="7B3E46F3" w14:textId="356F992A" w:rsidR="006E0A24" w:rsidRPr="006E0383" w:rsidRDefault="006E0A24" w:rsidP="006E0383">
            <w:pPr>
              <w:keepNext/>
              <w:jc w:val="center"/>
              <w:rPr>
                <w:rFonts w:ascii="Arial Narrow" w:eastAsia="Calibri" w:hAnsi="Arial Narrow" w:cs="Times New Roman"/>
                <w:b/>
                <w:bCs/>
                <w:snapToGrid w:val="0"/>
                <w:sz w:val="19"/>
                <w:szCs w:val="19"/>
                <w:lang w:eastAsia="en-US"/>
              </w:rPr>
            </w:pPr>
            <w:r w:rsidRPr="006E0383">
              <w:rPr>
                <w:rFonts w:ascii="Arial Narrow" w:eastAsia="Calibri" w:hAnsi="Arial Narrow" w:cs="Times New Roman"/>
                <w:b/>
                <w:bCs/>
                <w:snapToGrid w:val="0"/>
                <w:color w:val="FF0000"/>
                <w:sz w:val="19"/>
                <w:szCs w:val="19"/>
                <w:lang w:eastAsia="en-US"/>
              </w:rPr>
              <w:t>3.03 (1.06,</w:t>
            </w:r>
            <w:r w:rsidR="00C252E2" w:rsidRPr="006E0383">
              <w:rPr>
                <w:rFonts w:ascii="Arial Narrow" w:eastAsia="Calibri" w:hAnsi="Arial Narrow" w:cs="Times New Roman"/>
                <w:b/>
                <w:bCs/>
                <w:snapToGrid w:val="0"/>
                <w:color w:val="FF0000"/>
                <w:sz w:val="19"/>
                <w:szCs w:val="19"/>
                <w:lang w:eastAsia="en-US"/>
              </w:rPr>
              <w:t xml:space="preserve"> </w:t>
            </w:r>
            <w:r w:rsidRPr="006E0383">
              <w:rPr>
                <w:rFonts w:ascii="Arial Narrow" w:eastAsia="Calibri" w:hAnsi="Arial Narrow" w:cs="Times New Roman"/>
                <w:b/>
                <w:bCs/>
                <w:snapToGrid w:val="0"/>
                <w:color w:val="FF0000"/>
                <w:sz w:val="19"/>
                <w:szCs w:val="19"/>
                <w:lang w:eastAsia="en-US"/>
              </w:rPr>
              <w:t>8.63)</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1F34DDF4" w14:textId="77777777" w:rsidR="006E0A24" w:rsidRPr="006E0383" w:rsidRDefault="006E0A24"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sz w:val="19"/>
                <w:szCs w:val="19"/>
                <w:lang w:eastAsia="en-US"/>
              </w:rPr>
              <w:t>2.00 (0.65, 6.13)</w:t>
            </w:r>
          </w:p>
        </w:tc>
        <w:tc>
          <w:tcPr>
            <w:tcW w:w="794" w:type="pct"/>
            <w:tcBorders>
              <w:top w:val="single" w:sz="4" w:space="0" w:color="auto"/>
              <w:left w:val="single" w:sz="4" w:space="0" w:color="auto"/>
              <w:bottom w:val="single" w:sz="4" w:space="0" w:color="auto"/>
              <w:right w:val="single" w:sz="4" w:space="0" w:color="auto"/>
            </w:tcBorders>
          </w:tcPr>
          <w:p w14:paraId="4A338EEA" w14:textId="77777777" w:rsidR="006E0A24" w:rsidRPr="006E0383" w:rsidRDefault="006E0A24" w:rsidP="006E0383">
            <w:pPr>
              <w:keepNext/>
              <w:jc w:val="center"/>
              <w:rPr>
                <w:rFonts w:ascii="Arial Narrow" w:eastAsia="Calibri" w:hAnsi="Arial Narrow" w:cs="Times New Roman"/>
                <w:snapToGrid w:val="0"/>
                <w:sz w:val="19"/>
                <w:szCs w:val="19"/>
                <w:lang w:eastAsia="en-US"/>
              </w:rPr>
            </w:pPr>
            <w:r w:rsidRPr="006E0383">
              <w:rPr>
                <w:rFonts w:ascii="Arial Narrow" w:eastAsia="Calibri" w:hAnsi="Arial Narrow" w:cs="Times New Roman"/>
                <w:snapToGrid w:val="0"/>
                <w:color w:val="000000"/>
                <w:sz w:val="19"/>
                <w:szCs w:val="19"/>
                <w:lang w:eastAsia="en-US"/>
              </w:rPr>
              <w:t>0.02 (-0.02, 0.06)</w:t>
            </w:r>
          </w:p>
        </w:tc>
      </w:tr>
    </w:tbl>
    <w:p w14:paraId="5D796CCE" w14:textId="77777777" w:rsidR="0059604F" w:rsidRPr="00E50289" w:rsidRDefault="0059604F" w:rsidP="006E0383">
      <w:pPr>
        <w:pStyle w:val="TableFigureFooter"/>
        <w:rPr>
          <w:rFonts w:eastAsia="Calibri"/>
          <w:lang w:eastAsia="en-US"/>
        </w:rPr>
      </w:pPr>
      <w:r w:rsidRPr="00E50289">
        <w:rPr>
          <w:rFonts w:eastAsia="Calibri"/>
          <w:lang w:eastAsia="en-US"/>
        </w:rPr>
        <w:t>Source: Table 2.29, p148 of the submission.</w:t>
      </w:r>
    </w:p>
    <w:p w14:paraId="164FF20E" w14:textId="23E4452A" w:rsidR="0059604F" w:rsidRPr="00E50289" w:rsidRDefault="0059604F" w:rsidP="006E0383">
      <w:pPr>
        <w:pStyle w:val="TableFigureFooter"/>
        <w:rPr>
          <w:rFonts w:eastAsia="Calibri"/>
          <w:lang w:eastAsia="en-US"/>
        </w:rPr>
      </w:pPr>
      <w:r w:rsidRPr="00E50289">
        <w:rPr>
          <w:rFonts w:eastAsia="Calibri"/>
          <w:lang w:eastAsia="en-US"/>
        </w:rPr>
        <w:t xml:space="preserve">ADA= adalimumab; AE= adverse event; AT= active treatment; CI= confidence interval; IFX= infliximab; ITC= indirect trial comparison; </w:t>
      </w:r>
      <w:r w:rsidR="001C0359" w:rsidRPr="00E50289">
        <w:rPr>
          <w:rFonts w:eastAsia="Calibri"/>
          <w:lang w:eastAsia="en-US"/>
        </w:rPr>
        <w:t>n</w:t>
      </w:r>
      <w:r w:rsidR="008B1228" w:rsidRPr="00E50289">
        <w:rPr>
          <w:rFonts w:eastAsia="Calibri"/>
          <w:lang w:eastAsia="en-US"/>
        </w:rPr>
        <w:t xml:space="preserve">= </w:t>
      </w:r>
      <w:r w:rsidR="001C0359" w:rsidRPr="00E50289">
        <w:rPr>
          <w:rFonts w:eastAsia="Calibri"/>
          <w:lang w:eastAsia="en-US"/>
        </w:rPr>
        <w:t>number of participants with event; N</w:t>
      </w:r>
      <w:r w:rsidR="008B1228" w:rsidRPr="00E50289">
        <w:rPr>
          <w:rFonts w:eastAsia="Calibri"/>
          <w:lang w:eastAsia="en-US"/>
        </w:rPr>
        <w:t xml:space="preserve">= </w:t>
      </w:r>
      <w:r w:rsidR="001C0359" w:rsidRPr="00E50289">
        <w:rPr>
          <w:rFonts w:eastAsia="Calibri"/>
          <w:lang w:eastAsia="en-US"/>
        </w:rPr>
        <w:t xml:space="preserve">total participants in group; </w:t>
      </w:r>
      <w:r w:rsidRPr="00E50289">
        <w:rPr>
          <w:rFonts w:eastAsia="Calibri"/>
          <w:lang w:eastAsia="en-US"/>
        </w:rPr>
        <w:t>NR= not reported; OR= odds ratio; PBO= placebo; Ph= phase; RD= risk difference; RISA= risankizumab; RR= relative risk; UPA= upadacitinib; UST= ustekinumab; VDZ= vedolizumab; vs= versus.</w:t>
      </w:r>
    </w:p>
    <w:p w14:paraId="1405C70D" w14:textId="179F1A53" w:rsidR="0059604F" w:rsidRPr="00E50289" w:rsidRDefault="0059604F" w:rsidP="006E0383">
      <w:pPr>
        <w:pStyle w:val="TableFigureFooter"/>
        <w:rPr>
          <w:rFonts w:eastAsia="Calibri"/>
          <w:lang w:eastAsia="en-US"/>
        </w:rPr>
      </w:pPr>
      <w:r w:rsidRPr="00E50289">
        <w:rPr>
          <w:rFonts w:eastAsia="Calibri"/>
          <w:lang w:eastAsia="en-US"/>
        </w:rPr>
        <w:t>Note: The submission did not report indirect comparisons for upadacitinib vs infliximab</w:t>
      </w:r>
      <w:r w:rsidR="000417D2" w:rsidRPr="00E50289">
        <w:rPr>
          <w:rFonts w:eastAsia="Calibri"/>
          <w:lang w:eastAsia="en-US"/>
        </w:rPr>
        <w:t>.</w:t>
      </w:r>
      <w:r w:rsidR="004C00E1" w:rsidRPr="00E50289">
        <w:rPr>
          <w:rFonts w:eastAsia="Calibri"/>
          <w:lang w:eastAsia="en-US"/>
        </w:rPr>
        <w:t xml:space="preserve"> The PBAC previously noted that the trial data for the comparator infliximab had extremely wide confidence intervals and small patient numbers making the indirect comparison unreliable (Paragraph 7.8, Vedolizumab, </w:t>
      </w:r>
      <w:r w:rsidR="00507D16">
        <w:rPr>
          <w:rFonts w:eastAsia="Calibri"/>
          <w:lang w:eastAsia="en-US"/>
        </w:rPr>
        <w:t>PSD</w:t>
      </w:r>
      <w:r w:rsidR="004C00E1" w:rsidRPr="00E50289">
        <w:rPr>
          <w:rFonts w:eastAsia="Calibri"/>
          <w:lang w:eastAsia="en-US"/>
        </w:rPr>
        <w:t>, March 2015 PBAC meeting)</w:t>
      </w:r>
      <w:r w:rsidR="000417D2" w:rsidRPr="00E50289">
        <w:rPr>
          <w:rFonts w:eastAsia="Calibri"/>
          <w:lang w:eastAsia="en-US"/>
        </w:rPr>
        <w:t>.</w:t>
      </w:r>
    </w:p>
    <w:p w14:paraId="3CB1E788" w14:textId="4549329E" w:rsidR="0059604F" w:rsidRPr="00E50289" w:rsidRDefault="0059604F" w:rsidP="006E0383">
      <w:pPr>
        <w:pStyle w:val="TableFigureFooter"/>
        <w:spacing w:after="0"/>
      </w:pPr>
      <w:r w:rsidRPr="00E50289">
        <w:rPr>
          <w:b/>
          <w:bCs/>
        </w:rPr>
        <w:t xml:space="preserve">BOLD </w:t>
      </w:r>
      <w:r w:rsidRPr="00E50289">
        <w:t xml:space="preserve">values </w:t>
      </w:r>
      <w:r w:rsidR="00BB50D0" w:rsidRPr="00E50289">
        <w:t>represent statistically</w:t>
      </w:r>
      <w:r w:rsidRPr="00E50289">
        <w:t xml:space="preserve"> significant results. </w:t>
      </w:r>
      <w:r w:rsidRPr="00E50289">
        <w:rPr>
          <w:b/>
          <w:bCs/>
          <w:color w:val="FF0000"/>
        </w:rPr>
        <w:t>RED</w:t>
      </w:r>
      <w:r w:rsidRPr="00E50289">
        <w:t xml:space="preserve"> indicates significant results in favour of comparators.</w:t>
      </w:r>
    </w:p>
    <w:p w14:paraId="100C33E3" w14:textId="77777777" w:rsidR="0059604F" w:rsidRPr="00E50289" w:rsidRDefault="0059604F" w:rsidP="006E0383">
      <w:pPr>
        <w:widowControl w:val="0"/>
        <w:contextualSpacing/>
        <w:rPr>
          <w:rFonts w:ascii="Arial Narrow" w:hAnsi="Arial Narrow"/>
          <w:snapToGrid w:val="0"/>
          <w:sz w:val="18"/>
          <w:szCs w:val="22"/>
        </w:rPr>
      </w:pPr>
      <w:r w:rsidRPr="00E50289">
        <w:rPr>
          <w:rFonts w:ascii="Arial Narrow" w:hAnsi="Arial Narrow"/>
          <w:snapToGrid w:val="0"/>
          <w:sz w:val="18"/>
          <w:szCs w:val="22"/>
          <w:vertAlign w:val="superscript"/>
        </w:rPr>
        <w:t>a</w:t>
      </w:r>
      <w:r w:rsidRPr="00E50289">
        <w:rPr>
          <w:rFonts w:ascii="Arial Narrow" w:hAnsi="Arial Narrow"/>
          <w:snapToGrid w:val="0"/>
          <w:sz w:val="18"/>
          <w:szCs w:val="22"/>
        </w:rPr>
        <w:t xml:space="preserve"> </w:t>
      </w:r>
      <w:r w:rsidRPr="00E50289">
        <w:rPr>
          <w:rStyle w:val="TableFigureFooterChar"/>
        </w:rPr>
        <w:t>Corrected values were calculated during the evaluation</w:t>
      </w:r>
      <w:r w:rsidRPr="00E50289">
        <w:rPr>
          <w:rFonts w:ascii="Arial Narrow" w:hAnsi="Arial Narrow"/>
          <w:snapToGrid w:val="0"/>
          <w:sz w:val="18"/>
          <w:szCs w:val="22"/>
        </w:rPr>
        <w:t>.</w:t>
      </w:r>
    </w:p>
    <w:p w14:paraId="3F2F3906" w14:textId="2BA1531C" w:rsidR="0059604F" w:rsidRPr="00E50289" w:rsidRDefault="0059604F" w:rsidP="00D42558">
      <w:pPr>
        <w:widowControl w:val="0"/>
        <w:spacing w:after="120"/>
        <w:contextualSpacing/>
        <w:rPr>
          <w:rFonts w:ascii="Arial Narrow" w:hAnsi="Arial Narrow"/>
          <w:snapToGrid w:val="0"/>
          <w:sz w:val="18"/>
          <w:szCs w:val="22"/>
        </w:rPr>
      </w:pPr>
      <w:r w:rsidRPr="00E50289">
        <w:rPr>
          <w:rFonts w:ascii="Arial Narrow" w:hAnsi="Arial Narrow"/>
          <w:snapToGrid w:val="0"/>
          <w:sz w:val="18"/>
          <w:szCs w:val="22"/>
          <w:vertAlign w:val="superscript"/>
        </w:rPr>
        <w:t xml:space="preserve">b </w:t>
      </w:r>
      <w:r w:rsidRPr="00E50289">
        <w:rPr>
          <w:rFonts w:ascii="Arial Narrow" w:hAnsi="Arial Narrow"/>
          <w:snapToGrid w:val="0"/>
          <w:sz w:val="18"/>
          <w:szCs w:val="22"/>
        </w:rPr>
        <w:t>Pooled Adalimumab trials: CLASSIC</w:t>
      </w:r>
      <w:r w:rsidR="001538FE" w:rsidRPr="00E50289">
        <w:rPr>
          <w:rFonts w:ascii="Arial Narrow" w:hAnsi="Arial Narrow"/>
          <w:snapToGrid w:val="0"/>
          <w:sz w:val="18"/>
          <w:szCs w:val="22"/>
        </w:rPr>
        <w:t xml:space="preserve"> </w:t>
      </w:r>
      <w:r w:rsidRPr="00E50289">
        <w:rPr>
          <w:rFonts w:ascii="Arial Narrow" w:hAnsi="Arial Narrow"/>
          <w:snapToGrid w:val="0"/>
          <w:sz w:val="18"/>
          <w:szCs w:val="22"/>
        </w:rPr>
        <w:t>I, GAIN, Watanabe 2012; Pooled RISA trials: M15-993 (Ph 2), ADVANCE, MOTIVATE; Pooled Infliximab trial: T16; Pooled Vedolizumab trials: GEMINI II, GEM</w:t>
      </w:r>
      <w:r w:rsidR="006F2D39" w:rsidRPr="00E50289">
        <w:rPr>
          <w:rFonts w:ascii="Arial Narrow" w:hAnsi="Arial Narrow"/>
          <w:snapToGrid w:val="0"/>
          <w:sz w:val="18"/>
          <w:szCs w:val="22"/>
        </w:rPr>
        <w:t>I</w:t>
      </w:r>
      <w:r w:rsidRPr="00E50289">
        <w:rPr>
          <w:rFonts w:ascii="Arial Narrow" w:hAnsi="Arial Narrow"/>
          <w:snapToGrid w:val="0"/>
          <w:sz w:val="18"/>
          <w:szCs w:val="22"/>
        </w:rPr>
        <w:t xml:space="preserve">NI III, Watanabe 2020; Pooled Ustekinumab trials: UNITI-I, UNITI-II. </w:t>
      </w:r>
    </w:p>
    <w:p w14:paraId="6CA81B78" w14:textId="0CC333F1" w:rsidR="0059604F" w:rsidRPr="00E4034F" w:rsidRDefault="0059604F" w:rsidP="00E4034F">
      <w:pPr>
        <w:pStyle w:val="3-BodyText"/>
        <w:rPr>
          <w:color w:val="000000" w:themeColor="text1"/>
        </w:rPr>
      </w:pPr>
      <w:r>
        <w:rPr>
          <w:color w:val="000000" w:themeColor="text1"/>
        </w:rPr>
        <w:lastRenderedPageBreak/>
        <w:t>The indirect comparisons reported significantly greater rates of any AE</w:t>
      </w:r>
      <w:r w:rsidRPr="00E4034F">
        <w:rPr>
          <w:color w:val="000000" w:themeColor="text1"/>
        </w:rPr>
        <w:t xml:space="preserve"> with upadacitinib compared with adalimumab and risankizumab</w:t>
      </w:r>
      <w:r w:rsidR="00401C62">
        <w:rPr>
          <w:color w:val="000000" w:themeColor="text1"/>
        </w:rPr>
        <w:t xml:space="preserve"> (</w:t>
      </w:r>
      <w:r w:rsidR="008658C7">
        <w:rPr>
          <w:color w:val="000000" w:themeColor="text1"/>
        </w:rPr>
        <w:t>in terms of</w:t>
      </w:r>
      <w:r w:rsidR="00401C62">
        <w:rPr>
          <w:color w:val="000000" w:themeColor="text1"/>
        </w:rPr>
        <w:t xml:space="preserve"> OR, RR and RD) (</w:t>
      </w:r>
      <w:r w:rsidR="00401C62">
        <w:rPr>
          <w:color w:val="000000" w:themeColor="text1"/>
        </w:rPr>
        <w:fldChar w:fldCharType="begin" w:fldLock="1"/>
      </w:r>
      <w:r w:rsidR="00401C62">
        <w:rPr>
          <w:color w:val="000000" w:themeColor="text1"/>
        </w:rPr>
        <w:instrText xml:space="preserve"> REF _Ref121578532 \h </w:instrText>
      </w:r>
      <w:r w:rsidR="00401C62">
        <w:rPr>
          <w:color w:val="000000" w:themeColor="text1"/>
        </w:rPr>
      </w:r>
      <w:r w:rsidR="00401C62">
        <w:rPr>
          <w:color w:val="000000" w:themeColor="text1"/>
        </w:rPr>
        <w:fldChar w:fldCharType="separate"/>
      </w:r>
      <w:r w:rsidR="0033335A">
        <w:t xml:space="preserve">Table </w:t>
      </w:r>
      <w:r w:rsidR="0033335A">
        <w:rPr>
          <w:noProof/>
        </w:rPr>
        <w:t>8</w:t>
      </w:r>
      <w:r w:rsidR="00401C62">
        <w:rPr>
          <w:color w:val="000000" w:themeColor="text1"/>
        </w:rPr>
        <w:fldChar w:fldCharType="end"/>
      </w:r>
      <w:r w:rsidR="00401C62">
        <w:rPr>
          <w:color w:val="000000" w:themeColor="text1"/>
        </w:rPr>
        <w:t>)</w:t>
      </w:r>
      <w:r w:rsidRPr="00E4034F">
        <w:rPr>
          <w:color w:val="000000" w:themeColor="text1"/>
        </w:rPr>
        <w:t xml:space="preserve">. For serious AEs and serious infections, upadacitinib reported a </w:t>
      </w:r>
      <w:r w:rsidR="00A51BE9">
        <w:rPr>
          <w:color w:val="000000" w:themeColor="text1"/>
        </w:rPr>
        <w:t xml:space="preserve">significantly </w:t>
      </w:r>
      <w:r w:rsidRPr="00E4034F">
        <w:rPr>
          <w:color w:val="000000" w:themeColor="text1"/>
        </w:rPr>
        <w:t>greater number of events in comparison to risankizumab</w:t>
      </w:r>
      <w:r>
        <w:rPr>
          <w:color w:val="000000" w:themeColor="text1"/>
        </w:rPr>
        <w:t xml:space="preserve"> only</w:t>
      </w:r>
      <w:r w:rsidR="00401C62">
        <w:rPr>
          <w:color w:val="000000" w:themeColor="text1"/>
        </w:rPr>
        <w:t xml:space="preserve"> (</w:t>
      </w:r>
      <w:r w:rsidR="00A51BE9">
        <w:rPr>
          <w:color w:val="000000" w:themeColor="text1"/>
        </w:rPr>
        <w:t xml:space="preserve">in terms of </w:t>
      </w:r>
      <w:r w:rsidR="00401C62">
        <w:rPr>
          <w:color w:val="000000" w:themeColor="text1"/>
        </w:rPr>
        <w:t>OR, RR and RD)</w:t>
      </w:r>
      <w:r w:rsidRPr="00E4034F">
        <w:rPr>
          <w:color w:val="000000" w:themeColor="text1"/>
        </w:rPr>
        <w:t xml:space="preserve">. </w:t>
      </w:r>
      <w:r>
        <w:rPr>
          <w:color w:val="000000" w:themeColor="text1"/>
        </w:rPr>
        <w:t xml:space="preserve">In addition, </w:t>
      </w:r>
      <w:r w:rsidRPr="00E4034F">
        <w:rPr>
          <w:color w:val="000000" w:themeColor="text1"/>
        </w:rPr>
        <w:t xml:space="preserve">significantly more upadacitinib patients experienced AEs </w:t>
      </w:r>
      <w:r>
        <w:rPr>
          <w:color w:val="000000" w:themeColor="text1"/>
        </w:rPr>
        <w:t>leading to</w:t>
      </w:r>
      <w:r w:rsidRPr="00E4034F">
        <w:rPr>
          <w:color w:val="000000" w:themeColor="text1"/>
        </w:rPr>
        <w:t xml:space="preserve"> discontinuation </w:t>
      </w:r>
      <w:r>
        <w:rPr>
          <w:color w:val="000000" w:themeColor="text1"/>
        </w:rPr>
        <w:t>compared</w:t>
      </w:r>
      <w:r w:rsidRPr="00E4034F">
        <w:rPr>
          <w:color w:val="000000" w:themeColor="text1"/>
        </w:rPr>
        <w:t xml:space="preserve"> to risankizumab</w:t>
      </w:r>
      <w:r>
        <w:rPr>
          <w:color w:val="000000" w:themeColor="text1"/>
        </w:rPr>
        <w:t xml:space="preserve"> (</w:t>
      </w:r>
      <w:bookmarkStart w:id="69" w:name="_Hlk121576189"/>
      <w:r>
        <w:rPr>
          <w:color w:val="000000" w:themeColor="text1"/>
        </w:rPr>
        <w:t xml:space="preserve">in terms of </w:t>
      </w:r>
      <w:bookmarkEnd w:id="69"/>
      <w:r w:rsidR="00401C62">
        <w:rPr>
          <w:color w:val="000000" w:themeColor="text1"/>
        </w:rPr>
        <w:t xml:space="preserve">OR </w:t>
      </w:r>
      <w:r w:rsidR="0086679C">
        <w:rPr>
          <w:color w:val="000000" w:themeColor="text1"/>
        </w:rPr>
        <w:t>and RR</w:t>
      </w:r>
      <w:r>
        <w:rPr>
          <w:color w:val="000000" w:themeColor="text1"/>
        </w:rPr>
        <w:t xml:space="preserve">) and </w:t>
      </w:r>
      <w:r w:rsidRPr="00493368">
        <w:rPr>
          <w:color w:val="000000" w:themeColor="text1"/>
        </w:rPr>
        <w:t>vedolizumab</w:t>
      </w:r>
      <w:r>
        <w:rPr>
          <w:color w:val="000000" w:themeColor="text1"/>
        </w:rPr>
        <w:t xml:space="preserve"> (</w:t>
      </w:r>
      <w:r w:rsidR="008658C7">
        <w:rPr>
          <w:color w:val="000000" w:themeColor="text1"/>
        </w:rPr>
        <w:t>in terms of</w:t>
      </w:r>
      <w:r w:rsidRPr="00493368">
        <w:rPr>
          <w:color w:val="000000" w:themeColor="text1"/>
        </w:rPr>
        <w:t xml:space="preserve"> </w:t>
      </w:r>
      <w:r w:rsidR="0086679C">
        <w:rPr>
          <w:color w:val="000000" w:themeColor="text1"/>
        </w:rPr>
        <w:t>OR</w:t>
      </w:r>
      <w:r>
        <w:rPr>
          <w:color w:val="000000" w:themeColor="text1"/>
        </w:rPr>
        <w:t xml:space="preserve"> only)</w:t>
      </w:r>
      <w:r w:rsidRPr="00E4034F">
        <w:rPr>
          <w:color w:val="000000" w:themeColor="text1"/>
        </w:rPr>
        <w:t xml:space="preserve">. </w:t>
      </w:r>
    </w:p>
    <w:p w14:paraId="0832A975" w14:textId="7F16C735" w:rsidR="0059604F" w:rsidRDefault="0059604F" w:rsidP="00094E07">
      <w:pPr>
        <w:pStyle w:val="3-BodyText"/>
        <w:rPr>
          <w:color w:val="000000" w:themeColor="text1"/>
        </w:rPr>
      </w:pPr>
      <w:r w:rsidRPr="00E4034F">
        <w:rPr>
          <w:color w:val="000000" w:themeColor="text1"/>
        </w:rPr>
        <w:t xml:space="preserve">No other significant differences between upadacitinib and comparators were observed in the induction phase. </w:t>
      </w:r>
      <w:r w:rsidRPr="00C61790">
        <w:rPr>
          <w:color w:val="000000" w:themeColor="text1"/>
        </w:rPr>
        <w:t xml:space="preserve">However, compared to patients treated with adalimumab, risankizumab, vedolizumab, and ustekinumab, </w:t>
      </w:r>
      <w:r>
        <w:rPr>
          <w:color w:val="000000" w:themeColor="text1"/>
        </w:rPr>
        <w:t>a numerically</w:t>
      </w:r>
      <w:r w:rsidRPr="00C61790">
        <w:rPr>
          <w:color w:val="000000" w:themeColor="text1"/>
        </w:rPr>
        <w:t xml:space="preserve"> </w:t>
      </w:r>
      <w:r>
        <w:rPr>
          <w:color w:val="000000" w:themeColor="text1"/>
        </w:rPr>
        <w:t>higher</w:t>
      </w:r>
      <w:r w:rsidRPr="00C61790">
        <w:rPr>
          <w:color w:val="000000" w:themeColor="text1"/>
        </w:rPr>
        <w:t xml:space="preserve"> proportion of patients </w:t>
      </w:r>
      <w:r>
        <w:rPr>
          <w:color w:val="000000" w:themeColor="text1"/>
        </w:rPr>
        <w:t xml:space="preserve">in </w:t>
      </w:r>
      <w:r w:rsidRPr="00C61790">
        <w:rPr>
          <w:color w:val="000000" w:themeColor="text1"/>
        </w:rPr>
        <w:t xml:space="preserve">upadacitinib </w:t>
      </w:r>
      <w:r>
        <w:rPr>
          <w:color w:val="000000" w:themeColor="text1"/>
        </w:rPr>
        <w:t xml:space="preserve">trials </w:t>
      </w:r>
      <w:r w:rsidRPr="00C61790">
        <w:rPr>
          <w:color w:val="000000" w:themeColor="text1"/>
        </w:rPr>
        <w:t xml:space="preserve">reported AEs, serious AEs, serious infections and AEs </w:t>
      </w:r>
      <w:r>
        <w:rPr>
          <w:color w:val="000000" w:themeColor="text1"/>
        </w:rPr>
        <w:t>leading to</w:t>
      </w:r>
      <w:r w:rsidRPr="00C61790">
        <w:rPr>
          <w:color w:val="000000" w:themeColor="text1"/>
        </w:rPr>
        <w:t xml:space="preserve"> discontinuation. </w:t>
      </w:r>
    </w:p>
    <w:p w14:paraId="27E53A70" w14:textId="12CC0924" w:rsidR="008F43E9" w:rsidRPr="008F43E9" w:rsidRDefault="008F43E9" w:rsidP="00260470">
      <w:pPr>
        <w:pStyle w:val="3-BodyText"/>
        <w:keepNext/>
        <w:numPr>
          <w:ilvl w:val="0"/>
          <w:numId w:val="0"/>
        </w:numPr>
        <w:rPr>
          <w:color w:val="000000" w:themeColor="text1"/>
          <w:u w:val="single"/>
        </w:rPr>
      </w:pPr>
      <w:r w:rsidRPr="008F43E9">
        <w:rPr>
          <w:color w:val="000000" w:themeColor="text1"/>
          <w:u w:val="single"/>
        </w:rPr>
        <w:t>Safety: maintenance phase</w:t>
      </w:r>
    </w:p>
    <w:bookmarkStart w:id="70" w:name="_Ref115269517"/>
    <w:bookmarkStart w:id="71" w:name="_Toc117683783"/>
    <w:bookmarkStart w:id="72" w:name="_Hlk121227555"/>
    <w:p w14:paraId="5DA88855" w14:textId="1863AB51" w:rsidR="0016637F" w:rsidRPr="006E0383" w:rsidRDefault="0059604F" w:rsidP="000D349B">
      <w:pPr>
        <w:pStyle w:val="3-BodyText"/>
        <w:keepNext/>
        <w:jc w:val="left"/>
        <w:rPr>
          <w:color w:val="000000" w:themeColor="text1"/>
        </w:rPr>
      </w:pPr>
      <w:r w:rsidRPr="006E0383">
        <w:rPr>
          <w:color w:val="000000" w:themeColor="text1"/>
        </w:rPr>
        <w:fldChar w:fldCharType="begin" w:fldLock="1"/>
      </w:r>
      <w:r w:rsidRPr="006E0383">
        <w:rPr>
          <w:color w:val="000000" w:themeColor="text1"/>
        </w:rPr>
        <w:instrText xml:space="preserve"> REF _Ref121578544 \h </w:instrText>
      </w:r>
      <w:r w:rsidRPr="006E0383">
        <w:rPr>
          <w:color w:val="000000" w:themeColor="text1"/>
        </w:rPr>
      </w:r>
      <w:r w:rsidRPr="006E0383">
        <w:rPr>
          <w:color w:val="000000" w:themeColor="text1"/>
        </w:rPr>
        <w:fldChar w:fldCharType="separate"/>
      </w:r>
      <w:r w:rsidR="0033335A">
        <w:t xml:space="preserve">Table </w:t>
      </w:r>
      <w:r w:rsidR="0033335A">
        <w:rPr>
          <w:noProof/>
        </w:rPr>
        <w:t>9</w:t>
      </w:r>
      <w:r w:rsidRPr="006E0383">
        <w:rPr>
          <w:color w:val="000000" w:themeColor="text1"/>
        </w:rPr>
        <w:fldChar w:fldCharType="end"/>
      </w:r>
      <w:r w:rsidRPr="006E0383">
        <w:rPr>
          <w:color w:val="000000" w:themeColor="text1"/>
        </w:rPr>
        <w:t xml:space="preserve"> s</w:t>
      </w:r>
      <w:r w:rsidR="006F2D39" w:rsidRPr="006E0383">
        <w:rPr>
          <w:color w:val="000000" w:themeColor="text1"/>
        </w:rPr>
        <w:t>ummarises</w:t>
      </w:r>
      <w:r w:rsidRPr="006E0383">
        <w:rPr>
          <w:color w:val="000000" w:themeColor="text1"/>
        </w:rPr>
        <w:t xml:space="preserve"> the safety results (trial and indirect comparisons) of upadacitinib with comparators for the maintenance phase. </w:t>
      </w:r>
    </w:p>
    <w:p w14:paraId="04A3FB24" w14:textId="57A48269" w:rsidR="0059604F" w:rsidRDefault="0059604F" w:rsidP="006E0383">
      <w:pPr>
        <w:pStyle w:val="TableFigureHeading"/>
        <w:pageBreakBefore/>
      </w:pPr>
      <w:bookmarkStart w:id="73" w:name="_Ref121578544"/>
      <w:bookmarkEnd w:id="70"/>
      <w:bookmarkEnd w:id="71"/>
      <w:r>
        <w:lastRenderedPageBreak/>
        <w:t xml:space="preserve">Table </w:t>
      </w:r>
      <w:fldSimple w:instr=" SEQ Table \* ARABIC " w:fldLock="1">
        <w:r w:rsidR="0033335A">
          <w:rPr>
            <w:noProof/>
          </w:rPr>
          <w:t>9</w:t>
        </w:r>
      </w:fldSimple>
      <w:bookmarkEnd w:id="73"/>
      <w:r>
        <w:t>:</w:t>
      </w:r>
      <w:r w:rsidRPr="00CD5E98">
        <w:t xml:space="preserve"> Safety summary, maintenance phase: trial and indirect comparison results</w:t>
      </w:r>
    </w:p>
    <w:tbl>
      <w:tblPr>
        <w:tblStyle w:val="TableGrid"/>
        <w:tblW w:w="0" w:type="auto"/>
        <w:tblLook w:val="04A0" w:firstRow="1" w:lastRow="0" w:firstColumn="1" w:lastColumn="0" w:noHBand="0" w:noVBand="1"/>
      </w:tblPr>
      <w:tblGrid>
        <w:gridCol w:w="1271"/>
        <w:gridCol w:w="800"/>
        <w:gridCol w:w="1238"/>
        <w:gridCol w:w="1364"/>
        <w:gridCol w:w="1418"/>
        <w:gridCol w:w="1441"/>
        <w:gridCol w:w="1485"/>
      </w:tblGrid>
      <w:tr w:rsidR="0059604F" w:rsidRPr="0074357C" w14:paraId="7641BBB6" w14:textId="77777777" w:rsidTr="006E0383">
        <w:trPr>
          <w:trHeight w:val="20"/>
          <w:tblHeader/>
        </w:trPr>
        <w:tc>
          <w:tcPr>
            <w:tcW w:w="1271" w:type="dxa"/>
          </w:tcPr>
          <w:p w14:paraId="21E63473" w14:textId="77777777" w:rsidR="0059604F" w:rsidRPr="0074357C" w:rsidRDefault="0059604F" w:rsidP="006E0383">
            <w:pPr>
              <w:pStyle w:val="In-tableHeading"/>
              <w:keepNext w:val="0"/>
              <w:widowControl w:val="0"/>
              <w:jc w:val="center"/>
              <w:rPr>
                <w:sz w:val="19"/>
                <w:szCs w:val="19"/>
                <w:lang w:val="en-AU"/>
              </w:rPr>
            </w:pPr>
            <w:r w:rsidRPr="009A5FA0">
              <w:rPr>
                <w:rFonts w:eastAsia="Times New Roman" w:cs="Arial"/>
                <w:bCs/>
                <w:color w:val="000000"/>
                <w:sz w:val="19"/>
                <w:szCs w:val="19"/>
              </w:rPr>
              <w:t>Trial type or estimate</w:t>
            </w:r>
          </w:p>
        </w:tc>
        <w:tc>
          <w:tcPr>
            <w:tcW w:w="800" w:type="dxa"/>
          </w:tcPr>
          <w:p w14:paraId="1776E53D" w14:textId="77777777" w:rsidR="0059604F" w:rsidRPr="0074357C" w:rsidRDefault="0059604F" w:rsidP="006E0383">
            <w:pPr>
              <w:pStyle w:val="In-tableHeading"/>
              <w:keepNext w:val="0"/>
              <w:widowControl w:val="0"/>
              <w:jc w:val="center"/>
              <w:rPr>
                <w:sz w:val="19"/>
                <w:szCs w:val="19"/>
                <w:lang w:val="en-AU"/>
              </w:rPr>
            </w:pPr>
            <w:r>
              <w:rPr>
                <w:sz w:val="19"/>
                <w:szCs w:val="19"/>
                <w:lang w:val="en-AU"/>
              </w:rPr>
              <w:t>Result type</w:t>
            </w:r>
          </w:p>
        </w:tc>
        <w:tc>
          <w:tcPr>
            <w:tcW w:w="1238" w:type="dxa"/>
          </w:tcPr>
          <w:p w14:paraId="4745173F" w14:textId="77777777" w:rsidR="0059604F" w:rsidRPr="0074357C" w:rsidRDefault="0059604F" w:rsidP="006E0383">
            <w:pPr>
              <w:pStyle w:val="In-tableHeading"/>
              <w:keepNext w:val="0"/>
              <w:widowControl w:val="0"/>
              <w:jc w:val="center"/>
              <w:rPr>
                <w:sz w:val="19"/>
                <w:szCs w:val="19"/>
                <w:lang w:val="en-AU"/>
              </w:rPr>
            </w:pPr>
            <w:r w:rsidRPr="009A5FA0">
              <w:rPr>
                <w:rFonts w:eastAsia="Times New Roman" w:cs="Arial"/>
                <w:bCs/>
                <w:color w:val="000000"/>
                <w:sz w:val="19"/>
                <w:szCs w:val="19"/>
              </w:rPr>
              <w:t xml:space="preserve">Active treatment </w:t>
            </w:r>
            <w:r w:rsidRPr="009A5FA0">
              <w:rPr>
                <w:rFonts w:eastAsia="Calibri"/>
                <w:bCs/>
                <w:snapToGrid w:val="0"/>
                <w:sz w:val="19"/>
                <w:szCs w:val="19"/>
              </w:rPr>
              <w:t>n/N (%)</w:t>
            </w:r>
          </w:p>
        </w:tc>
        <w:tc>
          <w:tcPr>
            <w:tcW w:w="1364" w:type="dxa"/>
          </w:tcPr>
          <w:p w14:paraId="4099ADAB" w14:textId="49C17DE9" w:rsidR="0059604F" w:rsidRPr="009A5FA0" w:rsidRDefault="0059604F" w:rsidP="006E0383">
            <w:pPr>
              <w:widowControl w:val="0"/>
              <w:jc w:val="center"/>
              <w:rPr>
                <w:rFonts w:ascii="Arial Narrow" w:hAnsi="Arial Narrow"/>
                <w:b/>
                <w:bCs/>
                <w:color w:val="000000"/>
                <w:sz w:val="19"/>
                <w:szCs w:val="19"/>
                <w:lang w:val="en-US"/>
              </w:rPr>
            </w:pPr>
            <w:r w:rsidRPr="009A5FA0">
              <w:rPr>
                <w:rFonts w:ascii="Arial Narrow" w:hAnsi="Arial Narrow"/>
                <w:b/>
                <w:bCs/>
                <w:color w:val="000000"/>
                <w:sz w:val="19"/>
                <w:szCs w:val="19"/>
                <w:lang w:val="en-US"/>
              </w:rPr>
              <w:t>PBO</w:t>
            </w:r>
          </w:p>
          <w:p w14:paraId="62A85488" w14:textId="77777777" w:rsidR="0059604F" w:rsidRPr="0074357C" w:rsidRDefault="0059604F" w:rsidP="006E0383">
            <w:pPr>
              <w:pStyle w:val="In-tableHeading"/>
              <w:keepNext w:val="0"/>
              <w:widowControl w:val="0"/>
              <w:jc w:val="center"/>
              <w:rPr>
                <w:sz w:val="19"/>
                <w:szCs w:val="19"/>
                <w:lang w:val="en-AU"/>
              </w:rPr>
            </w:pPr>
            <w:r w:rsidRPr="009A5FA0">
              <w:rPr>
                <w:rFonts w:eastAsia="Calibri"/>
                <w:bCs/>
                <w:snapToGrid w:val="0"/>
                <w:sz w:val="19"/>
                <w:szCs w:val="19"/>
              </w:rPr>
              <w:t>n/N (%)</w:t>
            </w:r>
          </w:p>
        </w:tc>
        <w:tc>
          <w:tcPr>
            <w:tcW w:w="1418" w:type="dxa"/>
          </w:tcPr>
          <w:p w14:paraId="6EBFD652" w14:textId="77777777" w:rsidR="0059604F" w:rsidRPr="009A5FA0" w:rsidRDefault="0059604F" w:rsidP="006E0383">
            <w:pPr>
              <w:widowControl w:val="0"/>
              <w:jc w:val="center"/>
              <w:rPr>
                <w:rFonts w:ascii="Arial Narrow" w:eastAsia="Calibri" w:hAnsi="Arial Narrow" w:cs="Times New Roman"/>
                <w:b/>
                <w:bCs/>
                <w:snapToGrid w:val="0"/>
                <w:sz w:val="19"/>
                <w:szCs w:val="19"/>
              </w:rPr>
            </w:pPr>
            <w:r w:rsidRPr="009A5FA0">
              <w:rPr>
                <w:rFonts w:ascii="Arial Narrow" w:eastAsia="Calibri" w:hAnsi="Arial Narrow" w:cs="Times New Roman"/>
                <w:b/>
                <w:bCs/>
                <w:snapToGrid w:val="0"/>
                <w:sz w:val="19"/>
                <w:szCs w:val="19"/>
              </w:rPr>
              <w:t>OR (95% CI)</w:t>
            </w:r>
          </w:p>
          <w:p w14:paraId="508DFDBA" w14:textId="77777777" w:rsidR="0059604F" w:rsidRPr="0074357C" w:rsidRDefault="0059604F" w:rsidP="006E0383">
            <w:pPr>
              <w:pStyle w:val="In-tableHeading"/>
              <w:keepNext w:val="0"/>
              <w:widowControl w:val="0"/>
              <w:jc w:val="center"/>
              <w:rPr>
                <w:sz w:val="19"/>
                <w:szCs w:val="19"/>
                <w:lang w:val="en-AU"/>
              </w:rPr>
            </w:pPr>
            <w:r w:rsidRPr="009A5FA0">
              <w:rPr>
                <w:rFonts w:eastAsia="Calibri" w:cs="Arial"/>
                <w:bCs/>
                <w:sz w:val="19"/>
                <w:szCs w:val="19"/>
              </w:rPr>
              <w:t>Results &lt;1 favours intervention</w:t>
            </w:r>
          </w:p>
        </w:tc>
        <w:tc>
          <w:tcPr>
            <w:tcW w:w="1441" w:type="dxa"/>
          </w:tcPr>
          <w:p w14:paraId="724B9ECF" w14:textId="77777777" w:rsidR="0059604F" w:rsidRPr="0074357C" w:rsidRDefault="0059604F" w:rsidP="006E0383">
            <w:pPr>
              <w:pStyle w:val="In-tableHeading"/>
              <w:keepNext w:val="0"/>
              <w:widowControl w:val="0"/>
              <w:jc w:val="center"/>
              <w:rPr>
                <w:sz w:val="19"/>
                <w:szCs w:val="19"/>
                <w:lang w:val="en-AU"/>
              </w:rPr>
            </w:pPr>
            <w:r w:rsidRPr="009A5FA0">
              <w:rPr>
                <w:rFonts w:eastAsia="Calibri" w:cs="Arial"/>
                <w:bCs/>
                <w:sz w:val="19"/>
                <w:szCs w:val="19"/>
              </w:rPr>
              <w:t>RR (95% CI) Results &lt;1 favours intervention</w:t>
            </w:r>
          </w:p>
        </w:tc>
        <w:tc>
          <w:tcPr>
            <w:tcW w:w="1485" w:type="dxa"/>
          </w:tcPr>
          <w:p w14:paraId="5A186E06" w14:textId="77777777" w:rsidR="0059604F" w:rsidRPr="0074357C" w:rsidRDefault="0059604F" w:rsidP="006E0383">
            <w:pPr>
              <w:pStyle w:val="In-tableHeading"/>
              <w:keepNext w:val="0"/>
              <w:widowControl w:val="0"/>
              <w:jc w:val="center"/>
              <w:rPr>
                <w:sz w:val="19"/>
                <w:szCs w:val="19"/>
                <w:lang w:val="en-AU"/>
              </w:rPr>
            </w:pPr>
            <w:r w:rsidRPr="009A5FA0">
              <w:rPr>
                <w:rFonts w:eastAsia="Calibri" w:cs="Arial"/>
                <w:bCs/>
                <w:sz w:val="19"/>
                <w:szCs w:val="19"/>
              </w:rPr>
              <w:t>RD (95% CI) Results &lt;0 favours intervention</w:t>
            </w:r>
          </w:p>
        </w:tc>
      </w:tr>
      <w:tr w:rsidR="0059604F" w:rsidRPr="0074357C" w14:paraId="567097A4" w14:textId="77777777" w:rsidTr="006E0383">
        <w:trPr>
          <w:trHeight w:val="20"/>
        </w:trPr>
        <w:tc>
          <w:tcPr>
            <w:tcW w:w="9017" w:type="dxa"/>
            <w:gridSpan w:val="7"/>
          </w:tcPr>
          <w:p w14:paraId="52CB25A9" w14:textId="11B8AB50" w:rsidR="0059604F" w:rsidRPr="0074357C" w:rsidRDefault="0067413C" w:rsidP="006E0383">
            <w:pPr>
              <w:pStyle w:val="In-tableHeading"/>
              <w:keepNext w:val="0"/>
              <w:widowControl w:val="0"/>
              <w:rPr>
                <w:rFonts w:eastAsia="Calibri" w:cs="Arial"/>
                <w:bCs/>
                <w:sz w:val="19"/>
                <w:szCs w:val="19"/>
              </w:rPr>
            </w:pPr>
            <w:r>
              <w:rPr>
                <w:rFonts w:eastAsia="Times New Roman" w:cs="Arial"/>
                <w:bCs/>
                <w:color w:val="000000"/>
                <w:sz w:val="19"/>
                <w:szCs w:val="19"/>
              </w:rPr>
              <w:t>Any AE</w:t>
            </w:r>
            <w:r w:rsidR="00253B88">
              <w:rPr>
                <w:rFonts w:eastAsia="Times New Roman" w:cs="Arial"/>
                <w:bCs/>
                <w:color w:val="000000"/>
                <w:sz w:val="19"/>
                <w:szCs w:val="19"/>
              </w:rPr>
              <w:t>s</w:t>
            </w:r>
          </w:p>
        </w:tc>
      </w:tr>
      <w:tr w:rsidR="0059604F" w:rsidRPr="0074357C" w14:paraId="3750C9D2" w14:textId="77777777" w:rsidTr="006E0383">
        <w:trPr>
          <w:trHeight w:val="20"/>
        </w:trPr>
        <w:tc>
          <w:tcPr>
            <w:tcW w:w="1271" w:type="dxa"/>
          </w:tcPr>
          <w:p w14:paraId="387640DA" w14:textId="77777777" w:rsidR="0059604F" w:rsidRPr="002F2D47" w:rsidRDefault="0059604F" w:rsidP="006E0383">
            <w:pPr>
              <w:widowControl w:val="0"/>
              <w:jc w:val="left"/>
              <w:rPr>
                <w:rFonts w:ascii="Arial Narrow" w:hAnsi="Arial Narrow"/>
                <w:color w:val="000000"/>
                <w:sz w:val="19"/>
                <w:szCs w:val="19"/>
                <w:lang w:val="en-US"/>
              </w:rPr>
            </w:pPr>
            <w:r w:rsidRPr="002F2D47">
              <w:rPr>
                <w:rFonts w:ascii="Arial Narrow" w:hAnsi="Arial Narrow"/>
                <w:color w:val="000000"/>
                <w:sz w:val="19"/>
                <w:szCs w:val="19"/>
                <w:lang w:val="en-US"/>
              </w:rPr>
              <w:t xml:space="preserve">UPA vs PBO </w:t>
            </w:r>
          </w:p>
        </w:tc>
        <w:tc>
          <w:tcPr>
            <w:tcW w:w="800" w:type="dxa"/>
          </w:tcPr>
          <w:p w14:paraId="2BA2AF9B" w14:textId="77777777" w:rsidR="0059604F" w:rsidRPr="002F2D47" w:rsidRDefault="0059604F" w:rsidP="006E0383">
            <w:pPr>
              <w:pStyle w:val="In-tableHeading"/>
              <w:keepNext w:val="0"/>
              <w:widowControl w:val="0"/>
              <w:rPr>
                <w:color w:val="000000"/>
                <w:sz w:val="19"/>
                <w:szCs w:val="19"/>
              </w:rPr>
            </w:pPr>
            <w:r w:rsidRPr="009A5FA0">
              <w:rPr>
                <w:b w:val="0"/>
                <w:i/>
                <w:sz w:val="19"/>
                <w:szCs w:val="19"/>
                <w:lang w:val="en-AU"/>
              </w:rPr>
              <w:t xml:space="preserve">Pooled results of the trials </w:t>
            </w:r>
            <w:r w:rsidRPr="005A7E04">
              <w:rPr>
                <w:b w:val="0"/>
                <w:i/>
                <w:sz w:val="19"/>
                <w:szCs w:val="19"/>
                <w:vertAlign w:val="superscript"/>
                <w:lang w:val="en-AU"/>
              </w:rPr>
              <w:t>b</w:t>
            </w:r>
          </w:p>
        </w:tc>
        <w:tc>
          <w:tcPr>
            <w:tcW w:w="1238" w:type="dxa"/>
            <w:tcBorders>
              <w:bottom w:val="single" w:sz="4" w:space="0" w:color="auto"/>
            </w:tcBorders>
          </w:tcPr>
          <w:p w14:paraId="1B37A0EE" w14:textId="3284D9C4" w:rsidR="0059604F" w:rsidRPr="002F2D47" w:rsidRDefault="00687BA7" w:rsidP="006E0383">
            <w:pPr>
              <w:widowControl w:val="0"/>
              <w:jc w:val="left"/>
              <w:rPr>
                <w:rFonts w:ascii="Arial Narrow" w:hAnsi="Arial Narrow"/>
                <w:color w:val="000000"/>
                <w:sz w:val="19"/>
                <w:szCs w:val="19"/>
                <w:lang w:val="en-US"/>
              </w:rPr>
            </w:pPr>
            <w:r w:rsidRPr="002F2D47">
              <w:rPr>
                <w:rFonts w:ascii="Arial Narrow" w:hAnsi="Arial Narrow"/>
                <w:color w:val="000000"/>
                <w:sz w:val="19"/>
                <w:szCs w:val="19"/>
                <w:lang w:val="en-US"/>
              </w:rPr>
              <w:t>341/450 (75.8)</w:t>
            </w:r>
          </w:p>
        </w:tc>
        <w:tc>
          <w:tcPr>
            <w:tcW w:w="1364" w:type="dxa"/>
            <w:tcBorders>
              <w:bottom w:val="single" w:sz="4" w:space="0" w:color="auto"/>
            </w:tcBorders>
          </w:tcPr>
          <w:p w14:paraId="40259936" w14:textId="6022B2EA" w:rsidR="0059604F" w:rsidRPr="002F2D47" w:rsidRDefault="00687BA7" w:rsidP="006E0383">
            <w:pPr>
              <w:widowControl w:val="0"/>
              <w:jc w:val="left"/>
              <w:rPr>
                <w:rFonts w:ascii="Arial Narrow" w:hAnsi="Arial Narrow"/>
                <w:color w:val="000000"/>
                <w:sz w:val="19"/>
                <w:szCs w:val="19"/>
                <w:lang w:val="en-US"/>
              </w:rPr>
            </w:pPr>
            <w:r w:rsidRPr="002F2D47">
              <w:rPr>
                <w:rFonts w:ascii="Arial Narrow" w:hAnsi="Arial Narrow"/>
                <w:color w:val="000000"/>
                <w:sz w:val="19"/>
                <w:szCs w:val="19"/>
                <w:lang w:val="en-US"/>
              </w:rPr>
              <w:t>169/223</w:t>
            </w:r>
            <w:r>
              <w:rPr>
                <w:rFonts w:ascii="Arial Narrow" w:hAnsi="Arial Narrow"/>
                <w:color w:val="000000"/>
                <w:sz w:val="19"/>
                <w:szCs w:val="19"/>
                <w:lang w:val="en-US"/>
              </w:rPr>
              <w:t xml:space="preserve"> </w:t>
            </w:r>
            <w:r w:rsidRPr="002F2D47">
              <w:rPr>
                <w:rFonts w:ascii="Arial Narrow" w:hAnsi="Arial Narrow"/>
                <w:color w:val="000000"/>
                <w:sz w:val="19"/>
                <w:szCs w:val="19"/>
                <w:lang w:val="en-US"/>
              </w:rPr>
              <w:t>(75.8)</w:t>
            </w:r>
          </w:p>
        </w:tc>
        <w:tc>
          <w:tcPr>
            <w:tcW w:w="1418" w:type="dxa"/>
            <w:tcBorders>
              <w:bottom w:val="single" w:sz="4" w:space="0" w:color="auto"/>
            </w:tcBorders>
          </w:tcPr>
          <w:p w14:paraId="7D7382C8" w14:textId="27A043FB" w:rsidR="0059604F" w:rsidRPr="002F2D47" w:rsidRDefault="00687BA7" w:rsidP="006E0383">
            <w:pPr>
              <w:widowControl w:val="0"/>
              <w:jc w:val="left"/>
              <w:rPr>
                <w:rFonts w:ascii="Arial Narrow" w:eastAsia="Calibri" w:hAnsi="Arial Narrow"/>
                <w:color w:val="000000"/>
                <w:sz w:val="19"/>
                <w:szCs w:val="19"/>
                <w:lang w:val="en-US"/>
              </w:rPr>
            </w:pPr>
            <w:r w:rsidRPr="002F2D47">
              <w:rPr>
                <w:rFonts w:ascii="Arial Narrow" w:hAnsi="Arial Narrow"/>
                <w:color w:val="000000"/>
                <w:sz w:val="19"/>
                <w:szCs w:val="19"/>
                <w:lang w:val="en-US"/>
              </w:rPr>
              <w:t>1.0</w:t>
            </w:r>
            <w:r w:rsidR="00A3791F">
              <w:rPr>
                <w:rFonts w:ascii="Arial Narrow" w:hAnsi="Arial Narrow"/>
                <w:color w:val="000000"/>
                <w:sz w:val="19"/>
                <w:szCs w:val="19"/>
                <w:lang w:val="en-US"/>
              </w:rPr>
              <w:t>0</w:t>
            </w:r>
            <w:r w:rsidR="00676AE6">
              <w:rPr>
                <w:rFonts w:ascii="Arial Narrow" w:hAnsi="Arial Narrow"/>
                <w:color w:val="000000"/>
                <w:sz w:val="19"/>
                <w:szCs w:val="19"/>
                <w:lang w:val="en-US"/>
              </w:rPr>
              <w:t xml:space="preserve"> </w:t>
            </w:r>
            <w:r w:rsidRPr="002F2D47">
              <w:rPr>
                <w:rFonts w:ascii="Arial Narrow" w:hAnsi="Arial Narrow"/>
                <w:color w:val="000000"/>
                <w:sz w:val="19"/>
                <w:szCs w:val="19"/>
                <w:lang w:val="en-US"/>
              </w:rPr>
              <w:t>(0.69, 1.45)</w:t>
            </w:r>
          </w:p>
        </w:tc>
        <w:tc>
          <w:tcPr>
            <w:tcW w:w="1441" w:type="dxa"/>
            <w:tcBorders>
              <w:bottom w:val="single" w:sz="4" w:space="0" w:color="auto"/>
            </w:tcBorders>
          </w:tcPr>
          <w:p w14:paraId="536D2E83" w14:textId="4A5CC974" w:rsidR="0059604F" w:rsidRPr="002F2D47" w:rsidRDefault="00687BA7" w:rsidP="006E0383">
            <w:pPr>
              <w:widowControl w:val="0"/>
              <w:jc w:val="left"/>
              <w:rPr>
                <w:rFonts w:ascii="Arial Narrow" w:eastAsia="Calibri" w:hAnsi="Arial Narrow"/>
                <w:color w:val="000000"/>
                <w:sz w:val="19"/>
                <w:szCs w:val="19"/>
                <w:lang w:val="en-US"/>
              </w:rPr>
            </w:pPr>
            <w:r w:rsidRPr="002F2D47">
              <w:rPr>
                <w:rFonts w:ascii="Arial Narrow" w:hAnsi="Arial Narrow"/>
                <w:color w:val="000000"/>
                <w:sz w:val="19"/>
                <w:szCs w:val="19"/>
                <w:lang w:val="en-US"/>
              </w:rPr>
              <w:t>1.0</w:t>
            </w:r>
            <w:r w:rsidR="00A3791F">
              <w:rPr>
                <w:rFonts w:ascii="Arial Narrow" w:hAnsi="Arial Narrow"/>
                <w:color w:val="000000"/>
                <w:sz w:val="19"/>
                <w:szCs w:val="19"/>
                <w:lang w:val="en-US"/>
              </w:rPr>
              <w:t>0</w:t>
            </w:r>
            <w:r w:rsidRPr="002F2D47">
              <w:rPr>
                <w:rFonts w:ascii="Arial Narrow" w:hAnsi="Arial Narrow"/>
                <w:color w:val="000000"/>
                <w:sz w:val="19"/>
                <w:szCs w:val="19"/>
                <w:lang w:val="en-US"/>
              </w:rPr>
              <w:t xml:space="preserve"> (0.91, 1.09)</w:t>
            </w:r>
          </w:p>
        </w:tc>
        <w:tc>
          <w:tcPr>
            <w:tcW w:w="1485" w:type="dxa"/>
            <w:tcBorders>
              <w:bottom w:val="single" w:sz="4" w:space="0" w:color="auto"/>
            </w:tcBorders>
            <w:shd w:val="clear" w:color="auto" w:fill="auto"/>
          </w:tcPr>
          <w:p w14:paraId="1E9E3B2C" w14:textId="18B4D55A" w:rsidR="0059604F" w:rsidRPr="002F2D47" w:rsidRDefault="0059604F" w:rsidP="006E0383">
            <w:pPr>
              <w:widowControl w:val="0"/>
              <w:jc w:val="left"/>
              <w:rPr>
                <w:rFonts w:ascii="Arial Narrow" w:eastAsia="Calibri" w:hAnsi="Arial Narrow"/>
                <w:color w:val="000000"/>
                <w:sz w:val="19"/>
                <w:szCs w:val="19"/>
                <w:lang w:val="en-US"/>
              </w:rPr>
            </w:pPr>
            <w:r w:rsidRPr="002F2D47">
              <w:rPr>
                <w:rFonts w:ascii="Arial Narrow" w:eastAsia="Calibri" w:hAnsi="Arial Narrow"/>
                <w:color w:val="000000"/>
                <w:sz w:val="19"/>
                <w:szCs w:val="19"/>
                <w:lang w:val="en-US"/>
              </w:rPr>
              <w:t>0</w:t>
            </w:r>
            <w:r w:rsidR="00A3791F">
              <w:rPr>
                <w:rFonts w:ascii="Arial Narrow" w:eastAsia="Calibri" w:hAnsi="Arial Narrow"/>
                <w:color w:val="000000"/>
                <w:sz w:val="19"/>
                <w:szCs w:val="19"/>
                <w:lang w:val="en-US"/>
              </w:rPr>
              <w:t>.00</w:t>
            </w:r>
            <w:r w:rsidR="00687BA7" w:rsidRPr="002F2D47">
              <w:rPr>
                <w:rFonts w:ascii="Arial Narrow" w:hAnsi="Arial Narrow"/>
                <w:color w:val="000000"/>
                <w:sz w:val="19"/>
                <w:szCs w:val="19"/>
                <w:lang w:val="en-US"/>
              </w:rPr>
              <w:t xml:space="preserve"> (-</w:t>
            </w:r>
            <w:r w:rsidRPr="002F2D47">
              <w:rPr>
                <w:rFonts w:ascii="Arial Narrow" w:eastAsia="Calibri" w:hAnsi="Arial Narrow"/>
                <w:color w:val="000000"/>
                <w:sz w:val="19"/>
                <w:szCs w:val="19"/>
                <w:lang w:val="en-US"/>
              </w:rPr>
              <w:t>0.</w:t>
            </w:r>
            <w:r w:rsidR="00687BA7" w:rsidRPr="002F2D47">
              <w:rPr>
                <w:rFonts w:ascii="Arial Narrow" w:hAnsi="Arial Narrow"/>
                <w:color w:val="000000"/>
                <w:sz w:val="19"/>
                <w:szCs w:val="19"/>
                <w:lang w:val="en-US"/>
              </w:rPr>
              <w:t>07</w:t>
            </w:r>
            <w:r w:rsidR="005B210B" w:rsidRPr="002F2D47">
              <w:rPr>
                <w:rFonts w:ascii="Arial Narrow" w:eastAsia="Calibri" w:hAnsi="Arial Narrow"/>
                <w:color w:val="000000"/>
                <w:sz w:val="19"/>
                <w:szCs w:val="19"/>
                <w:lang w:val="en-US"/>
              </w:rPr>
              <w:t xml:space="preserve">, </w:t>
            </w:r>
            <w:r w:rsidRPr="002F2D47">
              <w:rPr>
                <w:rFonts w:ascii="Arial Narrow" w:eastAsia="Calibri" w:hAnsi="Arial Narrow"/>
                <w:color w:val="000000"/>
                <w:sz w:val="19"/>
                <w:szCs w:val="19"/>
                <w:lang w:val="en-US"/>
              </w:rPr>
              <w:t>0.</w:t>
            </w:r>
            <w:r w:rsidR="00687BA7" w:rsidRPr="002F2D47">
              <w:rPr>
                <w:rFonts w:ascii="Arial Narrow" w:hAnsi="Arial Narrow"/>
                <w:color w:val="000000"/>
                <w:sz w:val="19"/>
                <w:szCs w:val="19"/>
                <w:lang w:val="en-US"/>
              </w:rPr>
              <w:t>07</w:t>
            </w:r>
            <w:r w:rsidRPr="002F2D47">
              <w:rPr>
                <w:rFonts w:ascii="Arial Narrow" w:eastAsia="Calibri" w:hAnsi="Arial Narrow"/>
                <w:color w:val="000000"/>
                <w:sz w:val="19"/>
                <w:szCs w:val="19"/>
                <w:lang w:val="en-US"/>
              </w:rPr>
              <w:t>)</w:t>
            </w:r>
          </w:p>
        </w:tc>
      </w:tr>
      <w:tr w:rsidR="0099436D" w:rsidRPr="0074357C" w14:paraId="5E8DE96B" w14:textId="77777777" w:rsidTr="006E0383">
        <w:trPr>
          <w:trHeight w:val="20"/>
        </w:trPr>
        <w:tc>
          <w:tcPr>
            <w:tcW w:w="3309" w:type="dxa"/>
            <w:gridSpan w:val="3"/>
            <w:vMerge w:val="restart"/>
            <w:tcBorders>
              <w:right w:val="single" w:sz="4" w:space="0" w:color="auto"/>
            </w:tcBorders>
          </w:tcPr>
          <w:p w14:paraId="61DAAEC8" w14:textId="77777777" w:rsidR="006467FF" w:rsidRPr="00D548DC" w:rsidRDefault="006467FF" w:rsidP="006E0383">
            <w:pPr>
              <w:pStyle w:val="In-tableHeading"/>
              <w:widowControl w:val="0"/>
              <w:rPr>
                <w:sz w:val="19"/>
                <w:szCs w:val="19"/>
              </w:rPr>
            </w:pPr>
            <w:r w:rsidRPr="00D548DC">
              <w:rPr>
                <w:sz w:val="19"/>
                <w:szCs w:val="19"/>
              </w:rPr>
              <w:t>Indirect comparisons:</w:t>
            </w:r>
          </w:p>
          <w:p w14:paraId="4690C46A" w14:textId="1C14D62C" w:rsidR="0099436D" w:rsidRPr="009A5FA0" w:rsidRDefault="006467FF" w:rsidP="006E0383">
            <w:pPr>
              <w:pStyle w:val="In-tableHeading"/>
              <w:keepNext w:val="0"/>
              <w:widowControl w:val="0"/>
              <w:rPr>
                <w:rFonts w:eastAsia="Times New Roman" w:cs="Arial"/>
                <w:b w:val="0"/>
                <w:bCs/>
                <w:color w:val="000000"/>
                <w:sz w:val="19"/>
                <w:szCs w:val="19"/>
              </w:rPr>
            </w:pPr>
            <w:r w:rsidRPr="00D548DC">
              <w:rPr>
                <w:sz w:val="19"/>
                <w:szCs w:val="19"/>
              </w:rPr>
              <w:t>U</w:t>
            </w:r>
            <w:r w:rsidR="00AC03E7">
              <w:rPr>
                <w:sz w:val="19"/>
                <w:szCs w:val="19"/>
              </w:rPr>
              <w:t>PA</w:t>
            </w:r>
            <w:r w:rsidRPr="00D548DC">
              <w:rPr>
                <w:sz w:val="19"/>
                <w:szCs w:val="19"/>
              </w:rPr>
              <w:t xml:space="preserve"> </w:t>
            </w:r>
            <w:r w:rsidR="00AC03E7">
              <w:rPr>
                <w:sz w:val="19"/>
                <w:szCs w:val="19"/>
              </w:rPr>
              <w:t>15</w:t>
            </w:r>
            <w:r w:rsidRPr="00D548DC">
              <w:rPr>
                <w:sz w:val="19"/>
                <w:szCs w:val="19"/>
              </w:rPr>
              <w:t xml:space="preserve"> mg </w:t>
            </w:r>
            <w:r>
              <w:rPr>
                <w:sz w:val="19"/>
                <w:szCs w:val="19"/>
              </w:rPr>
              <w:t xml:space="preserve">vs </w:t>
            </w:r>
            <w:r w:rsidRPr="00D548DC">
              <w:rPr>
                <w:sz w:val="19"/>
                <w:szCs w:val="19"/>
              </w:rPr>
              <w:t>comparators</w:t>
            </w:r>
            <w:r>
              <w:rPr>
                <w:sz w:val="19"/>
                <w:szCs w:val="19"/>
              </w:rPr>
              <w:t xml:space="preserve"> </w:t>
            </w:r>
            <w:r>
              <w:rPr>
                <w:sz w:val="19"/>
                <w:szCs w:val="19"/>
                <w:vertAlign w:val="superscript"/>
              </w:rPr>
              <w:t>c</w:t>
            </w:r>
          </w:p>
        </w:tc>
        <w:tc>
          <w:tcPr>
            <w:tcW w:w="1364" w:type="dxa"/>
            <w:tcBorders>
              <w:top w:val="single" w:sz="4" w:space="0" w:color="auto"/>
              <w:left w:val="single" w:sz="4" w:space="0" w:color="auto"/>
              <w:right w:val="single" w:sz="4" w:space="0" w:color="auto"/>
            </w:tcBorders>
          </w:tcPr>
          <w:p w14:paraId="3ACBFF2F" w14:textId="112D6F5B" w:rsidR="0099436D" w:rsidRDefault="0099436D" w:rsidP="006E0383">
            <w:pPr>
              <w:widowControl w:val="0"/>
              <w:jc w:val="left"/>
              <w:rPr>
                <w:rFonts w:ascii="Arial Narrow" w:hAnsi="Arial Narrow"/>
                <w:color w:val="000000"/>
                <w:sz w:val="19"/>
                <w:szCs w:val="19"/>
                <w:lang w:val="en-US"/>
              </w:rPr>
            </w:pPr>
            <w:r w:rsidRPr="002F2D47">
              <w:rPr>
                <w:rFonts w:ascii="Arial Narrow" w:hAnsi="Arial Narrow"/>
                <w:color w:val="000000"/>
                <w:sz w:val="19"/>
                <w:szCs w:val="19"/>
                <w:lang w:val="en-US"/>
              </w:rPr>
              <w:t>UPA vs ADA</w:t>
            </w:r>
          </w:p>
        </w:tc>
        <w:tc>
          <w:tcPr>
            <w:tcW w:w="1418" w:type="dxa"/>
            <w:tcBorders>
              <w:top w:val="single" w:sz="4" w:space="0" w:color="auto"/>
              <w:left w:val="single" w:sz="4" w:space="0" w:color="auto"/>
              <w:bottom w:val="single" w:sz="4" w:space="0" w:color="auto"/>
              <w:right w:val="single" w:sz="4" w:space="0" w:color="auto"/>
            </w:tcBorders>
          </w:tcPr>
          <w:p w14:paraId="3F097E66" w14:textId="215F8F9C" w:rsidR="0099436D" w:rsidRPr="009A5FA0" w:rsidRDefault="006467FF" w:rsidP="006E0383">
            <w:pPr>
              <w:widowControl w:val="0"/>
              <w:jc w:val="center"/>
              <w:rPr>
                <w:rFonts w:ascii="Arial Narrow" w:hAnsi="Arial Narrow"/>
                <w:color w:val="000000"/>
                <w:sz w:val="19"/>
                <w:szCs w:val="19"/>
                <w:lang w:val="en-US"/>
              </w:rPr>
            </w:pPr>
            <w:r w:rsidRPr="00D35D75">
              <w:rPr>
                <w:rFonts w:ascii="Arial Narrow" w:hAnsi="Arial Narrow"/>
                <w:color w:val="000000" w:themeColor="text1"/>
                <w:sz w:val="19"/>
                <w:szCs w:val="19"/>
                <w:lang w:val="en-US"/>
              </w:rPr>
              <w:t>0.80 (0.42</w:t>
            </w:r>
            <w:r>
              <w:rPr>
                <w:rFonts w:ascii="Arial Narrow" w:hAnsi="Arial Narrow"/>
                <w:color w:val="000000" w:themeColor="text1"/>
                <w:sz w:val="19"/>
                <w:szCs w:val="19"/>
                <w:lang w:val="en-US"/>
              </w:rPr>
              <w:t>,</w:t>
            </w:r>
            <w:r w:rsidRPr="00D35D75">
              <w:rPr>
                <w:rFonts w:ascii="Arial Narrow" w:hAnsi="Arial Narrow"/>
                <w:color w:val="000000" w:themeColor="text1"/>
                <w:sz w:val="19"/>
                <w:szCs w:val="19"/>
                <w:lang w:val="en-US"/>
              </w:rPr>
              <w:t xml:space="preserve"> 1.51)</w:t>
            </w:r>
          </w:p>
        </w:tc>
        <w:tc>
          <w:tcPr>
            <w:tcW w:w="1441" w:type="dxa"/>
            <w:tcBorders>
              <w:top w:val="single" w:sz="4" w:space="0" w:color="auto"/>
              <w:left w:val="single" w:sz="4" w:space="0" w:color="auto"/>
              <w:bottom w:val="single" w:sz="4" w:space="0" w:color="auto"/>
              <w:right w:val="single" w:sz="4" w:space="0" w:color="auto"/>
            </w:tcBorders>
          </w:tcPr>
          <w:p w14:paraId="6A42DE1A" w14:textId="6A1529FD" w:rsidR="0099436D" w:rsidRPr="009A5FA0" w:rsidRDefault="006467FF" w:rsidP="006E0383">
            <w:pPr>
              <w:pStyle w:val="In-tableHeading"/>
              <w:keepNext w:val="0"/>
              <w:widowControl w:val="0"/>
              <w:jc w:val="center"/>
              <w:rPr>
                <w:rFonts w:eastAsia="Times New Roman" w:cs="Arial"/>
                <w:b w:val="0"/>
                <w:color w:val="000000"/>
                <w:sz w:val="19"/>
                <w:szCs w:val="19"/>
              </w:rPr>
            </w:pPr>
            <w:r w:rsidRPr="00EC0944">
              <w:rPr>
                <w:b w:val="0"/>
                <w:color w:val="000000" w:themeColor="text1"/>
                <w:sz w:val="19"/>
                <w:szCs w:val="19"/>
              </w:rPr>
              <w:t>0.97 (0.85, 1.09)</w:t>
            </w:r>
          </w:p>
        </w:tc>
        <w:tc>
          <w:tcPr>
            <w:tcW w:w="1485" w:type="dxa"/>
            <w:tcBorders>
              <w:top w:val="single" w:sz="4" w:space="0" w:color="auto"/>
              <w:left w:val="single" w:sz="4" w:space="0" w:color="auto"/>
              <w:bottom w:val="single" w:sz="4" w:space="0" w:color="auto"/>
              <w:right w:val="single" w:sz="4" w:space="0" w:color="auto"/>
            </w:tcBorders>
          </w:tcPr>
          <w:p w14:paraId="224F7D7D" w14:textId="48F8B257" w:rsidR="0099436D" w:rsidRPr="009A5FA0" w:rsidRDefault="006467FF" w:rsidP="006E0383">
            <w:pPr>
              <w:pStyle w:val="In-tableHeading"/>
              <w:keepNext w:val="0"/>
              <w:widowControl w:val="0"/>
              <w:jc w:val="center"/>
              <w:rPr>
                <w:rFonts w:eastAsia="Times New Roman" w:cs="Arial"/>
                <w:b w:val="0"/>
                <w:color w:val="000000"/>
                <w:sz w:val="19"/>
                <w:szCs w:val="19"/>
              </w:rPr>
            </w:pPr>
            <w:r w:rsidRPr="00EC0944">
              <w:rPr>
                <w:b w:val="0"/>
                <w:color w:val="000000" w:themeColor="text1"/>
                <w:sz w:val="19"/>
                <w:szCs w:val="19"/>
              </w:rPr>
              <w:t>-0.03 (-0.13, 0.06)</w:t>
            </w:r>
          </w:p>
        </w:tc>
      </w:tr>
      <w:tr w:rsidR="0099436D" w:rsidRPr="0074357C" w14:paraId="51CA6FDD" w14:textId="77777777" w:rsidTr="006E0383">
        <w:trPr>
          <w:trHeight w:val="20"/>
        </w:trPr>
        <w:tc>
          <w:tcPr>
            <w:tcW w:w="3309" w:type="dxa"/>
            <w:gridSpan w:val="3"/>
            <w:vMerge/>
            <w:vAlign w:val="center"/>
          </w:tcPr>
          <w:p w14:paraId="6F6854C2" w14:textId="77777777" w:rsidR="0099436D" w:rsidRPr="009A5FA0" w:rsidRDefault="0099436D" w:rsidP="006E0383">
            <w:pPr>
              <w:pStyle w:val="In-tableHeading"/>
              <w:keepNext w:val="0"/>
              <w:widowControl w:val="0"/>
              <w:jc w:val="center"/>
              <w:rPr>
                <w:rFonts w:eastAsia="Times New Roman" w:cs="Arial"/>
                <w:b w:val="0"/>
                <w:bCs/>
                <w:color w:val="000000"/>
                <w:sz w:val="19"/>
                <w:szCs w:val="19"/>
              </w:rPr>
            </w:pPr>
          </w:p>
        </w:tc>
        <w:tc>
          <w:tcPr>
            <w:tcW w:w="1364" w:type="dxa"/>
            <w:tcBorders>
              <w:top w:val="single" w:sz="4" w:space="0" w:color="auto"/>
              <w:left w:val="single" w:sz="4" w:space="0" w:color="auto"/>
              <w:right w:val="single" w:sz="4" w:space="0" w:color="auto"/>
            </w:tcBorders>
          </w:tcPr>
          <w:p w14:paraId="10889196" w14:textId="1715C316" w:rsidR="0099436D" w:rsidRDefault="0099436D" w:rsidP="006E0383">
            <w:pPr>
              <w:widowControl w:val="0"/>
              <w:jc w:val="left"/>
              <w:rPr>
                <w:rFonts w:ascii="Arial Narrow" w:hAnsi="Arial Narrow"/>
                <w:color w:val="000000"/>
                <w:sz w:val="19"/>
                <w:szCs w:val="19"/>
                <w:lang w:val="en-US"/>
              </w:rPr>
            </w:pPr>
            <w:r w:rsidRPr="002F2D47">
              <w:rPr>
                <w:rFonts w:ascii="Arial Narrow" w:hAnsi="Arial Narrow"/>
                <w:color w:val="000000"/>
                <w:sz w:val="19"/>
                <w:szCs w:val="19"/>
                <w:lang w:val="en-US"/>
              </w:rPr>
              <w:t>UPA vs RISA</w:t>
            </w:r>
          </w:p>
        </w:tc>
        <w:tc>
          <w:tcPr>
            <w:tcW w:w="1418" w:type="dxa"/>
            <w:tcBorders>
              <w:top w:val="single" w:sz="4" w:space="0" w:color="auto"/>
              <w:left w:val="single" w:sz="4" w:space="0" w:color="auto"/>
              <w:bottom w:val="single" w:sz="4" w:space="0" w:color="auto"/>
              <w:right w:val="single" w:sz="4" w:space="0" w:color="auto"/>
            </w:tcBorders>
          </w:tcPr>
          <w:p w14:paraId="6245EBC0" w14:textId="07DE8EDF" w:rsidR="0099436D" w:rsidRPr="009A5FA0" w:rsidRDefault="006467FF" w:rsidP="006E0383">
            <w:pPr>
              <w:widowControl w:val="0"/>
              <w:jc w:val="center"/>
              <w:rPr>
                <w:rFonts w:ascii="Arial Narrow" w:hAnsi="Arial Narrow"/>
                <w:color w:val="000000"/>
                <w:sz w:val="19"/>
                <w:szCs w:val="19"/>
                <w:lang w:val="en-US"/>
              </w:rPr>
            </w:pPr>
            <w:r w:rsidRPr="00D35D75">
              <w:rPr>
                <w:rFonts w:ascii="Arial Narrow" w:hAnsi="Arial Narrow"/>
                <w:color w:val="000000" w:themeColor="text1"/>
                <w:sz w:val="19"/>
                <w:szCs w:val="19"/>
                <w:lang w:val="en-US"/>
              </w:rPr>
              <w:t>1.01 (0.53</w:t>
            </w:r>
            <w:r>
              <w:rPr>
                <w:rFonts w:ascii="Arial Narrow" w:hAnsi="Arial Narrow"/>
                <w:color w:val="000000" w:themeColor="text1"/>
                <w:sz w:val="19"/>
                <w:szCs w:val="19"/>
                <w:lang w:val="en-US"/>
              </w:rPr>
              <w:t>,</w:t>
            </w:r>
            <w:r w:rsidRPr="00D35D75">
              <w:rPr>
                <w:rFonts w:ascii="Arial Narrow" w:hAnsi="Arial Narrow"/>
                <w:color w:val="000000" w:themeColor="text1"/>
                <w:sz w:val="19"/>
                <w:szCs w:val="19"/>
                <w:lang w:val="en-US"/>
              </w:rPr>
              <w:t xml:space="preserve"> 1.89)</w:t>
            </w:r>
          </w:p>
        </w:tc>
        <w:tc>
          <w:tcPr>
            <w:tcW w:w="1441" w:type="dxa"/>
            <w:tcBorders>
              <w:top w:val="single" w:sz="4" w:space="0" w:color="auto"/>
              <w:left w:val="single" w:sz="4" w:space="0" w:color="auto"/>
              <w:bottom w:val="single" w:sz="4" w:space="0" w:color="auto"/>
              <w:right w:val="single" w:sz="4" w:space="0" w:color="auto"/>
            </w:tcBorders>
          </w:tcPr>
          <w:p w14:paraId="2F7210CC" w14:textId="001BBDA2" w:rsidR="0099436D" w:rsidRPr="009A5FA0" w:rsidRDefault="006467FF" w:rsidP="006E0383">
            <w:pPr>
              <w:pStyle w:val="In-tableHeading"/>
              <w:keepNext w:val="0"/>
              <w:widowControl w:val="0"/>
              <w:jc w:val="center"/>
              <w:rPr>
                <w:rFonts w:eastAsia="Times New Roman" w:cs="Arial"/>
                <w:b w:val="0"/>
                <w:color w:val="000000"/>
                <w:sz w:val="19"/>
                <w:szCs w:val="19"/>
              </w:rPr>
            </w:pPr>
            <w:r w:rsidRPr="00EC0944">
              <w:rPr>
                <w:b w:val="0"/>
                <w:color w:val="000000" w:themeColor="text1"/>
                <w:sz w:val="19"/>
                <w:szCs w:val="19"/>
              </w:rPr>
              <w:t>1.00 (0.85, 1.18)</w:t>
            </w:r>
          </w:p>
        </w:tc>
        <w:tc>
          <w:tcPr>
            <w:tcW w:w="1485" w:type="dxa"/>
            <w:tcBorders>
              <w:top w:val="single" w:sz="4" w:space="0" w:color="auto"/>
              <w:left w:val="single" w:sz="4" w:space="0" w:color="auto"/>
              <w:bottom w:val="single" w:sz="4" w:space="0" w:color="auto"/>
              <w:right w:val="single" w:sz="4" w:space="0" w:color="auto"/>
            </w:tcBorders>
          </w:tcPr>
          <w:p w14:paraId="45FB391A" w14:textId="4346A14E" w:rsidR="0099436D" w:rsidRPr="009A5FA0" w:rsidRDefault="006467FF" w:rsidP="006E0383">
            <w:pPr>
              <w:pStyle w:val="In-tableHeading"/>
              <w:keepNext w:val="0"/>
              <w:widowControl w:val="0"/>
              <w:jc w:val="center"/>
              <w:rPr>
                <w:rFonts w:eastAsia="Times New Roman" w:cs="Arial"/>
                <w:b w:val="0"/>
                <w:color w:val="000000"/>
                <w:sz w:val="19"/>
                <w:szCs w:val="19"/>
              </w:rPr>
            </w:pPr>
            <w:r w:rsidRPr="00EC0944">
              <w:rPr>
                <w:b w:val="0"/>
                <w:color w:val="000000" w:themeColor="text1"/>
                <w:sz w:val="19"/>
                <w:szCs w:val="19"/>
              </w:rPr>
              <w:t>0.00 (-0.12, 0.12)</w:t>
            </w:r>
          </w:p>
        </w:tc>
      </w:tr>
      <w:tr w:rsidR="0099436D" w:rsidRPr="0074357C" w14:paraId="7D8B3A97" w14:textId="77777777" w:rsidTr="006E0383">
        <w:trPr>
          <w:trHeight w:val="20"/>
        </w:trPr>
        <w:tc>
          <w:tcPr>
            <w:tcW w:w="3309" w:type="dxa"/>
            <w:gridSpan w:val="3"/>
            <w:vMerge/>
            <w:vAlign w:val="center"/>
          </w:tcPr>
          <w:p w14:paraId="05A51691" w14:textId="77777777" w:rsidR="0099436D" w:rsidRPr="009A5FA0" w:rsidRDefault="0099436D" w:rsidP="006E0383">
            <w:pPr>
              <w:pStyle w:val="In-tableHeading"/>
              <w:keepNext w:val="0"/>
              <w:widowControl w:val="0"/>
              <w:jc w:val="center"/>
              <w:rPr>
                <w:rFonts w:eastAsia="Times New Roman" w:cs="Arial"/>
                <w:b w:val="0"/>
                <w:bCs/>
                <w:color w:val="000000"/>
                <w:sz w:val="19"/>
                <w:szCs w:val="19"/>
              </w:rPr>
            </w:pPr>
          </w:p>
        </w:tc>
        <w:tc>
          <w:tcPr>
            <w:tcW w:w="1364" w:type="dxa"/>
            <w:tcBorders>
              <w:top w:val="single" w:sz="4" w:space="0" w:color="auto"/>
              <w:left w:val="single" w:sz="4" w:space="0" w:color="auto"/>
              <w:right w:val="single" w:sz="4" w:space="0" w:color="auto"/>
            </w:tcBorders>
          </w:tcPr>
          <w:p w14:paraId="295F5EF7" w14:textId="38E9F258" w:rsidR="0099436D" w:rsidRDefault="0099436D" w:rsidP="006E0383">
            <w:pPr>
              <w:widowControl w:val="0"/>
              <w:jc w:val="left"/>
              <w:rPr>
                <w:rFonts w:ascii="Arial Narrow" w:hAnsi="Arial Narrow"/>
                <w:color w:val="000000"/>
                <w:sz w:val="19"/>
                <w:szCs w:val="19"/>
                <w:lang w:val="en-US"/>
              </w:rPr>
            </w:pPr>
            <w:r w:rsidRPr="002F2D47">
              <w:rPr>
                <w:rFonts w:ascii="Arial Narrow" w:hAnsi="Arial Narrow"/>
                <w:color w:val="000000"/>
                <w:sz w:val="19"/>
                <w:szCs w:val="19"/>
                <w:lang w:val="en-US"/>
              </w:rPr>
              <w:t>UPA vs IFX</w:t>
            </w:r>
          </w:p>
        </w:tc>
        <w:tc>
          <w:tcPr>
            <w:tcW w:w="1418" w:type="dxa"/>
            <w:tcBorders>
              <w:top w:val="single" w:sz="4" w:space="0" w:color="auto"/>
              <w:left w:val="single" w:sz="4" w:space="0" w:color="auto"/>
              <w:bottom w:val="single" w:sz="4" w:space="0" w:color="auto"/>
              <w:right w:val="single" w:sz="4" w:space="0" w:color="auto"/>
            </w:tcBorders>
          </w:tcPr>
          <w:p w14:paraId="4ACAFC9A" w14:textId="07A702AF" w:rsidR="0099436D" w:rsidRPr="009A5FA0" w:rsidRDefault="006467FF" w:rsidP="006E0383">
            <w:pPr>
              <w:widowControl w:val="0"/>
              <w:jc w:val="center"/>
              <w:rPr>
                <w:rFonts w:ascii="Arial Narrow" w:hAnsi="Arial Narrow"/>
                <w:color w:val="000000"/>
                <w:sz w:val="19"/>
                <w:szCs w:val="19"/>
                <w:lang w:val="en-US"/>
              </w:rPr>
            </w:pPr>
            <w:r w:rsidRPr="00D35D75">
              <w:rPr>
                <w:rFonts w:ascii="Arial Narrow" w:hAnsi="Arial Narrow"/>
                <w:color w:val="000000" w:themeColor="text1"/>
                <w:sz w:val="19"/>
                <w:szCs w:val="19"/>
                <w:lang w:val="en-US"/>
              </w:rPr>
              <w:t>NR</w:t>
            </w:r>
          </w:p>
        </w:tc>
        <w:tc>
          <w:tcPr>
            <w:tcW w:w="1441" w:type="dxa"/>
            <w:tcBorders>
              <w:top w:val="single" w:sz="4" w:space="0" w:color="auto"/>
              <w:left w:val="single" w:sz="4" w:space="0" w:color="auto"/>
              <w:bottom w:val="single" w:sz="4" w:space="0" w:color="auto"/>
              <w:right w:val="single" w:sz="4" w:space="0" w:color="auto"/>
            </w:tcBorders>
          </w:tcPr>
          <w:p w14:paraId="684975BC" w14:textId="2D1EB12B" w:rsidR="0099436D" w:rsidRPr="009A5FA0" w:rsidRDefault="006467FF" w:rsidP="006E0383">
            <w:pPr>
              <w:pStyle w:val="In-tableHeading"/>
              <w:keepNext w:val="0"/>
              <w:widowControl w:val="0"/>
              <w:jc w:val="center"/>
              <w:rPr>
                <w:rFonts w:eastAsia="Times New Roman" w:cs="Arial"/>
                <w:b w:val="0"/>
                <w:color w:val="000000"/>
                <w:sz w:val="19"/>
                <w:szCs w:val="19"/>
              </w:rPr>
            </w:pPr>
            <w:r w:rsidRPr="00E34817">
              <w:rPr>
                <w:b w:val="0"/>
                <w:color w:val="000000" w:themeColor="text1"/>
                <w:sz w:val="19"/>
                <w:szCs w:val="19"/>
              </w:rPr>
              <w:t>NR</w:t>
            </w:r>
          </w:p>
        </w:tc>
        <w:tc>
          <w:tcPr>
            <w:tcW w:w="1485" w:type="dxa"/>
            <w:tcBorders>
              <w:top w:val="single" w:sz="4" w:space="0" w:color="auto"/>
              <w:left w:val="single" w:sz="4" w:space="0" w:color="auto"/>
              <w:bottom w:val="single" w:sz="4" w:space="0" w:color="auto"/>
              <w:right w:val="single" w:sz="4" w:space="0" w:color="auto"/>
            </w:tcBorders>
          </w:tcPr>
          <w:p w14:paraId="6536ACAC" w14:textId="0D7F7DF0" w:rsidR="0099436D" w:rsidRPr="009A5FA0" w:rsidRDefault="006467FF" w:rsidP="006E0383">
            <w:pPr>
              <w:pStyle w:val="In-tableHeading"/>
              <w:keepNext w:val="0"/>
              <w:widowControl w:val="0"/>
              <w:jc w:val="center"/>
              <w:rPr>
                <w:rFonts w:eastAsia="Times New Roman" w:cs="Arial"/>
                <w:b w:val="0"/>
                <w:color w:val="000000"/>
                <w:sz w:val="19"/>
                <w:szCs w:val="19"/>
              </w:rPr>
            </w:pPr>
            <w:r w:rsidRPr="00E34817">
              <w:rPr>
                <w:b w:val="0"/>
                <w:color w:val="000000" w:themeColor="text1"/>
                <w:sz w:val="19"/>
                <w:szCs w:val="19"/>
              </w:rPr>
              <w:t>NR</w:t>
            </w:r>
          </w:p>
        </w:tc>
      </w:tr>
      <w:tr w:rsidR="0099436D" w:rsidRPr="0074357C" w14:paraId="1B48950B" w14:textId="77777777" w:rsidTr="006E0383">
        <w:trPr>
          <w:trHeight w:val="20"/>
        </w:trPr>
        <w:tc>
          <w:tcPr>
            <w:tcW w:w="3309" w:type="dxa"/>
            <w:gridSpan w:val="3"/>
            <w:vMerge/>
            <w:vAlign w:val="center"/>
          </w:tcPr>
          <w:p w14:paraId="562A0181" w14:textId="77777777" w:rsidR="0099436D" w:rsidRPr="009A5FA0" w:rsidRDefault="0099436D" w:rsidP="006E0383">
            <w:pPr>
              <w:pStyle w:val="In-tableHeading"/>
              <w:keepNext w:val="0"/>
              <w:widowControl w:val="0"/>
              <w:jc w:val="center"/>
              <w:rPr>
                <w:rFonts w:eastAsia="Times New Roman" w:cs="Arial"/>
                <w:b w:val="0"/>
                <w:bCs/>
                <w:color w:val="000000"/>
                <w:sz w:val="19"/>
                <w:szCs w:val="19"/>
              </w:rPr>
            </w:pPr>
          </w:p>
        </w:tc>
        <w:tc>
          <w:tcPr>
            <w:tcW w:w="1364" w:type="dxa"/>
            <w:tcBorders>
              <w:top w:val="single" w:sz="4" w:space="0" w:color="auto"/>
              <w:left w:val="single" w:sz="4" w:space="0" w:color="auto"/>
              <w:right w:val="single" w:sz="4" w:space="0" w:color="auto"/>
            </w:tcBorders>
          </w:tcPr>
          <w:p w14:paraId="2488A2EF" w14:textId="0202DB29" w:rsidR="0099436D" w:rsidRDefault="0099436D" w:rsidP="006E0383">
            <w:pPr>
              <w:widowControl w:val="0"/>
              <w:jc w:val="left"/>
              <w:rPr>
                <w:rFonts w:ascii="Arial Narrow" w:hAnsi="Arial Narrow"/>
                <w:color w:val="000000"/>
                <w:sz w:val="19"/>
                <w:szCs w:val="19"/>
                <w:lang w:val="en-US"/>
              </w:rPr>
            </w:pPr>
            <w:r w:rsidRPr="002F2D47">
              <w:rPr>
                <w:rFonts w:ascii="Arial Narrow" w:hAnsi="Arial Narrow"/>
                <w:color w:val="000000"/>
                <w:sz w:val="19"/>
                <w:szCs w:val="19"/>
                <w:lang w:val="en-US"/>
              </w:rPr>
              <w:t>UPA vs UST</w:t>
            </w:r>
          </w:p>
        </w:tc>
        <w:tc>
          <w:tcPr>
            <w:tcW w:w="1418" w:type="dxa"/>
            <w:tcBorders>
              <w:top w:val="single" w:sz="4" w:space="0" w:color="auto"/>
              <w:left w:val="single" w:sz="4" w:space="0" w:color="auto"/>
              <w:bottom w:val="single" w:sz="4" w:space="0" w:color="auto"/>
              <w:right w:val="single" w:sz="4" w:space="0" w:color="auto"/>
            </w:tcBorders>
          </w:tcPr>
          <w:p w14:paraId="28DF61F9" w14:textId="6F0F2651" w:rsidR="0099436D" w:rsidRPr="009A5FA0" w:rsidRDefault="006467FF" w:rsidP="006E0383">
            <w:pPr>
              <w:widowControl w:val="0"/>
              <w:jc w:val="center"/>
              <w:rPr>
                <w:rFonts w:ascii="Arial Narrow" w:hAnsi="Arial Narrow"/>
                <w:color w:val="000000"/>
                <w:sz w:val="19"/>
                <w:szCs w:val="19"/>
                <w:lang w:val="en-US"/>
              </w:rPr>
            </w:pPr>
            <w:r w:rsidRPr="00D35D75">
              <w:rPr>
                <w:rFonts w:ascii="Arial Narrow" w:hAnsi="Arial Narrow"/>
                <w:color w:val="000000" w:themeColor="text1"/>
                <w:sz w:val="19"/>
                <w:szCs w:val="19"/>
                <w:lang w:val="en-US"/>
              </w:rPr>
              <w:t>1.07 (0.49</w:t>
            </w:r>
            <w:r>
              <w:rPr>
                <w:rFonts w:ascii="Arial Narrow" w:hAnsi="Arial Narrow"/>
                <w:color w:val="000000" w:themeColor="text1"/>
                <w:sz w:val="19"/>
                <w:szCs w:val="19"/>
                <w:lang w:val="en-US"/>
              </w:rPr>
              <w:t>,</w:t>
            </w:r>
            <w:r w:rsidRPr="00D35D75">
              <w:rPr>
                <w:rFonts w:ascii="Arial Narrow" w:hAnsi="Arial Narrow"/>
                <w:color w:val="000000" w:themeColor="text1"/>
                <w:sz w:val="19"/>
                <w:szCs w:val="19"/>
                <w:lang w:val="en-US"/>
              </w:rPr>
              <w:t xml:space="preserve"> 2.30)</w:t>
            </w:r>
          </w:p>
        </w:tc>
        <w:tc>
          <w:tcPr>
            <w:tcW w:w="1441" w:type="dxa"/>
            <w:tcBorders>
              <w:top w:val="single" w:sz="4" w:space="0" w:color="auto"/>
              <w:left w:val="single" w:sz="4" w:space="0" w:color="auto"/>
              <w:bottom w:val="single" w:sz="4" w:space="0" w:color="auto"/>
              <w:right w:val="single" w:sz="4" w:space="0" w:color="auto"/>
            </w:tcBorders>
          </w:tcPr>
          <w:p w14:paraId="1CBE5B4F" w14:textId="333DF23B" w:rsidR="0099436D" w:rsidRPr="009A5FA0" w:rsidRDefault="006467FF" w:rsidP="006E0383">
            <w:pPr>
              <w:pStyle w:val="In-tableHeading"/>
              <w:keepNext w:val="0"/>
              <w:widowControl w:val="0"/>
              <w:jc w:val="center"/>
              <w:rPr>
                <w:rFonts w:eastAsia="Times New Roman" w:cs="Arial"/>
                <w:b w:val="0"/>
                <w:color w:val="000000"/>
                <w:sz w:val="19"/>
                <w:szCs w:val="19"/>
              </w:rPr>
            </w:pPr>
            <w:r w:rsidRPr="00EC0944">
              <w:rPr>
                <w:b w:val="0"/>
                <w:color w:val="000000" w:themeColor="text1"/>
                <w:sz w:val="19"/>
                <w:szCs w:val="19"/>
              </w:rPr>
              <w:t>1.01 (0.86, 1.17)</w:t>
            </w:r>
          </w:p>
        </w:tc>
        <w:tc>
          <w:tcPr>
            <w:tcW w:w="1485" w:type="dxa"/>
            <w:tcBorders>
              <w:top w:val="single" w:sz="4" w:space="0" w:color="auto"/>
              <w:left w:val="single" w:sz="4" w:space="0" w:color="auto"/>
              <w:bottom w:val="single" w:sz="4" w:space="0" w:color="auto"/>
              <w:right w:val="single" w:sz="4" w:space="0" w:color="auto"/>
            </w:tcBorders>
          </w:tcPr>
          <w:p w14:paraId="4DC1B4F9" w14:textId="6A827E33" w:rsidR="0099436D" w:rsidRPr="009A5FA0" w:rsidRDefault="006467FF" w:rsidP="006E0383">
            <w:pPr>
              <w:pStyle w:val="In-tableHeading"/>
              <w:keepNext w:val="0"/>
              <w:widowControl w:val="0"/>
              <w:jc w:val="center"/>
              <w:rPr>
                <w:rFonts w:eastAsia="Times New Roman" w:cs="Arial"/>
                <w:b w:val="0"/>
                <w:color w:val="000000"/>
                <w:sz w:val="19"/>
                <w:szCs w:val="19"/>
              </w:rPr>
            </w:pPr>
            <w:r w:rsidRPr="00EC0944">
              <w:rPr>
                <w:b w:val="0"/>
                <w:color w:val="000000" w:themeColor="text1"/>
                <w:sz w:val="19"/>
                <w:szCs w:val="19"/>
              </w:rPr>
              <w:t>0.01 (-0.12, 0.13)</w:t>
            </w:r>
          </w:p>
        </w:tc>
      </w:tr>
      <w:tr w:rsidR="0099436D" w:rsidRPr="0074357C" w14:paraId="59A8CFE8" w14:textId="77777777" w:rsidTr="006E0383">
        <w:trPr>
          <w:trHeight w:val="20"/>
        </w:trPr>
        <w:tc>
          <w:tcPr>
            <w:tcW w:w="3309" w:type="dxa"/>
            <w:gridSpan w:val="3"/>
            <w:vMerge/>
            <w:vAlign w:val="center"/>
          </w:tcPr>
          <w:p w14:paraId="46F08192" w14:textId="77777777" w:rsidR="0099436D" w:rsidRPr="009A5FA0" w:rsidRDefault="0099436D" w:rsidP="006E0383">
            <w:pPr>
              <w:pStyle w:val="In-tableHeading"/>
              <w:keepNext w:val="0"/>
              <w:widowControl w:val="0"/>
              <w:jc w:val="center"/>
              <w:rPr>
                <w:rFonts w:eastAsia="Times New Roman" w:cs="Arial"/>
                <w:b w:val="0"/>
                <w:bCs/>
                <w:color w:val="000000"/>
                <w:sz w:val="19"/>
                <w:szCs w:val="19"/>
              </w:rPr>
            </w:pPr>
          </w:p>
        </w:tc>
        <w:tc>
          <w:tcPr>
            <w:tcW w:w="1364" w:type="dxa"/>
            <w:tcBorders>
              <w:top w:val="single" w:sz="4" w:space="0" w:color="auto"/>
              <w:left w:val="single" w:sz="4" w:space="0" w:color="auto"/>
              <w:right w:val="single" w:sz="4" w:space="0" w:color="auto"/>
            </w:tcBorders>
          </w:tcPr>
          <w:p w14:paraId="13A78FDD" w14:textId="429E686B" w:rsidR="0099436D" w:rsidRDefault="0099436D" w:rsidP="006E0383">
            <w:pPr>
              <w:widowControl w:val="0"/>
              <w:jc w:val="left"/>
              <w:rPr>
                <w:rFonts w:ascii="Arial Narrow" w:hAnsi="Arial Narrow"/>
                <w:color w:val="000000"/>
                <w:sz w:val="19"/>
                <w:szCs w:val="19"/>
                <w:lang w:val="en-US"/>
              </w:rPr>
            </w:pPr>
            <w:r w:rsidRPr="002F2D47">
              <w:rPr>
                <w:rFonts w:ascii="Arial Narrow" w:hAnsi="Arial Narrow"/>
                <w:color w:val="000000"/>
                <w:sz w:val="19"/>
                <w:szCs w:val="19"/>
                <w:lang w:val="en-US"/>
              </w:rPr>
              <w:t>UPA vs VDZ</w:t>
            </w:r>
          </w:p>
        </w:tc>
        <w:tc>
          <w:tcPr>
            <w:tcW w:w="1418" w:type="dxa"/>
            <w:tcBorders>
              <w:top w:val="single" w:sz="4" w:space="0" w:color="auto"/>
              <w:left w:val="single" w:sz="4" w:space="0" w:color="auto"/>
              <w:bottom w:val="single" w:sz="4" w:space="0" w:color="auto"/>
              <w:right w:val="single" w:sz="4" w:space="0" w:color="auto"/>
            </w:tcBorders>
          </w:tcPr>
          <w:p w14:paraId="1E46D240" w14:textId="2B305048" w:rsidR="0099436D" w:rsidRPr="009A5FA0" w:rsidRDefault="006467FF" w:rsidP="006E0383">
            <w:pPr>
              <w:widowControl w:val="0"/>
              <w:jc w:val="center"/>
              <w:rPr>
                <w:rFonts w:ascii="Arial Narrow" w:hAnsi="Arial Narrow"/>
                <w:color w:val="000000"/>
                <w:sz w:val="19"/>
                <w:szCs w:val="19"/>
                <w:lang w:val="en-US"/>
              </w:rPr>
            </w:pPr>
            <w:r w:rsidRPr="00D35D75">
              <w:rPr>
                <w:rFonts w:ascii="Arial Narrow" w:hAnsi="Arial Narrow"/>
                <w:color w:val="000000" w:themeColor="text1"/>
                <w:sz w:val="19"/>
                <w:szCs w:val="19"/>
                <w:lang w:val="en-US"/>
              </w:rPr>
              <w:t>0.93 (0.53</w:t>
            </w:r>
            <w:r>
              <w:rPr>
                <w:rFonts w:ascii="Arial Narrow" w:hAnsi="Arial Narrow"/>
                <w:color w:val="000000" w:themeColor="text1"/>
                <w:sz w:val="19"/>
                <w:szCs w:val="19"/>
                <w:lang w:val="en-US"/>
              </w:rPr>
              <w:t>,</w:t>
            </w:r>
            <w:r w:rsidRPr="00D35D75">
              <w:rPr>
                <w:rFonts w:ascii="Arial Narrow" w:hAnsi="Arial Narrow"/>
                <w:color w:val="000000" w:themeColor="text1"/>
                <w:sz w:val="19"/>
                <w:szCs w:val="19"/>
                <w:lang w:val="en-US"/>
              </w:rPr>
              <w:t xml:space="preserve"> 1.65)</w:t>
            </w:r>
          </w:p>
        </w:tc>
        <w:tc>
          <w:tcPr>
            <w:tcW w:w="1441" w:type="dxa"/>
            <w:tcBorders>
              <w:top w:val="single" w:sz="4" w:space="0" w:color="auto"/>
              <w:left w:val="single" w:sz="4" w:space="0" w:color="auto"/>
              <w:bottom w:val="single" w:sz="4" w:space="0" w:color="auto"/>
              <w:right w:val="single" w:sz="4" w:space="0" w:color="auto"/>
            </w:tcBorders>
          </w:tcPr>
          <w:p w14:paraId="1DFCA73C" w14:textId="7784A741" w:rsidR="0099436D" w:rsidRPr="009A5FA0" w:rsidRDefault="006467FF" w:rsidP="006E0383">
            <w:pPr>
              <w:pStyle w:val="In-tableHeading"/>
              <w:keepNext w:val="0"/>
              <w:widowControl w:val="0"/>
              <w:jc w:val="center"/>
              <w:rPr>
                <w:rFonts w:eastAsia="Times New Roman" w:cs="Arial"/>
                <w:b w:val="0"/>
                <w:color w:val="000000"/>
                <w:sz w:val="19"/>
                <w:szCs w:val="19"/>
              </w:rPr>
            </w:pPr>
            <w:r w:rsidRPr="00EC0944">
              <w:rPr>
                <w:b w:val="0"/>
                <w:color w:val="000000" w:themeColor="text1"/>
                <w:sz w:val="19"/>
                <w:szCs w:val="19"/>
              </w:rPr>
              <w:t>0.99 (0.86, 1.12)</w:t>
            </w:r>
          </w:p>
        </w:tc>
        <w:tc>
          <w:tcPr>
            <w:tcW w:w="1485" w:type="dxa"/>
            <w:tcBorders>
              <w:top w:val="single" w:sz="4" w:space="0" w:color="auto"/>
              <w:left w:val="single" w:sz="4" w:space="0" w:color="auto"/>
              <w:bottom w:val="single" w:sz="4" w:space="0" w:color="auto"/>
              <w:right w:val="single" w:sz="4" w:space="0" w:color="auto"/>
            </w:tcBorders>
          </w:tcPr>
          <w:p w14:paraId="00A8754E" w14:textId="3711654B" w:rsidR="0099436D" w:rsidRPr="009A5FA0" w:rsidRDefault="006467FF" w:rsidP="006E0383">
            <w:pPr>
              <w:pStyle w:val="In-tableHeading"/>
              <w:keepNext w:val="0"/>
              <w:widowControl w:val="0"/>
              <w:jc w:val="center"/>
              <w:rPr>
                <w:rFonts w:eastAsia="Times New Roman" w:cs="Arial"/>
                <w:b w:val="0"/>
                <w:color w:val="000000"/>
                <w:sz w:val="19"/>
                <w:szCs w:val="19"/>
              </w:rPr>
            </w:pPr>
            <w:r w:rsidRPr="00EC0944">
              <w:rPr>
                <w:b w:val="0"/>
                <w:color w:val="000000" w:themeColor="text1"/>
                <w:sz w:val="19"/>
                <w:szCs w:val="19"/>
              </w:rPr>
              <w:t>-0.01 (-0.11, 0.09)</w:t>
            </w:r>
          </w:p>
        </w:tc>
      </w:tr>
      <w:tr w:rsidR="0099436D" w:rsidRPr="0074357C" w14:paraId="06D93EC0" w14:textId="77777777" w:rsidTr="006E0383">
        <w:trPr>
          <w:trHeight w:val="20"/>
        </w:trPr>
        <w:tc>
          <w:tcPr>
            <w:tcW w:w="3309" w:type="dxa"/>
            <w:gridSpan w:val="3"/>
            <w:vMerge/>
            <w:vAlign w:val="center"/>
          </w:tcPr>
          <w:p w14:paraId="13898C3D" w14:textId="77777777" w:rsidR="0099436D" w:rsidRPr="009A5FA0" w:rsidRDefault="0099436D" w:rsidP="006E0383">
            <w:pPr>
              <w:pStyle w:val="In-tableHeading"/>
              <w:keepNext w:val="0"/>
              <w:widowControl w:val="0"/>
              <w:jc w:val="center"/>
              <w:rPr>
                <w:rFonts w:eastAsia="Times New Roman" w:cs="Arial"/>
                <w:b w:val="0"/>
                <w:bCs/>
                <w:color w:val="000000"/>
                <w:sz w:val="19"/>
                <w:szCs w:val="19"/>
              </w:rPr>
            </w:pPr>
          </w:p>
        </w:tc>
        <w:tc>
          <w:tcPr>
            <w:tcW w:w="1364" w:type="dxa"/>
            <w:tcBorders>
              <w:top w:val="single" w:sz="4" w:space="0" w:color="auto"/>
              <w:left w:val="single" w:sz="4" w:space="0" w:color="auto"/>
              <w:right w:val="single" w:sz="4" w:space="0" w:color="auto"/>
            </w:tcBorders>
            <w:vAlign w:val="center"/>
          </w:tcPr>
          <w:p w14:paraId="1ED5B716" w14:textId="5218B760" w:rsidR="0099436D" w:rsidRDefault="0099436D" w:rsidP="006E0383">
            <w:pPr>
              <w:widowControl w:val="0"/>
              <w:jc w:val="left"/>
              <w:rPr>
                <w:rFonts w:ascii="Arial Narrow" w:hAnsi="Arial Narrow"/>
                <w:color w:val="000000"/>
                <w:sz w:val="19"/>
                <w:szCs w:val="19"/>
                <w:lang w:val="en-US"/>
              </w:rPr>
            </w:pPr>
            <w:r>
              <w:rPr>
                <w:rFonts w:ascii="Arial Narrow" w:hAnsi="Arial Narrow"/>
                <w:color w:val="000000"/>
                <w:sz w:val="19"/>
                <w:szCs w:val="19"/>
                <w:lang w:val="en-US"/>
              </w:rPr>
              <w:t>UPA vs VDZ SC</w:t>
            </w:r>
          </w:p>
        </w:tc>
        <w:tc>
          <w:tcPr>
            <w:tcW w:w="1418" w:type="dxa"/>
            <w:tcBorders>
              <w:top w:val="single" w:sz="4" w:space="0" w:color="auto"/>
              <w:left w:val="single" w:sz="4" w:space="0" w:color="auto"/>
              <w:bottom w:val="single" w:sz="4" w:space="0" w:color="auto"/>
              <w:right w:val="single" w:sz="4" w:space="0" w:color="auto"/>
            </w:tcBorders>
          </w:tcPr>
          <w:p w14:paraId="07DD7FF1" w14:textId="3167D1AD" w:rsidR="0099436D" w:rsidRPr="009A5FA0" w:rsidRDefault="006467FF" w:rsidP="006E0383">
            <w:pPr>
              <w:widowControl w:val="0"/>
              <w:jc w:val="center"/>
              <w:rPr>
                <w:rFonts w:ascii="Arial Narrow" w:hAnsi="Arial Narrow"/>
                <w:color w:val="000000"/>
                <w:sz w:val="19"/>
                <w:szCs w:val="19"/>
                <w:lang w:val="en-US"/>
              </w:rPr>
            </w:pPr>
            <w:r w:rsidRPr="00D35D75">
              <w:rPr>
                <w:rFonts w:ascii="Arial Narrow" w:hAnsi="Arial Narrow"/>
                <w:color w:val="000000" w:themeColor="text1"/>
                <w:sz w:val="19"/>
                <w:szCs w:val="19"/>
                <w:lang w:val="en-US"/>
              </w:rPr>
              <w:t>1.08 (0.57</w:t>
            </w:r>
            <w:r>
              <w:rPr>
                <w:rFonts w:ascii="Arial Narrow" w:hAnsi="Arial Narrow"/>
                <w:color w:val="000000" w:themeColor="text1"/>
                <w:sz w:val="19"/>
                <w:szCs w:val="19"/>
                <w:lang w:val="en-US"/>
              </w:rPr>
              <w:t>,</w:t>
            </w:r>
            <w:r w:rsidRPr="00D35D75">
              <w:rPr>
                <w:rFonts w:ascii="Arial Narrow" w:hAnsi="Arial Narrow"/>
                <w:color w:val="000000" w:themeColor="text1"/>
                <w:sz w:val="19"/>
                <w:szCs w:val="19"/>
                <w:lang w:val="en-US"/>
              </w:rPr>
              <w:t xml:space="preserve"> 2.07)</w:t>
            </w:r>
          </w:p>
        </w:tc>
        <w:tc>
          <w:tcPr>
            <w:tcW w:w="1441" w:type="dxa"/>
            <w:tcBorders>
              <w:top w:val="single" w:sz="4" w:space="0" w:color="auto"/>
              <w:left w:val="single" w:sz="4" w:space="0" w:color="auto"/>
              <w:bottom w:val="single" w:sz="4" w:space="0" w:color="auto"/>
              <w:right w:val="single" w:sz="4" w:space="0" w:color="auto"/>
            </w:tcBorders>
          </w:tcPr>
          <w:p w14:paraId="5781F5D3" w14:textId="76E3B51B" w:rsidR="0099436D" w:rsidRPr="009A5FA0" w:rsidRDefault="006467FF" w:rsidP="006E0383">
            <w:pPr>
              <w:pStyle w:val="In-tableHeading"/>
              <w:keepNext w:val="0"/>
              <w:widowControl w:val="0"/>
              <w:jc w:val="center"/>
              <w:rPr>
                <w:rFonts w:eastAsia="Times New Roman" w:cs="Arial"/>
                <w:b w:val="0"/>
                <w:color w:val="000000"/>
                <w:sz w:val="19"/>
                <w:szCs w:val="19"/>
              </w:rPr>
            </w:pPr>
            <w:r w:rsidRPr="00EC0944">
              <w:rPr>
                <w:b w:val="0"/>
                <w:color w:val="000000" w:themeColor="text1"/>
                <w:sz w:val="19"/>
                <w:szCs w:val="19"/>
              </w:rPr>
              <w:t>1.02 (0.87, 1.20)</w:t>
            </w:r>
          </w:p>
        </w:tc>
        <w:tc>
          <w:tcPr>
            <w:tcW w:w="1485" w:type="dxa"/>
            <w:tcBorders>
              <w:top w:val="single" w:sz="4" w:space="0" w:color="auto"/>
              <w:left w:val="single" w:sz="4" w:space="0" w:color="auto"/>
              <w:bottom w:val="single" w:sz="4" w:space="0" w:color="auto"/>
              <w:right w:val="single" w:sz="4" w:space="0" w:color="auto"/>
            </w:tcBorders>
          </w:tcPr>
          <w:p w14:paraId="2FC07F1D" w14:textId="18A7D628" w:rsidR="0099436D" w:rsidRPr="009A5FA0" w:rsidRDefault="006467FF" w:rsidP="006E0383">
            <w:pPr>
              <w:pStyle w:val="In-tableHeading"/>
              <w:keepNext w:val="0"/>
              <w:widowControl w:val="0"/>
              <w:jc w:val="center"/>
              <w:rPr>
                <w:rFonts w:eastAsia="Times New Roman" w:cs="Arial"/>
                <w:b w:val="0"/>
                <w:color w:val="000000"/>
                <w:sz w:val="19"/>
                <w:szCs w:val="19"/>
              </w:rPr>
            </w:pPr>
            <w:r w:rsidRPr="00EC0944">
              <w:rPr>
                <w:b w:val="0"/>
                <w:color w:val="000000" w:themeColor="text1"/>
                <w:sz w:val="19"/>
                <w:szCs w:val="19"/>
              </w:rPr>
              <w:t>0.02 (-0.10, 0.14)</w:t>
            </w:r>
          </w:p>
        </w:tc>
      </w:tr>
      <w:tr w:rsidR="005A7E04" w:rsidRPr="0074357C" w14:paraId="7A152E3B" w14:textId="77777777" w:rsidTr="006E0383">
        <w:trPr>
          <w:trHeight w:val="20"/>
        </w:trPr>
        <w:tc>
          <w:tcPr>
            <w:tcW w:w="3309" w:type="dxa"/>
            <w:gridSpan w:val="3"/>
            <w:vMerge w:val="restart"/>
            <w:tcBorders>
              <w:right w:val="single" w:sz="4" w:space="0" w:color="auto"/>
            </w:tcBorders>
          </w:tcPr>
          <w:p w14:paraId="52C7C048" w14:textId="77777777" w:rsidR="005A7E04" w:rsidRPr="005A7E04" w:rsidRDefault="005A7E04" w:rsidP="006E0383">
            <w:pPr>
              <w:pStyle w:val="In-tableHeading"/>
              <w:keepNext w:val="0"/>
              <w:rPr>
                <w:bCs/>
                <w:color w:val="000000"/>
                <w:sz w:val="19"/>
                <w:szCs w:val="19"/>
              </w:rPr>
            </w:pPr>
            <w:r w:rsidRPr="005A7E04">
              <w:rPr>
                <w:bCs/>
                <w:color w:val="000000"/>
                <w:sz w:val="19"/>
                <w:szCs w:val="19"/>
              </w:rPr>
              <w:t>Indirect comparisons:</w:t>
            </w:r>
          </w:p>
          <w:p w14:paraId="424F0D36" w14:textId="54286B0A" w:rsidR="005A7E04" w:rsidRPr="005A7E04" w:rsidRDefault="005A7E04" w:rsidP="006E0383">
            <w:pPr>
              <w:pStyle w:val="In-tableHeading"/>
              <w:keepNext w:val="0"/>
              <w:widowControl w:val="0"/>
              <w:rPr>
                <w:rFonts w:eastAsia="Times New Roman" w:cs="Arial"/>
                <w:color w:val="000000"/>
                <w:sz w:val="19"/>
                <w:szCs w:val="19"/>
              </w:rPr>
            </w:pPr>
            <w:r w:rsidRPr="005A7E04">
              <w:rPr>
                <w:rFonts w:eastAsia="Times New Roman" w:cs="Arial"/>
                <w:color w:val="000000"/>
                <w:sz w:val="19"/>
                <w:szCs w:val="19"/>
                <w:lang w:val="en-AU"/>
              </w:rPr>
              <w:t xml:space="preserve">UPA 30 mg vs comparators </w:t>
            </w:r>
            <w:r w:rsidRPr="005A7E04">
              <w:rPr>
                <w:rFonts w:eastAsia="Times New Roman" w:cs="Arial"/>
                <w:color w:val="000000"/>
                <w:sz w:val="19"/>
                <w:szCs w:val="19"/>
                <w:vertAlign w:val="superscript"/>
                <w:lang w:val="en-AU"/>
              </w:rPr>
              <w:t>c</w:t>
            </w:r>
          </w:p>
        </w:tc>
        <w:tc>
          <w:tcPr>
            <w:tcW w:w="1364" w:type="dxa"/>
            <w:tcBorders>
              <w:top w:val="single" w:sz="4" w:space="0" w:color="auto"/>
              <w:left w:val="single" w:sz="4" w:space="0" w:color="auto"/>
              <w:right w:val="single" w:sz="4" w:space="0" w:color="auto"/>
            </w:tcBorders>
          </w:tcPr>
          <w:p w14:paraId="6DBAB398" w14:textId="69F8C33C" w:rsidR="005A7E04" w:rsidRDefault="005A7E04" w:rsidP="006E0383">
            <w:pPr>
              <w:widowControl w:val="0"/>
              <w:jc w:val="left"/>
              <w:rPr>
                <w:rFonts w:ascii="Arial Narrow" w:hAnsi="Arial Narrow"/>
                <w:color w:val="000000"/>
                <w:sz w:val="19"/>
                <w:szCs w:val="19"/>
                <w:lang w:val="en-US"/>
              </w:rPr>
            </w:pPr>
            <w:r w:rsidRPr="002F2D47">
              <w:rPr>
                <w:rFonts w:ascii="Arial Narrow" w:hAnsi="Arial Narrow"/>
                <w:color w:val="000000"/>
                <w:sz w:val="19"/>
                <w:szCs w:val="19"/>
                <w:lang w:val="en-US"/>
              </w:rPr>
              <w:t>UPA vs ADA</w:t>
            </w:r>
          </w:p>
        </w:tc>
        <w:tc>
          <w:tcPr>
            <w:tcW w:w="1418" w:type="dxa"/>
            <w:tcBorders>
              <w:top w:val="single" w:sz="4" w:space="0" w:color="auto"/>
              <w:left w:val="single" w:sz="4" w:space="0" w:color="auto"/>
              <w:bottom w:val="single" w:sz="4" w:space="0" w:color="auto"/>
              <w:right w:val="single" w:sz="4" w:space="0" w:color="auto"/>
            </w:tcBorders>
          </w:tcPr>
          <w:p w14:paraId="2E88CC66" w14:textId="0766D1B5" w:rsidR="005A7E04" w:rsidRPr="00D35D75" w:rsidRDefault="005A7E04" w:rsidP="006E0383">
            <w:pPr>
              <w:widowControl w:val="0"/>
              <w:jc w:val="center"/>
              <w:rPr>
                <w:rFonts w:ascii="Arial Narrow" w:hAnsi="Arial Narrow"/>
                <w:color w:val="000000" w:themeColor="text1"/>
                <w:sz w:val="19"/>
                <w:szCs w:val="19"/>
                <w:lang w:val="en-US"/>
              </w:rPr>
            </w:pPr>
            <w:r w:rsidRPr="003428CD">
              <w:rPr>
                <w:rFonts w:ascii="Arial Narrow" w:hAnsi="Arial Narrow"/>
                <w:color w:val="000000"/>
                <w:sz w:val="19"/>
                <w:szCs w:val="19"/>
                <w:lang w:val="en-US"/>
              </w:rPr>
              <w:t>0.90 (0.48, 1.70)</w:t>
            </w:r>
          </w:p>
        </w:tc>
        <w:tc>
          <w:tcPr>
            <w:tcW w:w="1441" w:type="dxa"/>
            <w:tcBorders>
              <w:top w:val="single" w:sz="4" w:space="0" w:color="auto"/>
              <w:left w:val="single" w:sz="4" w:space="0" w:color="auto"/>
              <w:bottom w:val="single" w:sz="4" w:space="0" w:color="auto"/>
              <w:right w:val="single" w:sz="4" w:space="0" w:color="auto"/>
            </w:tcBorders>
          </w:tcPr>
          <w:p w14:paraId="51163A66" w14:textId="0E87B85E" w:rsidR="005A7E04" w:rsidRPr="00D35D75" w:rsidRDefault="005A7E04" w:rsidP="006E0383">
            <w:pPr>
              <w:pStyle w:val="In-tableHeading"/>
              <w:keepNext w:val="0"/>
              <w:widowControl w:val="0"/>
              <w:jc w:val="center"/>
              <w:rPr>
                <w:color w:val="000000" w:themeColor="text1"/>
                <w:sz w:val="19"/>
                <w:szCs w:val="19"/>
              </w:rPr>
            </w:pPr>
            <w:r w:rsidRPr="003428CD">
              <w:rPr>
                <w:rFonts w:eastAsia="Times New Roman" w:cs="Arial"/>
                <w:b w:val="0"/>
                <w:color w:val="000000"/>
                <w:sz w:val="19"/>
                <w:szCs w:val="19"/>
              </w:rPr>
              <w:t>0.99 (0.88, 1.12)</w:t>
            </w:r>
          </w:p>
        </w:tc>
        <w:tc>
          <w:tcPr>
            <w:tcW w:w="1485" w:type="dxa"/>
            <w:tcBorders>
              <w:top w:val="single" w:sz="4" w:space="0" w:color="auto"/>
              <w:left w:val="single" w:sz="4" w:space="0" w:color="auto"/>
              <w:bottom w:val="single" w:sz="4" w:space="0" w:color="auto"/>
              <w:right w:val="single" w:sz="4" w:space="0" w:color="auto"/>
            </w:tcBorders>
          </w:tcPr>
          <w:p w14:paraId="5CCB309F" w14:textId="07B896B0" w:rsidR="005A7E04" w:rsidRPr="00D35D75" w:rsidRDefault="005A7E04" w:rsidP="006E0383">
            <w:pPr>
              <w:pStyle w:val="In-tableHeading"/>
              <w:keepNext w:val="0"/>
              <w:widowControl w:val="0"/>
              <w:jc w:val="center"/>
              <w:rPr>
                <w:color w:val="000000" w:themeColor="text1"/>
                <w:sz w:val="19"/>
                <w:szCs w:val="19"/>
              </w:rPr>
            </w:pPr>
            <w:r w:rsidRPr="003428CD">
              <w:rPr>
                <w:rFonts w:eastAsia="Times New Roman" w:cs="Arial"/>
                <w:b w:val="0"/>
                <w:color w:val="000000"/>
                <w:sz w:val="19"/>
                <w:szCs w:val="19"/>
              </w:rPr>
              <w:t>-0.01 (-0.10, 0.08)</w:t>
            </w:r>
          </w:p>
        </w:tc>
      </w:tr>
      <w:tr w:rsidR="005A7E04" w:rsidRPr="0074357C" w14:paraId="1E144E5C" w14:textId="77777777" w:rsidTr="006E0383">
        <w:trPr>
          <w:trHeight w:val="20"/>
        </w:trPr>
        <w:tc>
          <w:tcPr>
            <w:tcW w:w="3309" w:type="dxa"/>
            <w:gridSpan w:val="3"/>
            <w:vMerge/>
            <w:vAlign w:val="center"/>
          </w:tcPr>
          <w:p w14:paraId="3A2A82C8" w14:textId="77777777" w:rsidR="005A7E04" w:rsidRPr="009A5FA0" w:rsidRDefault="005A7E04" w:rsidP="006E0383">
            <w:pPr>
              <w:pStyle w:val="In-tableHeading"/>
              <w:keepNext w:val="0"/>
              <w:widowControl w:val="0"/>
              <w:jc w:val="center"/>
              <w:rPr>
                <w:rFonts w:eastAsia="Times New Roman" w:cs="Arial"/>
                <w:b w:val="0"/>
                <w:bCs/>
                <w:color w:val="000000"/>
                <w:sz w:val="19"/>
                <w:szCs w:val="19"/>
              </w:rPr>
            </w:pPr>
          </w:p>
        </w:tc>
        <w:tc>
          <w:tcPr>
            <w:tcW w:w="1364" w:type="dxa"/>
            <w:tcBorders>
              <w:top w:val="single" w:sz="4" w:space="0" w:color="auto"/>
              <w:left w:val="single" w:sz="4" w:space="0" w:color="auto"/>
              <w:right w:val="single" w:sz="4" w:space="0" w:color="auto"/>
            </w:tcBorders>
          </w:tcPr>
          <w:p w14:paraId="0BE80FF2" w14:textId="4F799BAE" w:rsidR="005A7E04" w:rsidRDefault="005A7E04" w:rsidP="006E0383">
            <w:pPr>
              <w:widowControl w:val="0"/>
              <w:jc w:val="left"/>
              <w:rPr>
                <w:rFonts w:ascii="Arial Narrow" w:hAnsi="Arial Narrow"/>
                <w:color w:val="000000"/>
                <w:sz w:val="19"/>
                <w:szCs w:val="19"/>
                <w:lang w:val="en-US"/>
              </w:rPr>
            </w:pPr>
            <w:r w:rsidRPr="002F2D47">
              <w:rPr>
                <w:rFonts w:ascii="Arial Narrow" w:hAnsi="Arial Narrow"/>
                <w:color w:val="000000"/>
                <w:sz w:val="19"/>
                <w:szCs w:val="19"/>
                <w:lang w:val="en-US"/>
              </w:rPr>
              <w:t>UPA vs RISA</w:t>
            </w:r>
          </w:p>
        </w:tc>
        <w:tc>
          <w:tcPr>
            <w:tcW w:w="1418" w:type="dxa"/>
            <w:tcBorders>
              <w:top w:val="single" w:sz="4" w:space="0" w:color="auto"/>
              <w:left w:val="single" w:sz="4" w:space="0" w:color="auto"/>
              <w:bottom w:val="single" w:sz="4" w:space="0" w:color="auto"/>
              <w:right w:val="single" w:sz="4" w:space="0" w:color="auto"/>
            </w:tcBorders>
          </w:tcPr>
          <w:p w14:paraId="60B86FDC" w14:textId="07562F77" w:rsidR="005A7E04" w:rsidRPr="00D35D75" w:rsidRDefault="005A7E04" w:rsidP="006E0383">
            <w:pPr>
              <w:widowControl w:val="0"/>
              <w:jc w:val="center"/>
              <w:rPr>
                <w:rFonts w:ascii="Arial Narrow" w:hAnsi="Arial Narrow"/>
                <w:color w:val="000000" w:themeColor="text1"/>
                <w:sz w:val="19"/>
                <w:szCs w:val="19"/>
                <w:lang w:val="en-US"/>
              </w:rPr>
            </w:pPr>
            <w:r w:rsidRPr="003428CD">
              <w:rPr>
                <w:rFonts w:ascii="Arial Narrow" w:hAnsi="Arial Narrow"/>
                <w:color w:val="000000"/>
                <w:sz w:val="19"/>
                <w:szCs w:val="19"/>
                <w:lang w:val="en-US"/>
              </w:rPr>
              <w:t>1.13 (0.60, 2.14)</w:t>
            </w:r>
          </w:p>
        </w:tc>
        <w:tc>
          <w:tcPr>
            <w:tcW w:w="1441" w:type="dxa"/>
            <w:tcBorders>
              <w:top w:val="single" w:sz="4" w:space="0" w:color="auto"/>
              <w:left w:val="single" w:sz="4" w:space="0" w:color="auto"/>
              <w:bottom w:val="single" w:sz="4" w:space="0" w:color="auto"/>
              <w:right w:val="single" w:sz="4" w:space="0" w:color="auto"/>
            </w:tcBorders>
          </w:tcPr>
          <w:p w14:paraId="1EA82690" w14:textId="1067A620" w:rsidR="005A7E04" w:rsidRPr="00D35D75" w:rsidRDefault="005A7E04" w:rsidP="006E0383">
            <w:pPr>
              <w:pStyle w:val="In-tableHeading"/>
              <w:keepNext w:val="0"/>
              <w:widowControl w:val="0"/>
              <w:jc w:val="center"/>
              <w:rPr>
                <w:color w:val="000000" w:themeColor="text1"/>
                <w:sz w:val="19"/>
                <w:szCs w:val="19"/>
              </w:rPr>
            </w:pPr>
            <w:r w:rsidRPr="003428CD">
              <w:rPr>
                <w:rFonts w:eastAsia="Times New Roman" w:cs="Arial"/>
                <w:b w:val="0"/>
                <w:color w:val="000000"/>
                <w:sz w:val="19"/>
                <w:szCs w:val="19"/>
              </w:rPr>
              <w:t>1.03 (0.88, 1.21)</w:t>
            </w:r>
          </w:p>
        </w:tc>
        <w:tc>
          <w:tcPr>
            <w:tcW w:w="1485" w:type="dxa"/>
            <w:tcBorders>
              <w:top w:val="single" w:sz="4" w:space="0" w:color="auto"/>
              <w:left w:val="single" w:sz="4" w:space="0" w:color="auto"/>
              <w:bottom w:val="single" w:sz="4" w:space="0" w:color="auto"/>
              <w:right w:val="single" w:sz="4" w:space="0" w:color="auto"/>
            </w:tcBorders>
          </w:tcPr>
          <w:p w14:paraId="33DC1B69" w14:textId="735CCE72" w:rsidR="005A7E04" w:rsidRPr="00D35D75" w:rsidRDefault="005A7E04" w:rsidP="006E0383">
            <w:pPr>
              <w:pStyle w:val="In-tableHeading"/>
              <w:keepNext w:val="0"/>
              <w:widowControl w:val="0"/>
              <w:jc w:val="center"/>
              <w:rPr>
                <w:color w:val="000000" w:themeColor="text1"/>
                <w:sz w:val="19"/>
                <w:szCs w:val="19"/>
              </w:rPr>
            </w:pPr>
            <w:r w:rsidRPr="003428CD">
              <w:rPr>
                <w:rFonts w:eastAsia="Times New Roman" w:cs="Arial"/>
                <w:b w:val="0"/>
                <w:color w:val="000000"/>
                <w:sz w:val="19"/>
                <w:szCs w:val="19"/>
              </w:rPr>
              <w:t>0.02 (-0.10, 0.14)</w:t>
            </w:r>
          </w:p>
        </w:tc>
      </w:tr>
      <w:tr w:rsidR="005A7E04" w:rsidRPr="0074357C" w14:paraId="0A1605F9" w14:textId="77777777" w:rsidTr="006E0383">
        <w:trPr>
          <w:trHeight w:val="20"/>
        </w:trPr>
        <w:tc>
          <w:tcPr>
            <w:tcW w:w="3309" w:type="dxa"/>
            <w:gridSpan w:val="3"/>
            <w:vMerge/>
            <w:vAlign w:val="center"/>
          </w:tcPr>
          <w:p w14:paraId="75BBE8FD" w14:textId="77777777" w:rsidR="005A7E04" w:rsidRPr="009A5FA0" w:rsidRDefault="005A7E04" w:rsidP="006E0383">
            <w:pPr>
              <w:pStyle w:val="In-tableHeading"/>
              <w:keepNext w:val="0"/>
              <w:widowControl w:val="0"/>
              <w:jc w:val="center"/>
              <w:rPr>
                <w:rFonts w:eastAsia="Times New Roman" w:cs="Arial"/>
                <w:b w:val="0"/>
                <w:bCs/>
                <w:color w:val="000000"/>
                <w:sz w:val="19"/>
                <w:szCs w:val="19"/>
              </w:rPr>
            </w:pPr>
          </w:p>
        </w:tc>
        <w:tc>
          <w:tcPr>
            <w:tcW w:w="1364" w:type="dxa"/>
            <w:tcBorders>
              <w:top w:val="single" w:sz="4" w:space="0" w:color="auto"/>
              <w:left w:val="single" w:sz="4" w:space="0" w:color="auto"/>
              <w:right w:val="single" w:sz="4" w:space="0" w:color="auto"/>
            </w:tcBorders>
          </w:tcPr>
          <w:p w14:paraId="44E620BB" w14:textId="4A68EDCA" w:rsidR="005A7E04" w:rsidRDefault="005A7E04" w:rsidP="006E0383">
            <w:pPr>
              <w:widowControl w:val="0"/>
              <w:jc w:val="left"/>
              <w:rPr>
                <w:rFonts w:ascii="Arial Narrow" w:hAnsi="Arial Narrow"/>
                <w:color w:val="000000"/>
                <w:sz w:val="19"/>
                <w:szCs w:val="19"/>
                <w:lang w:val="en-US"/>
              </w:rPr>
            </w:pPr>
            <w:r w:rsidRPr="002F2D47">
              <w:rPr>
                <w:rFonts w:ascii="Arial Narrow" w:hAnsi="Arial Narrow"/>
                <w:color w:val="000000"/>
                <w:sz w:val="19"/>
                <w:szCs w:val="19"/>
                <w:lang w:val="en-US"/>
              </w:rPr>
              <w:t>UPA vs IFX</w:t>
            </w:r>
          </w:p>
        </w:tc>
        <w:tc>
          <w:tcPr>
            <w:tcW w:w="1418" w:type="dxa"/>
            <w:tcBorders>
              <w:top w:val="single" w:sz="4" w:space="0" w:color="auto"/>
              <w:left w:val="single" w:sz="4" w:space="0" w:color="auto"/>
              <w:bottom w:val="single" w:sz="4" w:space="0" w:color="auto"/>
              <w:right w:val="single" w:sz="4" w:space="0" w:color="auto"/>
            </w:tcBorders>
          </w:tcPr>
          <w:p w14:paraId="4B827249" w14:textId="36773A52" w:rsidR="005A7E04" w:rsidRPr="00D35D75" w:rsidRDefault="005A7E04" w:rsidP="006E0383">
            <w:pPr>
              <w:widowControl w:val="0"/>
              <w:jc w:val="center"/>
              <w:rPr>
                <w:rFonts w:ascii="Arial Narrow" w:hAnsi="Arial Narrow"/>
                <w:color w:val="000000" w:themeColor="text1"/>
                <w:sz w:val="19"/>
                <w:szCs w:val="19"/>
                <w:lang w:val="en-US"/>
              </w:rPr>
            </w:pPr>
            <w:r w:rsidRPr="003428CD">
              <w:rPr>
                <w:rFonts w:ascii="Arial Narrow" w:hAnsi="Arial Narrow"/>
                <w:color w:val="000000"/>
                <w:sz w:val="19"/>
                <w:szCs w:val="19"/>
                <w:lang w:val="en-US"/>
              </w:rPr>
              <w:t>NR</w:t>
            </w:r>
          </w:p>
        </w:tc>
        <w:tc>
          <w:tcPr>
            <w:tcW w:w="1441" w:type="dxa"/>
            <w:tcBorders>
              <w:top w:val="single" w:sz="4" w:space="0" w:color="auto"/>
              <w:left w:val="single" w:sz="4" w:space="0" w:color="auto"/>
              <w:bottom w:val="single" w:sz="4" w:space="0" w:color="auto"/>
              <w:right w:val="single" w:sz="4" w:space="0" w:color="auto"/>
            </w:tcBorders>
          </w:tcPr>
          <w:p w14:paraId="666737E1" w14:textId="170530C3" w:rsidR="005A7E04" w:rsidRPr="00D35D75" w:rsidRDefault="005A7E04" w:rsidP="006E0383">
            <w:pPr>
              <w:pStyle w:val="In-tableHeading"/>
              <w:keepNext w:val="0"/>
              <w:widowControl w:val="0"/>
              <w:jc w:val="center"/>
              <w:rPr>
                <w:color w:val="000000" w:themeColor="text1"/>
                <w:sz w:val="19"/>
                <w:szCs w:val="19"/>
              </w:rPr>
            </w:pPr>
            <w:r w:rsidRPr="003428CD">
              <w:rPr>
                <w:rFonts w:eastAsia="Times New Roman" w:cs="Arial"/>
                <w:b w:val="0"/>
                <w:color w:val="000000"/>
                <w:sz w:val="19"/>
                <w:szCs w:val="19"/>
              </w:rPr>
              <w:t>NR</w:t>
            </w:r>
          </w:p>
        </w:tc>
        <w:tc>
          <w:tcPr>
            <w:tcW w:w="1485" w:type="dxa"/>
            <w:tcBorders>
              <w:top w:val="single" w:sz="4" w:space="0" w:color="auto"/>
              <w:left w:val="single" w:sz="4" w:space="0" w:color="auto"/>
              <w:bottom w:val="single" w:sz="4" w:space="0" w:color="auto"/>
              <w:right w:val="single" w:sz="4" w:space="0" w:color="auto"/>
            </w:tcBorders>
          </w:tcPr>
          <w:p w14:paraId="20D79905" w14:textId="3D2C5B91" w:rsidR="005A7E04" w:rsidRPr="00D35D75" w:rsidRDefault="005A7E04" w:rsidP="006E0383">
            <w:pPr>
              <w:pStyle w:val="In-tableHeading"/>
              <w:keepNext w:val="0"/>
              <w:widowControl w:val="0"/>
              <w:jc w:val="center"/>
              <w:rPr>
                <w:color w:val="000000" w:themeColor="text1"/>
                <w:sz w:val="19"/>
                <w:szCs w:val="19"/>
              </w:rPr>
            </w:pPr>
            <w:r w:rsidRPr="003428CD">
              <w:rPr>
                <w:rFonts w:eastAsia="Times New Roman" w:cs="Arial"/>
                <w:b w:val="0"/>
                <w:color w:val="000000"/>
                <w:sz w:val="19"/>
                <w:szCs w:val="19"/>
              </w:rPr>
              <w:t>NR</w:t>
            </w:r>
          </w:p>
        </w:tc>
      </w:tr>
      <w:tr w:rsidR="005A7E04" w:rsidRPr="0074357C" w14:paraId="0191C8DB" w14:textId="77777777" w:rsidTr="006E0383">
        <w:trPr>
          <w:trHeight w:val="20"/>
        </w:trPr>
        <w:tc>
          <w:tcPr>
            <w:tcW w:w="3309" w:type="dxa"/>
            <w:gridSpan w:val="3"/>
            <w:vMerge/>
            <w:vAlign w:val="center"/>
          </w:tcPr>
          <w:p w14:paraId="2D0DAF36" w14:textId="77777777" w:rsidR="005A7E04" w:rsidRPr="009A5FA0" w:rsidRDefault="005A7E04" w:rsidP="006E0383">
            <w:pPr>
              <w:pStyle w:val="In-tableHeading"/>
              <w:keepNext w:val="0"/>
              <w:widowControl w:val="0"/>
              <w:jc w:val="center"/>
              <w:rPr>
                <w:rFonts w:eastAsia="Times New Roman" w:cs="Arial"/>
                <w:b w:val="0"/>
                <w:bCs/>
                <w:color w:val="000000"/>
                <w:sz w:val="19"/>
                <w:szCs w:val="19"/>
              </w:rPr>
            </w:pPr>
          </w:p>
        </w:tc>
        <w:tc>
          <w:tcPr>
            <w:tcW w:w="1364" w:type="dxa"/>
            <w:tcBorders>
              <w:top w:val="single" w:sz="4" w:space="0" w:color="auto"/>
              <w:left w:val="single" w:sz="4" w:space="0" w:color="auto"/>
              <w:right w:val="single" w:sz="4" w:space="0" w:color="auto"/>
            </w:tcBorders>
          </w:tcPr>
          <w:p w14:paraId="0107782C" w14:textId="69C1A263" w:rsidR="005A7E04" w:rsidRDefault="005A7E04" w:rsidP="006E0383">
            <w:pPr>
              <w:widowControl w:val="0"/>
              <w:jc w:val="left"/>
              <w:rPr>
                <w:rFonts w:ascii="Arial Narrow" w:hAnsi="Arial Narrow"/>
                <w:color w:val="000000"/>
                <w:sz w:val="19"/>
                <w:szCs w:val="19"/>
                <w:lang w:val="en-US"/>
              </w:rPr>
            </w:pPr>
            <w:r w:rsidRPr="002F2D47">
              <w:rPr>
                <w:rFonts w:ascii="Arial Narrow" w:hAnsi="Arial Narrow"/>
                <w:color w:val="000000"/>
                <w:sz w:val="19"/>
                <w:szCs w:val="19"/>
                <w:lang w:val="en-US"/>
              </w:rPr>
              <w:t>UPA vs UST</w:t>
            </w:r>
          </w:p>
        </w:tc>
        <w:tc>
          <w:tcPr>
            <w:tcW w:w="1418" w:type="dxa"/>
            <w:tcBorders>
              <w:top w:val="single" w:sz="4" w:space="0" w:color="auto"/>
              <w:left w:val="single" w:sz="4" w:space="0" w:color="auto"/>
              <w:bottom w:val="single" w:sz="4" w:space="0" w:color="auto"/>
              <w:right w:val="single" w:sz="4" w:space="0" w:color="auto"/>
            </w:tcBorders>
          </w:tcPr>
          <w:p w14:paraId="1699E363" w14:textId="447FB291" w:rsidR="005A7E04" w:rsidRPr="00D35D75" w:rsidRDefault="005A7E04" w:rsidP="006E0383">
            <w:pPr>
              <w:widowControl w:val="0"/>
              <w:jc w:val="center"/>
              <w:rPr>
                <w:rFonts w:ascii="Arial Narrow" w:hAnsi="Arial Narrow"/>
                <w:color w:val="000000" w:themeColor="text1"/>
                <w:sz w:val="19"/>
                <w:szCs w:val="19"/>
                <w:lang w:val="en-US"/>
              </w:rPr>
            </w:pPr>
            <w:r w:rsidRPr="003428CD">
              <w:rPr>
                <w:rFonts w:ascii="Arial Narrow" w:hAnsi="Arial Narrow"/>
                <w:color w:val="000000"/>
                <w:sz w:val="19"/>
                <w:szCs w:val="19"/>
                <w:lang w:val="en-US"/>
              </w:rPr>
              <w:t>1.20 (0.56, 2.59)</w:t>
            </w:r>
          </w:p>
        </w:tc>
        <w:tc>
          <w:tcPr>
            <w:tcW w:w="1441" w:type="dxa"/>
            <w:tcBorders>
              <w:top w:val="single" w:sz="4" w:space="0" w:color="auto"/>
              <w:left w:val="single" w:sz="4" w:space="0" w:color="auto"/>
              <w:bottom w:val="single" w:sz="4" w:space="0" w:color="auto"/>
              <w:right w:val="single" w:sz="4" w:space="0" w:color="auto"/>
            </w:tcBorders>
          </w:tcPr>
          <w:p w14:paraId="28B517AC" w14:textId="71F22F27" w:rsidR="005A7E04" w:rsidRPr="00D35D75" w:rsidRDefault="005A7E04" w:rsidP="006E0383">
            <w:pPr>
              <w:pStyle w:val="In-tableHeading"/>
              <w:keepNext w:val="0"/>
              <w:widowControl w:val="0"/>
              <w:jc w:val="center"/>
              <w:rPr>
                <w:color w:val="000000" w:themeColor="text1"/>
                <w:sz w:val="19"/>
                <w:szCs w:val="19"/>
              </w:rPr>
            </w:pPr>
            <w:r w:rsidRPr="003428CD">
              <w:rPr>
                <w:rFonts w:eastAsia="Times New Roman" w:cs="Arial"/>
                <w:b w:val="0"/>
                <w:color w:val="000000"/>
                <w:sz w:val="19"/>
                <w:szCs w:val="19"/>
              </w:rPr>
              <w:t>1.04 (0.89, 1.21)</w:t>
            </w:r>
          </w:p>
        </w:tc>
        <w:tc>
          <w:tcPr>
            <w:tcW w:w="1485" w:type="dxa"/>
            <w:tcBorders>
              <w:top w:val="single" w:sz="4" w:space="0" w:color="auto"/>
              <w:left w:val="single" w:sz="4" w:space="0" w:color="auto"/>
              <w:bottom w:val="single" w:sz="4" w:space="0" w:color="auto"/>
              <w:right w:val="single" w:sz="4" w:space="0" w:color="auto"/>
            </w:tcBorders>
          </w:tcPr>
          <w:p w14:paraId="4659E422" w14:textId="7307DA22" w:rsidR="005A7E04" w:rsidRPr="00D35D75" w:rsidRDefault="005A7E04" w:rsidP="006E0383">
            <w:pPr>
              <w:pStyle w:val="In-tableHeading"/>
              <w:keepNext w:val="0"/>
              <w:widowControl w:val="0"/>
              <w:jc w:val="center"/>
              <w:rPr>
                <w:color w:val="000000" w:themeColor="text1"/>
                <w:sz w:val="19"/>
                <w:szCs w:val="19"/>
              </w:rPr>
            </w:pPr>
            <w:r w:rsidRPr="003428CD">
              <w:rPr>
                <w:rFonts w:eastAsia="Times New Roman" w:cs="Arial"/>
                <w:b w:val="0"/>
                <w:color w:val="000000"/>
                <w:sz w:val="19"/>
                <w:szCs w:val="19"/>
              </w:rPr>
              <w:t>0.03 (-0.09, 0.15)</w:t>
            </w:r>
          </w:p>
        </w:tc>
      </w:tr>
      <w:tr w:rsidR="005A7E04" w:rsidRPr="0074357C" w14:paraId="03C6A7A7" w14:textId="77777777" w:rsidTr="006E0383">
        <w:trPr>
          <w:trHeight w:val="20"/>
        </w:trPr>
        <w:tc>
          <w:tcPr>
            <w:tcW w:w="3309" w:type="dxa"/>
            <w:gridSpan w:val="3"/>
            <w:vMerge/>
            <w:vAlign w:val="center"/>
          </w:tcPr>
          <w:p w14:paraId="0BB303C5" w14:textId="77777777" w:rsidR="005A7E04" w:rsidRPr="009A5FA0" w:rsidRDefault="005A7E04" w:rsidP="006E0383">
            <w:pPr>
              <w:pStyle w:val="In-tableHeading"/>
              <w:keepNext w:val="0"/>
              <w:widowControl w:val="0"/>
              <w:jc w:val="center"/>
              <w:rPr>
                <w:rFonts w:eastAsia="Times New Roman" w:cs="Arial"/>
                <w:b w:val="0"/>
                <w:bCs/>
                <w:color w:val="000000"/>
                <w:sz w:val="19"/>
                <w:szCs w:val="19"/>
              </w:rPr>
            </w:pPr>
          </w:p>
        </w:tc>
        <w:tc>
          <w:tcPr>
            <w:tcW w:w="1364" w:type="dxa"/>
            <w:tcBorders>
              <w:top w:val="single" w:sz="4" w:space="0" w:color="auto"/>
              <w:left w:val="single" w:sz="4" w:space="0" w:color="auto"/>
              <w:right w:val="single" w:sz="4" w:space="0" w:color="auto"/>
            </w:tcBorders>
          </w:tcPr>
          <w:p w14:paraId="6DA453F0" w14:textId="0F484B02" w:rsidR="005A7E04" w:rsidRDefault="005A7E04" w:rsidP="006E0383">
            <w:pPr>
              <w:widowControl w:val="0"/>
              <w:jc w:val="left"/>
              <w:rPr>
                <w:rFonts w:ascii="Arial Narrow" w:hAnsi="Arial Narrow"/>
                <w:color w:val="000000"/>
                <w:sz w:val="19"/>
                <w:szCs w:val="19"/>
                <w:lang w:val="en-US"/>
              </w:rPr>
            </w:pPr>
            <w:r w:rsidRPr="002F2D47">
              <w:rPr>
                <w:rFonts w:ascii="Arial Narrow" w:hAnsi="Arial Narrow"/>
                <w:color w:val="000000"/>
                <w:sz w:val="19"/>
                <w:szCs w:val="19"/>
                <w:lang w:val="en-US"/>
              </w:rPr>
              <w:t>UPA vs VDZ</w:t>
            </w:r>
          </w:p>
        </w:tc>
        <w:tc>
          <w:tcPr>
            <w:tcW w:w="1418" w:type="dxa"/>
            <w:tcBorders>
              <w:top w:val="single" w:sz="4" w:space="0" w:color="auto"/>
              <w:left w:val="single" w:sz="4" w:space="0" w:color="auto"/>
              <w:bottom w:val="single" w:sz="4" w:space="0" w:color="auto"/>
              <w:right w:val="single" w:sz="4" w:space="0" w:color="auto"/>
            </w:tcBorders>
          </w:tcPr>
          <w:p w14:paraId="543500F1" w14:textId="63723A8E" w:rsidR="005A7E04" w:rsidRPr="00D35D75" w:rsidRDefault="005A7E04" w:rsidP="006E0383">
            <w:pPr>
              <w:widowControl w:val="0"/>
              <w:jc w:val="center"/>
              <w:rPr>
                <w:rFonts w:ascii="Arial Narrow" w:hAnsi="Arial Narrow"/>
                <w:color w:val="000000" w:themeColor="text1"/>
                <w:sz w:val="19"/>
                <w:szCs w:val="19"/>
                <w:lang w:val="en-US"/>
              </w:rPr>
            </w:pPr>
            <w:r w:rsidRPr="003428CD">
              <w:rPr>
                <w:rFonts w:ascii="Arial Narrow" w:hAnsi="Arial Narrow"/>
                <w:color w:val="000000"/>
                <w:sz w:val="19"/>
                <w:szCs w:val="19"/>
                <w:lang w:val="en-US"/>
              </w:rPr>
              <w:t>1.05 (0.59, 1.86)</w:t>
            </w:r>
          </w:p>
        </w:tc>
        <w:tc>
          <w:tcPr>
            <w:tcW w:w="1441" w:type="dxa"/>
            <w:tcBorders>
              <w:top w:val="single" w:sz="4" w:space="0" w:color="auto"/>
              <w:left w:val="single" w:sz="4" w:space="0" w:color="auto"/>
              <w:bottom w:val="single" w:sz="4" w:space="0" w:color="auto"/>
              <w:right w:val="single" w:sz="4" w:space="0" w:color="auto"/>
            </w:tcBorders>
          </w:tcPr>
          <w:p w14:paraId="107206FA" w14:textId="303D4795" w:rsidR="005A7E04" w:rsidRPr="00D35D75" w:rsidRDefault="005A7E04" w:rsidP="006E0383">
            <w:pPr>
              <w:pStyle w:val="In-tableHeading"/>
              <w:keepNext w:val="0"/>
              <w:widowControl w:val="0"/>
              <w:jc w:val="center"/>
              <w:rPr>
                <w:color w:val="000000" w:themeColor="text1"/>
                <w:sz w:val="19"/>
                <w:szCs w:val="19"/>
              </w:rPr>
            </w:pPr>
            <w:r w:rsidRPr="003428CD">
              <w:rPr>
                <w:rFonts w:eastAsia="Times New Roman" w:cs="Arial"/>
                <w:b w:val="0"/>
                <w:color w:val="000000"/>
                <w:sz w:val="19"/>
                <w:szCs w:val="19"/>
              </w:rPr>
              <w:t>1.01 (0.89, 1.15)</w:t>
            </w:r>
          </w:p>
        </w:tc>
        <w:tc>
          <w:tcPr>
            <w:tcW w:w="1485" w:type="dxa"/>
            <w:tcBorders>
              <w:top w:val="single" w:sz="4" w:space="0" w:color="auto"/>
              <w:left w:val="single" w:sz="4" w:space="0" w:color="auto"/>
              <w:bottom w:val="single" w:sz="4" w:space="0" w:color="auto"/>
              <w:right w:val="single" w:sz="4" w:space="0" w:color="auto"/>
            </w:tcBorders>
          </w:tcPr>
          <w:p w14:paraId="01826E1B" w14:textId="39EFEB7B" w:rsidR="005A7E04" w:rsidRPr="00D35D75" w:rsidRDefault="005A7E04" w:rsidP="006E0383">
            <w:pPr>
              <w:pStyle w:val="In-tableHeading"/>
              <w:keepNext w:val="0"/>
              <w:widowControl w:val="0"/>
              <w:jc w:val="center"/>
              <w:rPr>
                <w:color w:val="000000" w:themeColor="text1"/>
                <w:sz w:val="19"/>
                <w:szCs w:val="19"/>
              </w:rPr>
            </w:pPr>
            <w:r w:rsidRPr="003428CD">
              <w:rPr>
                <w:rFonts w:eastAsia="Times New Roman" w:cs="Arial"/>
                <w:b w:val="0"/>
                <w:color w:val="000000"/>
                <w:sz w:val="19"/>
                <w:szCs w:val="19"/>
              </w:rPr>
              <w:t>0.01 (-0.09, 0.11)</w:t>
            </w:r>
          </w:p>
        </w:tc>
      </w:tr>
      <w:tr w:rsidR="005A7E04" w:rsidRPr="0074357C" w14:paraId="118AABF9" w14:textId="77777777" w:rsidTr="006E0383">
        <w:trPr>
          <w:trHeight w:val="20"/>
        </w:trPr>
        <w:tc>
          <w:tcPr>
            <w:tcW w:w="3309" w:type="dxa"/>
            <w:gridSpan w:val="3"/>
            <w:vMerge/>
            <w:vAlign w:val="center"/>
          </w:tcPr>
          <w:p w14:paraId="1BB23A5B" w14:textId="77777777" w:rsidR="005A7E04" w:rsidRPr="009A5FA0" w:rsidRDefault="005A7E04" w:rsidP="006E0383">
            <w:pPr>
              <w:pStyle w:val="In-tableHeading"/>
              <w:keepNext w:val="0"/>
              <w:widowControl w:val="0"/>
              <w:jc w:val="center"/>
              <w:rPr>
                <w:rFonts w:eastAsia="Times New Roman" w:cs="Arial"/>
                <w:b w:val="0"/>
                <w:bCs/>
                <w:color w:val="000000"/>
                <w:sz w:val="19"/>
                <w:szCs w:val="19"/>
              </w:rPr>
            </w:pPr>
          </w:p>
        </w:tc>
        <w:tc>
          <w:tcPr>
            <w:tcW w:w="1364" w:type="dxa"/>
            <w:tcBorders>
              <w:top w:val="single" w:sz="4" w:space="0" w:color="auto"/>
              <w:left w:val="single" w:sz="4" w:space="0" w:color="auto"/>
              <w:right w:val="single" w:sz="4" w:space="0" w:color="auto"/>
            </w:tcBorders>
            <w:vAlign w:val="center"/>
          </w:tcPr>
          <w:p w14:paraId="1F7563D1" w14:textId="4429AB0B" w:rsidR="005A7E04" w:rsidRDefault="005A7E04" w:rsidP="006E0383">
            <w:pPr>
              <w:widowControl w:val="0"/>
              <w:jc w:val="left"/>
              <w:rPr>
                <w:rFonts w:ascii="Arial Narrow" w:hAnsi="Arial Narrow"/>
                <w:color w:val="000000"/>
                <w:sz w:val="19"/>
                <w:szCs w:val="19"/>
                <w:lang w:val="en-US"/>
              </w:rPr>
            </w:pPr>
            <w:r>
              <w:rPr>
                <w:rFonts w:ascii="Arial Narrow" w:hAnsi="Arial Narrow"/>
                <w:color w:val="000000"/>
                <w:sz w:val="19"/>
                <w:szCs w:val="19"/>
                <w:lang w:val="en-US"/>
              </w:rPr>
              <w:t>UPA vs VDZ SC</w:t>
            </w:r>
          </w:p>
        </w:tc>
        <w:tc>
          <w:tcPr>
            <w:tcW w:w="1418" w:type="dxa"/>
            <w:tcBorders>
              <w:top w:val="single" w:sz="4" w:space="0" w:color="auto"/>
              <w:left w:val="single" w:sz="4" w:space="0" w:color="auto"/>
              <w:bottom w:val="single" w:sz="4" w:space="0" w:color="auto"/>
              <w:right w:val="single" w:sz="4" w:space="0" w:color="auto"/>
            </w:tcBorders>
          </w:tcPr>
          <w:p w14:paraId="758317F9" w14:textId="0D93AB47" w:rsidR="005A7E04" w:rsidRPr="00D35D75" w:rsidRDefault="005A7E04" w:rsidP="006E0383">
            <w:pPr>
              <w:widowControl w:val="0"/>
              <w:jc w:val="center"/>
              <w:rPr>
                <w:rFonts w:ascii="Arial Narrow" w:hAnsi="Arial Narrow"/>
                <w:color w:val="000000" w:themeColor="text1"/>
                <w:sz w:val="19"/>
                <w:szCs w:val="19"/>
                <w:lang w:val="en-US"/>
              </w:rPr>
            </w:pPr>
            <w:r w:rsidRPr="003428CD">
              <w:rPr>
                <w:rFonts w:ascii="Arial Narrow" w:hAnsi="Arial Narrow"/>
                <w:color w:val="000000"/>
                <w:sz w:val="19"/>
                <w:szCs w:val="19"/>
                <w:lang w:val="en-US"/>
              </w:rPr>
              <w:t>1.22 (0.64, 2.33)</w:t>
            </w:r>
          </w:p>
        </w:tc>
        <w:tc>
          <w:tcPr>
            <w:tcW w:w="1441" w:type="dxa"/>
            <w:tcBorders>
              <w:top w:val="single" w:sz="4" w:space="0" w:color="auto"/>
              <w:left w:val="single" w:sz="4" w:space="0" w:color="auto"/>
              <w:bottom w:val="single" w:sz="4" w:space="0" w:color="auto"/>
              <w:right w:val="single" w:sz="4" w:space="0" w:color="auto"/>
            </w:tcBorders>
          </w:tcPr>
          <w:p w14:paraId="413B9D80" w14:textId="751E73F1" w:rsidR="005A7E04" w:rsidRPr="00D35D75" w:rsidRDefault="005A7E04" w:rsidP="006E0383">
            <w:pPr>
              <w:pStyle w:val="In-tableHeading"/>
              <w:keepNext w:val="0"/>
              <w:widowControl w:val="0"/>
              <w:jc w:val="center"/>
              <w:rPr>
                <w:color w:val="000000" w:themeColor="text1"/>
                <w:sz w:val="19"/>
                <w:szCs w:val="19"/>
              </w:rPr>
            </w:pPr>
            <w:r w:rsidRPr="003428CD">
              <w:rPr>
                <w:rFonts w:eastAsia="Times New Roman" w:cs="Arial"/>
                <w:b w:val="0"/>
                <w:color w:val="000000"/>
                <w:sz w:val="19"/>
                <w:szCs w:val="19"/>
              </w:rPr>
              <w:t>1.05 (0.90, 1.23)</w:t>
            </w:r>
          </w:p>
        </w:tc>
        <w:tc>
          <w:tcPr>
            <w:tcW w:w="1485" w:type="dxa"/>
            <w:tcBorders>
              <w:top w:val="single" w:sz="4" w:space="0" w:color="auto"/>
              <w:left w:val="single" w:sz="4" w:space="0" w:color="auto"/>
              <w:bottom w:val="single" w:sz="4" w:space="0" w:color="auto"/>
              <w:right w:val="single" w:sz="4" w:space="0" w:color="auto"/>
            </w:tcBorders>
          </w:tcPr>
          <w:p w14:paraId="2715FCA9" w14:textId="2C52EAC0" w:rsidR="005A7E04" w:rsidRPr="00D35D75" w:rsidRDefault="005A7E04" w:rsidP="006E0383">
            <w:pPr>
              <w:pStyle w:val="In-tableHeading"/>
              <w:keepNext w:val="0"/>
              <w:widowControl w:val="0"/>
              <w:jc w:val="center"/>
              <w:rPr>
                <w:color w:val="000000" w:themeColor="text1"/>
                <w:sz w:val="19"/>
                <w:szCs w:val="19"/>
              </w:rPr>
            </w:pPr>
            <w:r w:rsidRPr="003428CD">
              <w:rPr>
                <w:rFonts w:eastAsia="Times New Roman" w:cs="Arial"/>
                <w:b w:val="0"/>
                <w:color w:val="000000"/>
                <w:sz w:val="19"/>
                <w:szCs w:val="19"/>
              </w:rPr>
              <w:t>0.04 (-0.08, 0.16)</w:t>
            </w:r>
          </w:p>
        </w:tc>
      </w:tr>
      <w:tr w:rsidR="00140AAE" w:rsidRPr="0074357C" w14:paraId="775EBFA1" w14:textId="77777777" w:rsidTr="006E0383">
        <w:trPr>
          <w:trHeight w:val="20"/>
        </w:trPr>
        <w:tc>
          <w:tcPr>
            <w:tcW w:w="9017" w:type="dxa"/>
            <w:gridSpan w:val="7"/>
            <w:tcBorders>
              <w:right w:val="single" w:sz="4" w:space="0" w:color="auto"/>
            </w:tcBorders>
            <w:vAlign w:val="center"/>
          </w:tcPr>
          <w:p w14:paraId="5BC6DED0" w14:textId="59E65BA7" w:rsidR="00140AAE" w:rsidRPr="009A5FA0" w:rsidRDefault="0067413C" w:rsidP="006E0383">
            <w:pPr>
              <w:pStyle w:val="In-tableHeading"/>
              <w:keepNext w:val="0"/>
              <w:widowControl w:val="0"/>
              <w:rPr>
                <w:rFonts w:eastAsia="Times New Roman" w:cs="Arial"/>
                <w:b w:val="0"/>
                <w:color w:val="000000"/>
                <w:sz w:val="19"/>
                <w:szCs w:val="19"/>
              </w:rPr>
            </w:pPr>
            <w:r w:rsidRPr="009A5FA0">
              <w:rPr>
                <w:rFonts w:eastAsia="Times New Roman" w:cs="Arial"/>
                <w:bCs/>
                <w:color w:val="000000"/>
                <w:sz w:val="19"/>
                <w:szCs w:val="19"/>
              </w:rPr>
              <w:t>SAE</w:t>
            </w:r>
          </w:p>
        </w:tc>
      </w:tr>
      <w:tr w:rsidR="00140AAE" w:rsidRPr="0074357C" w14:paraId="4AF59AA0" w14:textId="77777777" w:rsidTr="006E0383">
        <w:trPr>
          <w:trHeight w:val="20"/>
        </w:trPr>
        <w:tc>
          <w:tcPr>
            <w:tcW w:w="1271" w:type="dxa"/>
            <w:vAlign w:val="center"/>
          </w:tcPr>
          <w:p w14:paraId="0DB1D61F" w14:textId="1002407D" w:rsidR="00140AAE" w:rsidRPr="00F65C3C" w:rsidRDefault="00140AAE" w:rsidP="006E0383">
            <w:pPr>
              <w:pStyle w:val="In-tableHeading"/>
              <w:keepNext w:val="0"/>
              <w:widowControl w:val="0"/>
              <w:rPr>
                <w:b w:val="0"/>
                <w:bCs/>
                <w:sz w:val="19"/>
                <w:szCs w:val="19"/>
              </w:rPr>
            </w:pPr>
            <w:r w:rsidRPr="00F65C3C">
              <w:rPr>
                <w:b w:val="0"/>
                <w:bCs/>
                <w:sz w:val="19"/>
                <w:szCs w:val="19"/>
              </w:rPr>
              <w:t xml:space="preserve">UPA vs PBO </w:t>
            </w:r>
          </w:p>
        </w:tc>
        <w:tc>
          <w:tcPr>
            <w:tcW w:w="800" w:type="dxa"/>
            <w:vAlign w:val="center"/>
          </w:tcPr>
          <w:p w14:paraId="7A7023EC" w14:textId="4D527C4F" w:rsidR="00140AAE" w:rsidRPr="009A5FA0" w:rsidRDefault="005A7E04" w:rsidP="006E0383">
            <w:pPr>
              <w:pStyle w:val="In-tableHeading"/>
              <w:keepNext w:val="0"/>
              <w:widowControl w:val="0"/>
              <w:rPr>
                <w:b w:val="0"/>
                <w:bCs/>
                <w:i/>
                <w:iCs/>
                <w:sz w:val="19"/>
                <w:szCs w:val="19"/>
                <w:lang w:val="en-AU"/>
              </w:rPr>
            </w:pPr>
            <w:r w:rsidRPr="009A5FA0">
              <w:rPr>
                <w:b w:val="0"/>
                <w:bCs/>
                <w:i/>
                <w:iCs/>
                <w:sz w:val="19"/>
                <w:szCs w:val="19"/>
                <w:lang w:val="en-AU"/>
              </w:rPr>
              <w:t xml:space="preserve">Pooled results of the trials </w:t>
            </w:r>
            <w:r w:rsidRPr="009A5FA0">
              <w:rPr>
                <w:b w:val="0"/>
                <w:bCs/>
                <w:i/>
                <w:iCs/>
                <w:sz w:val="19"/>
                <w:szCs w:val="19"/>
                <w:vertAlign w:val="superscript"/>
                <w:lang w:val="en-AU"/>
              </w:rPr>
              <w:t>b</w:t>
            </w:r>
          </w:p>
        </w:tc>
        <w:tc>
          <w:tcPr>
            <w:tcW w:w="1238" w:type="dxa"/>
            <w:tcBorders>
              <w:top w:val="single" w:sz="4" w:space="0" w:color="auto"/>
              <w:left w:val="single" w:sz="4" w:space="0" w:color="auto"/>
              <w:bottom w:val="single" w:sz="4" w:space="0" w:color="auto"/>
              <w:right w:val="single" w:sz="4" w:space="0" w:color="auto"/>
            </w:tcBorders>
            <w:vAlign w:val="center"/>
          </w:tcPr>
          <w:p w14:paraId="3B1F0B92" w14:textId="4170C31E" w:rsidR="00140AAE" w:rsidRPr="009A5FA0" w:rsidRDefault="00140AAE" w:rsidP="006E0383">
            <w:pPr>
              <w:pStyle w:val="In-tableHeading"/>
              <w:keepNext w:val="0"/>
              <w:widowControl w:val="0"/>
              <w:jc w:val="center"/>
              <w:rPr>
                <w:rFonts w:eastAsia="Times New Roman" w:cs="Arial"/>
                <w:b w:val="0"/>
                <w:bCs/>
                <w:color w:val="000000"/>
                <w:sz w:val="19"/>
                <w:szCs w:val="19"/>
              </w:rPr>
            </w:pPr>
            <w:r w:rsidRPr="009A5FA0">
              <w:rPr>
                <w:rFonts w:eastAsia="Times New Roman" w:cs="Arial"/>
                <w:b w:val="0"/>
                <w:bCs/>
                <w:color w:val="000000"/>
                <w:sz w:val="19"/>
                <w:szCs w:val="19"/>
              </w:rPr>
              <w:t>50/450</w:t>
            </w:r>
            <w:r>
              <w:rPr>
                <w:rFonts w:eastAsia="Times New Roman" w:cs="Arial"/>
                <w:b w:val="0"/>
                <w:bCs/>
                <w:color w:val="000000"/>
                <w:sz w:val="19"/>
                <w:szCs w:val="19"/>
              </w:rPr>
              <w:t xml:space="preserve"> </w:t>
            </w:r>
            <w:r w:rsidRPr="009A5FA0">
              <w:rPr>
                <w:rFonts w:eastAsia="Times New Roman" w:cs="Arial"/>
                <w:b w:val="0"/>
                <w:bCs/>
                <w:color w:val="000000"/>
                <w:sz w:val="19"/>
                <w:szCs w:val="19"/>
              </w:rPr>
              <w:t>(11.1)</w:t>
            </w:r>
          </w:p>
        </w:tc>
        <w:tc>
          <w:tcPr>
            <w:tcW w:w="1364" w:type="dxa"/>
            <w:tcBorders>
              <w:top w:val="single" w:sz="4" w:space="0" w:color="auto"/>
              <w:left w:val="single" w:sz="4" w:space="0" w:color="auto"/>
              <w:bottom w:val="single" w:sz="4" w:space="0" w:color="auto"/>
              <w:right w:val="single" w:sz="4" w:space="0" w:color="auto"/>
            </w:tcBorders>
            <w:vAlign w:val="center"/>
          </w:tcPr>
          <w:p w14:paraId="310BBD2D" w14:textId="210C2296" w:rsidR="00140AAE" w:rsidRPr="009A5FA0" w:rsidRDefault="00140AAE"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31/223</w:t>
            </w:r>
            <w:r>
              <w:rPr>
                <w:rFonts w:ascii="Arial Narrow" w:hAnsi="Arial Narrow"/>
                <w:color w:val="000000"/>
                <w:sz w:val="19"/>
                <w:szCs w:val="19"/>
                <w:lang w:val="en-US"/>
              </w:rPr>
              <w:t xml:space="preserve"> </w:t>
            </w:r>
            <w:r w:rsidRPr="009A5FA0">
              <w:rPr>
                <w:rFonts w:ascii="Arial Narrow" w:hAnsi="Arial Narrow"/>
                <w:color w:val="000000"/>
                <w:sz w:val="19"/>
                <w:szCs w:val="19"/>
                <w:lang w:val="en-US"/>
              </w:rPr>
              <w:t>(13.9)</w:t>
            </w:r>
          </w:p>
        </w:tc>
        <w:tc>
          <w:tcPr>
            <w:tcW w:w="1418" w:type="dxa"/>
            <w:tcBorders>
              <w:top w:val="single" w:sz="4" w:space="0" w:color="auto"/>
              <w:left w:val="single" w:sz="4" w:space="0" w:color="auto"/>
              <w:bottom w:val="single" w:sz="4" w:space="0" w:color="auto"/>
              <w:right w:val="single" w:sz="4" w:space="0" w:color="auto"/>
            </w:tcBorders>
            <w:vAlign w:val="center"/>
          </w:tcPr>
          <w:p w14:paraId="2A6538B9" w14:textId="773390A6" w:rsidR="00140AAE" w:rsidRPr="009A5FA0" w:rsidRDefault="00140AAE"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0.77 (0.48, 1.25)</w:t>
            </w:r>
          </w:p>
        </w:tc>
        <w:tc>
          <w:tcPr>
            <w:tcW w:w="1441" w:type="dxa"/>
            <w:tcBorders>
              <w:top w:val="single" w:sz="4" w:space="0" w:color="auto"/>
              <w:left w:val="single" w:sz="4" w:space="0" w:color="auto"/>
              <w:bottom w:val="single" w:sz="4" w:space="0" w:color="auto"/>
              <w:right w:val="single" w:sz="4" w:space="0" w:color="auto"/>
            </w:tcBorders>
            <w:vAlign w:val="center"/>
          </w:tcPr>
          <w:p w14:paraId="083DCEBA" w14:textId="104121E6" w:rsidR="00140AAE" w:rsidRPr="009A5FA0" w:rsidRDefault="00140AAE"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0.8 (0.53, 1.21)</w:t>
            </w:r>
          </w:p>
        </w:tc>
        <w:tc>
          <w:tcPr>
            <w:tcW w:w="1485" w:type="dxa"/>
            <w:tcBorders>
              <w:top w:val="single" w:sz="4" w:space="0" w:color="auto"/>
              <w:left w:val="single" w:sz="4" w:space="0" w:color="auto"/>
              <w:bottom w:val="single" w:sz="4" w:space="0" w:color="auto"/>
              <w:right w:val="single" w:sz="4" w:space="0" w:color="auto"/>
            </w:tcBorders>
            <w:vAlign w:val="center"/>
          </w:tcPr>
          <w:p w14:paraId="46306DEB" w14:textId="2DBE361E" w:rsidR="00140AAE" w:rsidRPr="009A5FA0" w:rsidRDefault="00140AAE"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-0.03 (-0.08,0.03)</w:t>
            </w:r>
          </w:p>
        </w:tc>
      </w:tr>
      <w:tr w:rsidR="0059604F" w:rsidRPr="0074357C" w14:paraId="4B850CA8" w14:textId="77777777" w:rsidTr="006E0383">
        <w:trPr>
          <w:trHeight w:val="20"/>
        </w:trPr>
        <w:tc>
          <w:tcPr>
            <w:tcW w:w="3309" w:type="dxa"/>
            <w:gridSpan w:val="3"/>
            <w:vMerge w:val="restart"/>
            <w:tcBorders>
              <w:right w:val="single" w:sz="4" w:space="0" w:color="auto"/>
            </w:tcBorders>
          </w:tcPr>
          <w:p w14:paraId="00A869CD" w14:textId="521E8A7D" w:rsidR="0059604F" w:rsidRPr="00D548DC" w:rsidRDefault="0059604F" w:rsidP="006E0383">
            <w:pPr>
              <w:pStyle w:val="In-tableHeading"/>
              <w:keepNext w:val="0"/>
              <w:widowControl w:val="0"/>
              <w:rPr>
                <w:sz w:val="19"/>
                <w:szCs w:val="19"/>
              </w:rPr>
            </w:pPr>
            <w:r w:rsidRPr="00D548DC">
              <w:rPr>
                <w:sz w:val="19"/>
                <w:szCs w:val="19"/>
              </w:rPr>
              <w:t>Indirect comparisons</w:t>
            </w:r>
            <w:r w:rsidR="008E1A67" w:rsidRPr="00D548DC">
              <w:rPr>
                <w:sz w:val="19"/>
                <w:szCs w:val="19"/>
              </w:rPr>
              <w:t>:</w:t>
            </w:r>
          </w:p>
          <w:p w14:paraId="57EF7B98" w14:textId="7F3708A8" w:rsidR="0059604F" w:rsidRPr="003265C2" w:rsidRDefault="003655D3" w:rsidP="006E0383">
            <w:pPr>
              <w:pStyle w:val="In-tableHeading"/>
              <w:keepNext w:val="0"/>
              <w:widowControl w:val="0"/>
              <w:rPr>
                <w:rFonts w:eastAsia="Times New Roman" w:cs="Arial"/>
                <w:b w:val="0"/>
                <w:bCs/>
                <w:color w:val="000000"/>
                <w:sz w:val="19"/>
                <w:szCs w:val="19"/>
                <w:vertAlign w:val="superscript"/>
              </w:rPr>
            </w:pPr>
            <w:r w:rsidRPr="00D548DC">
              <w:rPr>
                <w:sz w:val="19"/>
                <w:szCs w:val="19"/>
              </w:rPr>
              <w:t>U</w:t>
            </w:r>
            <w:r>
              <w:rPr>
                <w:sz w:val="19"/>
                <w:szCs w:val="19"/>
              </w:rPr>
              <w:t>PA</w:t>
            </w:r>
            <w:r w:rsidRPr="00D548DC">
              <w:rPr>
                <w:sz w:val="19"/>
                <w:szCs w:val="19"/>
              </w:rPr>
              <w:t xml:space="preserve"> </w:t>
            </w:r>
            <w:r w:rsidR="005A7E04">
              <w:rPr>
                <w:sz w:val="19"/>
                <w:szCs w:val="19"/>
              </w:rPr>
              <w:t>15</w:t>
            </w:r>
            <w:r w:rsidR="0059604F" w:rsidRPr="00D548DC">
              <w:rPr>
                <w:sz w:val="19"/>
                <w:szCs w:val="19"/>
              </w:rPr>
              <w:t xml:space="preserve"> mg </w:t>
            </w:r>
            <w:r>
              <w:rPr>
                <w:sz w:val="19"/>
                <w:szCs w:val="19"/>
                <w:lang w:val="en-AU"/>
              </w:rPr>
              <w:t>vs</w:t>
            </w:r>
            <w:r w:rsidR="0059604F" w:rsidRPr="00D548DC">
              <w:rPr>
                <w:sz w:val="19"/>
                <w:szCs w:val="19"/>
                <w:lang w:val="en-AU"/>
              </w:rPr>
              <w:t xml:space="preserve"> comparators</w:t>
            </w:r>
            <w:r w:rsidR="003265C2">
              <w:rPr>
                <w:sz w:val="19"/>
                <w:szCs w:val="19"/>
                <w:lang w:val="en-AU"/>
              </w:rPr>
              <w:t xml:space="preserve"> </w:t>
            </w:r>
            <w:r w:rsidR="003265C2">
              <w:rPr>
                <w:sz w:val="19"/>
                <w:szCs w:val="19"/>
                <w:vertAlign w:val="superscript"/>
                <w:lang w:val="en-AU"/>
              </w:rPr>
              <w:t>c</w:t>
            </w:r>
          </w:p>
        </w:tc>
        <w:tc>
          <w:tcPr>
            <w:tcW w:w="1364" w:type="dxa"/>
            <w:tcBorders>
              <w:top w:val="single" w:sz="4" w:space="0" w:color="auto"/>
              <w:left w:val="single" w:sz="4" w:space="0" w:color="auto"/>
              <w:bottom w:val="single" w:sz="4" w:space="0" w:color="auto"/>
              <w:right w:val="single" w:sz="4" w:space="0" w:color="auto"/>
            </w:tcBorders>
            <w:vAlign w:val="center"/>
          </w:tcPr>
          <w:p w14:paraId="196550D0"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ADA</w:t>
            </w:r>
          </w:p>
        </w:tc>
        <w:tc>
          <w:tcPr>
            <w:tcW w:w="1418" w:type="dxa"/>
            <w:tcBorders>
              <w:top w:val="single" w:sz="4" w:space="0" w:color="auto"/>
              <w:left w:val="single" w:sz="4" w:space="0" w:color="auto"/>
              <w:bottom w:val="single" w:sz="4" w:space="0" w:color="auto"/>
              <w:right w:val="single" w:sz="4" w:space="0" w:color="auto"/>
            </w:tcBorders>
            <w:vAlign w:val="center"/>
          </w:tcPr>
          <w:p w14:paraId="5ED9EB4A" w14:textId="77777777" w:rsidR="0059604F" w:rsidRPr="00F65C3C" w:rsidRDefault="0059604F"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1.59 (0.75, 3.35)</w:t>
            </w:r>
          </w:p>
        </w:tc>
        <w:tc>
          <w:tcPr>
            <w:tcW w:w="1441" w:type="dxa"/>
            <w:tcBorders>
              <w:top w:val="single" w:sz="4" w:space="0" w:color="auto"/>
              <w:left w:val="single" w:sz="4" w:space="0" w:color="auto"/>
              <w:bottom w:val="single" w:sz="4" w:space="0" w:color="auto"/>
              <w:right w:val="single" w:sz="4" w:space="0" w:color="auto"/>
            </w:tcBorders>
            <w:vAlign w:val="center"/>
          </w:tcPr>
          <w:p w14:paraId="69246AC5"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1.51 (0.78, 2.93)</w:t>
            </w:r>
          </w:p>
        </w:tc>
        <w:tc>
          <w:tcPr>
            <w:tcW w:w="1485" w:type="dxa"/>
            <w:tcBorders>
              <w:top w:val="single" w:sz="4" w:space="0" w:color="auto"/>
              <w:left w:val="single" w:sz="4" w:space="0" w:color="auto"/>
              <w:bottom w:val="single" w:sz="4" w:space="0" w:color="auto"/>
              <w:right w:val="single" w:sz="4" w:space="0" w:color="auto"/>
            </w:tcBorders>
            <w:vAlign w:val="center"/>
          </w:tcPr>
          <w:p w14:paraId="3520EF31"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0.05 (-0.03, 0.13)</w:t>
            </w:r>
          </w:p>
        </w:tc>
      </w:tr>
      <w:tr w:rsidR="0059604F" w:rsidRPr="0074357C" w14:paraId="2A760CCA" w14:textId="77777777" w:rsidTr="006E0383">
        <w:trPr>
          <w:trHeight w:val="20"/>
        </w:trPr>
        <w:tc>
          <w:tcPr>
            <w:tcW w:w="3309" w:type="dxa"/>
            <w:gridSpan w:val="3"/>
            <w:vMerge/>
          </w:tcPr>
          <w:p w14:paraId="4A436B69" w14:textId="77777777" w:rsidR="0059604F" w:rsidRPr="0074357C" w:rsidRDefault="0059604F" w:rsidP="006E0383">
            <w:pPr>
              <w:pStyle w:val="In-tableHeading"/>
              <w:keepNext w:val="0"/>
              <w:widowControl w:val="0"/>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vAlign w:val="center"/>
          </w:tcPr>
          <w:p w14:paraId="177C87F1"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RISA</w:t>
            </w:r>
          </w:p>
        </w:tc>
        <w:tc>
          <w:tcPr>
            <w:tcW w:w="1418" w:type="dxa"/>
            <w:tcBorders>
              <w:top w:val="single" w:sz="4" w:space="0" w:color="auto"/>
              <w:left w:val="single" w:sz="4" w:space="0" w:color="auto"/>
              <w:bottom w:val="single" w:sz="4" w:space="0" w:color="auto"/>
              <w:right w:val="single" w:sz="4" w:space="0" w:color="auto"/>
            </w:tcBorders>
            <w:vAlign w:val="center"/>
          </w:tcPr>
          <w:p w14:paraId="1F77F880" w14:textId="77777777" w:rsidR="0059604F" w:rsidRPr="00F65C3C" w:rsidRDefault="0059604F"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0.89 (0.38, 2.06)</w:t>
            </w:r>
          </w:p>
        </w:tc>
        <w:tc>
          <w:tcPr>
            <w:tcW w:w="1441" w:type="dxa"/>
            <w:tcBorders>
              <w:top w:val="single" w:sz="4" w:space="0" w:color="auto"/>
              <w:left w:val="single" w:sz="4" w:space="0" w:color="auto"/>
              <w:bottom w:val="single" w:sz="4" w:space="0" w:color="auto"/>
              <w:right w:val="single" w:sz="4" w:space="0" w:color="auto"/>
            </w:tcBorders>
            <w:vAlign w:val="center"/>
          </w:tcPr>
          <w:p w14:paraId="58851912"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0.90 (0.43, 1.89)</w:t>
            </w:r>
          </w:p>
        </w:tc>
        <w:tc>
          <w:tcPr>
            <w:tcW w:w="1485" w:type="dxa"/>
            <w:tcBorders>
              <w:top w:val="single" w:sz="4" w:space="0" w:color="auto"/>
              <w:left w:val="single" w:sz="4" w:space="0" w:color="auto"/>
              <w:bottom w:val="single" w:sz="4" w:space="0" w:color="auto"/>
              <w:right w:val="single" w:sz="4" w:space="0" w:color="auto"/>
            </w:tcBorders>
            <w:vAlign w:val="center"/>
          </w:tcPr>
          <w:p w14:paraId="051FA7D3"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-0.01 (-0.11,0.08)</w:t>
            </w:r>
          </w:p>
        </w:tc>
      </w:tr>
      <w:tr w:rsidR="0059604F" w:rsidRPr="0074357C" w14:paraId="791970D2" w14:textId="77777777" w:rsidTr="006E0383">
        <w:trPr>
          <w:trHeight w:val="20"/>
        </w:trPr>
        <w:tc>
          <w:tcPr>
            <w:tcW w:w="3309" w:type="dxa"/>
            <w:gridSpan w:val="3"/>
            <w:vMerge/>
          </w:tcPr>
          <w:p w14:paraId="0DD571A2" w14:textId="77777777" w:rsidR="0059604F" w:rsidRPr="0074357C" w:rsidRDefault="0059604F"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vAlign w:val="center"/>
          </w:tcPr>
          <w:p w14:paraId="50751BEF"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IFX</w:t>
            </w:r>
          </w:p>
        </w:tc>
        <w:tc>
          <w:tcPr>
            <w:tcW w:w="1418" w:type="dxa"/>
            <w:tcBorders>
              <w:top w:val="single" w:sz="4" w:space="0" w:color="auto"/>
              <w:left w:val="single" w:sz="4" w:space="0" w:color="auto"/>
              <w:bottom w:val="single" w:sz="4" w:space="0" w:color="auto"/>
              <w:right w:val="single" w:sz="4" w:space="0" w:color="auto"/>
            </w:tcBorders>
            <w:vAlign w:val="center"/>
          </w:tcPr>
          <w:p w14:paraId="37BD6FA0" w14:textId="77777777" w:rsidR="0059604F" w:rsidRPr="00F65C3C" w:rsidRDefault="0059604F"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0.88 (0.43, 1.79)</w:t>
            </w:r>
          </w:p>
        </w:tc>
        <w:tc>
          <w:tcPr>
            <w:tcW w:w="1441" w:type="dxa"/>
            <w:tcBorders>
              <w:top w:val="single" w:sz="4" w:space="0" w:color="auto"/>
              <w:left w:val="single" w:sz="4" w:space="0" w:color="auto"/>
              <w:bottom w:val="single" w:sz="4" w:space="0" w:color="auto"/>
              <w:right w:val="single" w:sz="4" w:space="0" w:color="auto"/>
            </w:tcBorders>
            <w:vAlign w:val="center"/>
          </w:tcPr>
          <w:p w14:paraId="797011C2"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0.88 (0.49, 1.58)</w:t>
            </w:r>
          </w:p>
        </w:tc>
        <w:tc>
          <w:tcPr>
            <w:tcW w:w="1485" w:type="dxa"/>
            <w:tcBorders>
              <w:top w:val="single" w:sz="4" w:space="0" w:color="auto"/>
              <w:left w:val="single" w:sz="4" w:space="0" w:color="auto"/>
              <w:bottom w:val="single" w:sz="4" w:space="0" w:color="auto"/>
              <w:right w:val="single" w:sz="4" w:space="0" w:color="auto"/>
            </w:tcBorders>
            <w:vAlign w:val="center"/>
          </w:tcPr>
          <w:p w14:paraId="5B662800"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-0.01 (-0.12,0.10)</w:t>
            </w:r>
          </w:p>
        </w:tc>
      </w:tr>
      <w:tr w:rsidR="0059604F" w:rsidRPr="0074357C" w14:paraId="7EAEE015" w14:textId="77777777" w:rsidTr="006E0383">
        <w:trPr>
          <w:trHeight w:val="20"/>
        </w:trPr>
        <w:tc>
          <w:tcPr>
            <w:tcW w:w="3309" w:type="dxa"/>
            <w:gridSpan w:val="3"/>
            <w:vMerge/>
          </w:tcPr>
          <w:p w14:paraId="600A2CE9" w14:textId="77777777" w:rsidR="0059604F" w:rsidRPr="0074357C" w:rsidRDefault="0059604F"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vAlign w:val="center"/>
          </w:tcPr>
          <w:p w14:paraId="0169D3F8"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UST</w:t>
            </w:r>
          </w:p>
        </w:tc>
        <w:tc>
          <w:tcPr>
            <w:tcW w:w="1418" w:type="dxa"/>
            <w:tcBorders>
              <w:top w:val="single" w:sz="4" w:space="0" w:color="auto"/>
              <w:left w:val="single" w:sz="4" w:space="0" w:color="auto"/>
              <w:bottom w:val="single" w:sz="4" w:space="0" w:color="auto"/>
              <w:right w:val="single" w:sz="4" w:space="0" w:color="auto"/>
            </w:tcBorders>
            <w:vAlign w:val="center"/>
          </w:tcPr>
          <w:p w14:paraId="53F58518" w14:textId="77777777" w:rsidR="0059604F" w:rsidRPr="00F65C3C" w:rsidRDefault="0059604F"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1.33 (0.52, 3.36)</w:t>
            </w:r>
          </w:p>
        </w:tc>
        <w:tc>
          <w:tcPr>
            <w:tcW w:w="1441" w:type="dxa"/>
            <w:tcBorders>
              <w:top w:val="single" w:sz="4" w:space="0" w:color="auto"/>
              <w:left w:val="single" w:sz="4" w:space="0" w:color="auto"/>
              <w:bottom w:val="single" w:sz="4" w:space="0" w:color="auto"/>
              <w:right w:val="single" w:sz="4" w:space="0" w:color="auto"/>
            </w:tcBorders>
            <w:vAlign w:val="center"/>
          </w:tcPr>
          <w:p w14:paraId="0CFFC5CF"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1.28 (0.57, 2.90)</w:t>
            </w:r>
          </w:p>
        </w:tc>
        <w:tc>
          <w:tcPr>
            <w:tcW w:w="1485" w:type="dxa"/>
            <w:tcBorders>
              <w:top w:val="single" w:sz="4" w:space="0" w:color="auto"/>
              <w:left w:val="single" w:sz="4" w:space="0" w:color="auto"/>
              <w:bottom w:val="single" w:sz="4" w:space="0" w:color="auto"/>
              <w:right w:val="single" w:sz="4" w:space="0" w:color="auto"/>
            </w:tcBorders>
            <w:vAlign w:val="center"/>
          </w:tcPr>
          <w:p w14:paraId="4B545E34"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0.03 (-0.07, 0.13)</w:t>
            </w:r>
          </w:p>
        </w:tc>
      </w:tr>
      <w:tr w:rsidR="0059604F" w:rsidRPr="0074357C" w14:paraId="737E87E5" w14:textId="77777777" w:rsidTr="006E0383">
        <w:trPr>
          <w:trHeight w:val="20"/>
        </w:trPr>
        <w:tc>
          <w:tcPr>
            <w:tcW w:w="3309" w:type="dxa"/>
            <w:gridSpan w:val="3"/>
            <w:vMerge/>
          </w:tcPr>
          <w:p w14:paraId="15D774C0" w14:textId="77777777" w:rsidR="0059604F" w:rsidRPr="00F65C3C" w:rsidRDefault="0059604F" w:rsidP="006E0383">
            <w:pPr>
              <w:pStyle w:val="In-tableHeading"/>
              <w:keepNext w:val="0"/>
              <w:widowControl w:val="0"/>
              <w:jc w:val="center"/>
              <w:rPr>
                <w:rFonts w:eastAsia="Times New Roman" w:cs="Arial"/>
                <w:b w:val="0"/>
                <w:bCs/>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vAlign w:val="center"/>
          </w:tcPr>
          <w:p w14:paraId="05A6AB9E"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VDZ</w:t>
            </w:r>
          </w:p>
        </w:tc>
        <w:tc>
          <w:tcPr>
            <w:tcW w:w="1418" w:type="dxa"/>
            <w:tcBorders>
              <w:top w:val="single" w:sz="4" w:space="0" w:color="auto"/>
              <w:left w:val="single" w:sz="4" w:space="0" w:color="auto"/>
              <w:bottom w:val="single" w:sz="4" w:space="0" w:color="auto"/>
              <w:right w:val="single" w:sz="4" w:space="0" w:color="auto"/>
            </w:tcBorders>
            <w:vAlign w:val="center"/>
          </w:tcPr>
          <w:p w14:paraId="661272E9" w14:textId="77777777" w:rsidR="0059604F" w:rsidRPr="00F65C3C" w:rsidRDefault="0059604F"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0.84 (0.41, 1.72)</w:t>
            </w:r>
          </w:p>
        </w:tc>
        <w:tc>
          <w:tcPr>
            <w:tcW w:w="1441" w:type="dxa"/>
            <w:tcBorders>
              <w:top w:val="single" w:sz="4" w:space="0" w:color="auto"/>
              <w:left w:val="single" w:sz="4" w:space="0" w:color="auto"/>
              <w:bottom w:val="single" w:sz="4" w:space="0" w:color="auto"/>
              <w:right w:val="single" w:sz="4" w:space="0" w:color="auto"/>
            </w:tcBorders>
            <w:vAlign w:val="center"/>
          </w:tcPr>
          <w:p w14:paraId="6CCF3C6B"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0.86 (0.47, 1.60)</w:t>
            </w:r>
          </w:p>
        </w:tc>
        <w:tc>
          <w:tcPr>
            <w:tcW w:w="1485" w:type="dxa"/>
            <w:tcBorders>
              <w:top w:val="single" w:sz="4" w:space="0" w:color="auto"/>
              <w:left w:val="single" w:sz="4" w:space="0" w:color="auto"/>
              <w:bottom w:val="single" w:sz="4" w:space="0" w:color="auto"/>
              <w:right w:val="single" w:sz="4" w:space="0" w:color="auto"/>
            </w:tcBorders>
            <w:vAlign w:val="center"/>
          </w:tcPr>
          <w:p w14:paraId="654DC4AA"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-0.02 (-0.10,0.06)</w:t>
            </w:r>
          </w:p>
        </w:tc>
      </w:tr>
      <w:tr w:rsidR="0059604F" w:rsidRPr="0074357C" w14:paraId="196F256B" w14:textId="77777777" w:rsidTr="006E0383">
        <w:trPr>
          <w:trHeight w:val="20"/>
        </w:trPr>
        <w:tc>
          <w:tcPr>
            <w:tcW w:w="3309" w:type="dxa"/>
            <w:gridSpan w:val="3"/>
            <w:vMerge/>
          </w:tcPr>
          <w:p w14:paraId="583049BC" w14:textId="77777777" w:rsidR="0059604F" w:rsidRPr="00F65C3C" w:rsidRDefault="0059604F" w:rsidP="006E0383">
            <w:pPr>
              <w:pStyle w:val="In-tableHeading"/>
              <w:keepNext w:val="0"/>
              <w:widowControl w:val="0"/>
              <w:jc w:val="center"/>
              <w:rPr>
                <w:rFonts w:eastAsia="Times New Roman" w:cs="Arial"/>
                <w:b w:val="0"/>
                <w:bCs/>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vAlign w:val="center"/>
          </w:tcPr>
          <w:p w14:paraId="4F89A0B7"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VDZ SC</w:t>
            </w:r>
          </w:p>
        </w:tc>
        <w:tc>
          <w:tcPr>
            <w:tcW w:w="1418" w:type="dxa"/>
            <w:tcBorders>
              <w:top w:val="single" w:sz="4" w:space="0" w:color="auto"/>
              <w:left w:val="single" w:sz="4" w:space="0" w:color="auto"/>
              <w:bottom w:val="single" w:sz="4" w:space="0" w:color="auto"/>
              <w:right w:val="single" w:sz="4" w:space="0" w:color="auto"/>
            </w:tcBorders>
            <w:vAlign w:val="center"/>
          </w:tcPr>
          <w:p w14:paraId="6DE76A23" w14:textId="77777777" w:rsidR="0059604F" w:rsidRPr="00F65C3C" w:rsidRDefault="0059604F"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1.06 (0.43, 2.58)</w:t>
            </w:r>
          </w:p>
        </w:tc>
        <w:tc>
          <w:tcPr>
            <w:tcW w:w="1441" w:type="dxa"/>
            <w:tcBorders>
              <w:top w:val="single" w:sz="4" w:space="0" w:color="auto"/>
              <w:left w:val="single" w:sz="4" w:space="0" w:color="auto"/>
              <w:bottom w:val="single" w:sz="4" w:space="0" w:color="auto"/>
              <w:right w:val="single" w:sz="4" w:space="0" w:color="auto"/>
            </w:tcBorders>
            <w:vAlign w:val="center"/>
          </w:tcPr>
          <w:p w14:paraId="61DFC2DD"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1.06 (0.48, 2.35)</w:t>
            </w:r>
          </w:p>
        </w:tc>
        <w:tc>
          <w:tcPr>
            <w:tcW w:w="1485" w:type="dxa"/>
            <w:tcBorders>
              <w:top w:val="single" w:sz="4" w:space="0" w:color="auto"/>
              <w:left w:val="single" w:sz="4" w:space="0" w:color="auto"/>
              <w:bottom w:val="single" w:sz="4" w:space="0" w:color="auto"/>
              <w:right w:val="single" w:sz="4" w:space="0" w:color="auto"/>
            </w:tcBorders>
            <w:vAlign w:val="center"/>
          </w:tcPr>
          <w:p w14:paraId="604385C1"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0.00 (-0.09, 0.09)</w:t>
            </w:r>
          </w:p>
        </w:tc>
      </w:tr>
      <w:tr w:rsidR="005A7E04" w:rsidRPr="0074357C" w14:paraId="63095C2F" w14:textId="77777777" w:rsidTr="006E0383">
        <w:trPr>
          <w:trHeight w:val="20"/>
        </w:trPr>
        <w:tc>
          <w:tcPr>
            <w:tcW w:w="3309" w:type="dxa"/>
            <w:gridSpan w:val="3"/>
            <w:vMerge w:val="restart"/>
          </w:tcPr>
          <w:p w14:paraId="3E665E4B" w14:textId="77777777" w:rsidR="005A7E04" w:rsidRPr="00D548DC" w:rsidRDefault="005A7E04" w:rsidP="006E0383">
            <w:pPr>
              <w:pStyle w:val="In-tableHeading"/>
              <w:widowControl w:val="0"/>
              <w:rPr>
                <w:sz w:val="19"/>
                <w:szCs w:val="19"/>
              </w:rPr>
            </w:pPr>
            <w:r w:rsidRPr="00D548DC">
              <w:rPr>
                <w:sz w:val="19"/>
                <w:szCs w:val="19"/>
              </w:rPr>
              <w:t>Indirect comparisons:</w:t>
            </w:r>
          </w:p>
          <w:p w14:paraId="638D7EF3" w14:textId="783C2D59" w:rsidR="005A7E04" w:rsidRPr="00F65C3C" w:rsidRDefault="005A7E04" w:rsidP="006E0383">
            <w:pPr>
              <w:pStyle w:val="In-tableHeading"/>
              <w:keepNext w:val="0"/>
              <w:widowControl w:val="0"/>
              <w:rPr>
                <w:rFonts w:eastAsia="Times New Roman" w:cs="Arial"/>
                <w:b w:val="0"/>
                <w:bCs/>
                <w:color w:val="000000"/>
                <w:sz w:val="19"/>
                <w:szCs w:val="19"/>
              </w:rPr>
            </w:pPr>
            <w:r w:rsidRPr="00D548DC">
              <w:rPr>
                <w:sz w:val="19"/>
                <w:szCs w:val="19"/>
              </w:rPr>
              <w:t>U</w:t>
            </w:r>
            <w:r>
              <w:rPr>
                <w:sz w:val="19"/>
                <w:szCs w:val="19"/>
              </w:rPr>
              <w:t>PA</w:t>
            </w:r>
            <w:r w:rsidRPr="00D548DC">
              <w:rPr>
                <w:sz w:val="19"/>
                <w:szCs w:val="19"/>
              </w:rPr>
              <w:t xml:space="preserve"> 30 mg </w:t>
            </w:r>
            <w:r>
              <w:rPr>
                <w:sz w:val="19"/>
                <w:szCs w:val="19"/>
              </w:rPr>
              <w:t xml:space="preserve">vs </w:t>
            </w:r>
            <w:r w:rsidRPr="00D548DC">
              <w:rPr>
                <w:sz w:val="19"/>
                <w:szCs w:val="19"/>
              </w:rPr>
              <w:t>comparators</w:t>
            </w:r>
            <w:r>
              <w:rPr>
                <w:sz w:val="19"/>
                <w:szCs w:val="19"/>
              </w:rPr>
              <w:t xml:space="preserve"> </w:t>
            </w:r>
            <w:r>
              <w:rPr>
                <w:sz w:val="19"/>
                <w:szCs w:val="19"/>
                <w:vertAlign w:val="superscript"/>
              </w:rPr>
              <w:t>c</w:t>
            </w:r>
          </w:p>
        </w:tc>
        <w:tc>
          <w:tcPr>
            <w:tcW w:w="1364" w:type="dxa"/>
            <w:tcBorders>
              <w:top w:val="single" w:sz="4" w:space="0" w:color="auto"/>
              <w:left w:val="single" w:sz="4" w:space="0" w:color="auto"/>
              <w:bottom w:val="single" w:sz="4" w:space="0" w:color="auto"/>
              <w:right w:val="single" w:sz="4" w:space="0" w:color="auto"/>
            </w:tcBorders>
            <w:vAlign w:val="center"/>
          </w:tcPr>
          <w:p w14:paraId="464C2491" w14:textId="4862906B" w:rsidR="005A7E04" w:rsidRPr="009A5FA0" w:rsidRDefault="005A7E04"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ADA</w:t>
            </w:r>
          </w:p>
        </w:tc>
        <w:tc>
          <w:tcPr>
            <w:tcW w:w="1418" w:type="dxa"/>
            <w:tcBorders>
              <w:top w:val="single" w:sz="4" w:space="0" w:color="auto"/>
              <w:left w:val="single" w:sz="4" w:space="0" w:color="auto"/>
              <w:bottom w:val="single" w:sz="4" w:space="0" w:color="auto"/>
              <w:right w:val="single" w:sz="4" w:space="0" w:color="auto"/>
            </w:tcBorders>
            <w:vAlign w:val="center"/>
          </w:tcPr>
          <w:p w14:paraId="7223A4EA" w14:textId="084B2E11" w:rsidR="005A7E04" w:rsidRPr="009A5FA0" w:rsidRDefault="005A7E04"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1.39 (0.66, 2.96)</w:t>
            </w:r>
          </w:p>
        </w:tc>
        <w:tc>
          <w:tcPr>
            <w:tcW w:w="1441" w:type="dxa"/>
            <w:tcBorders>
              <w:top w:val="single" w:sz="4" w:space="0" w:color="auto"/>
              <w:left w:val="single" w:sz="4" w:space="0" w:color="auto"/>
              <w:bottom w:val="single" w:sz="4" w:space="0" w:color="auto"/>
              <w:right w:val="single" w:sz="4" w:space="0" w:color="auto"/>
            </w:tcBorders>
            <w:vAlign w:val="center"/>
          </w:tcPr>
          <w:p w14:paraId="5C7AA7D5" w14:textId="473309CF" w:rsidR="005A7E04" w:rsidRPr="009A5FA0" w:rsidRDefault="005A7E04"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1.35 (0.69, 2.63)</w:t>
            </w:r>
          </w:p>
        </w:tc>
        <w:tc>
          <w:tcPr>
            <w:tcW w:w="1485" w:type="dxa"/>
            <w:tcBorders>
              <w:top w:val="single" w:sz="4" w:space="0" w:color="auto"/>
              <w:left w:val="single" w:sz="4" w:space="0" w:color="auto"/>
              <w:bottom w:val="single" w:sz="4" w:space="0" w:color="auto"/>
              <w:right w:val="single" w:sz="4" w:space="0" w:color="auto"/>
            </w:tcBorders>
            <w:vAlign w:val="center"/>
          </w:tcPr>
          <w:p w14:paraId="688575E9" w14:textId="0C0C168E" w:rsidR="005A7E04" w:rsidRPr="009A5FA0" w:rsidRDefault="005A7E04"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0.04 (-0.04 ,0.11)</w:t>
            </w:r>
          </w:p>
        </w:tc>
      </w:tr>
      <w:tr w:rsidR="005A7E04" w:rsidRPr="0074357C" w14:paraId="4516B6E6" w14:textId="77777777" w:rsidTr="006E0383">
        <w:trPr>
          <w:trHeight w:val="20"/>
        </w:trPr>
        <w:tc>
          <w:tcPr>
            <w:tcW w:w="3309" w:type="dxa"/>
            <w:gridSpan w:val="3"/>
            <w:vMerge/>
          </w:tcPr>
          <w:p w14:paraId="6014404A" w14:textId="77777777" w:rsidR="005A7E04" w:rsidRPr="00F65C3C" w:rsidRDefault="005A7E04" w:rsidP="006E0383">
            <w:pPr>
              <w:pStyle w:val="In-tableHeading"/>
              <w:keepNext w:val="0"/>
              <w:widowControl w:val="0"/>
              <w:jc w:val="center"/>
              <w:rPr>
                <w:rFonts w:eastAsia="Times New Roman" w:cs="Arial"/>
                <w:b w:val="0"/>
                <w:bCs/>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vAlign w:val="center"/>
          </w:tcPr>
          <w:p w14:paraId="03F34A20" w14:textId="46C9FC95" w:rsidR="005A7E04" w:rsidRPr="009A5FA0" w:rsidRDefault="005A7E04"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RISA</w:t>
            </w:r>
          </w:p>
        </w:tc>
        <w:tc>
          <w:tcPr>
            <w:tcW w:w="1418" w:type="dxa"/>
            <w:tcBorders>
              <w:top w:val="single" w:sz="4" w:space="0" w:color="auto"/>
              <w:left w:val="single" w:sz="4" w:space="0" w:color="auto"/>
              <w:bottom w:val="single" w:sz="4" w:space="0" w:color="auto"/>
              <w:right w:val="single" w:sz="4" w:space="0" w:color="auto"/>
            </w:tcBorders>
            <w:vAlign w:val="center"/>
          </w:tcPr>
          <w:p w14:paraId="276F6F0A" w14:textId="4DEBC668" w:rsidR="005A7E04" w:rsidRPr="009A5FA0" w:rsidRDefault="005A7E04"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0.78 (0.33, 1.82)</w:t>
            </w:r>
          </w:p>
        </w:tc>
        <w:tc>
          <w:tcPr>
            <w:tcW w:w="1441" w:type="dxa"/>
            <w:tcBorders>
              <w:top w:val="single" w:sz="4" w:space="0" w:color="auto"/>
              <w:left w:val="single" w:sz="4" w:space="0" w:color="auto"/>
              <w:bottom w:val="single" w:sz="4" w:space="0" w:color="auto"/>
              <w:right w:val="single" w:sz="4" w:space="0" w:color="auto"/>
            </w:tcBorders>
            <w:vAlign w:val="center"/>
          </w:tcPr>
          <w:p w14:paraId="79039C0F" w14:textId="69275B4C" w:rsidR="005A7E04" w:rsidRPr="009A5FA0" w:rsidRDefault="005A7E04"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0.80 (0.38, 1.69)</w:t>
            </w:r>
          </w:p>
        </w:tc>
        <w:tc>
          <w:tcPr>
            <w:tcW w:w="1485" w:type="dxa"/>
            <w:tcBorders>
              <w:top w:val="single" w:sz="4" w:space="0" w:color="auto"/>
              <w:left w:val="single" w:sz="4" w:space="0" w:color="auto"/>
              <w:bottom w:val="single" w:sz="4" w:space="0" w:color="auto"/>
              <w:right w:val="single" w:sz="4" w:space="0" w:color="auto"/>
            </w:tcBorders>
            <w:vAlign w:val="center"/>
          </w:tcPr>
          <w:p w14:paraId="1A86EBF4" w14:textId="25E65272" w:rsidR="005A7E04" w:rsidRPr="009A5FA0" w:rsidRDefault="005A7E04"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-0.03 (-0.12,0.06)</w:t>
            </w:r>
          </w:p>
        </w:tc>
      </w:tr>
      <w:tr w:rsidR="005A7E04" w:rsidRPr="0074357C" w14:paraId="0B332D00" w14:textId="77777777" w:rsidTr="006E0383">
        <w:trPr>
          <w:trHeight w:val="20"/>
        </w:trPr>
        <w:tc>
          <w:tcPr>
            <w:tcW w:w="3309" w:type="dxa"/>
            <w:gridSpan w:val="3"/>
            <w:vMerge/>
          </w:tcPr>
          <w:p w14:paraId="6A06124C" w14:textId="77777777" w:rsidR="005A7E04" w:rsidRPr="00F65C3C" w:rsidRDefault="005A7E04" w:rsidP="006E0383">
            <w:pPr>
              <w:pStyle w:val="In-tableHeading"/>
              <w:keepNext w:val="0"/>
              <w:widowControl w:val="0"/>
              <w:jc w:val="center"/>
              <w:rPr>
                <w:rFonts w:eastAsia="Times New Roman" w:cs="Arial"/>
                <w:b w:val="0"/>
                <w:bCs/>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vAlign w:val="center"/>
          </w:tcPr>
          <w:p w14:paraId="05F8E187" w14:textId="0FF59F1B" w:rsidR="005A7E04" w:rsidRPr="009A5FA0" w:rsidRDefault="005A7E04"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IFX</w:t>
            </w:r>
          </w:p>
        </w:tc>
        <w:tc>
          <w:tcPr>
            <w:tcW w:w="1418" w:type="dxa"/>
            <w:tcBorders>
              <w:top w:val="single" w:sz="4" w:space="0" w:color="auto"/>
              <w:left w:val="single" w:sz="4" w:space="0" w:color="auto"/>
              <w:bottom w:val="single" w:sz="4" w:space="0" w:color="auto"/>
              <w:right w:val="single" w:sz="4" w:space="0" w:color="auto"/>
            </w:tcBorders>
            <w:vAlign w:val="center"/>
          </w:tcPr>
          <w:p w14:paraId="37F0AB72" w14:textId="5CE5916B" w:rsidR="005A7E04" w:rsidRPr="009A5FA0" w:rsidRDefault="005A7E04"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0.77 (0.38, 1.59)</w:t>
            </w:r>
          </w:p>
        </w:tc>
        <w:tc>
          <w:tcPr>
            <w:tcW w:w="1441" w:type="dxa"/>
            <w:tcBorders>
              <w:top w:val="single" w:sz="4" w:space="0" w:color="auto"/>
              <w:left w:val="single" w:sz="4" w:space="0" w:color="auto"/>
              <w:bottom w:val="single" w:sz="4" w:space="0" w:color="auto"/>
              <w:right w:val="single" w:sz="4" w:space="0" w:color="auto"/>
            </w:tcBorders>
            <w:vAlign w:val="center"/>
          </w:tcPr>
          <w:p w14:paraId="26EDFF1F" w14:textId="6E08A211" w:rsidR="005A7E04" w:rsidRPr="009A5FA0" w:rsidRDefault="005A7E04"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0.79 (0.44, 1.43)</w:t>
            </w:r>
          </w:p>
        </w:tc>
        <w:tc>
          <w:tcPr>
            <w:tcW w:w="1485" w:type="dxa"/>
            <w:tcBorders>
              <w:top w:val="single" w:sz="4" w:space="0" w:color="auto"/>
              <w:left w:val="single" w:sz="4" w:space="0" w:color="auto"/>
              <w:bottom w:val="single" w:sz="4" w:space="0" w:color="auto"/>
              <w:right w:val="single" w:sz="4" w:space="0" w:color="auto"/>
            </w:tcBorders>
            <w:vAlign w:val="center"/>
          </w:tcPr>
          <w:p w14:paraId="1360FF69" w14:textId="5C3E4B1A" w:rsidR="005A7E04" w:rsidRPr="009A5FA0" w:rsidRDefault="005A7E04"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-0.02 (-0.13,0.09)</w:t>
            </w:r>
          </w:p>
        </w:tc>
      </w:tr>
      <w:tr w:rsidR="005A7E04" w:rsidRPr="0074357C" w14:paraId="6B660E30" w14:textId="77777777" w:rsidTr="006E0383">
        <w:trPr>
          <w:trHeight w:val="20"/>
        </w:trPr>
        <w:tc>
          <w:tcPr>
            <w:tcW w:w="3309" w:type="dxa"/>
            <w:gridSpan w:val="3"/>
            <w:vMerge/>
          </w:tcPr>
          <w:p w14:paraId="0FEED610" w14:textId="77777777" w:rsidR="005A7E04" w:rsidRPr="00F65C3C" w:rsidRDefault="005A7E04" w:rsidP="006E0383">
            <w:pPr>
              <w:pStyle w:val="In-tableHeading"/>
              <w:keepNext w:val="0"/>
              <w:widowControl w:val="0"/>
              <w:jc w:val="center"/>
              <w:rPr>
                <w:rFonts w:eastAsia="Times New Roman" w:cs="Arial"/>
                <w:b w:val="0"/>
                <w:bCs/>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vAlign w:val="center"/>
          </w:tcPr>
          <w:p w14:paraId="5896EF44" w14:textId="5CD4180F" w:rsidR="005A7E04" w:rsidRPr="009A5FA0" w:rsidRDefault="005A7E04"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UST</w:t>
            </w:r>
          </w:p>
        </w:tc>
        <w:tc>
          <w:tcPr>
            <w:tcW w:w="1418" w:type="dxa"/>
            <w:tcBorders>
              <w:top w:val="single" w:sz="4" w:space="0" w:color="auto"/>
              <w:left w:val="single" w:sz="4" w:space="0" w:color="auto"/>
              <w:bottom w:val="single" w:sz="4" w:space="0" w:color="auto"/>
              <w:right w:val="single" w:sz="4" w:space="0" w:color="auto"/>
            </w:tcBorders>
            <w:vAlign w:val="center"/>
          </w:tcPr>
          <w:p w14:paraId="3165DA2C" w14:textId="4FABDBB4" w:rsidR="005A7E04" w:rsidRPr="009A5FA0" w:rsidRDefault="005A7E04"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1.16 (0.46, 2.97)</w:t>
            </w:r>
          </w:p>
        </w:tc>
        <w:tc>
          <w:tcPr>
            <w:tcW w:w="1441" w:type="dxa"/>
            <w:tcBorders>
              <w:top w:val="single" w:sz="4" w:space="0" w:color="auto"/>
              <w:left w:val="single" w:sz="4" w:space="0" w:color="auto"/>
              <w:bottom w:val="single" w:sz="4" w:space="0" w:color="auto"/>
              <w:right w:val="single" w:sz="4" w:space="0" w:color="auto"/>
            </w:tcBorders>
            <w:vAlign w:val="center"/>
          </w:tcPr>
          <w:p w14:paraId="2B6F94FD" w14:textId="0F186395" w:rsidR="005A7E04" w:rsidRPr="009A5FA0" w:rsidRDefault="005A7E04"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1.14 (0.50, 2.60)</w:t>
            </w:r>
          </w:p>
        </w:tc>
        <w:tc>
          <w:tcPr>
            <w:tcW w:w="1485" w:type="dxa"/>
            <w:tcBorders>
              <w:top w:val="single" w:sz="4" w:space="0" w:color="auto"/>
              <w:left w:val="single" w:sz="4" w:space="0" w:color="auto"/>
              <w:bottom w:val="single" w:sz="4" w:space="0" w:color="auto"/>
              <w:right w:val="single" w:sz="4" w:space="0" w:color="auto"/>
            </w:tcBorders>
            <w:vAlign w:val="center"/>
          </w:tcPr>
          <w:p w14:paraId="72B380EE" w14:textId="35B100C7" w:rsidR="005A7E04" w:rsidRPr="009A5FA0" w:rsidRDefault="005A7E04"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0.02 (-0.08 ,0.12)</w:t>
            </w:r>
          </w:p>
        </w:tc>
      </w:tr>
      <w:tr w:rsidR="005A7E04" w:rsidRPr="0074357C" w14:paraId="4ADA7DB0" w14:textId="77777777" w:rsidTr="006E0383">
        <w:trPr>
          <w:trHeight w:val="20"/>
        </w:trPr>
        <w:tc>
          <w:tcPr>
            <w:tcW w:w="3309" w:type="dxa"/>
            <w:gridSpan w:val="3"/>
            <w:vMerge/>
          </w:tcPr>
          <w:p w14:paraId="20445454" w14:textId="77777777" w:rsidR="005A7E04" w:rsidRPr="00F65C3C" w:rsidRDefault="005A7E04" w:rsidP="006E0383">
            <w:pPr>
              <w:pStyle w:val="In-tableHeading"/>
              <w:keepNext w:val="0"/>
              <w:widowControl w:val="0"/>
              <w:jc w:val="center"/>
              <w:rPr>
                <w:rFonts w:eastAsia="Times New Roman" w:cs="Arial"/>
                <w:b w:val="0"/>
                <w:bCs/>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vAlign w:val="center"/>
          </w:tcPr>
          <w:p w14:paraId="7863E883" w14:textId="6277AE3A" w:rsidR="005A7E04" w:rsidRPr="009A5FA0" w:rsidRDefault="005A7E04"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VDZ</w:t>
            </w:r>
          </w:p>
        </w:tc>
        <w:tc>
          <w:tcPr>
            <w:tcW w:w="1418" w:type="dxa"/>
            <w:tcBorders>
              <w:top w:val="single" w:sz="4" w:space="0" w:color="auto"/>
              <w:left w:val="single" w:sz="4" w:space="0" w:color="auto"/>
              <w:bottom w:val="single" w:sz="4" w:space="0" w:color="auto"/>
              <w:right w:val="single" w:sz="4" w:space="0" w:color="auto"/>
            </w:tcBorders>
            <w:vAlign w:val="center"/>
          </w:tcPr>
          <w:p w14:paraId="2BDBED2A" w14:textId="2463E267" w:rsidR="005A7E04" w:rsidRPr="009A5FA0" w:rsidRDefault="005A7E04"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0.74 (0.36, 1.52)</w:t>
            </w:r>
          </w:p>
        </w:tc>
        <w:tc>
          <w:tcPr>
            <w:tcW w:w="1441" w:type="dxa"/>
            <w:tcBorders>
              <w:top w:val="single" w:sz="4" w:space="0" w:color="auto"/>
              <w:left w:val="single" w:sz="4" w:space="0" w:color="auto"/>
              <w:bottom w:val="single" w:sz="4" w:space="0" w:color="auto"/>
              <w:right w:val="single" w:sz="4" w:space="0" w:color="auto"/>
            </w:tcBorders>
            <w:vAlign w:val="center"/>
          </w:tcPr>
          <w:p w14:paraId="2F263C9A" w14:textId="26F16282" w:rsidR="005A7E04" w:rsidRPr="009A5FA0" w:rsidRDefault="005A7E04"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0.77 (0.41, 1.44)</w:t>
            </w:r>
          </w:p>
        </w:tc>
        <w:tc>
          <w:tcPr>
            <w:tcW w:w="1485" w:type="dxa"/>
            <w:tcBorders>
              <w:top w:val="single" w:sz="4" w:space="0" w:color="auto"/>
              <w:left w:val="single" w:sz="4" w:space="0" w:color="auto"/>
              <w:bottom w:val="single" w:sz="4" w:space="0" w:color="auto"/>
              <w:right w:val="single" w:sz="4" w:space="0" w:color="auto"/>
            </w:tcBorders>
            <w:vAlign w:val="center"/>
          </w:tcPr>
          <w:p w14:paraId="68EF9957" w14:textId="155CEDF2" w:rsidR="005A7E04" w:rsidRPr="009A5FA0" w:rsidRDefault="005A7E04"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-0.03 (-0.11,0.04)</w:t>
            </w:r>
          </w:p>
        </w:tc>
      </w:tr>
      <w:tr w:rsidR="005A7E04" w:rsidRPr="0074357C" w14:paraId="067F158D" w14:textId="77777777" w:rsidTr="006E0383">
        <w:trPr>
          <w:trHeight w:val="20"/>
        </w:trPr>
        <w:tc>
          <w:tcPr>
            <w:tcW w:w="3309" w:type="dxa"/>
            <w:gridSpan w:val="3"/>
            <w:vMerge/>
          </w:tcPr>
          <w:p w14:paraId="7F064A14" w14:textId="77777777" w:rsidR="005A7E04" w:rsidRPr="00F65C3C" w:rsidRDefault="005A7E04" w:rsidP="006E0383">
            <w:pPr>
              <w:pStyle w:val="In-tableHeading"/>
              <w:keepNext w:val="0"/>
              <w:widowControl w:val="0"/>
              <w:jc w:val="center"/>
              <w:rPr>
                <w:rFonts w:eastAsia="Times New Roman" w:cs="Arial"/>
                <w:b w:val="0"/>
                <w:bCs/>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vAlign w:val="center"/>
          </w:tcPr>
          <w:p w14:paraId="2F54D2C9" w14:textId="292112CA" w:rsidR="005A7E04" w:rsidRPr="009A5FA0" w:rsidRDefault="005A7E04"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VDZ SC</w:t>
            </w:r>
          </w:p>
        </w:tc>
        <w:tc>
          <w:tcPr>
            <w:tcW w:w="1418" w:type="dxa"/>
            <w:tcBorders>
              <w:top w:val="single" w:sz="4" w:space="0" w:color="auto"/>
              <w:left w:val="single" w:sz="4" w:space="0" w:color="auto"/>
              <w:bottom w:val="single" w:sz="4" w:space="0" w:color="auto"/>
              <w:right w:val="single" w:sz="4" w:space="0" w:color="auto"/>
            </w:tcBorders>
            <w:vAlign w:val="center"/>
          </w:tcPr>
          <w:p w14:paraId="642723B0" w14:textId="74DA99DC" w:rsidR="005A7E04" w:rsidRPr="009A5FA0" w:rsidRDefault="005A7E04"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0.93 (0.38, 2.28)</w:t>
            </w:r>
          </w:p>
        </w:tc>
        <w:tc>
          <w:tcPr>
            <w:tcW w:w="1441" w:type="dxa"/>
            <w:tcBorders>
              <w:top w:val="single" w:sz="4" w:space="0" w:color="auto"/>
              <w:left w:val="single" w:sz="4" w:space="0" w:color="auto"/>
              <w:bottom w:val="single" w:sz="4" w:space="0" w:color="auto"/>
              <w:right w:val="single" w:sz="4" w:space="0" w:color="auto"/>
            </w:tcBorders>
            <w:vAlign w:val="center"/>
          </w:tcPr>
          <w:p w14:paraId="4C90F965" w14:textId="014D7BE5" w:rsidR="005A7E04" w:rsidRPr="009A5FA0" w:rsidRDefault="005A7E04"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0.94 (0.42, 2.11)</w:t>
            </w:r>
          </w:p>
        </w:tc>
        <w:tc>
          <w:tcPr>
            <w:tcW w:w="1485" w:type="dxa"/>
            <w:tcBorders>
              <w:top w:val="single" w:sz="4" w:space="0" w:color="auto"/>
              <w:left w:val="single" w:sz="4" w:space="0" w:color="auto"/>
              <w:bottom w:val="single" w:sz="4" w:space="0" w:color="auto"/>
              <w:right w:val="single" w:sz="4" w:space="0" w:color="auto"/>
            </w:tcBorders>
            <w:vAlign w:val="center"/>
          </w:tcPr>
          <w:p w14:paraId="70BC6517" w14:textId="1496B41F" w:rsidR="005A7E04" w:rsidRPr="009A5FA0" w:rsidRDefault="005A7E04"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-0.01 (-0.10,0.07)</w:t>
            </w:r>
          </w:p>
        </w:tc>
      </w:tr>
      <w:tr w:rsidR="0059604F" w:rsidRPr="0074357C" w14:paraId="59218B59" w14:textId="77777777" w:rsidTr="006E0383">
        <w:trPr>
          <w:trHeight w:val="20"/>
        </w:trPr>
        <w:tc>
          <w:tcPr>
            <w:tcW w:w="9017" w:type="dxa"/>
            <w:gridSpan w:val="7"/>
            <w:tcBorders>
              <w:right w:val="single" w:sz="4" w:space="0" w:color="auto"/>
            </w:tcBorders>
          </w:tcPr>
          <w:p w14:paraId="57FB275A" w14:textId="77777777" w:rsidR="0059604F" w:rsidRPr="00F65C3C" w:rsidRDefault="0059604F" w:rsidP="006E0383">
            <w:pPr>
              <w:pStyle w:val="In-tableHeading"/>
              <w:keepNext w:val="0"/>
              <w:widowControl w:val="0"/>
              <w:rPr>
                <w:rFonts w:eastAsia="Times New Roman" w:cs="Arial"/>
                <w:b w:val="0"/>
                <w:color w:val="000000"/>
                <w:sz w:val="19"/>
                <w:szCs w:val="19"/>
              </w:rPr>
            </w:pPr>
            <w:r w:rsidRPr="009A5FA0">
              <w:rPr>
                <w:rFonts w:eastAsia="Times New Roman" w:cs="Arial"/>
                <w:bCs/>
                <w:color w:val="000000"/>
                <w:sz w:val="19"/>
                <w:szCs w:val="19"/>
              </w:rPr>
              <w:t>Serious infection</w:t>
            </w:r>
          </w:p>
        </w:tc>
      </w:tr>
      <w:tr w:rsidR="0059604F" w:rsidRPr="0074357C" w14:paraId="58936B19" w14:textId="77777777" w:rsidTr="006E0383">
        <w:trPr>
          <w:trHeight w:val="20"/>
        </w:trPr>
        <w:tc>
          <w:tcPr>
            <w:tcW w:w="1271" w:type="dxa"/>
            <w:vAlign w:val="center"/>
          </w:tcPr>
          <w:p w14:paraId="76EBC57F" w14:textId="77777777" w:rsidR="0059604F" w:rsidRPr="00F65C3C" w:rsidRDefault="0059604F" w:rsidP="006E0383">
            <w:pPr>
              <w:pStyle w:val="In-tableHeading"/>
              <w:keepNext w:val="0"/>
              <w:widowControl w:val="0"/>
              <w:rPr>
                <w:b w:val="0"/>
                <w:bCs/>
                <w:sz w:val="19"/>
                <w:szCs w:val="19"/>
              </w:rPr>
            </w:pPr>
            <w:r w:rsidRPr="00F65C3C">
              <w:rPr>
                <w:b w:val="0"/>
                <w:bCs/>
                <w:sz w:val="19"/>
                <w:szCs w:val="19"/>
              </w:rPr>
              <w:t xml:space="preserve">UPA vs PBO </w:t>
            </w:r>
          </w:p>
        </w:tc>
        <w:tc>
          <w:tcPr>
            <w:tcW w:w="800" w:type="dxa"/>
            <w:vAlign w:val="center"/>
          </w:tcPr>
          <w:p w14:paraId="4E04961E" w14:textId="77777777" w:rsidR="0059604F" w:rsidRPr="0074357C" w:rsidRDefault="0059604F" w:rsidP="006E0383">
            <w:pPr>
              <w:pStyle w:val="In-tableHeading"/>
              <w:keepNext w:val="0"/>
              <w:widowControl w:val="0"/>
              <w:rPr>
                <w:sz w:val="19"/>
                <w:szCs w:val="19"/>
                <w:lang w:val="en-AU"/>
              </w:rPr>
            </w:pPr>
            <w:r w:rsidRPr="009A5FA0">
              <w:rPr>
                <w:b w:val="0"/>
                <w:bCs/>
                <w:i/>
                <w:iCs/>
                <w:sz w:val="19"/>
                <w:szCs w:val="19"/>
                <w:lang w:val="en-AU"/>
              </w:rPr>
              <w:t xml:space="preserve">Pooled results of the trials </w:t>
            </w:r>
            <w:r w:rsidRPr="009A5FA0">
              <w:rPr>
                <w:b w:val="0"/>
                <w:bCs/>
                <w:i/>
                <w:iCs/>
                <w:sz w:val="19"/>
                <w:szCs w:val="19"/>
                <w:vertAlign w:val="superscript"/>
                <w:lang w:val="en-AU"/>
              </w:rPr>
              <w:t>b</w:t>
            </w:r>
          </w:p>
        </w:tc>
        <w:tc>
          <w:tcPr>
            <w:tcW w:w="1238" w:type="dxa"/>
            <w:tcBorders>
              <w:top w:val="single" w:sz="4" w:space="0" w:color="auto"/>
              <w:left w:val="single" w:sz="4" w:space="0" w:color="auto"/>
              <w:bottom w:val="single" w:sz="4" w:space="0" w:color="auto"/>
              <w:right w:val="single" w:sz="4" w:space="0" w:color="auto"/>
            </w:tcBorders>
            <w:vAlign w:val="center"/>
          </w:tcPr>
          <w:p w14:paraId="20FFD5D7" w14:textId="77777777" w:rsidR="0059604F" w:rsidRPr="00F65C3C" w:rsidRDefault="0059604F" w:rsidP="006E0383">
            <w:pPr>
              <w:pStyle w:val="In-tableHeading"/>
              <w:keepNext w:val="0"/>
              <w:widowControl w:val="0"/>
              <w:jc w:val="center"/>
              <w:rPr>
                <w:rFonts w:eastAsia="Times New Roman" w:cs="Arial"/>
                <w:b w:val="0"/>
                <w:bCs/>
                <w:color w:val="000000"/>
                <w:sz w:val="19"/>
                <w:szCs w:val="19"/>
              </w:rPr>
            </w:pPr>
            <w:r w:rsidRPr="009A5FA0">
              <w:rPr>
                <w:rFonts w:eastAsia="Times New Roman" w:cs="Arial"/>
                <w:b w:val="0"/>
                <w:bCs/>
                <w:color w:val="000000"/>
                <w:sz w:val="19"/>
                <w:szCs w:val="19"/>
              </w:rPr>
              <w:t>18/450 (4)</w:t>
            </w:r>
          </w:p>
        </w:tc>
        <w:tc>
          <w:tcPr>
            <w:tcW w:w="1364" w:type="dxa"/>
            <w:tcBorders>
              <w:top w:val="single" w:sz="4" w:space="0" w:color="auto"/>
              <w:left w:val="single" w:sz="4" w:space="0" w:color="auto"/>
              <w:bottom w:val="single" w:sz="4" w:space="0" w:color="auto"/>
              <w:right w:val="single" w:sz="4" w:space="0" w:color="auto"/>
            </w:tcBorders>
            <w:vAlign w:val="center"/>
          </w:tcPr>
          <w:p w14:paraId="11BB63E3" w14:textId="77777777" w:rsidR="0059604F" w:rsidRPr="0074357C" w:rsidRDefault="0059604F"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9/223 (4.0)</w:t>
            </w:r>
          </w:p>
        </w:tc>
        <w:tc>
          <w:tcPr>
            <w:tcW w:w="1418" w:type="dxa"/>
            <w:tcBorders>
              <w:top w:val="single" w:sz="4" w:space="0" w:color="auto"/>
              <w:left w:val="single" w:sz="4" w:space="0" w:color="auto"/>
              <w:bottom w:val="single" w:sz="4" w:space="0" w:color="auto"/>
              <w:right w:val="single" w:sz="4" w:space="0" w:color="auto"/>
            </w:tcBorders>
            <w:vAlign w:val="center"/>
          </w:tcPr>
          <w:p w14:paraId="5CF3B994" w14:textId="77777777" w:rsidR="0059604F" w:rsidRPr="00F65C3C" w:rsidRDefault="0059604F"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0.99 (0.44, 2.24)</w:t>
            </w:r>
          </w:p>
        </w:tc>
        <w:tc>
          <w:tcPr>
            <w:tcW w:w="1441" w:type="dxa"/>
            <w:tcBorders>
              <w:top w:val="single" w:sz="4" w:space="0" w:color="auto"/>
              <w:left w:val="single" w:sz="4" w:space="0" w:color="auto"/>
              <w:bottom w:val="single" w:sz="4" w:space="0" w:color="auto"/>
              <w:right w:val="single" w:sz="4" w:space="0" w:color="auto"/>
            </w:tcBorders>
            <w:vAlign w:val="center"/>
          </w:tcPr>
          <w:p w14:paraId="0D2352DD"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0.99 (0.45, 2.17)</w:t>
            </w:r>
          </w:p>
        </w:tc>
        <w:tc>
          <w:tcPr>
            <w:tcW w:w="1485" w:type="dxa"/>
            <w:tcBorders>
              <w:top w:val="single" w:sz="4" w:space="0" w:color="auto"/>
              <w:left w:val="single" w:sz="4" w:space="0" w:color="auto"/>
              <w:bottom w:val="single" w:sz="4" w:space="0" w:color="auto"/>
              <w:right w:val="single" w:sz="4" w:space="0" w:color="auto"/>
            </w:tcBorders>
            <w:vAlign w:val="center"/>
          </w:tcPr>
          <w:p w14:paraId="1F2E9193" w14:textId="31960F5C"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w:t>
            </w:r>
            <w:r w:rsidR="00903FB9">
              <w:rPr>
                <w:rFonts w:eastAsia="Times New Roman" w:cs="Arial"/>
                <w:b w:val="0"/>
                <w:color w:val="000000"/>
                <w:sz w:val="19"/>
                <w:szCs w:val="19"/>
              </w:rPr>
              <w:t>.00</w:t>
            </w:r>
            <w:r w:rsidRPr="009A5FA0">
              <w:rPr>
                <w:rFonts w:eastAsia="Times New Roman" w:cs="Arial"/>
                <w:b w:val="0"/>
                <w:color w:val="000000"/>
                <w:sz w:val="19"/>
                <w:szCs w:val="19"/>
              </w:rPr>
              <w:t xml:space="preserve"> (-0.03, 0.03)</w:t>
            </w:r>
          </w:p>
        </w:tc>
      </w:tr>
      <w:tr w:rsidR="0059604F" w:rsidRPr="0074357C" w14:paraId="42110944" w14:textId="77777777" w:rsidTr="006E0383">
        <w:trPr>
          <w:trHeight w:val="20"/>
        </w:trPr>
        <w:tc>
          <w:tcPr>
            <w:tcW w:w="3309" w:type="dxa"/>
            <w:gridSpan w:val="3"/>
            <w:vMerge w:val="restart"/>
            <w:tcBorders>
              <w:right w:val="single" w:sz="4" w:space="0" w:color="auto"/>
            </w:tcBorders>
          </w:tcPr>
          <w:p w14:paraId="4A7E751B" w14:textId="22BA9637" w:rsidR="0059604F" w:rsidRPr="00D548DC" w:rsidRDefault="0059604F" w:rsidP="006E0383">
            <w:pPr>
              <w:pStyle w:val="In-tableHeading"/>
              <w:keepNext w:val="0"/>
              <w:widowControl w:val="0"/>
              <w:rPr>
                <w:sz w:val="19"/>
                <w:szCs w:val="19"/>
              </w:rPr>
            </w:pPr>
            <w:r w:rsidRPr="00D548DC">
              <w:rPr>
                <w:sz w:val="19"/>
                <w:szCs w:val="19"/>
              </w:rPr>
              <w:t>Indirect comparisons</w:t>
            </w:r>
            <w:r w:rsidR="008E1A67" w:rsidRPr="00D548DC">
              <w:rPr>
                <w:sz w:val="19"/>
                <w:szCs w:val="19"/>
              </w:rPr>
              <w:t>:</w:t>
            </w:r>
          </w:p>
          <w:p w14:paraId="705F5EED" w14:textId="65AC3076" w:rsidR="0059604F" w:rsidRPr="003265C2" w:rsidRDefault="00F477E6" w:rsidP="006E0383">
            <w:pPr>
              <w:pStyle w:val="In-tableHeading"/>
              <w:keepNext w:val="0"/>
              <w:widowControl w:val="0"/>
              <w:rPr>
                <w:rFonts w:eastAsia="Times New Roman" w:cs="Arial"/>
                <w:color w:val="000000"/>
                <w:sz w:val="19"/>
                <w:szCs w:val="19"/>
                <w:vertAlign w:val="superscript"/>
              </w:rPr>
            </w:pPr>
            <w:r w:rsidRPr="00D548DC">
              <w:rPr>
                <w:sz w:val="19"/>
                <w:szCs w:val="19"/>
                <w:lang w:val="en-AU"/>
              </w:rPr>
              <w:t>U</w:t>
            </w:r>
            <w:r w:rsidR="00E34817">
              <w:rPr>
                <w:sz w:val="19"/>
                <w:szCs w:val="19"/>
                <w:lang w:val="en-AU"/>
              </w:rPr>
              <w:t>PA</w:t>
            </w:r>
            <w:r w:rsidR="0059604F" w:rsidRPr="00D548DC">
              <w:rPr>
                <w:sz w:val="19"/>
                <w:szCs w:val="19"/>
                <w:lang w:val="en-AU"/>
              </w:rPr>
              <w:t xml:space="preserve"> 15 mg with comparators</w:t>
            </w:r>
            <w:r w:rsidR="003265C2">
              <w:rPr>
                <w:sz w:val="19"/>
                <w:szCs w:val="19"/>
                <w:lang w:val="en-AU"/>
              </w:rPr>
              <w:t xml:space="preserve"> </w:t>
            </w:r>
            <w:r w:rsidR="003265C2">
              <w:rPr>
                <w:sz w:val="19"/>
                <w:szCs w:val="19"/>
                <w:vertAlign w:val="superscript"/>
                <w:lang w:val="en-AU"/>
              </w:rPr>
              <w:t>c</w:t>
            </w:r>
          </w:p>
        </w:tc>
        <w:tc>
          <w:tcPr>
            <w:tcW w:w="1364" w:type="dxa"/>
            <w:tcBorders>
              <w:top w:val="single" w:sz="4" w:space="0" w:color="auto"/>
              <w:left w:val="single" w:sz="4" w:space="0" w:color="auto"/>
              <w:bottom w:val="single" w:sz="4" w:space="0" w:color="auto"/>
              <w:right w:val="single" w:sz="4" w:space="0" w:color="auto"/>
            </w:tcBorders>
          </w:tcPr>
          <w:p w14:paraId="15C9AD4D"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ADA</w:t>
            </w:r>
          </w:p>
        </w:tc>
        <w:tc>
          <w:tcPr>
            <w:tcW w:w="1418" w:type="dxa"/>
            <w:tcBorders>
              <w:top w:val="single" w:sz="4" w:space="0" w:color="auto"/>
              <w:left w:val="single" w:sz="4" w:space="0" w:color="auto"/>
              <w:bottom w:val="single" w:sz="4" w:space="0" w:color="auto"/>
              <w:right w:val="single" w:sz="4" w:space="0" w:color="auto"/>
            </w:tcBorders>
            <w:vAlign w:val="center"/>
          </w:tcPr>
          <w:p w14:paraId="750A188B" w14:textId="77777777" w:rsidR="0059604F" w:rsidRPr="00F65C3C" w:rsidRDefault="0059604F"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1.08 (0.28, 4.22)</w:t>
            </w:r>
          </w:p>
        </w:tc>
        <w:tc>
          <w:tcPr>
            <w:tcW w:w="1441" w:type="dxa"/>
            <w:tcBorders>
              <w:top w:val="single" w:sz="4" w:space="0" w:color="auto"/>
              <w:left w:val="single" w:sz="4" w:space="0" w:color="auto"/>
              <w:bottom w:val="single" w:sz="4" w:space="0" w:color="auto"/>
              <w:right w:val="single" w:sz="4" w:space="0" w:color="auto"/>
            </w:tcBorders>
            <w:vAlign w:val="center"/>
          </w:tcPr>
          <w:p w14:paraId="1F5C87D5"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1.08 (0.29, 4.02)</w:t>
            </w:r>
          </w:p>
        </w:tc>
        <w:tc>
          <w:tcPr>
            <w:tcW w:w="1485" w:type="dxa"/>
            <w:tcBorders>
              <w:top w:val="single" w:sz="4" w:space="0" w:color="auto"/>
              <w:left w:val="single" w:sz="4" w:space="0" w:color="auto"/>
              <w:bottom w:val="single" w:sz="4" w:space="0" w:color="auto"/>
              <w:right w:val="single" w:sz="4" w:space="0" w:color="auto"/>
            </w:tcBorders>
            <w:vAlign w:val="center"/>
          </w:tcPr>
          <w:p w14:paraId="3BD3A941"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0.00 (-0.04, 0.05)</w:t>
            </w:r>
          </w:p>
        </w:tc>
      </w:tr>
      <w:tr w:rsidR="0059604F" w:rsidRPr="0074357C" w14:paraId="3BBA4A10" w14:textId="77777777" w:rsidTr="006E0383">
        <w:trPr>
          <w:trHeight w:val="20"/>
        </w:trPr>
        <w:tc>
          <w:tcPr>
            <w:tcW w:w="3309" w:type="dxa"/>
            <w:gridSpan w:val="3"/>
            <w:vMerge/>
          </w:tcPr>
          <w:p w14:paraId="229D49B3" w14:textId="77777777" w:rsidR="0059604F" w:rsidRPr="0074357C" w:rsidRDefault="0059604F"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07212342"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RISA</w:t>
            </w:r>
          </w:p>
        </w:tc>
        <w:tc>
          <w:tcPr>
            <w:tcW w:w="1418" w:type="dxa"/>
            <w:tcBorders>
              <w:top w:val="single" w:sz="4" w:space="0" w:color="auto"/>
              <w:left w:val="single" w:sz="4" w:space="0" w:color="auto"/>
              <w:bottom w:val="single" w:sz="4" w:space="0" w:color="auto"/>
              <w:right w:val="single" w:sz="4" w:space="0" w:color="auto"/>
            </w:tcBorders>
            <w:vAlign w:val="center"/>
          </w:tcPr>
          <w:p w14:paraId="1D525C8B" w14:textId="77777777" w:rsidR="0059604F" w:rsidRPr="00F65C3C" w:rsidRDefault="0059604F"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0.66 (0.16, 2.79)</w:t>
            </w:r>
          </w:p>
        </w:tc>
        <w:tc>
          <w:tcPr>
            <w:tcW w:w="1441" w:type="dxa"/>
            <w:tcBorders>
              <w:top w:val="single" w:sz="4" w:space="0" w:color="auto"/>
              <w:left w:val="single" w:sz="4" w:space="0" w:color="auto"/>
              <w:bottom w:val="single" w:sz="4" w:space="0" w:color="auto"/>
              <w:right w:val="single" w:sz="4" w:space="0" w:color="auto"/>
            </w:tcBorders>
            <w:vAlign w:val="center"/>
          </w:tcPr>
          <w:p w14:paraId="7BB4F17F"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0.67 (0.17, 2.68)</w:t>
            </w:r>
          </w:p>
        </w:tc>
        <w:tc>
          <w:tcPr>
            <w:tcW w:w="1485" w:type="dxa"/>
            <w:tcBorders>
              <w:top w:val="single" w:sz="4" w:space="0" w:color="auto"/>
              <w:left w:val="single" w:sz="4" w:space="0" w:color="auto"/>
              <w:bottom w:val="single" w:sz="4" w:space="0" w:color="auto"/>
              <w:right w:val="single" w:sz="4" w:space="0" w:color="auto"/>
            </w:tcBorders>
            <w:vAlign w:val="center"/>
          </w:tcPr>
          <w:p w14:paraId="67A18D65" w14:textId="51E83628"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-0.02</w:t>
            </w:r>
            <w:r w:rsidR="00192BB8">
              <w:rPr>
                <w:rFonts w:eastAsia="Times New Roman" w:cs="Arial"/>
                <w:b w:val="0"/>
                <w:color w:val="000000"/>
                <w:sz w:val="19"/>
                <w:szCs w:val="19"/>
              </w:rPr>
              <w:t xml:space="preserve"> </w:t>
            </w:r>
            <w:r w:rsidRPr="009A5FA0">
              <w:rPr>
                <w:rFonts w:eastAsia="Times New Roman" w:cs="Arial"/>
                <w:b w:val="0"/>
                <w:color w:val="000000"/>
                <w:sz w:val="19"/>
                <w:szCs w:val="19"/>
              </w:rPr>
              <w:t>(-0.07, 0.04)</w:t>
            </w:r>
          </w:p>
        </w:tc>
      </w:tr>
      <w:tr w:rsidR="0059604F" w:rsidRPr="0074357C" w14:paraId="3BAAC88E" w14:textId="77777777" w:rsidTr="006E0383">
        <w:trPr>
          <w:trHeight w:val="20"/>
        </w:trPr>
        <w:tc>
          <w:tcPr>
            <w:tcW w:w="3309" w:type="dxa"/>
            <w:gridSpan w:val="3"/>
            <w:vMerge/>
          </w:tcPr>
          <w:p w14:paraId="74B810A4" w14:textId="77777777" w:rsidR="0059604F" w:rsidRPr="0074357C" w:rsidRDefault="0059604F"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546352B2"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IFX</w:t>
            </w:r>
          </w:p>
        </w:tc>
        <w:tc>
          <w:tcPr>
            <w:tcW w:w="1418" w:type="dxa"/>
            <w:tcBorders>
              <w:top w:val="single" w:sz="4" w:space="0" w:color="auto"/>
              <w:left w:val="single" w:sz="4" w:space="0" w:color="auto"/>
              <w:bottom w:val="single" w:sz="4" w:space="0" w:color="auto"/>
              <w:right w:val="single" w:sz="4" w:space="0" w:color="auto"/>
            </w:tcBorders>
            <w:vAlign w:val="center"/>
          </w:tcPr>
          <w:p w14:paraId="01685EE5" w14:textId="77777777" w:rsidR="0059604F" w:rsidRPr="00F65C3C" w:rsidRDefault="0059604F"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0.80 (0.19, 3.30)</w:t>
            </w:r>
          </w:p>
        </w:tc>
        <w:tc>
          <w:tcPr>
            <w:tcW w:w="1441" w:type="dxa"/>
            <w:tcBorders>
              <w:top w:val="single" w:sz="4" w:space="0" w:color="auto"/>
              <w:left w:val="single" w:sz="4" w:space="0" w:color="auto"/>
              <w:bottom w:val="single" w:sz="4" w:space="0" w:color="auto"/>
              <w:right w:val="single" w:sz="4" w:space="0" w:color="auto"/>
            </w:tcBorders>
            <w:vAlign w:val="center"/>
          </w:tcPr>
          <w:p w14:paraId="1C0D1DB5"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0.81 (0.21, 3.15)</w:t>
            </w:r>
          </w:p>
        </w:tc>
        <w:tc>
          <w:tcPr>
            <w:tcW w:w="1485" w:type="dxa"/>
            <w:tcBorders>
              <w:top w:val="single" w:sz="4" w:space="0" w:color="auto"/>
              <w:left w:val="single" w:sz="4" w:space="0" w:color="auto"/>
              <w:bottom w:val="single" w:sz="4" w:space="0" w:color="auto"/>
              <w:right w:val="single" w:sz="4" w:space="0" w:color="auto"/>
            </w:tcBorders>
            <w:vAlign w:val="center"/>
          </w:tcPr>
          <w:p w14:paraId="3E396A2B" w14:textId="5472861B"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-0.01</w:t>
            </w:r>
            <w:r w:rsidR="00192BB8">
              <w:rPr>
                <w:rFonts w:eastAsia="Times New Roman" w:cs="Arial"/>
                <w:b w:val="0"/>
                <w:color w:val="000000"/>
                <w:sz w:val="19"/>
                <w:szCs w:val="19"/>
              </w:rPr>
              <w:t xml:space="preserve"> </w:t>
            </w:r>
            <w:r w:rsidRPr="009A5FA0">
              <w:rPr>
                <w:rFonts w:eastAsia="Times New Roman" w:cs="Arial"/>
                <w:b w:val="0"/>
                <w:color w:val="000000"/>
                <w:sz w:val="19"/>
                <w:szCs w:val="19"/>
              </w:rPr>
              <w:t>(-0.06, 0.05)</w:t>
            </w:r>
          </w:p>
        </w:tc>
      </w:tr>
      <w:tr w:rsidR="0059604F" w:rsidRPr="0074357C" w14:paraId="6ABCC433" w14:textId="77777777" w:rsidTr="006E0383">
        <w:trPr>
          <w:trHeight w:val="20"/>
        </w:trPr>
        <w:tc>
          <w:tcPr>
            <w:tcW w:w="3309" w:type="dxa"/>
            <w:gridSpan w:val="3"/>
            <w:vMerge/>
          </w:tcPr>
          <w:p w14:paraId="21DCB1F9" w14:textId="77777777" w:rsidR="0059604F" w:rsidRPr="0074357C" w:rsidRDefault="0059604F"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2AA474C0"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UST</w:t>
            </w:r>
          </w:p>
        </w:tc>
        <w:tc>
          <w:tcPr>
            <w:tcW w:w="1418" w:type="dxa"/>
            <w:tcBorders>
              <w:top w:val="single" w:sz="4" w:space="0" w:color="auto"/>
              <w:left w:val="single" w:sz="4" w:space="0" w:color="auto"/>
              <w:bottom w:val="single" w:sz="4" w:space="0" w:color="auto"/>
              <w:right w:val="single" w:sz="4" w:space="0" w:color="auto"/>
            </w:tcBorders>
            <w:vAlign w:val="center"/>
          </w:tcPr>
          <w:p w14:paraId="021FB4AF" w14:textId="77777777" w:rsidR="0059604F" w:rsidRPr="00F65C3C" w:rsidRDefault="0059604F"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0.77 (0.11, 5.15)</w:t>
            </w:r>
          </w:p>
        </w:tc>
        <w:tc>
          <w:tcPr>
            <w:tcW w:w="1441" w:type="dxa"/>
            <w:tcBorders>
              <w:top w:val="single" w:sz="4" w:space="0" w:color="auto"/>
              <w:left w:val="single" w:sz="4" w:space="0" w:color="auto"/>
              <w:bottom w:val="single" w:sz="4" w:space="0" w:color="auto"/>
              <w:right w:val="single" w:sz="4" w:space="0" w:color="auto"/>
            </w:tcBorders>
            <w:vAlign w:val="center"/>
          </w:tcPr>
          <w:p w14:paraId="15634344"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0.77 (0.12, 4.94)</w:t>
            </w:r>
          </w:p>
        </w:tc>
        <w:tc>
          <w:tcPr>
            <w:tcW w:w="1485" w:type="dxa"/>
            <w:tcBorders>
              <w:top w:val="single" w:sz="4" w:space="0" w:color="auto"/>
              <w:left w:val="single" w:sz="4" w:space="0" w:color="auto"/>
              <w:bottom w:val="single" w:sz="4" w:space="0" w:color="auto"/>
              <w:right w:val="single" w:sz="4" w:space="0" w:color="auto"/>
            </w:tcBorders>
            <w:vAlign w:val="center"/>
          </w:tcPr>
          <w:p w14:paraId="1C184932" w14:textId="488F9106"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-0.01</w:t>
            </w:r>
            <w:r w:rsidR="00192BB8">
              <w:rPr>
                <w:rFonts w:eastAsia="Times New Roman" w:cs="Arial"/>
                <w:b w:val="0"/>
                <w:color w:val="000000"/>
                <w:sz w:val="19"/>
                <w:szCs w:val="19"/>
              </w:rPr>
              <w:t xml:space="preserve"> </w:t>
            </w:r>
            <w:r w:rsidRPr="009A5FA0">
              <w:rPr>
                <w:rFonts w:eastAsia="Times New Roman" w:cs="Arial"/>
                <w:b w:val="0"/>
                <w:color w:val="000000"/>
                <w:sz w:val="19"/>
                <w:szCs w:val="19"/>
              </w:rPr>
              <w:t>(-0.06, 0.04)</w:t>
            </w:r>
          </w:p>
        </w:tc>
      </w:tr>
      <w:tr w:rsidR="0059604F" w:rsidRPr="0074357C" w14:paraId="0585FA39" w14:textId="77777777" w:rsidTr="006E0383">
        <w:trPr>
          <w:trHeight w:val="20"/>
        </w:trPr>
        <w:tc>
          <w:tcPr>
            <w:tcW w:w="3309" w:type="dxa"/>
            <w:gridSpan w:val="3"/>
            <w:vMerge/>
          </w:tcPr>
          <w:p w14:paraId="66BFCBD7" w14:textId="77777777" w:rsidR="0059604F" w:rsidRPr="0074357C" w:rsidRDefault="0059604F"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66FBE5D9"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VDZ</w:t>
            </w:r>
          </w:p>
        </w:tc>
        <w:tc>
          <w:tcPr>
            <w:tcW w:w="1418" w:type="dxa"/>
            <w:tcBorders>
              <w:top w:val="single" w:sz="4" w:space="0" w:color="auto"/>
              <w:left w:val="single" w:sz="4" w:space="0" w:color="auto"/>
              <w:bottom w:val="single" w:sz="4" w:space="0" w:color="auto"/>
              <w:right w:val="single" w:sz="4" w:space="0" w:color="auto"/>
            </w:tcBorders>
            <w:vAlign w:val="center"/>
          </w:tcPr>
          <w:p w14:paraId="68ADA180" w14:textId="77777777" w:rsidR="0059604F" w:rsidRPr="00F65C3C" w:rsidRDefault="0059604F"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1.20 (0.32, 4.52)</w:t>
            </w:r>
          </w:p>
        </w:tc>
        <w:tc>
          <w:tcPr>
            <w:tcW w:w="1441" w:type="dxa"/>
            <w:tcBorders>
              <w:top w:val="single" w:sz="4" w:space="0" w:color="auto"/>
              <w:left w:val="single" w:sz="4" w:space="0" w:color="auto"/>
              <w:bottom w:val="single" w:sz="4" w:space="0" w:color="auto"/>
              <w:right w:val="single" w:sz="4" w:space="0" w:color="auto"/>
            </w:tcBorders>
            <w:vAlign w:val="center"/>
          </w:tcPr>
          <w:p w14:paraId="6819AC60"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1.19 (0.33, 4.22)</w:t>
            </w:r>
          </w:p>
        </w:tc>
        <w:tc>
          <w:tcPr>
            <w:tcW w:w="1485" w:type="dxa"/>
            <w:tcBorders>
              <w:top w:val="single" w:sz="4" w:space="0" w:color="auto"/>
              <w:left w:val="single" w:sz="4" w:space="0" w:color="auto"/>
              <w:bottom w:val="single" w:sz="4" w:space="0" w:color="auto"/>
              <w:right w:val="single" w:sz="4" w:space="0" w:color="auto"/>
            </w:tcBorders>
            <w:vAlign w:val="center"/>
          </w:tcPr>
          <w:p w14:paraId="3BF6C8E6"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0.00 (-0.04, 0.04)</w:t>
            </w:r>
          </w:p>
        </w:tc>
      </w:tr>
      <w:tr w:rsidR="0059604F" w:rsidRPr="0074357C" w14:paraId="67E7B4CE" w14:textId="77777777" w:rsidTr="006E0383">
        <w:trPr>
          <w:trHeight w:val="20"/>
        </w:trPr>
        <w:tc>
          <w:tcPr>
            <w:tcW w:w="3309" w:type="dxa"/>
            <w:gridSpan w:val="3"/>
            <w:vMerge/>
          </w:tcPr>
          <w:p w14:paraId="7FDD07F0" w14:textId="77777777" w:rsidR="0059604F" w:rsidRPr="0074357C" w:rsidRDefault="0059604F"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5D867AF8"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VDZ SC</w:t>
            </w:r>
          </w:p>
        </w:tc>
        <w:tc>
          <w:tcPr>
            <w:tcW w:w="1418" w:type="dxa"/>
            <w:tcBorders>
              <w:top w:val="single" w:sz="4" w:space="0" w:color="auto"/>
              <w:left w:val="single" w:sz="4" w:space="0" w:color="auto"/>
              <w:bottom w:val="single" w:sz="4" w:space="0" w:color="auto"/>
              <w:right w:val="single" w:sz="4" w:space="0" w:color="auto"/>
            </w:tcBorders>
            <w:vAlign w:val="center"/>
          </w:tcPr>
          <w:p w14:paraId="0B2874CF" w14:textId="77777777" w:rsidR="0059604F" w:rsidRPr="00F65C3C" w:rsidRDefault="0059604F"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2.47(0.48,12.60)</w:t>
            </w:r>
          </w:p>
        </w:tc>
        <w:tc>
          <w:tcPr>
            <w:tcW w:w="1441" w:type="dxa"/>
            <w:tcBorders>
              <w:top w:val="single" w:sz="4" w:space="0" w:color="auto"/>
              <w:left w:val="single" w:sz="4" w:space="0" w:color="auto"/>
              <w:bottom w:val="single" w:sz="4" w:space="0" w:color="auto"/>
              <w:right w:val="single" w:sz="4" w:space="0" w:color="auto"/>
            </w:tcBorders>
            <w:vAlign w:val="center"/>
          </w:tcPr>
          <w:p w14:paraId="2A15CE37" w14:textId="32CF7EBA"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2.42</w:t>
            </w:r>
            <w:r w:rsidR="00E34817">
              <w:rPr>
                <w:rFonts w:eastAsia="Times New Roman" w:cs="Arial"/>
                <w:b w:val="0"/>
                <w:color w:val="000000"/>
                <w:sz w:val="19"/>
                <w:szCs w:val="19"/>
              </w:rPr>
              <w:t xml:space="preserve"> </w:t>
            </w:r>
            <w:r w:rsidRPr="009A5FA0">
              <w:rPr>
                <w:rFonts w:eastAsia="Times New Roman" w:cs="Arial"/>
                <w:b w:val="0"/>
                <w:color w:val="000000"/>
                <w:sz w:val="19"/>
                <w:szCs w:val="19"/>
              </w:rPr>
              <w:t>(0.50,11.74)</w:t>
            </w:r>
          </w:p>
        </w:tc>
        <w:tc>
          <w:tcPr>
            <w:tcW w:w="1485" w:type="dxa"/>
            <w:tcBorders>
              <w:top w:val="single" w:sz="4" w:space="0" w:color="auto"/>
              <w:left w:val="single" w:sz="4" w:space="0" w:color="auto"/>
              <w:bottom w:val="single" w:sz="4" w:space="0" w:color="auto"/>
              <w:right w:val="single" w:sz="4" w:space="0" w:color="auto"/>
            </w:tcBorders>
            <w:vAlign w:val="center"/>
          </w:tcPr>
          <w:p w14:paraId="2194E37B"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0.02 (-0.03, 0.07)</w:t>
            </w:r>
          </w:p>
        </w:tc>
      </w:tr>
      <w:tr w:rsidR="00F477E6" w:rsidRPr="0074357C" w14:paraId="0DE42C13" w14:textId="77777777" w:rsidTr="006E0383">
        <w:trPr>
          <w:trHeight w:val="20"/>
        </w:trPr>
        <w:tc>
          <w:tcPr>
            <w:tcW w:w="3309" w:type="dxa"/>
            <w:gridSpan w:val="3"/>
            <w:vMerge w:val="restart"/>
            <w:tcBorders>
              <w:right w:val="single" w:sz="4" w:space="0" w:color="auto"/>
            </w:tcBorders>
          </w:tcPr>
          <w:p w14:paraId="1878147B" w14:textId="77777777" w:rsidR="00F477E6" w:rsidRPr="00D548DC" w:rsidRDefault="00F477E6" w:rsidP="006E0383">
            <w:pPr>
              <w:pStyle w:val="In-tableHeading"/>
              <w:widowControl w:val="0"/>
              <w:rPr>
                <w:sz w:val="19"/>
                <w:szCs w:val="19"/>
              </w:rPr>
            </w:pPr>
            <w:r w:rsidRPr="00D548DC">
              <w:rPr>
                <w:sz w:val="19"/>
                <w:szCs w:val="19"/>
              </w:rPr>
              <w:t>Indirect comparisons:</w:t>
            </w:r>
          </w:p>
          <w:p w14:paraId="0E44AD85" w14:textId="6CC54B39" w:rsidR="00F477E6" w:rsidRPr="0074357C" w:rsidRDefault="00F477E6" w:rsidP="006E0383">
            <w:pPr>
              <w:pStyle w:val="In-tableHeading"/>
              <w:keepNext w:val="0"/>
              <w:widowControl w:val="0"/>
              <w:rPr>
                <w:rFonts w:eastAsia="Times New Roman" w:cs="Arial"/>
                <w:color w:val="000000"/>
                <w:sz w:val="19"/>
                <w:szCs w:val="19"/>
              </w:rPr>
            </w:pPr>
            <w:r w:rsidRPr="00D548DC">
              <w:rPr>
                <w:sz w:val="19"/>
                <w:szCs w:val="19"/>
              </w:rPr>
              <w:t>U</w:t>
            </w:r>
            <w:r w:rsidR="00E34817">
              <w:rPr>
                <w:sz w:val="19"/>
                <w:szCs w:val="19"/>
              </w:rPr>
              <w:t>PA</w:t>
            </w:r>
            <w:r w:rsidRPr="00D548DC">
              <w:rPr>
                <w:sz w:val="19"/>
                <w:szCs w:val="19"/>
              </w:rPr>
              <w:t xml:space="preserve"> 30 mg with comparators</w:t>
            </w:r>
            <w:r>
              <w:rPr>
                <w:sz w:val="19"/>
                <w:szCs w:val="19"/>
              </w:rPr>
              <w:t xml:space="preserve"> </w:t>
            </w:r>
            <w:r>
              <w:rPr>
                <w:sz w:val="19"/>
                <w:szCs w:val="19"/>
                <w:vertAlign w:val="superscript"/>
              </w:rPr>
              <w:t>c</w:t>
            </w:r>
          </w:p>
        </w:tc>
        <w:tc>
          <w:tcPr>
            <w:tcW w:w="1364" w:type="dxa"/>
            <w:tcBorders>
              <w:top w:val="single" w:sz="4" w:space="0" w:color="auto"/>
              <w:left w:val="single" w:sz="4" w:space="0" w:color="auto"/>
              <w:bottom w:val="single" w:sz="4" w:space="0" w:color="auto"/>
              <w:right w:val="single" w:sz="4" w:space="0" w:color="auto"/>
            </w:tcBorders>
          </w:tcPr>
          <w:p w14:paraId="7BC18474" w14:textId="5DBC2197" w:rsidR="00F477E6" w:rsidRPr="009A5FA0" w:rsidRDefault="00F477E6"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ADA</w:t>
            </w:r>
          </w:p>
        </w:tc>
        <w:tc>
          <w:tcPr>
            <w:tcW w:w="1418" w:type="dxa"/>
            <w:tcBorders>
              <w:top w:val="single" w:sz="4" w:space="0" w:color="auto"/>
              <w:left w:val="single" w:sz="4" w:space="0" w:color="auto"/>
              <w:bottom w:val="single" w:sz="4" w:space="0" w:color="auto"/>
              <w:right w:val="single" w:sz="4" w:space="0" w:color="auto"/>
            </w:tcBorders>
          </w:tcPr>
          <w:p w14:paraId="4A035EBC" w14:textId="15618B8E" w:rsidR="00F477E6" w:rsidRPr="009A5FA0" w:rsidRDefault="00F477E6"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1.67 (0.46, 6.03)</w:t>
            </w:r>
          </w:p>
        </w:tc>
        <w:tc>
          <w:tcPr>
            <w:tcW w:w="1441" w:type="dxa"/>
            <w:tcBorders>
              <w:top w:val="single" w:sz="4" w:space="0" w:color="auto"/>
              <w:left w:val="single" w:sz="4" w:space="0" w:color="auto"/>
              <w:bottom w:val="single" w:sz="4" w:space="0" w:color="auto"/>
              <w:right w:val="single" w:sz="4" w:space="0" w:color="auto"/>
            </w:tcBorders>
          </w:tcPr>
          <w:p w14:paraId="7E56313A" w14:textId="5A337710" w:rsidR="00F477E6" w:rsidRPr="009A5FA0" w:rsidRDefault="00F477E6"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1.63 (0.47, 5.64)</w:t>
            </w:r>
          </w:p>
        </w:tc>
        <w:tc>
          <w:tcPr>
            <w:tcW w:w="1485" w:type="dxa"/>
            <w:tcBorders>
              <w:top w:val="single" w:sz="4" w:space="0" w:color="auto"/>
              <w:left w:val="single" w:sz="4" w:space="0" w:color="auto"/>
              <w:bottom w:val="single" w:sz="4" w:space="0" w:color="auto"/>
              <w:right w:val="single" w:sz="4" w:space="0" w:color="auto"/>
            </w:tcBorders>
          </w:tcPr>
          <w:p w14:paraId="4BAB8398" w14:textId="036B8EA9" w:rsidR="00F477E6" w:rsidRPr="009A5FA0" w:rsidRDefault="00F477E6"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0.02 (-0.03, 0.07)</w:t>
            </w:r>
          </w:p>
        </w:tc>
      </w:tr>
      <w:tr w:rsidR="00F477E6" w:rsidRPr="0074357C" w14:paraId="17CC7ACE" w14:textId="77777777" w:rsidTr="006E0383">
        <w:trPr>
          <w:trHeight w:val="20"/>
        </w:trPr>
        <w:tc>
          <w:tcPr>
            <w:tcW w:w="3309" w:type="dxa"/>
            <w:gridSpan w:val="3"/>
            <w:vMerge/>
            <w:vAlign w:val="center"/>
          </w:tcPr>
          <w:p w14:paraId="59C1C22E" w14:textId="77777777" w:rsidR="00F477E6" w:rsidRPr="0074357C" w:rsidRDefault="00F477E6"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7943455C" w14:textId="504CA7CF" w:rsidR="00F477E6" w:rsidRPr="009A5FA0" w:rsidRDefault="00F477E6"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RISA</w:t>
            </w:r>
          </w:p>
        </w:tc>
        <w:tc>
          <w:tcPr>
            <w:tcW w:w="1418" w:type="dxa"/>
            <w:tcBorders>
              <w:top w:val="single" w:sz="4" w:space="0" w:color="auto"/>
              <w:left w:val="single" w:sz="4" w:space="0" w:color="auto"/>
              <w:bottom w:val="single" w:sz="4" w:space="0" w:color="auto"/>
              <w:right w:val="single" w:sz="4" w:space="0" w:color="auto"/>
            </w:tcBorders>
            <w:vAlign w:val="center"/>
          </w:tcPr>
          <w:p w14:paraId="24C8D4C8" w14:textId="27CE95CE" w:rsidR="00F477E6" w:rsidRPr="009A5FA0" w:rsidRDefault="00F477E6"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1.01 (0.26, 4.00)</w:t>
            </w:r>
          </w:p>
        </w:tc>
        <w:tc>
          <w:tcPr>
            <w:tcW w:w="1441" w:type="dxa"/>
            <w:tcBorders>
              <w:top w:val="single" w:sz="4" w:space="0" w:color="auto"/>
              <w:left w:val="single" w:sz="4" w:space="0" w:color="auto"/>
              <w:bottom w:val="single" w:sz="4" w:space="0" w:color="auto"/>
              <w:right w:val="single" w:sz="4" w:space="0" w:color="auto"/>
            </w:tcBorders>
            <w:vAlign w:val="center"/>
          </w:tcPr>
          <w:p w14:paraId="4797C7F6" w14:textId="3B55BF00" w:rsidR="00F477E6" w:rsidRPr="009A5FA0" w:rsidRDefault="00F477E6"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1.01 (0.27, 3.77)</w:t>
            </w:r>
          </w:p>
        </w:tc>
        <w:tc>
          <w:tcPr>
            <w:tcW w:w="1485" w:type="dxa"/>
            <w:tcBorders>
              <w:top w:val="single" w:sz="4" w:space="0" w:color="auto"/>
              <w:left w:val="single" w:sz="4" w:space="0" w:color="auto"/>
              <w:bottom w:val="single" w:sz="4" w:space="0" w:color="auto"/>
              <w:right w:val="single" w:sz="4" w:space="0" w:color="auto"/>
            </w:tcBorders>
            <w:vAlign w:val="center"/>
          </w:tcPr>
          <w:p w14:paraId="24DEF0E6" w14:textId="638D418F" w:rsidR="00F477E6" w:rsidRPr="009A5FA0" w:rsidRDefault="00F477E6"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0.00 (-0.05, 0.06)</w:t>
            </w:r>
          </w:p>
        </w:tc>
      </w:tr>
      <w:tr w:rsidR="00F477E6" w:rsidRPr="0074357C" w14:paraId="2FDD0187" w14:textId="77777777" w:rsidTr="006E0383">
        <w:trPr>
          <w:trHeight w:val="20"/>
        </w:trPr>
        <w:tc>
          <w:tcPr>
            <w:tcW w:w="3309" w:type="dxa"/>
            <w:gridSpan w:val="3"/>
            <w:vMerge/>
            <w:vAlign w:val="center"/>
          </w:tcPr>
          <w:p w14:paraId="73182B47" w14:textId="77777777" w:rsidR="00F477E6" w:rsidRPr="0074357C" w:rsidRDefault="00F477E6"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0141318B" w14:textId="3D18EDA1" w:rsidR="00F477E6" w:rsidRPr="009A5FA0" w:rsidRDefault="00F477E6"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IFX</w:t>
            </w:r>
          </w:p>
        </w:tc>
        <w:tc>
          <w:tcPr>
            <w:tcW w:w="1418" w:type="dxa"/>
            <w:tcBorders>
              <w:top w:val="single" w:sz="4" w:space="0" w:color="auto"/>
              <w:left w:val="single" w:sz="4" w:space="0" w:color="auto"/>
              <w:bottom w:val="single" w:sz="4" w:space="0" w:color="auto"/>
              <w:right w:val="single" w:sz="4" w:space="0" w:color="auto"/>
            </w:tcBorders>
            <w:vAlign w:val="center"/>
          </w:tcPr>
          <w:p w14:paraId="3D164098" w14:textId="00611BCC" w:rsidR="00F477E6" w:rsidRPr="009A5FA0" w:rsidRDefault="00F477E6"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1.23 (0.32, 4.74)</w:t>
            </w:r>
          </w:p>
        </w:tc>
        <w:tc>
          <w:tcPr>
            <w:tcW w:w="1441" w:type="dxa"/>
            <w:tcBorders>
              <w:top w:val="single" w:sz="4" w:space="0" w:color="auto"/>
              <w:left w:val="single" w:sz="4" w:space="0" w:color="auto"/>
              <w:bottom w:val="single" w:sz="4" w:space="0" w:color="auto"/>
              <w:right w:val="single" w:sz="4" w:space="0" w:color="auto"/>
            </w:tcBorders>
            <w:vAlign w:val="center"/>
          </w:tcPr>
          <w:p w14:paraId="19B8C94F" w14:textId="28742093" w:rsidR="00F477E6" w:rsidRPr="009A5FA0" w:rsidRDefault="00F477E6"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1.22 (0.34, 4.44)</w:t>
            </w:r>
          </w:p>
        </w:tc>
        <w:tc>
          <w:tcPr>
            <w:tcW w:w="1485" w:type="dxa"/>
            <w:tcBorders>
              <w:top w:val="single" w:sz="4" w:space="0" w:color="auto"/>
              <w:left w:val="single" w:sz="4" w:space="0" w:color="auto"/>
              <w:bottom w:val="single" w:sz="4" w:space="0" w:color="auto"/>
              <w:right w:val="single" w:sz="4" w:space="0" w:color="auto"/>
            </w:tcBorders>
            <w:vAlign w:val="center"/>
          </w:tcPr>
          <w:p w14:paraId="610FA294" w14:textId="0A127B7A" w:rsidR="00F477E6" w:rsidRPr="009A5FA0" w:rsidRDefault="00F477E6"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0.01 (-0.05, 0.06)</w:t>
            </w:r>
          </w:p>
        </w:tc>
      </w:tr>
      <w:tr w:rsidR="00F477E6" w:rsidRPr="0074357C" w14:paraId="4FBF09BF" w14:textId="77777777" w:rsidTr="006E0383">
        <w:trPr>
          <w:trHeight w:val="20"/>
        </w:trPr>
        <w:tc>
          <w:tcPr>
            <w:tcW w:w="3309" w:type="dxa"/>
            <w:gridSpan w:val="3"/>
            <w:vMerge/>
            <w:vAlign w:val="center"/>
          </w:tcPr>
          <w:p w14:paraId="44190E74" w14:textId="77777777" w:rsidR="00F477E6" w:rsidRPr="0074357C" w:rsidRDefault="00F477E6"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104C6311" w14:textId="0217B18B" w:rsidR="00F477E6" w:rsidRPr="009A5FA0" w:rsidRDefault="00F477E6"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UST</w:t>
            </w:r>
          </w:p>
        </w:tc>
        <w:tc>
          <w:tcPr>
            <w:tcW w:w="1418" w:type="dxa"/>
            <w:tcBorders>
              <w:top w:val="single" w:sz="4" w:space="0" w:color="auto"/>
              <w:left w:val="single" w:sz="4" w:space="0" w:color="auto"/>
              <w:bottom w:val="single" w:sz="4" w:space="0" w:color="auto"/>
              <w:right w:val="single" w:sz="4" w:space="0" w:color="auto"/>
            </w:tcBorders>
            <w:vAlign w:val="center"/>
          </w:tcPr>
          <w:p w14:paraId="5D813E5E" w14:textId="6202DA24" w:rsidR="00F477E6" w:rsidRPr="009A5FA0" w:rsidRDefault="00F477E6"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1.18 (0.19, 7.53)</w:t>
            </w:r>
          </w:p>
        </w:tc>
        <w:tc>
          <w:tcPr>
            <w:tcW w:w="1441" w:type="dxa"/>
            <w:tcBorders>
              <w:top w:val="single" w:sz="4" w:space="0" w:color="auto"/>
              <w:left w:val="single" w:sz="4" w:space="0" w:color="auto"/>
              <w:bottom w:val="single" w:sz="4" w:space="0" w:color="auto"/>
              <w:right w:val="single" w:sz="4" w:space="0" w:color="auto"/>
            </w:tcBorders>
            <w:vAlign w:val="center"/>
          </w:tcPr>
          <w:p w14:paraId="42428905" w14:textId="22777D36" w:rsidR="00F477E6" w:rsidRPr="009A5FA0" w:rsidRDefault="00F477E6"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1.17 (0.19, 7.10)</w:t>
            </w:r>
          </w:p>
        </w:tc>
        <w:tc>
          <w:tcPr>
            <w:tcW w:w="1485" w:type="dxa"/>
            <w:tcBorders>
              <w:top w:val="single" w:sz="4" w:space="0" w:color="auto"/>
              <w:left w:val="single" w:sz="4" w:space="0" w:color="auto"/>
              <w:bottom w:val="single" w:sz="4" w:space="0" w:color="auto"/>
              <w:right w:val="single" w:sz="4" w:space="0" w:color="auto"/>
            </w:tcBorders>
            <w:vAlign w:val="center"/>
          </w:tcPr>
          <w:p w14:paraId="0D8F5BBD" w14:textId="5D0B3AD6" w:rsidR="00F477E6" w:rsidRPr="009A5FA0" w:rsidRDefault="00F477E6"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0.01 (-0.04, 0.06)</w:t>
            </w:r>
          </w:p>
        </w:tc>
      </w:tr>
      <w:tr w:rsidR="00F477E6" w:rsidRPr="0074357C" w14:paraId="2D090A5E" w14:textId="77777777" w:rsidTr="006E0383">
        <w:trPr>
          <w:trHeight w:val="20"/>
        </w:trPr>
        <w:tc>
          <w:tcPr>
            <w:tcW w:w="3309" w:type="dxa"/>
            <w:gridSpan w:val="3"/>
            <w:vMerge/>
            <w:vAlign w:val="center"/>
          </w:tcPr>
          <w:p w14:paraId="7A49B952" w14:textId="77777777" w:rsidR="00F477E6" w:rsidRPr="0074357C" w:rsidRDefault="00F477E6"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79578B0D" w14:textId="12DD02C1" w:rsidR="00F477E6" w:rsidRPr="009A5FA0" w:rsidRDefault="00F477E6"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VDZ</w:t>
            </w:r>
          </w:p>
        </w:tc>
        <w:tc>
          <w:tcPr>
            <w:tcW w:w="1418" w:type="dxa"/>
            <w:tcBorders>
              <w:top w:val="single" w:sz="4" w:space="0" w:color="auto"/>
              <w:left w:val="single" w:sz="4" w:space="0" w:color="auto"/>
              <w:bottom w:val="single" w:sz="4" w:space="0" w:color="auto"/>
              <w:right w:val="single" w:sz="4" w:space="0" w:color="auto"/>
            </w:tcBorders>
            <w:vAlign w:val="center"/>
          </w:tcPr>
          <w:p w14:paraId="2E7E7320" w14:textId="43BF65E1" w:rsidR="00F477E6" w:rsidRPr="009A5FA0" w:rsidRDefault="00F477E6"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1.85 (0.53, 6.45)</w:t>
            </w:r>
          </w:p>
        </w:tc>
        <w:tc>
          <w:tcPr>
            <w:tcW w:w="1441" w:type="dxa"/>
            <w:tcBorders>
              <w:top w:val="single" w:sz="4" w:space="0" w:color="auto"/>
              <w:left w:val="single" w:sz="4" w:space="0" w:color="auto"/>
              <w:bottom w:val="single" w:sz="4" w:space="0" w:color="auto"/>
              <w:right w:val="single" w:sz="4" w:space="0" w:color="auto"/>
            </w:tcBorders>
            <w:vAlign w:val="center"/>
          </w:tcPr>
          <w:p w14:paraId="441360C6" w14:textId="20B43252" w:rsidR="00F477E6" w:rsidRPr="009A5FA0" w:rsidRDefault="00F477E6"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1.80 (0.55, 5.90)</w:t>
            </w:r>
          </w:p>
        </w:tc>
        <w:tc>
          <w:tcPr>
            <w:tcW w:w="1485" w:type="dxa"/>
            <w:tcBorders>
              <w:top w:val="single" w:sz="4" w:space="0" w:color="auto"/>
              <w:left w:val="single" w:sz="4" w:space="0" w:color="auto"/>
              <w:bottom w:val="single" w:sz="4" w:space="0" w:color="auto"/>
              <w:right w:val="single" w:sz="4" w:space="0" w:color="auto"/>
            </w:tcBorders>
            <w:vAlign w:val="center"/>
          </w:tcPr>
          <w:p w14:paraId="36747714" w14:textId="3BFB3580" w:rsidR="00F477E6" w:rsidRPr="009A5FA0" w:rsidRDefault="00F477E6"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0.02 (-0.03, 0.06)</w:t>
            </w:r>
          </w:p>
        </w:tc>
      </w:tr>
      <w:tr w:rsidR="00F477E6" w:rsidRPr="0074357C" w14:paraId="52E2DBB6" w14:textId="77777777" w:rsidTr="006E0383">
        <w:trPr>
          <w:trHeight w:val="20"/>
        </w:trPr>
        <w:tc>
          <w:tcPr>
            <w:tcW w:w="3309" w:type="dxa"/>
            <w:gridSpan w:val="3"/>
            <w:vMerge/>
            <w:vAlign w:val="center"/>
          </w:tcPr>
          <w:p w14:paraId="3193431C" w14:textId="77777777" w:rsidR="00F477E6" w:rsidRPr="0074357C" w:rsidRDefault="00F477E6"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798268A1" w14:textId="2F4054CE" w:rsidR="00F477E6" w:rsidRPr="009A5FA0" w:rsidRDefault="00F477E6"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VDZ SC</w:t>
            </w:r>
          </w:p>
        </w:tc>
        <w:tc>
          <w:tcPr>
            <w:tcW w:w="1418" w:type="dxa"/>
            <w:tcBorders>
              <w:top w:val="single" w:sz="4" w:space="0" w:color="auto"/>
              <w:left w:val="single" w:sz="4" w:space="0" w:color="auto"/>
              <w:bottom w:val="single" w:sz="4" w:space="0" w:color="auto"/>
              <w:right w:val="single" w:sz="4" w:space="0" w:color="auto"/>
            </w:tcBorders>
            <w:vAlign w:val="center"/>
          </w:tcPr>
          <w:p w14:paraId="1AF4D211" w14:textId="52022C7D" w:rsidR="00F477E6" w:rsidRPr="009A5FA0" w:rsidRDefault="00F477E6"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3.81(0.79,18.27)</w:t>
            </w:r>
          </w:p>
        </w:tc>
        <w:tc>
          <w:tcPr>
            <w:tcW w:w="1441" w:type="dxa"/>
            <w:tcBorders>
              <w:top w:val="single" w:sz="4" w:space="0" w:color="auto"/>
              <w:left w:val="single" w:sz="4" w:space="0" w:color="auto"/>
              <w:bottom w:val="single" w:sz="4" w:space="0" w:color="auto"/>
              <w:right w:val="single" w:sz="4" w:space="0" w:color="auto"/>
            </w:tcBorders>
            <w:vAlign w:val="center"/>
          </w:tcPr>
          <w:p w14:paraId="3D2B871B" w14:textId="5D3D7884" w:rsidR="00F477E6" w:rsidRPr="009A5FA0" w:rsidRDefault="00F477E6"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3.66</w:t>
            </w:r>
            <w:r w:rsidR="00E34817">
              <w:rPr>
                <w:rFonts w:eastAsia="Times New Roman" w:cs="Arial"/>
                <w:b w:val="0"/>
                <w:color w:val="000000"/>
                <w:sz w:val="19"/>
                <w:szCs w:val="19"/>
              </w:rPr>
              <w:t xml:space="preserve"> </w:t>
            </w:r>
            <w:r w:rsidRPr="009A5FA0">
              <w:rPr>
                <w:rFonts w:eastAsia="Times New Roman" w:cs="Arial"/>
                <w:b w:val="0"/>
                <w:color w:val="000000"/>
                <w:sz w:val="19"/>
                <w:szCs w:val="19"/>
              </w:rPr>
              <w:t>(0.80,16.70)</w:t>
            </w:r>
          </w:p>
        </w:tc>
        <w:tc>
          <w:tcPr>
            <w:tcW w:w="1485" w:type="dxa"/>
            <w:tcBorders>
              <w:top w:val="single" w:sz="4" w:space="0" w:color="auto"/>
              <w:left w:val="single" w:sz="4" w:space="0" w:color="auto"/>
              <w:bottom w:val="single" w:sz="4" w:space="0" w:color="auto"/>
              <w:right w:val="single" w:sz="4" w:space="0" w:color="auto"/>
            </w:tcBorders>
            <w:vAlign w:val="center"/>
          </w:tcPr>
          <w:p w14:paraId="49EAE1BD" w14:textId="7B0B9152" w:rsidR="00F477E6" w:rsidRPr="009A5FA0" w:rsidRDefault="00F477E6"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0.04 (-0.02, 0.09)</w:t>
            </w:r>
          </w:p>
        </w:tc>
      </w:tr>
      <w:tr w:rsidR="0059604F" w:rsidRPr="0074357C" w14:paraId="6CD4B4B8" w14:textId="77777777" w:rsidTr="006E0383">
        <w:trPr>
          <w:trHeight w:val="20"/>
        </w:trPr>
        <w:tc>
          <w:tcPr>
            <w:tcW w:w="9017" w:type="dxa"/>
            <w:gridSpan w:val="7"/>
            <w:tcBorders>
              <w:right w:val="single" w:sz="4" w:space="0" w:color="auto"/>
            </w:tcBorders>
          </w:tcPr>
          <w:p w14:paraId="3F103BD8" w14:textId="413D2F9E" w:rsidR="0059604F" w:rsidRPr="00F65C3C" w:rsidRDefault="00C252E2" w:rsidP="006E0383">
            <w:pPr>
              <w:pStyle w:val="In-tableHeading"/>
              <w:keepNext w:val="0"/>
              <w:widowControl w:val="0"/>
              <w:rPr>
                <w:rFonts w:eastAsia="Times New Roman" w:cs="Arial"/>
                <w:b w:val="0"/>
                <w:color w:val="000000"/>
                <w:sz w:val="19"/>
                <w:szCs w:val="19"/>
              </w:rPr>
            </w:pPr>
            <w:r w:rsidRPr="00C252E2">
              <w:rPr>
                <w:sz w:val="19"/>
                <w:szCs w:val="19"/>
              </w:rPr>
              <w:lastRenderedPageBreak/>
              <w:t>AEs leading to discontinuation</w:t>
            </w:r>
          </w:p>
        </w:tc>
      </w:tr>
      <w:tr w:rsidR="00035059" w:rsidRPr="0074357C" w14:paraId="2BAB914B" w14:textId="77777777" w:rsidTr="006E0383">
        <w:trPr>
          <w:trHeight w:val="20"/>
        </w:trPr>
        <w:tc>
          <w:tcPr>
            <w:tcW w:w="1271" w:type="dxa"/>
            <w:vAlign w:val="center"/>
          </w:tcPr>
          <w:p w14:paraId="3725DC39" w14:textId="77777777" w:rsidR="00035059" w:rsidRPr="00E143FE" w:rsidRDefault="00035059" w:rsidP="006E0383">
            <w:pPr>
              <w:pStyle w:val="In-tableHeading"/>
              <w:keepNext w:val="0"/>
              <w:widowControl w:val="0"/>
              <w:rPr>
                <w:b w:val="0"/>
                <w:bCs/>
                <w:sz w:val="19"/>
                <w:szCs w:val="19"/>
              </w:rPr>
            </w:pPr>
            <w:r w:rsidRPr="00E143FE">
              <w:rPr>
                <w:b w:val="0"/>
                <w:bCs/>
                <w:sz w:val="19"/>
                <w:szCs w:val="19"/>
              </w:rPr>
              <w:t xml:space="preserve">UPA vs PBO </w:t>
            </w:r>
          </w:p>
        </w:tc>
        <w:tc>
          <w:tcPr>
            <w:tcW w:w="800" w:type="dxa"/>
            <w:vAlign w:val="center"/>
          </w:tcPr>
          <w:p w14:paraId="427E4768" w14:textId="5DD10E81" w:rsidR="00035059" w:rsidRPr="00E143FE" w:rsidRDefault="00035059" w:rsidP="006E0383">
            <w:pPr>
              <w:pStyle w:val="In-tableHeading"/>
              <w:keepNext w:val="0"/>
              <w:widowControl w:val="0"/>
              <w:rPr>
                <w:b w:val="0"/>
                <w:bCs/>
                <w:sz w:val="19"/>
                <w:szCs w:val="19"/>
                <w:lang w:val="en-AU"/>
              </w:rPr>
            </w:pPr>
            <w:r w:rsidRPr="009A5FA0">
              <w:rPr>
                <w:b w:val="0"/>
                <w:bCs/>
                <w:i/>
                <w:iCs/>
                <w:sz w:val="19"/>
                <w:szCs w:val="19"/>
                <w:lang w:val="en-AU"/>
              </w:rPr>
              <w:t>Pooled results of the trials</w:t>
            </w:r>
          </w:p>
        </w:tc>
        <w:tc>
          <w:tcPr>
            <w:tcW w:w="1238" w:type="dxa"/>
            <w:vAlign w:val="center"/>
          </w:tcPr>
          <w:p w14:paraId="01862C50" w14:textId="77777777" w:rsidR="00035059" w:rsidRPr="00E143FE" w:rsidRDefault="00035059" w:rsidP="006E0383">
            <w:pPr>
              <w:pStyle w:val="In-tableHeading"/>
              <w:keepNext w:val="0"/>
              <w:widowControl w:val="0"/>
              <w:jc w:val="center"/>
              <w:rPr>
                <w:rFonts w:eastAsia="Times New Roman" w:cs="Arial"/>
                <w:b w:val="0"/>
                <w:bCs/>
                <w:color w:val="000000"/>
                <w:sz w:val="19"/>
                <w:szCs w:val="19"/>
              </w:rPr>
            </w:pPr>
            <w:r w:rsidRPr="009A5FA0">
              <w:rPr>
                <w:rFonts w:eastAsia="Times New Roman" w:cs="Arial"/>
                <w:b w:val="0"/>
                <w:bCs/>
                <w:color w:val="000000"/>
                <w:sz w:val="19"/>
                <w:szCs w:val="19"/>
              </w:rPr>
              <w:t>29/450 (6.4)</w:t>
            </w:r>
          </w:p>
        </w:tc>
        <w:tc>
          <w:tcPr>
            <w:tcW w:w="1364" w:type="dxa"/>
            <w:vAlign w:val="center"/>
          </w:tcPr>
          <w:p w14:paraId="135EB023" w14:textId="77777777" w:rsidR="00035059" w:rsidRPr="0074357C" w:rsidRDefault="00035059"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8/223 (3.6)</w:t>
            </w:r>
          </w:p>
        </w:tc>
        <w:tc>
          <w:tcPr>
            <w:tcW w:w="1418" w:type="dxa"/>
            <w:vAlign w:val="center"/>
          </w:tcPr>
          <w:p w14:paraId="3297F599" w14:textId="77777777" w:rsidR="00035059" w:rsidRPr="00F65C3C" w:rsidRDefault="00035059"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1.85 (0.83, 4.12)</w:t>
            </w:r>
          </w:p>
        </w:tc>
        <w:tc>
          <w:tcPr>
            <w:tcW w:w="1441" w:type="dxa"/>
            <w:vAlign w:val="center"/>
          </w:tcPr>
          <w:p w14:paraId="0AB5CD7B" w14:textId="77777777" w:rsidR="00035059" w:rsidRPr="00F65C3C" w:rsidRDefault="00035059"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1.8 (0.84, 3.86)</w:t>
            </w:r>
          </w:p>
        </w:tc>
        <w:tc>
          <w:tcPr>
            <w:tcW w:w="1485" w:type="dxa"/>
            <w:vAlign w:val="center"/>
          </w:tcPr>
          <w:p w14:paraId="7B98B02C" w14:textId="77777777" w:rsidR="00035059" w:rsidRPr="00F65C3C" w:rsidRDefault="00035059"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0.03 (0, 0.06)</w:t>
            </w:r>
          </w:p>
        </w:tc>
      </w:tr>
      <w:tr w:rsidR="0059604F" w:rsidRPr="0074357C" w14:paraId="596A86A7" w14:textId="77777777" w:rsidTr="006E0383">
        <w:trPr>
          <w:trHeight w:val="20"/>
        </w:trPr>
        <w:tc>
          <w:tcPr>
            <w:tcW w:w="3309" w:type="dxa"/>
            <w:gridSpan w:val="3"/>
            <w:vMerge w:val="restart"/>
            <w:tcBorders>
              <w:right w:val="single" w:sz="4" w:space="0" w:color="auto"/>
            </w:tcBorders>
          </w:tcPr>
          <w:p w14:paraId="2C103AB9" w14:textId="00330559" w:rsidR="0059604F" w:rsidRPr="00D548DC" w:rsidRDefault="0059604F" w:rsidP="006E0383">
            <w:pPr>
              <w:pStyle w:val="In-tableHeading"/>
              <w:widowControl w:val="0"/>
              <w:rPr>
                <w:sz w:val="19"/>
                <w:szCs w:val="19"/>
              </w:rPr>
            </w:pPr>
            <w:r w:rsidRPr="00D548DC">
              <w:rPr>
                <w:sz w:val="19"/>
                <w:szCs w:val="19"/>
              </w:rPr>
              <w:t>Indirect comparisons</w:t>
            </w:r>
            <w:r w:rsidR="008E1A67" w:rsidRPr="00D548DC">
              <w:rPr>
                <w:sz w:val="19"/>
                <w:szCs w:val="19"/>
              </w:rPr>
              <w:t>:</w:t>
            </w:r>
          </w:p>
          <w:p w14:paraId="05A983C8" w14:textId="2C12287F" w:rsidR="0059604F" w:rsidRPr="003265C2" w:rsidRDefault="002E7E99" w:rsidP="006E0383">
            <w:pPr>
              <w:pStyle w:val="In-tableHeading"/>
              <w:keepNext w:val="0"/>
              <w:widowControl w:val="0"/>
              <w:rPr>
                <w:rFonts w:eastAsia="Times New Roman" w:cs="Arial"/>
                <w:b w:val="0"/>
                <w:bCs/>
                <w:color w:val="000000"/>
                <w:sz w:val="19"/>
                <w:szCs w:val="19"/>
                <w:vertAlign w:val="superscript"/>
              </w:rPr>
            </w:pPr>
            <w:r w:rsidRPr="00D548DC">
              <w:rPr>
                <w:sz w:val="19"/>
                <w:szCs w:val="19"/>
              </w:rPr>
              <w:t>U</w:t>
            </w:r>
            <w:r w:rsidR="00642542">
              <w:rPr>
                <w:sz w:val="19"/>
                <w:szCs w:val="19"/>
              </w:rPr>
              <w:t>PA</w:t>
            </w:r>
            <w:r w:rsidR="0059604F" w:rsidRPr="00D548DC">
              <w:rPr>
                <w:sz w:val="19"/>
                <w:szCs w:val="19"/>
              </w:rPr>
              <w:t xml:space="preserve"> 15 mg with comparators</w:t>
            </w:r>
            <w:r w:rsidR="003265C2">
              <w:rPr>
                <w:sz w:val="19"/>
                <w:szCs w:val="19"/>
              </w:rPr>
              <w:t xml:space="preserve"> </w:t>
            </w:r>
            <w:r w:rsidR="003265C2">
              <w:rPr>
                <w:sz w:val="19"/>
                <w:szCs w:val="19"/>
                <w:vertAlign w:val="superscript"/>
              </w:rPr>
              <w:t>c</w:t>
            </w:r>
          </w:p>
        </w:tc>
        <w:tc>
          <w:tcPr>
            <w:tcW w:w="1364" w:type="dxa"/>
            <w:tcBorders>
              <w:top w:val="single" w:sz="4" w:space="0" w:color="auto"/>
              <w:left w:val="single" w:sz="4" w:space="0" w:color="auto"/>
              <w:bottom w:val="single" w:sz="4" w:space="0" w:color="auto"/>
              <w:right w:val="single" w:sz="4" w:space="0" w:color="auto"/>
            </w:tcBorders>
          </w:tcPr>
          <w:p w14:paraId="53314873"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ADA</w:t>
            </w:r>
          </w:p>
        </w:tc>
        <w:tc>
          <w:tcPr>
            <w:tcW w:w="1418" w:type="dxa"/>
            <w:tcBorders>
              <w:top w:val="single" w:sz="4" w:space="0" w:color="auto"/>
              <w:left w:val="single" w:sz="4" w:space="0" w:color="auto"/>
              <w:bottom w:val="single" w:sz="4" w:space="0" w:color="auto"/>
              <w:right w:val="single" w:sz="4" w:space="0" w:color="auto"/>
            </w:tcBorders>
          </w:tcPr>
          <w:p w14:paraId="4E513C1A" w14:textId="77777777" w:rsidR="001F5115" w:rsidRDefault="0059604F" w:rsidP="006E0383">
            <w:pPr>
              <w:widowControl w:val="0"/>
              <w:jc w:val="center"/>
              <w:rPr>
                <w:rFonts w:ascii="Arial Narrow" w:hAnsi="Arial Narrow"/>
                <w:b/>
                <w:bCs/>
                <w:color w:val="FF0000"/>
                <w:sz w:val="19"/>
                <w:szCs w:val="19"/>
                <w:lang w:val="en-US"/>
              </w:rPr>
            </w:pPr>
            <w:r w:rsidRPr="009A5FA0">
              <w:rPr>
                <w:rFonts w:ascii="Arial Narrow" w:hAnsi="Arial Narrow"/>
                <w:b/>
                <w:bCs/>
                <w:color w:val="FF0000"/>
                <w:sz w:val="19"/>
                <w:szCs w:val="19"/>
                <w:lang w:val="en-US"/>
              </w:rPr>
              <w:t xml:space="preserve">4.88 </w:t>
            </w:r>
          </w:p>
          <w:p w14:paraId="24B557D8" w14:textId="5367C083" w:rsidR="0059604F" w:rsidRPr="00E143FE" w:rsidRDefault="0059604F" w:rsidP="006E0383">
            <w:pPr>
              <w:widowControl w:val="0"/>
              <w:jc w:val="center"/>
              <w:rPr>
                <w:rFonts w:ascii="Arial Narrow" w:hAnsi="Arial Narrow"/>
                <w:b/>
                <w:bCs/>
                <w:color w:val="000000"/>
                <w:sz w:val="19"/>
                <w:szCs w:val="19"/>
                <w:lang w:val="en-US"/>
              </w:rPr>
            </w:pPr>
            <w:r w:rsidRPr="009A5FA0">
              <w:rPr>
                <w:rFonts w:ascii="Arial Narrow" w:hAnsi="Arial Narrow"/>
                <w:b/>
                <w:bCs/>
                <w:color w:val="FF0000"/>
                <w:sz w:val="19"/>
                <w:szCs w:val="19"/>
                <w:lang w:val="en-US"/>
              </w:rPr>
              <w:t>(1.74, 13.65)</w:t>
            </w:r>
          </w:p>
        </w:tc>
        <w:tc>
          <w:tcPr>
            <w:tcW w:w="1441" w:type="dxa"/>
            <w:tcBorders>
              <w:top w:val="single" w:sz="4" w:space="0" w:color="auto"/>
              <w:left w:val="single" w:sz="4" w:space="0" w:color="auto"/>
              <w:bottom w:val="single" w:sz="4" w:space="0" w:color="auto"/>
              <w:right w:val="single" w:sz="4" w:space="0" w:color="auto"/>
            </w:tcBorders>
          </w:tcPr>
          <w:p w14:paraId="7441AF1D" w14:textId="77777777" w:rsidR="00596C34" w:rsidRDefault="0059604F" w:rsidP="006E0383">
            <w:pPr>
              <w:pStyle w:val="In-tableHeading"/>
              <w:keepNext w:val="0"/>
              <w:widowControl w:val="0"/>
              <w:jc w:val="center"/>
              <w:rPr>
                <w:rFonts w:eastAsia="Times New Roman" w:cs="Arial"/>
                <w:bCs/>
                <w:color w:val="FF0000"/>
                <w:sz w:val="19"/>
                <w:szCs w:val="19"/>
              </w:rPr>
            </w:pPr>
            <w:r w:rsidRPr="009A5FA0">
              <w:rPr>
                <w:rFonts w:eastAsia="Times New Roman" w:cs="Arial"/>
                <w:bCs/>
                <w:color w:val="FF0000"/>
                <w:sz w:val="19"/>
                <w:szCs w:val="19"/>
              </w:rPr>
              <w:t xml:space="preserve">4.29 </w:t>
            </w:r>
          </w:p>
          <w:p w14:paraId="5BF7BACE" w14:textId="118D494C" w:rsidR="0059604F" w:rsidRPr="00E143FE" w:rsidRDefault="0059604F" w:rsidP="006E0383">
            <w:pPr>
              <w:pStyle w:val="In-tableHeading"/>
              <w:keepNext w:val="0"/>
              <w:widowControl w:val="0"/>
              <w:jc w:val="center"/>
              <w:rPr>
                <w:rFonts w:eastAsia="Times New Roman" w:cs="Arial"/>
                <w:bCs/>
                <w:color w:val="000000"/>
                <w:sz w:val="19"/>
                <w:szCs w:val="19"/>
              </w:rPr>
            </w:pPr>
            <w:r w:rsidRPr="009A5FA0">
              <w:rPr>
                <w:rFonts w:eastAsia="Times New Roman" w:cs="Arial"/>
                <w:bCs/>
                <w:color w:val="FF0000"/>
                <w:sz w:val="19"/>
                <w:szCs w:val="19"/>
              </w:rPr>
              <w:t>(1.63,</w:t>
            </w:r>
            <w:r w:rsidR="00596C34">
              <w:rPr>
                <w:rFonts w:eastAsia="Times New Roman" w:cs="Arial"/>
                <w:bCs/>
                <w:color w:val="FF0000"/>
                <w:sz w:val="19"/>
                <w:szCs w:val="19"/>
              </w:rPr>
              <w:t xml:space="preserve"> </w:t>
            </w:r>
            <w:r w:rsidRPr="009A5FA0">
              <w:rPr>
                <w:rFonts w:eastAsia="Times New Roman" w:cs="Arial"/>
                <w:bCs/>
                <w:color w:val="FF0000"/>
                <w:sz w:val="19"/>
                <w:szCs w:val="19"/>
              </w:rPr>
              <w:t>11.33)</w:t>
            </w:r>
          </w:p>
        </w:tc>
        <w:tc>
          <w:tcPr>
            <w:tcW w:w="1485" w:type="dxa"/>
            <w:tcBorders>
              <w:top w:val="single" w:sz="4" w:space="0" w:color="auto"/>
              <w:left w:val="single" w:sz="4" w:space="0" w:color="auto"/>
              <w:bottom w:val="single" w:sz="4" w:space="0" w:color="auto"/>
              <w:right w:val="single" w:sz="4" w:space="0" w:color="auto"/>
            </w:tcBorders>
          </w:tcPr>
          <w:p w14:paraId="49C659A9" w14:textId="77777777" w:rsidR="0059604F" w:rsidRPr="00E143FE" w:rsidRDefault="0059604F" w:rsidP="006E0383">
            <w:pPr>
              <w:pStyle w:val="In-tableHeading"/>
              <w:keepNext w:val="0"/>
              <w:widowControl w:val="0"/>
              <w:jc w:val="center"/>
              <w:rPr>
                <w:rFonts w:eastAsia="Times New Roman" w:cs="Arial"/>
                <w:bCs/>
                <w:color w:val="000000"/>
                <w:sz w:val="19"/>
                <w:szCs w:val="19"/>
              </w:rPr>
            </w:pPr>
            <w:r w:rsidRPr="009A5FA0">
              <w:rPr>
                <w:rFonts w:eastAsia="Times New Roman" w:cs="Arial"/>
                <w:bCs/>
                <w:color w:val="FF0000"/>
                <w:sz w:val="19"/>
                <w:szCs w:val="19"/>
              </w:rPr>
              <w:t>0.12 (0.05, 0.18)</w:t>
            </w:r>
          </w:p>
        </w:tc>
      </w:tr>
      <w:tr w:rsidR="0059604F" w:rsidRPr="0074357C" w14:paraId="3645331C" w14:textId="77777777" w:rsidTr="006E0383">
        <w:trPr>
          <w:trHeight w:val="20"/>
        </w:trPr>
        <w:tc>
          <w:tcPr>
            <w:tcW w:w="3309" w:type="dxa"/>
            <w:gridSpan w:val="3"/>
            <w:vMerge/>
            <w:tcBorders>
              <w:right w:val="single" w:sz="4" w:space="0" w:color="auto"/>
            </w:tcBorders>
          </w:tcPr>
          <w:p w14:paraId="66BCA1D6" w14:textId="77777777" w:rsidR="0059604F" w:rsidRPr="0074357C" w:rsidRDefault="0059604F"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6D998188"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RISA</w:t>
            </w:r>
          </w:p>
        </w:tc>
        <w:tc>
          <w:tcPr>
            <w:tcW w:w="1418" w:type="dxa"/>
            <w:tcBorders>
              <w:top w:val="single" w:sz="4" w:space="0" w:color="auto"/>
              <w:left w:val="single" w:sz="4" w:space="0" w:color="auto"/>
              <w:bottom w:val="single" w:sz="4" w:space="0" w:color="auto"/>
              <w:right w:val="single" w:sz="4" w:space="0" w:color="auto"/>
            </w:tcBorders>
          </w:tcPr>
          <w:p w14:paraId="72EB8F5F" w14:textId="77777777" w:rsidR="00192BB8" w:rsidRDefault="0059604F"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 xml:space="preserve">3.09 </w:t>
            </w:r>
          </w:p>
          <w:p w14:paraId="350B22BC" w14:textId="790C9636" w:rsidR="0059604F" w:rsidRPr="00F65C3C" w:rsidRDefault="0059604F"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(0.66, 14.57)</w:t>
            </w:r>
          </w:p>
        </w:tc>
        <w:tc>
          <w:tcPr>
            <w:tcW w:w="1441" w:type="dxa"/>
            <w:tcBorders>
              <w:top w:val="single" w:sz="4" w:space="0" w:color="auto"/>
              <w:left w:val="single" w:sz="4" w:space="0" w:color="auto"/>
              <w:bottom w:val="single" w:sz="4" w:space="0" w:color="auto"/>
              <w:right w:val="single" w:sz="4" w:space="0" w:color="auto"/>
            </w:tcBorders>
          </w:tcPr>
          <w:p w14:paraId="7158DC69" w14:textId="77777777" w:rsidR="00192BB8"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 xml:space="preserve">2.94 </w:t>
            </w:r>
          </w:p>
          <w:p w14:paraId="07406888" w14:textId="5C603186"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(0.66, 13.17)</w:t>
            </w:r>
          </w:p>
        </w:tc>
        <w:tc>
          <w:tcPr>
            <w:tcW w:w="1485" w:type="dxa"/>
            <w:tcBorders>
              <w:top w:val="single" w:sz="4" w:space="0" w:color="auto"/>
              <w:left w:val="single" w:sz="4" w:space="0" w:color="auto"/>
              <w:bottom w:val="single" w:sz="4" w:space="0" w:color="auto"/>
              <w:right w:val="single" w:sz="4" w:space="0" w:color="auto"/>
            </w:tcBorders>
          </w:tcPr>
          <w:p w14:paraId="4CF6E1E7"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0.05 (-0.01, 0.10)</w:t>
            </w:r>
          </w:p>
        </w:tc>
      </w:tr>
      <w:tr w:rsidR="0059604F" w:rsidRPr="0074357C" w14:paraId="20744BCC" w14:textId="77777777" w:rsidTr="006E0383">
        <w:trPr>
          <w:trHeight w:val="20"/>
        </w:trPr>
        <w:tc>
          <w:tcPr>
            <w:tcW w:w="3309" w:type="dxa"/>
            <w:gridSpan w:val="3"/>
            <w:vMerge/>
            <w:tcBorders>
              <w:right w:val="single" w:sz="4" w:space="0" w:color="auto"/>
            </w:tcBorders>
          </w:tcPr>
          <w:p w14:paraId="17C68AFF" w14:textId="77777777" w:rsidR="0059604F" w:rsidRPr="0074357C" w:rsidRDefault="0059604F"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36CF199A"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IFX</w:t>
            </w:r>
          </w:p>
        </w:tc>
        <w:tc>
          <w:tcPr>
            <w:tcW w:w="1418" w:type="dxa"/>
            <w:tcBorders>
              <w:top w:val="single" w:sz="4" w:space="0" w:color="auto"/>
              <w:left w:val="single" w:sz="4" w:space="0" w:color="auto"/>
              <w:bottom w:val="single" w:sz="4" w:space="0" w:color="auto"/>
              <w:right w:val="single" w:sz="4" w:space="0" w:color="auto"/>
            </w:tcBorders>
          </w:tcPr>
          <w:p w14:paraId="4215EEEE" w14:textId="77777777" w:rsidR="0059604F" w:rsidRPr="00F65C3C" w:rsidRDefault="0059604F" w:rsidP="006E0383">
            <w:pPr>
              <w:widowControl w:val="0"/>
              <w:jc w:val="center"/>
              <w:rPr>
                <w:rFonts w:ascii="Arial Narrow" w:hAnsi="Arial Narrow"/>
                <w:color w:val="000000"/>
                <w:sz w:val="19"/>
                <w:szCs w:val="19"/>
                <w:lang w:val="en-US"/>
              </w:rPr>
            </w:pPr>
            <w:r w:rsidRPr="009A5FA0">
              <w:rPr>
                <w:rFonts w:ascii="Arial Narrow" w:hAnsi="Arial Narrow"/>
                <w:color w:val="000000"/>
                <w:sz w:val="19"/>
                <w:szCs w:val="19"/>
                <w:lang w:val="en-US"/>
              </w:rPr>
              <w:t>0.32 (0.09, 1.19)</w:t>
            </w:r>
          </w:p>
        </w:tc>
        <w:tc>
          <w:tcPr>
            <w:tcW w:w="1441" w:type="dxa"/>
            <w:tcBorders>
              <w:top w:val="single" w:sz="4" w:space="0" w:color="auto"/>
              <w:left w:val="single" w:sz="4" w:space="0" w:color="auto"/>
              <w:bottom w:val="single" w:sz="4" w:space="0" w:color="auto"/>
              <w:right w:val="single" w:sz="4" w:space="0" w:color="auto"/>
            </w:tcBorders>
          </w:tcPr>
          <w:p w14:paraId="5E7BECF6" w14:textId="77777777"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0.36 (0.10, 1.24)</w:t>
            </w:r>
          </w:p>
        </w:tc>
        <w:tc>
          <w:tcPr>
            <w:tcW w:w="1485" w:type="dxa"/>
            <w:tcBorders>
              <w:top w:val="single" w:sz="4" w:space="0" w:color="auto"/>
              <w:left w:val="single" w:sz="4" w:space="0" w:color="auto"/>
              <w:bottom w:val="single" w:sz="4" w:space="0" w:color="auto"/>
              <w:right w:val="single" w:sz="4" w:space="0" w:color="auto"/>
            </w:tcBorders>
          </w:tcPr>
          <w:p w14:paraId="5A4F4C0A" w14:textId="77777777" w:rsidR="002E7E99"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 xml:space="preserve">-0.09 </w:t>
            </w:r>
          </w:p>
          <w:p w14:paraId="533E84AA" w14:textId="7BA5DD0C" w:rsidR="0059604F" w:rsidRPr="00F65C3C" w:rsidRDefault="0059604F" w:rsidP="006E0383">
            <w:pPr>
              <w:pStyle w:val="In-tableHeading"/>
              <w:keepNext w:val="0"/>
              <w:widowControl w:val="0"/>
              <w:jc w:val="center"/>
              <w:rPr>
                <w:rFonts w:eastAsia="Times New Roman" w:cs="Arial"/>
                <w:b w:val="0"/>
                <w:color w:val="000000"/>
                <w:sz w:val="19"/>
                <w:szCs w:val="19"/>
              </w:rPr>
            </w:pPr>
            <w:r w:rsidRPr="009A5FA0">
              <w:rPr>
                <w:rFonts w:eastAsia="Times New Roman" w:cs="Arial"/>
                <w:b w:val="0"/>
                <w:color w:val="000000"/>
                <w:sz w:val="19"/>
                <w:szCs w:val="19"/>
              </w:rPr>
              <w:t>(-0.16,</w:t>
            </w:r>
            <w:r w:rsidR="00ED2DB8">
              <w:rPr>
                <w:rFonts w:eastAsia="Times New Roman" w:cs="Arial"/>
                <w:b w:val="0"/>
                <w:color w:val="000000"/>
                <w:sz w:val="19"/>
                <w:szCs w:val="19"/>
              </w:rPr>
              <w:t xml:space="preserve"> </w:t>
            </w:r>
            <w:r w:rsidRPr="009A5FA0">
              <w:rPr>
                <w:rFonts w:eastAsia="Times New Roman" w:cs="Arial"/>
                <w:b w:val="0"/>
                <w:color w:val="000000"/>
                <w:sz w:val="19"/>
                <w:szCs w:val="19"/>
              </w:rPr>
              <w:t>- 0.02)</w:t>
            </w:r>
          </w:p>
        </w:tc>
      </w:tr>
      <w:tr w:rsidR="0059604F" w:rsidRPr="0074357C" w14:paraId="5C615EFC" w14:textId="77777777" w:rsidTr="006E0383">
        <w:trPr>
          <w:trHeight w:val="20"/>
        </w:trPr>
        <w:tc>
          <w:tcPr>
            <w:tcW w:w="3309" w:type="dxa"/>
            <w:gridSpan w:val="3"/>
            <w:vMerge/>
            <w:tcBorders>
              <w:right w:val="single" w:sz="4" w:space="0" w:color="auto"/>
            </w:tcBorders>
          </w:tcPr>
          <w:p w14:paraId="288C8303" w14:textId="77777777" w:rsidR="0059604F" w:rsidRPr="0074357C" w:rsidRDefault="0059604F"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318AE2E2"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UST</w:t>
            </w:r>
          </w:p>
        </w:tc>
        <w:tc>
          <w:tcPr>
            <w:tcW w:w="1418" w:type="dxa"/>
            <w:tcBorders>
              <w:top w:val="single" w:sz="4" w:space="0" w:color="auto"/>
              <w:left w:val="single" w:sz="4" w:space="0" w:color="auto"/>
              <w:bottom w:val="single" w:sz="4" w:space="0" w:color="auto"/>
              <w:right w:val="single" w:sz="4" w:space="0" w:color="auto"/>
            </w:tcBorders>
          </w:tcPr>
          <w:p w14:paraId="382EB4F2" w14:textId="477FC11D" w:rsidR="0059604F" w:rsidRPr="00F65C3C" w:rsidRDefault="00596C34" w:rsidP="006E0383">
            <w:pPr>
              <w:widowControl w:val="0"/>
              <w:jc w:val="center"/>
              <w:rPr>
                <w:rFonts w:ascii="Arial Narrow" w:hAnsi="Arial Narrow"/>
                <w:color w:val="000000"/>
                <w:sz w:val="19"/>
                <w:szCs w:val="19"/>
                <w:lang w:val="en-US"/>
              </w:rPr>
            </w:pPr>
            <w:r w:rsidRPr="003428CD">
              <w:rPr>
                <w:rFonts w:ascii="Arial Narrow" w:hAnsi="Arial Narrow"/>
                <w:color w:val="000000"/>
                <w:sz w:val="19"/>
                <w:szCs w:val="19"/>
                <w:lang w:val="en-US"/>
              </w:rPr>
              <w:t>NR</w:t>
            </w:r>
          </w:p>
        </w:tc>
        <w:tc>
          <w:tcPr>
            <w:tcW w:w="1441" w:type="dxa"/>
            <w:tcBorders>
              <w:top w:val="single" w:sz="4" w:space="0" w:color="auto"/>
              <w:left w:val="single" w:sz="4" w:space="0" w:color="auto"/>
              <w:bottom w:val="single" w:sz="4" w:space="0" w:color="auto"/>
              <w:right w:val="single" w:sz="4" w:space="0" w:color="auto"/>
            </w:tcBorders>
          </w:tcPr>
          <w:p w14:paraId="72E06E45" w14:textId="70897371" w:rsidR="0059604F" w:rsidRPr="00F65C3C" w:rsidRDefault="00596C34" w:rsidP="006E0383">
            <w:pPr>
              <w:pStyle w:val="In-tableHeading"/>
              <w:keepNext w:val="0"/>
              <w:widowControl w:val="0"/>
              <w:jc w:val="center"/>
              <w:rPr>
                <w:rFonts w:eastAsia="Times New Roman" w:cs="Arial"/>
                <w:b w:val="0"/>
                <w:color w:val="000000"/>
                <w:sz w:val="19"/>
                <w:szCs w:val="19"/>
              </w:rPr>
            </w:pPr>
            <w:r w:rsidRPr="003428CD">
              <w:rPr>
                <w:rFonts w:eastAsia="Times New Roman" w:cs="Arial"/>
                <w:b w:val="0"/>
                <w:color w:val="000000"/>
                <w:sz w:val="19"/>
                <w:szCs w:val="19"/>
              </w:rPr>
              <w:t>NR</w:t>
            </w:r>
          </w:p>
        </w:tc>
        <w:tc>
          <w:tcPr>
            <w:tcW w:w="1485" w:type="dxa"/>
            <w:tcBorders>
              <w:top w:val="single" w:sz="4" w:space="0" w:color="auto"/>
              <w:left w:val="single" w:sz="4" w:space="0" w:color="auto"/>
              <w:bottom w:val="single" w:sz="4" w:space="0" w:color="auto"/>
              <w:right w:val="single" w:sz="4" w:space="0" w:color="auto"/>
            </w:tcBorders>
          </w:tcPr>
          <w:p w14:paraId="26F33C69" w14:textId="0884F5E6" w:rsidR="0059604F" w:rsidRPr="00F65C3C" w:rsidRDefault="00596C34" w:rsidP="006E0383">
            <w:pPr>
              <w:pStyle w:val="In-tableHeading"/>
              <w:keepNext w:val="0"/>
              <w:widowControl w:val="0"/>
              <w:jc w:val="center"/>
              <w:rPr>
                <w:rFonts w:eastAsia="Times New Roman" w:cs="Arial"/>
                <w:b w:val="0"/>
                <w:color w:val="000000"/>
                <w:sz w:val="19"/>
                <w:szCs w:val="19"/>
              </w:rPr>
            </w:pPr>
            <w:r w:rsidRPr="003428CD">
              <w:rPr>
                <w:rFonts w:eastAsia="Times New Roman" w:cs="Arial"/>
                <w:b w:val="0"/>
                <w:color w:val="000000"/>
                <w:sz w:val="19"/>
                <w:szCs w:val="19"/>
              </w:rPr>
              <w:t>NR</w:t>
            </w:r>
          </w:p>
        </w:tc>
      </w:tr>
      <w:tr w:rsidR="0059604F" w:rsidRPr="0074357C" w14:paraId="4DA053AD" w14:textId="77777777" w:rsidTr="006E0383">
        <w:trPr>
          <w:trHeight w:val="20"/>
        </w:trPr>
        <w:tc>
          <w:tcPr>
            <w:tcW w:w="3309" w:type="dxa"/>
            <w:gridSpan w:val="3"/>
            <w:vMerge/>
            <w:tcBorders>
              <w:right w:val="single" w:sz="4" w:space="0" w:color="auto"/>
            </w:tcBorders>
          </w:tcPr>
          <w:p w14:paraId="1E85D765" w14:textId="77777777" w:rsidR="0059604F" w:rsidRPr="0074357C" w:rsidRDefault="0059604F"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0FA4FC1C"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VDZ</w:t>
            </w:r>
          </w:p>
        </w:tc>
        <w:tc>
          <w:tcPr>
            <w:tcW w:w="1418" w:type="dxa"/>
            <w:tcBorders>
              <w:top w:val="single" w:sz="4" w:space="0" w:color="auto"/>
              <w:left w:val="single" w:sz="4" w:space="0" w:color="auto"/>
              <w:bottom w:val="single" w:sz="4" w:space="0" w:color="auto"/>
              <w:right w:val="single" w:sz="4" w:space="0" w:color="auto"/>
            </w:tcBorders>
          </w:tcPr>
          <w:p w14:paraId="60A39357" w14:textId="77777777" w:rsidR="001F5115" w:rsidRDefault="0059604F" w:rsidP="006E0383">
            <w:pPr>
              <w:widowControl w:val="0"/>
              <w:jc w:val="center"/>
              <w:rPr>
                <w:rFonts w:ascii="Arial Narrow" w:hAnsi="Arial Narrow"/>
                <w:b/>
                <w:bCs/>
                <w:color w:val="FF0000"/>
                <w:sz w:val="19"/>
                <w:szCs w:val="19"/>
                <w:lang w:val="en-US"/>
              </w:rPr>
            </w:pPr>
            <w:r w:rsidRPr="009A5FA0">
              <w:rPr>
                <w:rFonts w:ascii="Arial Narrow" w:hAnsi="Arial Narrow"/>
                <w:b/>
                <w:bCs/>
                <w:color w:val="FF0000"/>
                <w:sz w:val="19"/>
                <w:szCs w:val="19"/>
                <w:lang w:val="en-US"/>
              </w:rPr>
              <w:t xml:space="preserve">4.66 </w:t>
            </w:r>
          </w:p>
          <w:p w14:paraId="47687D69" w14:textId="4E9FB9B1" w:rsidR="0059604F" w:rsidRPr="00E143FE" w:rsidRDefault="0059604F" w:rsidP="006E0383">
            <w:pPr>
              <w:widowControl w:val="0"/>
              <w:jc w:val="center"/>
              <w:rPr>
                <w:rFonts w:ascii="Arial Narrow" w:hAnsi="Arial Narrow"/>
                <w:b/>
                <w:bCs/>
                <w:color w:val="000000"/>
                <w:sz w:val="19"/>
                <w:szCs w:val="19"/>
                <w:lang w:val="en-US"/>
              </w:rPr>
            </w:pPr>
            <w:r w:rsidRPr="009A5FA0">
              <w:rPr>
                <w:rFonts w:ascii="Arial Narrow" w:hAnsi="Arial Narrow"/>
                <w:b/>
                <w:bCs/>
                <w:color w:val="FF0000"/>
                <w:sz w:val="19"/>
                <w:szCs w:val="19"/>
                <w:lang w:val="en-US"/>
              </w:rPr>
              <w:t>(1.20, 18.14)</w:t>
            </w:r>
          </w:p>
        </w:tc>
        <w:tc>
          <w:tcPr>
            <w:tcW w:w="1441" w:type="dxa"/>
            <w:tcBorders>
              <w:top w:val="single" w:sz="4" w:space="0" w:color="auto"/>
              <w:left w:val="single" w:sz="4" w:space="0" w:color="auto"/>
              <w:bottom w:val="single" w:sz="4" w:space="0" w:color="auto"/>
              <w:right w:val="single" w:sz="4" w:space="0" w:color="auto"/>
            </w:tcBorders>
          </w:tcPr>
          <w:p w14:paraId="1EA24CC4" w14:textId="77777777" w:rsidR="001F5115" w:rsidRDefault="0059604F" w:rsidP="006E0383">
            <w:pPr>
              <w:pStyle w:val="In-tableHeading"/>
              <w:keepNext w:val="0"/>
              <w:widowControl w:val="0"/>
              <w:jc w:val="center"/>
              <w:rPr>
                <w:rFonts w:eastAsia="Times New Roman" w:cs="Arial"/>
                <w:bCs/>
                <w:color w:val="FF0000"/>
                <w:sz w:val="19"/>
                <w:szCs w:val="19"/>
              </w:rPr>
            </w:pPr>
            <w:r w:rsidRPr="009A5FA0">
              <w:rPr>
                <w:rFonts w:eastAsia="Times New Roman" w:cs="Arial"/>
                <w:bCs/>
                <w:color w:val="FF0000"/>
                <w:sz w:val="19"/>
                <w:szCs w:val="19"/>
              </w:rPr>
              <w:t xml:space="preserve">4.12 </w:t>
            </w:r>
          </w:p>
          <w:p w14:paraId="0EA00AAD" w14:textId="7E585ADA" w:rsidR="0059604F" w:rsidRPr="00E143FE" w:rsidRDefault="0059604F" w:rsidP="006E0383">
            <w:pPr>
              <w:pStyle w:val="In-tableHeading"/>
              <w:keepNext w:val="0"/>
              <w:widowControl w:val="0"/>
              <w:jc w:val="center"/>
              <w:rPr>
                <w:rFonts w:eastAsia="Times New Roman" w:cs="Arial"/>
                <w:bCs/>
                <w:color w:val="000000"/>
                <w:sz w:val="19"/>
                <w:szCs w:val="19"/>
              </w:rPr>
            </w:pPr>
            <w:r w:rsidRPr="009A5FA0">
              <w:rPr>
                <w:rFonts w:eastAsia="Times New Roman" w:cs="Arial"/>
                <w:bCs/>
                <w:color w:val="FF0000"/>
                <w:sz w:val="19"/>
                <w:szCs w:val="19"/>
              </w:rPr>
              <w:t>(1.17, 14.52)</w:t>
            </w:r>
          </w:p>
        </w:tc>
        <w:tc>
          <w:tcPr>
            <w:tcW w:w="1485" w:type="dxa"/>
            <w:tcBorders>
              <w:top w:val="single" w:sz="4" w:space="0" w:color="auto"/>
              <w:left w:val="single" w:sz="4" w:space="0" w:color="auto"/>
              <w:bottom w:val="single" w:sz="4" w:space="0" w:color="auto"/>
              <w:right w:val="single" w:sz="4" w:space="0" w:color="auto"/>
            </w:tcBorders>
          </w:tcPr>
          <w:p w14:paraId="2CC6470C" w14:textId="77777777" w:rsidR="0059604F" w:rsidRPr="00E143FE" w:rsidRDefault="0059604F" w:rsidP="006E0383">
            <w:pPr>
              <w:pStyle w:val="In-tableHeading"/>
              <w:keepNext w:val="0"/>
              <w:widowControl w:val="0"/>
              <w:jc w:val="center"/>
              <w:rPr>
                <w:rFonts w:eastAsia="Times New Roman" w:cs="Arial"/>
                <w:bCs/>
                <w:color w:val="000000"/>
                <w:sz w:val="19"/>
                <w:szCs w:val="19"/>
              </w:rPr>
            </w:pPr>
            <w:r w:rsidRPr="009A5FA0">
              <w:rPr>
                <w:rFonts w:eastAsia="Times New Roman" w:cs="Arial"/>
                <w:bCs/>
                <w:color w:val="FF0000"/>
                <w:sz w:val="19"/>
                <w:szCs w:val="19"/>
              </w:rPr>
              <w:t>0.07 (0.01, 0.12)</w:t>
            </w:r>
          </w:p>
        </w:tc>
      </w:tr>
      <w:tr w:rsidR="0059604F" w:rsidRPr="0074357C" w14:paraId="7E939D26" w14:textId="77777777" w:rsidTr="006E0383">
        <w:trPr>
          <w:trHeight w:val="20"/>
        </w:trPr>
        <w:tc>
          <w:tcPr>
            <w:tcW w:w="3309" w:type="dxa"/>
            <w:gridSpan w:val="3"/>
            <w:vMerge/>
            <w:tcBorders>
              <w:right w:val="single" w:sz="4" w:space="0" w:color="auto"/>
            </w:tcBorders>
          </w:tcPr>
          <w:p w14:paraId="1AB6F628" w14:textId="77777777" w:rsidR="0059604F" w:rsidRPr="0074357C" w:rsidRDefault="0059604F"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780E1BFE" w14:textId="77777777" w:rsidR="0059604F" w:rsidRPr="0074357C" w:rsidRDefault="0059604F"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VDZ SC</w:t>
            </w:r>
          </w:p>
        </w:tc>
        <w:tc>
          <w:tcPr>
            <w:tcW w:w="1418" w:type="dxa"/>
            <w:tcBorders>
              <w:top w:val="single" w:sz="4" w:space="0" w:color="auto"/>
              <w:left w:val="single" w:sz="4" w:space="0" w:color="auto"/>
              <w:bottom w:val="single" w:sz="4" w:space="0" w:color="auto"/>
              <w:right w:val="single" w:sz="4" w:space="0" w:color="auto"/>
            </w:tcBorders>
          </w:tcPr>
          <w:p w14:paraId="2A082542" w14:textId="77777777" w:rsidR="001F5115" w:rsidRDefault="0059604F" w:rsidP="006E0383">
            <w:pPr>
              <w:widowControl w:val="0"/>
              <w:jc w:val="center"/>
              <w:rPr>
                <w:rFonts w:ascii="Arial Narrow" w:hAnsi="Arial Narrow"/>
                <w:b/>
                <w:bCs/>
                <w:color w:val="FF0000"/>
                <w:sz w:val="19"/>
                <w:szCs w:val="19"/>
                <w:lang w:val="en-US"/>
              </w:rPr>
            </w:pPr>
            <w:r w:rsidRPr="009A5FA0">
              <w:rPr>
                <w:rFonts w:ascii="Arial Narrow" w:hAnsi="Arial Narrow"/>
                <w:b/>
                <w:bCs/>
                <w:color w:val="FF0000"/>
                <w:sz w:val="19"/>
                <w:szCs w:val="19"/>
                <w:lang w:val="en-US"/>
              </w:rPr>
              <w:t xml:space="preserve">4.50 </w:t>
            </w:r>
          </w:p>
          <w:p w14:paraId="5054D9B5" w14:textId="1D7B9B79" w:rsidR="0059604F" w:rsidRPr="00E143FE" w:rsidRDefault="0059604F" w:rsidP="006E0383">
            <w:pPr>
              <w:widowControl w:val="0"/>
              <w:jc w:val="center"/>
              <w:rPr>
                <w:rFonts w:ascii="Arial Narrow" w:hAnsi="Arial Narrow"/>
                <w:b/>
                <w:bCs/>
                <w:color w:val="000000"/>
                <w:sz w:val="19"/>
                <w:szCs w:val="19"/>
                <w:lang w:val="en-US"/>
              </w:rPr>
            </w:pPr>
            <w:r w:rsidRPr="009A5FA0">
              <w:rPr>
                <w:rFonts w:ascii="Arial Narrow" w:hAnsi="Arial Narrow"/>
                <w:b/>
                <w:bCs/>
                <w:color w:val="FF0000"/>
                <w:sz w:val="19"/>
                <w:szCs w:val="19"/>
                <w:lang w:val="en-US"/>
              </w:rPr>
              <w:t>(1.32, 15.33)</w:t>
            </w:r>
          </w:p>
        </w:tc>
        <w:tc>
          <w:tcPr>
            <w:tcW w:w="1441" w:type="dxa"/>
            <w:tcBorders>
              <w:top w:val="single" w:sz="4" w:space="0" w:color="auto"/>
              <w:left w:val="single" w:sz="4" w:space="0" w:color="auto"/>
              <w:bottom w:val="single" w:sz="4" w:space="0" w:color="auto"/>
              <w:right w:val="single" w:sz="4" w:space="0" w:color="auto"/>
            </w:tcBorders>
          </w:tcPr>
          <w:p w14:paraId="6FF6A7D2" w14:textId="77777777" w:rsidR="001F5115" w:rsidRDefault="0059604F" w:rsidP="006E0383">
            <w:pPr>
              <w:pStyle w:val="In-tableHeading"/>
              <w:keepNext w:val="0"/>
              <w:widowControl w:val="0"/>
              <w:jc w:val="center"/>
              <w:rPr>
                <w:rFonts w:eastAsia="Times New Roman" w:cs="Arial"/>
                <w:bCs/>
                <w:color w:val="FF0000"/>
                <w:sz w:val="19"/>
                <w:szCs w:val="19"/>
              </w:rPr>
            </w:pPr>
            <w:r w:rsidRPr="009A5FA0">
              <w:rPr>
                <w:rFonts w:eastAsia="Times New Roman" w:cs="Arial"/>
                <w:bCs/>
                <w:color w:val="FF0000"/>
                <w:sz w:val="19"/>
                <w:szCs w:val="19"/>
              </w:rPr>
              <w:t xml:space="preserve">4.14 </w:t>
            </w:r>
          </w:p>
          <w:p w14:paraId="6230C719" w14:textId="158A2694" w:rsidR="0059604F" w:rsidRPr="00E143FE" w:rsidRDefault="0059604F" w:rsidP="006E0383">
            <w:pPr>
              <w:pStyle w:val="In-tableHeading"/>
              <w:keepNext w:val="0"/>
              <w:widowControl w:val="0"/>
              <w:jc w:val="center"/>
              <w:rPr>
                <w:rFonts w:eastAsia="Times New Roman" w:cs="Arial"/>
                <w:bCs/>
                <w:color w:val="000000"/>
                <w:sz w:val="19"/>
                <w:szCs w:val="19"/>
              </w:rPr>
            </w:pPr>
            <w:r w:rsidRPr="009A5FA0">
              <w:rPr>
                <w:rFonts w:eastAsia="Times New Roman" w:cs="Arial"/>
                <w:bCs/>
                <w:color w:val="FF0000"/>
                <w:sz w:val="19"/>
                <w:szCs w:val="19"/>
              </w:rPr>
              <w:t>(1.30, 13.19)</w:t>
            </w:r>
          </w:p>
        </w:tc>
        <w:tc>
          <w:tcPr>
            <w:tcW w:w="1485" w:type="dxa"/>
            <w:tcBorders>
              <w:top w:val="single" w:sz="4" w:space="0" w:color="auto"/>
              <w:left w:val="single" w:sz="4" w:space="0" w:color="auto"/>
              <w:bottom w:val="single" w:sz="4" w:space="0" w:color="auto"/>
              <w:right w:val="single" w:sz="4" w:space="0" w:color="auto"/>
            </w:tcBorders>
          </w:tcPr>
          <w:p w14:paraId="0452FBD4" w14:textId="77777777" w:rsidR="0059604F" w:rsidRPr="00E143FE" w:rsidRDefault="0059604F" w:rsidP="006E0383">
            <w:pPr>
              <w:pStyle w:val="In-tableHeading"/>
              <w:keepNext w:val="0"/>
              <w:widowControl w:val="0"/>
              <w:jc w:val="center"/>
              <w:rPr>
                <w:rFonts w:eastAsia="Times New Roman" w:cs="Arial"/>
                <w:bCs/>
                <w:color w:val="000000"/>
                <w:sz w:val="19"/>
                <w:szCs w:val="19"/>
              </w:rPr>
            </w:pPr>
            <w:r w:rsidRPr="009A5FA0">
              <w:rPr>
                <w:rFonts w:eastAsia="Times New Roman" w:cs="Arial"/>
                <w:bCs/>
                <w:color w:val="FF0000"/>
                <w:sz w:val="19"/>
                <w:szCs w:val="19"/>
              </w:rPr>
              <w:t>0.08 (0.01, 0.15)</w:t>
            </w:r>
          </w:p>
        </w:tc>
      </w:tr>
      <w:tr w:rsidR="001F5115" w:rsidRPr="0074357C" w14:paraId="4D3B9F31" w14:textId="77777777" w:rsidTr="006E0383">
        <w:trPr>
          <w:trHeight w:val="20"/>
        </w:trPr>
        <w:tc>
          <w:tcPr>
            <w:tcW w:w="3309" w:type="dxa"/>
            <w:gridSpan w:val="3"/>
            <w:vMerge w:val="restart"/>
            <w:tcBorders>
              <w:right w:val="single" w:sz="4" w:space="0" w:color="auto"/>
            </w:tcBorders>
          </w:tcPr>
          <w:p w14:paraId="54719A42" w14:textId="77777777" w:rsidR="001F5115" w:rsidRPr="00D548DC" w:rsidRDefault="001F5115" w:rsidP="006E0383">
            <w:pPr>
              <w:pStyle w:val="In-tableHeading"/>
              <w:widowControl w:val="0"/>
              <w:rPr>
                <w:sz w:val="19"/>
                <w:szCs w:val="19"/>
              </w:rPr>
            </w:pPr>
            <w:r w:rsidRPr="00D548DC">
              <w:rPr>
                <w:sz w:val="19"/>
                <w:szCs w:val="19"/>
              </w:rPr>
              <w:t>Indirect comparisons:</w:t>
            </w:r>
          </w:p>
          <w:p w14:paraId="4EFC7AB8" w14:textId="4AB6F278" w:rsidR="001F5115" w:rsidRPr="0074357C" w:rsidRDefault="002E7E99" w:rsidP="006E0383">
            <w:pPr>
              <w:pStyle w:val="In-tableHeading"/>
              <w:keepNext w:val="0"/>
              <w:widowControl w:val="0"/>
              <w:rPr>
                <w:rFonts w:eastAsia="Times New Roman" w:cs="Arial"/>
                <w:color w:val="000000"/>
                <w:sz w:val="19"/>
                <w:szCs w:val="19"/>
              </w:rPr>
            </w:pPr>
            <w:r w:rsidRPr="00D548DC">
              <w:rPr>
                <w:sz w:val="19"/>
                <w:szCs w:val="19"/>
              </w:rPr>
              <w:t>U</w:t>
            </w:r>
            <w:r w:rsidR="00642542">
              <w:rPr>
                <w:sz w:val="19"/>
                <w:szCs w:val="19"/>
              </w:rPr>
              <w:t>PA</w:t>
            </w:r>
            <w:r w:rsidR="001F5115" w:rsidRPr="00D548DC">
              <w:rPr>
                <w:sz w:val="19"/>
                <w:szCs w:val="19"/>
              </w:rPr>
              <w:t xml:space="preserve"> 30 mg with comparators</w:t>
            </w:r>
            <w:r w:rsidR="001F5115">
              <w:rPr>
                <w:sz w:val="19"/>
                <w:szCs w:val="19"/>
              </w:rPr>
              <w:t xml:space="preserve"> </w:t>
            </w:r>
            <w:r w:rsidR="001F5115">
              <w:rPr>
                <w:sz w:val="19"/>
                <w:szCs w:val="19"/>
                <w:vertAlign w:val="superscript"/>
              </w:rPr>
              <w:t>c</w:t>
            </w:r>
          </w:p>
        </w:tc>
        <w:tc>
          <w:tcPr>
            <w:tcW w:w="1364" w:type="dxa"/>
            <w:tcBorders>
              <w:top w:val="single" w:sz="4" w:space="0" w:color="auto"/>
              <w:left w:val="single" w:sz="4" w:space="0" w:color="auto"/>
              <w:bottom w:val="single" w:sz="4" w:space="0" w:color="auto"/>
              <w:right w:val="single" w:sz="4" w:space="0" w:color="auto"/>
            </w:tcBorders>
          </w:tcPr>
          <w:p w14:paraId="46FCD157" w14:textId="68770785" w:rsidR="001F5115" w:rsidRPr="009A5FA0" w:rsidRDefault="001F5115"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ADA</w:t>
            </w:r>
          </w:p>
        </w:tc>
        <w:tc>
          <w:tcPr>
            <w:tcW w:w="1418" w:type="dxa"/>
            <w:tcBorders>
              <w:top w:val="single" w:sz="4" w:space="0" w:color="auto"/>
              <w:left w:val="single" w:sz="4" w:space="0" w:color="auto"/>
              <w:bottom w:val="single" w:sz="4" w:space="0" w:color="auto"/>
              <w:right w:val="single" w:sz="4" w:space="0" w:color="auto"/>
            </w:tcBorders>
          </w:tcPr>
          <w:p w14:paraId="0B0BBD0C" w14:textId="77777777" w:rsidR="00192BB8" w:rsidRDefault="001F5115" w:rsidP="006E0383">
            <w:pPr>
              <w:widowControl w:val="0"/>
              <w:jc w:val="center"/>
              <w:rPr>
                <w:rFonts w:ascii="Arial Narrow" w:hAnsi="Arial Narrow"/>
                <w:b/>
                <w:bCs/>
                <w:color w:val="FF0000"/>
                <w:sz w:val="19"/>
                <w:szCs w:val="19"/>
                <w:lang w:val="en-US"/>
              </w:rPr>
            </w:pPr>
            <w:r w:rsidRPr="009A5FA0">
              <w:rPr>
                <w:rFonts w:ascii="Arial Narrow" w:hAnsi="Arial Narrow"/>
                <w:b/>
                <w:bCs/>
                <w:color w:val="FF0000"/>
                <w:sz w:val="19"/>
                <w:szCs w:val="19"/>
                <w:lang w:val="en-US"/>
              </w:rPr>
              <w:t>3.76</w:t>
            </w:r>
          </w:p>
          <w:p w14:paraId="6BF7D10B" w14:textId="2DA416CF" w:rsidR="001F5115" w:rsidRPr="009A5FA0" w:rsidRDefault="001F5115" w:rsidP="006E0383">
            <w:pPr>
              <w:widowControl w:val="0"/>
              <w:jc w:val="center"/>
              <w:rPr>
                <w:rFonts w:ascii="Arial Narrow" w:hAnsi="Arial Narrow"/>
                <w:b/>
                <w:bCs/>
                <w:color w:val="FF0000"/>
                <w:sz w:val="19"/>
                <w:szCs w:val="19"/>
                <w:lang w:val="en-US"/>
              </w:rPr>
            </w:pPr>
            <w:r>
              <w:rPr>
                <w:rFonts w:ascii="Arial Narrow" w:hAnsi="Arial Narrow"/>
                <w:b/>
                <w:bCs/>
                <w:color w:val="FF0000"/>
                <w:sz w:val="19"/>
                <w:szCs w:val="19"/>
                <w:lang w:val="en-US"/>
              </w:rPr>
              <w:t xml:space="preserve"> </w:t>
            </w:r>
            <w:r w:rsidRPr="009A5FA0">
              <w:rPr>
                <w:rFonts w:ascii="Arial Narrow" w:hAnsi="Arial Narrow"/>
                <w:b/>
                <w:bCs/>
                <w:color w:val="FF0000"/>
                <w:sz w:val="19"/>
                <w:szCs w:val="19"/>
                <w:lang w:val="en-US"/>
              </w:rPr>
              <w:t>(1.31,</w:t>
            </w:r>
            <w:r w:rsidR="00192BB8">
              <w:rPr>
                <w:rFonts w:ascii="Arial Narrow" w:hAnsi="Arial Narrow"/>
                <w:b/>
                <w:bCs/>
                <w:color w:val="FF0000"/>
                <w:sz w:val="19"/>
                <w:szCs w:val="19"/>
                <w:lang w:val="en-US"/>
              </w:rPr>
              <w:t xml:space="preserve"> </w:t>
            </w:r>
            <w:r w:rsidRPr="009A5FA0">
              <w:rPr>
                <w:rFonts w:ascii="Arial Narrow" w:hAnsi="Arial Narrow"/>
                <w:b/>
                <w:bCs/>
                <w:color w:val="FF0000"/>
                <w:sz w:val="19"/>
                <w:szCs w:val="19"/>
                <w:lang w:val="en-US"/>
              </w:rPr>
              <w:t>10.80)</w:t>
            </w:r>
          </w:p>
        </w:tc>
        <w:tc>
          <w:tcPr>
            <w:tcW w:w="1441" w:type="dxa"/>
            <w:tcBorders>
              <w:top w:val="single" w:sz="4" w:space="0" w:color="auto"/>
              <w:left w:val="single" w:sz="4" w:space="0" w:color="auto"/>
              <w:bottom w:val="single" w:sz="4" w:space="0" w:color="auto"/>
              <w:right w:val="single" w:sz="4" w:space="0" w:color="auto"/>
            </w:tcBorders>
          </w:tcPr>
          <w:p w14:paraId="1D1B760E" w14:textId="7763FC7C" w:rsidR="001F5115" w:rsidRPr="009A5FA0" w:rsidRDefault="001F5115" w:rsidP="006E0383">
            <w:pPr>
              <w:pStyle w:val="In-tableHeading"/>
              <w:keepNext w:val="0"/>
              <w:widowControl w:val="0"/>
              <w:jc w:val="center"/>
              <w:rPr>
                <w:rFonts w:eastAsia="Times New Roman" w:cs="Arial"/>
                <w:bCs/>
                <w:color w:val="FF0000"/>
                <w:sz w:val="19"/>
                <w:szCs w:val="19"/>
              </w:rPr>
            </w:pPr>
            <w:r w:rsidRPr="009A5FA0">
              <w:rPr>
                <w:rFonts w:eastAsia="Times New Roman" w:cs="Arial"/>
                <w:bCs/>
                <w:color w:val="FF0000"/>
                <w:sz w:val="19"/>
                <w:szCs w:val="19"/>
              </w:rPr>
              <w:t>3.37 (1.24, 9.14)</w:t>
            </w:r>
          </w:p>
        </w:tc>
        <w:tc>
          <w:tcPr>
            <w:tcW w:w="1485" w:type="dxa"/>
            <w:tcBorders>
              <w:top w:val="single" w:sz="4" w:space="0" w:color="auto"/>
              <w:left w:val="single" w:sz="4" w:space="0" w:color="auto"/>
              <w:bottom w:val="single" w:sz="4" w:space="0" w:color="auto"/>
              <w:right w:val="single" w:sz="4" w:space="0" w:color="auto"/>
            </w:tcBorders>
          </w:tcPr>
          <w:p w14:paraId="418CAFA8" w14:textId="51DA29A4" w:rsidR="001F5115" w:rsidRPr="009A5FA0" w:rsidRDefault="001F5115" w:rsidP="006E0383">
            <w:pPr>
              <w:pStyle w:val="In-tableHeading"/>
              <w:keepNext w:val="0"/>
              <w:widowControl w:val="0"/>
              <w:jc w:val="center"/>
              <w:rPr>
                <w:rFonts w:eastAsia="Times New Roman" w:cs="Arial"/>
                <w:bCs/>
                <w:color w:val="FF0000"/>
                <w:sz w:val="19"/>
                <w:szCs w:val="19"/>
              </w:rPr>
            </w:pPr>
            <w:r w:rsidRPr="009A5FA0">
              <w:rPr>
                <w:rFonts w:eastAsia="Times New Roman" w:cs="Arial"/>
                <w:bCs/>
                <w:color w:val="FF0000"/>
                <w:sz w:val="19"/>
                <w:szCs w:val="19"/>
              </w:rPr>
              <w:t>0.10 (0.04, 0.16)</w:t>
            </w:r>
          </w:p>
        </w:tc>
      </w:tr>
      <w:tr w:rsidR="007F0116" w:rsidRPr="0074357C" w14:paraId="46FD7A3A" w14:textId="77777777" w:rsidTr="006E0383">
        <w:trPr>
          <w:trHeight w:val="20"/>
        </w:trPr>
        <w:tc>
          <w:tcPr>
            <w:tcW w:w="3309" w:type="dxa"/>
            <w:gridSpan w:val="3"/>
            <w:vMerge/>
            <w:tcBorders>
              <w:right w:val="single" w:sz="4" w:space="0" w:color="auto"/>
            </w:tcBorders>
            <w:vAlign w:val="center"/>
          </w:tcPr>
          <w:p w14:paraId="4361C62A" w14:textId="77777777" w:rsidR="007F0116" w:rsidRPr="0074357C" w:rsidRDefault="007F0116"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18FC0071" w14:textId="397C5783" w:rsidR="007F0116" w:rsidRPr="009A5FA0" w:rsidRDefault="001F5115"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RISA</w:t>
            </w:r>
          </w:p>
        </w:tc>
        <w:tc>
          <w:tcPr>
            <w:tcW w:w="1418" w:type="dxa"/>
            <w:tcBorders>
              <w:top w:val="single" w:sz="4" w:space="0" w:color="auto"/>
              <w:left w:val="single" w:sz="4" w:space="0" w:color="auto"/>
              <w:bottom w:val="single" w:sz="4" w:space="0" w:color="auto"/>
              <w:right w:val="single" w:sz="4" w:space="0" w:color="auto"/>
            </w:tcBorders>
          </w:tcPr>
          <w:p w14:paraId="16A9B7F5" w14:textId="72361BBF" w:rsidR="007F0116" w:rsidRPr="009A5FA0" w:rsidRDefault="001F5115" w:rsidP="006E0383">
            <w:pPr>
              <w:widowControl w:val="0"/>
              <w:jc w:val="center"/>
              <w:rPr>
                <w:rFonts w:ascii="Arial Narrow" w:hAnsi="Arial Narrow"/>
                <w:b/>
                <w:bCs/>
                <w:color w:val="FF0000"/>
                <w:sz w:val="19"/>
                <w:szCs w:val="19"/>
                <w:lang w:val="en-US"/>
              </w:rPr>
            </w:pPr>
            <w:r w:rsidRPr="009A5FA0">
              <w:rPr>
                <w:rFonts w:ascii="Arial Narrow" w:hAnsi="Arial Narrow"/>
                <w:color w:val="000000"/>
                <w:sz w:val="19"/>
                <w:szCs w:val="19"/>
                <w:lang w:val="en-US"/>
              </w:rPr>
              <w:t>2.39 (0.50, 11.43)</w:t>
            </w:r>
          </w:p>
        </w:tc>
        <w:tc>
          <w:tcPr>
            <w:tcW w:w="1441" w:type="dxa"/>
            <w:tcBorders>
              <w:top w:val="single" w:sz="4" w:space="0" w:color="auto"/>
              <w:left w:val="single" w:sz="4" w:space="0" w:color="auto"/>
              <w:bottom w:val="single" w:sz="4" w:space="0" w:color="auto"/>
              <w:right w:val="single" w:sz="4" w:space="0" w:color="auto"/>
            </w:tcBorders>
          </w:tcPr>
          <w:p w14:paraId="080301BB" w14:textId="20D36274" w:rsidR="007F0116" w:rsidRPr="009A5FA0" w:rsidRDefault="001F5115" w:rsidP="006E0383">
            <w:pPr>
              <w:pStyle w:val="In-tableHeading"/>
              <w:keepNext w:val="0"/>
              <w:widowControl w:val="0"/>
              <w:jc w:val="center"/>
              <w:rPr>
                <w:rFonts w:eastAsia="Times New Roman" w:cs="Arial"/>
                <w:bCs/>
                <w:color w:val="FF0000"/>
                <w:sz w:val="19"/>
                <w:szCs w:val="19"/>
              </w:rPr>
            </w:pPr>
            <w:r w:rsidRPr="009A5FA0">
              <w:rPr>
                <w:rFonts w:eastAsia="Times New Roman" w:cs="Arial"/>
                <w:b w:val="0"/>
                <w:color w:val="000000"/>
                <w:sz w:val="19"/>
                <w:szCs w:val="19"/>
              </w:rPr>
              <w:t>2.31(0.51,10.52)</w:t>
            </w:r>
          </w:p>
        </w:tc>
        <w:tc>
          <w:tcPr>
            <w:tcW w:w="1485" w:type="dxa"/>
            <w:tcBorders>
              <w:top w:val="single" w:sz="4" w:space="0" w:color="auto"/>
              <w:left w:val="single" w:sz="4" w:space="0" w:color="auto"/>
              <w:bottom w:val="single" w:sz="4" w:space="0" w:color="auto"/>
              <w:right w:val="single" w:sz="4" w:space="0" w:color="auto"/>
            </w:tcBorders>
          </w:tcPr>
          <w:p w14:paraId="76662099" w14:textId="6874BD8D" w:rsidR="007F0116" w:rsidRPr="009A5FA0" w:rsidRDefault="001F5115" w:rsidP="006E0383">
            <w:pPr>
              <w:pStyle w:val="In-tableHeading"/>
              <w:keepNext w:val="0"/>
              <w:widowControl w:val="0"/>
              <w:jc w:val="center"/>
              <w:rPr>
                <w:rFonts w:eastAsia="Times New Roman" w:cs="Arial"/>
                <w:bCs/>
                <w:color w:val="FF0000"/>
                <w:sz w:val="19"/>
                <w:szCs w:val="19"/>
              </w:rPr>
            </w:pPr>
            <w:r w:rsidRPr="009A5FA0">
              <w:rPr>
                <w:rFonts w:eastAsia="Times New Roman" w:cs="Arial"/>
                <w:b w:val="0"/>
                <w:color w:val="000000"/>
                <w:sz w:val="19"/>
                <w:szCs w:val="19"/>
              </w:rPr>
              <w:t>0.03 (-0.02, 0.08)</w:t>
            </w:r>
          </w:p>
        </w:tc>
      </w:tr>
      <w:tr w:rsidR="007F0116" w:rsidRPr="0074357C" w14:paraId="7B87180A" w14:textId="77777777" w:rsidTr="006E0383">
        <w:trPr>
          <w:trHeight w:val="20"/>
        </w:trPr>
        <w:tc>
          <w:tcPr>
            <w:tcW w:w="3309" w:type="dxa"/>
            <w:gridSpan w:val="3"/>
            <w:vMerge/>
            <w:tcBorders>
              <w:right w:val="single" w:sz="4" w:space="0" w:color="auto"/>
            </w:tcBorders>
            <w:vAlign w:val="center"/>
          </w:tcPr>
          <w:p w14:paraId="170EB5E7" w14:textId="77777777" w:rsidR="007F0116" w:rsidRPr="0074357C" w:rsidRDefault="007F0116"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2A652CC5" w14:textId="6198BA04" w:rsidR="007F0116" w:rsidRPr="009A5FA0" w:rsidRDefault="001F5115"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IFX</w:t>
            </w:r>
          </w:p>
        </w:tc>
        <w:tc>
          <w:tcPr>
            <w:tcW w:w="1418" w:type="dxa"/>
            <w:tcBorders>
              <w:top w:val="single" w:sz="4" w:space="0" w:color="auto"/>
              <w:left w:val="single" w:sz="4" w:space="0" w:color="auto"/>
              <w:bottom w:val="single" w:sz="4" w:space="0" w:color="auto"/>
              <w:right w:val="single" w:sz="4" w:space="0" w:color="auto"/>
            </w:tcBorders>
          </w:tcPr>
          <w:p w14:paraId="067350D8" w14:textId="3B250598" w:rsidR="007F0116" w:rsidRPr="009A5FA0" w:rsidRDefault="001F5115" w:rsidP="006E0383">
            <w:pPr>
              <w:widowControl w:val="0"/>
              <w:jc w:val="center"/>
              <w:rPr>
                <w:rFonts w:ascii="Arial Narrow" w:hAnsi="Arial Narrow"/>
                <w:b/>
                <w:bCs/>
                <w:color w:val="FF0000"/>
                <w:sz w:val="19"/>
                <w:szCs w:val="19"/>
                <w:lang w:val="en-US"/>
              </w:rPr>
            </w:pPr>
            <w:r w:rsidRPr="009A5FA0">
              <w:rPr>
                <w:rFonts w:ascii="Arial Narrow" w:hAnsi="Arial Narrow"/>
                <w:b/>
                <w:bCs/>
                <w:color w:val="000000"/>
                <w:sz w:val="19"/>
                <w:szCs w:val="19"/>
                <w:lang w:val="en-US"/>
              </w:rPr>
              <w:t>0.25 (0.07, 0.94)</w:t>
            </w:r>
          </w:p>
        </w:tc>
        <w:tc>
          <w:tcPr>
            <w:tcW w:w="1441" w:type="dxa"/>
            <w:tcBorders>
              <w:top w:val="single" w:sz="4" w:space="0" w:color="auto"/>
              <w:left w:val="single" w:sz="4" w:space="0" w:color="auto"/>
              <w:bottom w:val="single" w:sz="4" w:space="0" w:color="auto"/>
              <w:right w:val="single" w:sz="4" w:space="0" w:color="auto"/>
            </w:tcBorders>
          </w:tcPr>
          <w:p w14:paraId="10F128B1" w14:textId="16545F67" w:rsidR="007F0116" w:rsidRPr="009A5FA0" w:rsidRDefault="001F5115" w:rsidP="006E0383">
            <w:pPr>
              <w:pStyle w:val="In-tableHeading"/>
              <w:keepNext w:val="0"/>
              <w:widowControl w:val="0"/>
              <w:jc w:val="center"/>
              <w:rPr>
                <w:rFonts w:eastAsia="Times New Roman" w:cs="Arial"/>
                <w:bCs/>
                <w:color w:val="FF0000"/>
                <w:sz w:val="19"/>
                <w:szCs w:val="19"/>
              </w:rPr>
            </w:pPr>
            <w:r w:rsidRPr="009A5FA0">
              <w:rPr>
                <w:rFonts w:eastAsia="Times New Roman" w:cs="Arial"/>
                <w:bCs/>
                <w:color w:val="000000"/>
                <w:sz w:val="19"/>
                <w:szCs w:val="19"/>
              </w:rPr>
              <w:t>0.28 (0.08, 0.99)</w:t>
            </w:r>
          </w:p>
        </w:tc>
        <w:tc>
          <w:tcPr>
            <w:tcW w:w="1485" w:type="dxa"/>
            <w:tcBorders>
              <w:top w:val="single" w:sz="4" w:space="0" w:color="auto"/>
              <w:left w:val="single" w:sz="4" w:space="0" w:color="auto"/>
              <w:bottom w:val="single" w:sz="4" w:space="0" w:color="auto"/>
              <w:right w:val="single" w:sz="4" w:space="0" w:color="auto"/>
            </w:tcBorders>
          </w:tcPr>
          <w:p w14:paraId="2DEBF774" w14:textId="77777777" w:rsidR="001F5115" w:rsidRDefault="001F5115" w:rsidP="006E0383">
            <w:pPr>
              <w:pStyle w:val="In-tableHeading"/>
              <w:keepNext w:val="0"/>
              <w:widowControl w:val="0"/>
              <w:jc w:val="center"/>
              <w:rPr>
                <w:rFonts w:eastAsia="Times New Roman" w:cs="Arial"/>
                <w:bCs/>
                <w:color w:val="000000"/>
                <w:sz w:val="19"/>
                <w:szCs w:val="19"/>
              </w:rPr>
            </w:pPr>
            <w:r w:rsidRPr="0EA91E1D">
              <w:rPr>
                <w:rFonts w:eastAsia="Times New Roman" w:cs="Arial"/>
                <w:color w:val="000000" w:themeColor="text1"/>
                <w:sz w:val="19"/>
                <w:szCs w:val="19"/>
              </w:rPr>
              <w:t>-0.10</w:t>
            </w:r>
          </w:p>
          <w:p w14:paraId="0EB2C6F3" w14:textId="64911BFF" w:rsidR="007F0116" w:rsidRPr="009A5FA0" w:rsidRDefault="001F5115" w:rsidP="006E0383">
            <w:pPr>
              <w:pStyle w:val="In-tableHeading"/>
              <w:keepNext w:val="0"/>
              <w:widowControl w:val="0"/>
              <w:jc w:val="center"/>
              <w:rPr>
                <w:rFonts w:eastAsia="Times New Roman" w:cs="Arial"/>
                <w:bCs/>
                <w:color w:val="FF0000"/>
                <w:sz w:val="19"/>
                <w:szCs w:val="19"/>
              </w:rPr>
            </w:pPr>
            <w:r w:rsidRPr="0EA91E1D">
              <w:rPr>
                <w:rFonts w:eastAsia="Times New Roman" w:cs="Arial"/>
                <w:color w:val="000000" w:themeColor="text1"/>
                <w:sz w:val="19"/>
                <w:szCs w:val="19"/>
              </w:rPr>
              <w:t>(-0.17, - 0.04)</w:t>
            </w:r>
          </w:p>
        </w:tc>
      </w:tr>
      <w:tr w:rsidR="007F0116" w:rsidRPr="0074357C" w14:paraId="40D1B58B" w14:textId="77777777" w:rsidTr="006E0383">
        <w:trPr>
          <w:trHeight w:val="20"/>
        </w:trPr>
        <w:tc>
          <w:tcPr>
            <w:tcW w:w="3309" w:type="dxa"/>
            <w:gridSpan w:val="3"/>
            <w:vMerge/>
            <w:tcBorders>
              <w:right w:val="single" w:sz="4" w:space="0" w:color="auto"/>
            </w:tcBorders>
            <w:vAlign w:val="center"/>
          </w:tcPr>
          <w:p w14:paraId="787810D0" w14:textId="77777777" w:rsidR="007F0116" w:rsidRPr="0074357C" w:rsidRDefault="007F0116"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3129F70C" w14:textId="580B2EE0" w:rsidR="007F0116" w:rsidRPr="009A5FA0" w:rsidRDefault="001F5115"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UST</w:t>
            </w:r>
          </w:p>
        </w:tc>
        <w:tc>
          <w:tcPr>
            <w:tcW w:w="1418" w:type="dxa"/>
            <w:tcBorders>
              <w:top w:val="single" w:sz="4" w:space="0" w:color="auto"/>
              <w:left w:val="single" w:sz="4" w:space="0" w:color="auto"/>
              <w:bottom w:val="single" w:sz="4" w:space="0" w:color="auto"/>
              <w:right w:val="single" w:sz="4" w:space="0" w:color="auto"/>
            </w:tcBorders>
          </w:tcPr>
          <w:p w14:paraId="31F74806" w14:textId="2CED0120" w:rsidR="007F0116" w:rsidRPr="009A5FA0" w:rsidRDefault="00E34817" w:rsidP="006E0383">
            <w:pPr>
              <w:widowControl w:val="0"/>
              <w:jc w:val="center"/>
              <w:rPr>
                <w:rFonts w:ascii="Arial Narrow" w:hAnsi="Arial Narrow"/>
                <w:b/>
                <w:bCs/>
                <w:color w:val="FF0000"/>
                <w:sz w:val="19"/>
                <w:szCs w:val="19"/>
                <w:lang w:val="en-US"/>
              </w:rPr>
            </w:pPr>
            <w:r w:rsidRPr="003428CD">
              <w:rPr>
                <w:rFonts w:ascii="Arial Narrow" w:hAnsi="Arial Narrow"/>
                <w:color w:val="000000"/>
                <w:sz w:val="19"/>
                <w:szCs w:val="19"/>
                <w:lang w:val="en-US"/>
              </w:rPr>
              <w:t>NR</w:t>
            </w:r>
          </w:p>
        </w:tc>
        <w:tc>
          <w:tcPr>
            <w:tcW w:w="1441" w:type="dxa"/>
            <w:tcBorders>
              <w:top w:val="single" w:sz="4" w:space="0" w:color="auto"/>
              <w:left w:val="single" w:sz="4" w:space="0" w:color="auto"/>
              <w:bottom w:val="single" w:sz="4" w:space="0" w:color="auto"/>
              <w:right w:val="single" w:sz="4" w:space="0" w:color="auto"/>
            </w:tcBorders>
          </w:tcPr>
          <w:p w14:paraId="7692DEA6" w14:textId="08FBB8E7" w:rsidR="007F0116" w:rsidRPr="009A5FA0" w:rsidRDefault="00E34817" w:rsidP="006E0383">
            <w:pPr>
              <w:pStyle w:val="In-tableHeading"/>
              <w:keepNext w:val="0"/>
              <w:widowControl w:val="0"/>
              <w:jc w:val="center"/>
              <w:rPr>
                <w:rFonts w:eastAsia="Times New Roman" w:cs="Arial"/>
                <w:bCs/>
                <w:color w:val="FF0000"/>
                <w:sz w:val="19"/>
                <w:szCs w:val="19"/>
              </w:rPr>
            </w:pPr>
            <w:r w:rsidRPr="003428CD">
              <w:rPr>
                <w:rFonts w:eastAsia="Times New Roman" w:cs="Arial"/>
                <w:b w:val="0"/>
                <w:color w:val="000000"/>
                <w:sz w:val="19"/>
                <w:szCs w:val="19"/>
              </w:rPr>
              <w:t>NR</w:t>
            </w:r>
          </w:p>
        </w:tc>
        <w:tc>
          <w:tcPr>
            <w:tcW w:w="1485" w:type="dxa"/>
            <w:tcBorders>
              <w:top w:val="single" w:sz="4" w:space="0" w:color="auto"/>
              <w:left w:val="single" w:sz="4" w:space="0" w:color="auto"/>
              <w:bottom w:val="single" w:sz="4" w:space="0" w:color="auto"/>
              <w:right w:val="single" w:sz="4" w:space="0" w:color="auto"/>
            </w:tcBorders>
          </w:tcPr>
          <w:p w14:paraId="7B7489A7" w14:textId="30B09821" w:rsidR="007F0116" w:rsidRPr="009A5FA0" w:rsidRDefault="00E34817" w:rsidP="006E0383">
            <w:pPr>
              <w:pStyle w:val="In-tableHeading"/>
              <w:keepNext w:val="0"/>
              <w:widowControl w:val="0"/>
              <w:jc w:val="center"/>
              <w:rPr>
                <w:rFonts w:eastAsia="Times New Roman" w:cs="Arial"/>
                <w:bCs/>
                <w:color w:val="FF0000"/>
                <w:sz w:val="19"/>
                <w:szCs w:val="19"/>
              </w:rPr>
            </w:pPr>
            <w:r w:rsidRPr="003428CD">
              <w:rPr>
                <w:rFonts w:eastAsia="Times New Roman" w:cs="Arial"/>
                <w:b w:val="0"/>
                <w:color w:val="000000"/>
                <w:sz w:val="19"/>
                <w:szCs w:val="19"/>
              </w:rPr>
              <w:t>NR</w:t>
            </w:r>
          </w:p>
        </w:tc>
      </w:tr>
      <w:tr w:rsidR="007F0116" w:rsidRPr="0074357C" w14:paraId="54528425" w14:textId="77777777" w:rsidTr="006E0383">
        <w:trPr>
          <w:trHeight w:val="20"/>
        </w:trPr>
        <w:tc>
          <w:tcPr>
            <w:tcW w:w="3309" w:type="dxa"/>
            <w:gridSpan w:val="3"/>
            <w:vMerge/>
            <w:tcBorders>
              <w:right w:val="single" w:sz="4" w:space="0" w:color="auto"/>
            </w:tcBorders>
            <w:vAlign w:val="center"/>
          </w:tcPr>
          <w:p w14:paraId="2B199A7E" w14:textId="77777777" w:rsidR="007F0116" w:rsidRPr="0074357C" w:rsidRDefault="007F0116"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1048AEE4" w14:textId="755A753F" w:rsidR="007F0116" w:rsidRPr="009A5FA0" w:rsidRDefault="001F5115"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VDZ</w:t>
            </w:r>
          </w:p>
        </w:tc>
        <w:tc>
          <w:tcPr>
            <w:tcW w:w="1418" w:type="dxa"/>
            <w:tcBorders>
              <w:top w:val="single" w:sz="4" w:space="0" w:color="auto"/>
              <w:left w:val="single" w:sz="4" w:space="0" w:color="auto"/>
              <w:bottom w:val="single" w:sz="4" w:space="0" w:color="auto"/>
              <w:right w:val="single" w:sz="4" w:space="0" w:color="auto"/>
            </w:tcBorders>
          </w:tcPr>
          <w:p w14:paraId="6A1D0D60" w14:textId="77777777" w:rsidR="001F5115" w:rsidRDefault="001F5115" w:rsidP="006E0383">
            <w:pPr>
              <w:widowControl w:val="0"/>
              <w:jc w:val="center"/>
              <w:rPr>
                <w:rFonts w:ascii="Arial Narrow" w:hAnsi="Arial Narrow"/>
                <w:color w:val="000000"/>
                <w:sz w:val="19"/>
                <w:szCs w:val="19"/>
                <w:lang w:val="en-US"/>
              </w:rPr>
            </w:pPr>
            <w:r w:rsidRPr="0EA91E1D">
              <w:rPr>
                <w:rFonts w:ascii="Arial Narrow" w:hAnsi="Arial Narrow"/>
                <w:color w:val="000000" w:themeColor="text1"/>
                <w:sz w:val="19"/>
                <w:szCs w:val="19"/>
                <w:lang w:val="en-US"/>
              </w:rPr>
              <w:t xml:space="preserve">3.59 </w:t>
            </w:r>
          </w:p>
          <w:p w14:paraId="4F6A0F82" w14:textId="0B5229DF" w:rsidR="007F0116" w:rsidRPr="009A5FA0" w:rsidRDefault="001F5115" w:rsidP="006E0383">
            <w:pPr>
              <w:widowControl w:val="0"/>
              <w:jc w:val="center"/>
              <w:rPr>
                <w:rFonts w:ascii="Arial Narrow" w:hAnsi="Arial Narrow"/>
                <w:b/>
                <w:bCs/>
                <w:color w:val="FF0000"/>
                <w:sz w:val="19"/>
                <w:szCs w:val="19"/>
                <w:lang w:val="en-US"/>
              </w:rPr>
            </w:pPr>
            <w:r w:rsidRPr="0EA91E1D">
              <w:rPr>
                <w:rFonts w:ascii="Arial Narrow" w:hAnsi="Arial Narrow"/>
                <w:color w:val="000000" w:themeColor="text1"/>
                <w:sz w:val="19"/>
                <w:szCs w:val="19"/>
                <w:lang w:val="en-US"/>
              </w:rPr>
              <w:t>(0.91, 14.27)</w:t>
            </w:r>
          </w:p>
        </w:tc>
        <w:tc>
          <w:tcPr>
            <w:tcW w:w="1441" w:type="dxa"/>
            <w:tcBorders>
              <w:top w:val="single" w:sz="4" w:space="0" w:color="auto"/>
              <w:left w:val="single" w:sz="4" w:space="0" w:color="auto"/>
              <w:bottom w:val="single" w:sz="4" w:space="0" w:color="auto"/>
              <w:right w:val="single" w:sz="4" w:space="0" w:color="auto"/>
            </w:tcBorders>
          </w:tcPr>
          <w:p w14:paraId="7E0E72AC" w14:textId="77777777" w:rsidR="001F5115" w:rsidRDefault="001F5115" w:rsidP="006E0383">
            <w:pPr>
              <w:pStyle w:val="In-tableHeading"/>
              <w:keepNext w:val="0"/>
              <w:widowControl w:val="0"/>
              <w:jc w:val="center"/>
              <w:rPr>
                <w:rFonts w:eastAsia="Times New Roman" w:cs="Arial"/>
                <w:b w:val="0"/>
                <w:color w:val="000000"/>
                <w:sz w:val="19"/>
                <w:szCs w:val="19"/>
              </w:rPr>
            </w:pPr>
            <w:r w:rsidRPr="0EA91E1D">
              <w:rPr>
                <w:rFonts w:eastAsia="Times New Roman" w:cs="Arial"/>
                <w:b w:val="0"/>
                <w:color w:val="000000" w:themeColor="text1"/>
                <w:sz w:val="19"/>
                <w:szCs w:val="19"/>
              </w:rPr>
              <w:t>3.23</w:t>
            </w:r>
          </w:p>
          <w:p w14:paraId="32E1CE49" w14:textId="5080F39B" w:rsidR="007F0116" w:rsidRPr="009A5FA0" w:rsidRDefault="001F5115" w:rsidP="006E0383">
            <w:pPr>
              <w:pStyle w:val="In-tableHeading"/>
              <w:keepNext w:val="0"/>
              <w:widowControl w:val="0"/>
              <w:jc w:val="center"/>
              <w:rPr>
                <w:rFonts w:eastAsia="Times New Roman" w:cs="Arial"/>
                <w:bCs/>
                <w:color w:val="FF0000"/>
                <w:sz w:val="19"/>
                <w:szCs w:val="19"/>
              </w:rPr>
            </w:pPr>
            <w:r w:rsidRPr="0EA91E1D">
              <w:rPr>
                <w:rFonts w:eastAsia="Times New Roman" w:cs="Arial"/>
                <w:b w:val="0"/>
                <w:color w:val="000000" w:themeColor="text1"/>
                <w:sz w:val="19"/>
                <w:szCs w:val="19"/>
              </w:rPr>
              <w:t xml:space="preserve"> (0.90, 11.64)</w:t>
            </w:r>
          </w:p>
        </w:tc>
        <w:tc>
          <w:tcPr>
            <w:tcW w:w="1485" w:type="dxa"/>
            <w:tcBorders>
              <w:top w:val="single" w:sz="4" w:space="0" w:color="auto"/>
              <w:left w:val="single" w:sz="4" w:space="0" w:color="auto"/>
              <w:bottom w:val="single" w:sz="4" w:space="0" w:color="auto"/>
              <w:right w:val="single" w:sz="4" w:space="0" w:color="auto"/>
            </w:tcBorders>
          </w:tcPr>
          <w:p w14:paraId="1BB39B1E" w14:textId="2130EB7F" w:rsidR="007F0116" w:rsidRPr="009A5FA0" w:rsidRDefault="001F5115" w:rsidP="006E0383">
            <w:pPr>
              <w:pStyle w:val="In-tableHeading"/>
              <w:keepNext w:val="0"/>
              <w:widowControl w:val="0"/>
              <w:jc w:val="center"/>
              <w:rPr>
                <w:rFonts w:eastAsia="Times New Roman" w:cs="Arial"/>
                <w:bCs/>
                <w:color w:val="FF0000"/>
                <w:sz w:val="19"/>
                <w:szCs w:val="19"/>
              </w:rPr>
            </w:pPr>
            <w:r w:rsidRPr="009A5FA0">
              <w:rPr>
                <w:rFonts w:eastAsia="Times New Roman" w:cs="Arial"/>
                <w:b w:val="0"/>
                <w:color w:val="000000"/>
                <w:sz w:val="19"/>
                <w:szCs w:val="19"/>
              </w:rPr>
              <w:t>0.05 (0.00, 0.11)</w:t>
            </w:r>
          </w:p>
        </w:tc>
      </w:tr>
      <w:tr w:rsidR="007F0116" w:rsidRPr="0074357C" w14:paraId="2649282E" w14:textId="77777777" w:rsidTr="006E0383">
        <w:trPr>
          <w:trHeight w:val="20"/>
        </w:trPr>
        <w:tc>
          <w:tcPr>
            <w:tcW w:w="3309" w:type="dxa"/>
            <w:gridSpan w:val="3"/>
            <w:vMerge/>
            <w:tcBorders>
              <w:right w:val="single" w:sz="4" w:space="0" w:color="auto"/>
            </w:tcBorders>
            <w:vAlign w:val="center"/>
          </w:tcPr>
          <w:p w14:paraId="29038DC9" w14:textId="77777777" w:rsidR="007F0116" w:rsidRPr="0074357C" w:rsidRDefault="007F0116" w:rsidP="006E0383">
            <w:pPr>
              <w:pStyle w:val="In-tableHeading"/>
              <w:keepNext w:val="0"/>
              <w:widowControl w:val="0"/>
              <w:jc w:val="center"/>
              <w:rPr>
                <w:rFonts w:eastAsia="Times New Roman" w:cs="Arial"/>
                <w:color w:val="000000"/>
                <w:sz w:val="19"/>
                <w:szCs w:val="19"/>
              </w:rPr>
            </w:pPr>
          </w:p>
        </w:tc>
        <w:tc>
          <w:tcPr>
            <w:tcW w:w="1364" w:type="dxa"/>
            <w:tcBorders>
              <w:top w:val="single" w:sz="4" w:space="0" w:color="auto"/>
              <w:left w:val="single" w:sz="4" w:space="0" w:color="auto"/>
              <w:bottom w:val="single" w:sz="4" w:space="0" w:color="auto"/>
              <w:right w:val="single" w:sz="4" w:space="0" w:color="auto"/>
            </w:tcBorders>
          </w:tcPr>
          <w:p w14:paraId="08631085" w14:textId="6CC7277F" w:rsidR="007F0116" w:rsidRPr="009A5FA0" w:rsidRDefault="001F5115" w:rsidP="006E0383">
            <w:pPr>
              <w:widowControl w:val="0"/>
              <w:jc w:val="left"/>
              <w:rPr>
                <w:rFonts w:ascii="Arial Narrow" w:hAnsi="Arial Narrow"/>
                <w:color w:val="000000"/>
                <w:sz w:val="19"/>
                <w:szCs w:val="19"/>
                <w:lang w:val="en-US"/>
              </w:rPr>
            </w:pPr>
            <w:r w:rsidRPr="009A5FA0">
              <w:rPr>
                <w:rFonts w:ascii="Arial Narrow" w:hAnsi="Arial Narrow"/>
                <w:color w:val="000000"/>
                <w:sz w:val="19"/>
                <w:szCs w:val="19"/>
                <w:lang w:val="en-US"/>
              </w:rPr>
              <w:t>UPA vs VDZ SC</w:t>
            </w:r>
          </w:p>
        </w:tc>
        <w:tc>
          <w:tcPr>
            <w:tcW w:w="1418" w:type="dxa"/>
            <w:tcBorders>
              <w:top w:val="single" w:sz="4" w:space="0" w:color="auto"/>
              <w:left w:val="single" w:sz="4" w:space="0" w:color="auto"/>
              <w:bottom w:val="single" w:sz="4" w:space="0" w:color="auto"/>
              <w:right w:val="single" w:sz="4" w:space="0" w:color="auto"/>
            </w:tcBorders>
          </w:tcPr>
          <w:p w14:paraId="79C12C95" w14:textId="77777777" w:rsidR="001F5115" w:rsidRDefault="001F5115" w:rsidP="006E0383">
            <w:pPr>
              <w:widowControl w:val="0"/>
              <w:jc w:val="center"/>
              <w:rPr>
                <w:rFonts w:ascii="Arial Narrow" w:hAnsi="Arial Narrow"/>
                <w:color w:val="000000"/>
                <w:sz w:val="19"/>
                <w:szCs w:val="19"/>
                <w:lang w:val="en-US"/>
              </w:rPr>
            </w:pPr>
            <w:r w:rsidRPr="0EA91E1D">
              <w:rPr>
                <w:rFonts w:ascii="Arial Narrow" w:hAnsi="Arial Narrow"/>
                <w:color w:val="000000" w:themeColor="text1"/>
                <w:sz w:val="19"/>
                <w:szCs w:val="19"/>
                <w:lang w:val="en-US"/>
              </w:rPr>
              <w:t xml:space="preserve">3.47 </w:t>
            </w:r>
          </w:p>
          <w:p w14:paraId="5B7D7024" w14:textId="77971302" w:rsidR="007F0116" w:rsidRPr="009A5FA0" w:rsidRDefault="001F5115" w:rsidP="006E0383">
            <w:pPr>
              <w:widowControl w:val="0"/>
              <w:jc w:val="center"/>
              <w:rPr>
                <w:rFonts w:ascii="Arial Narrow" w:hAnsi="Arial Narrow"/>
                <w:b/>
                <w:bCs/>
                <w:color w:val="FF0000"/>
                <w:sz w:val="19"/>
                <w:szCs w:val="19"/>
                <w:lang w:val="en-US"/>
              </w:rPr>
            </w:pPr>
            <w:r w:rsidRPr="0EA91E1D">
              <w:rPr>
                <w:rFonts w:ascii="Arial Narrow" w:hAnsi="Arial Narrow"/>
                <w:color w:val="000000" w:themeColor="text1"/>
                <w:sz w:val="19"/>
                <w:szCs w:val="19"/>
                <w:lang w:val="en-US"/>
              </w:rPr>
              <w:t>(1.00, 12.08)</w:t>
            </w:r>
          </w:p>
        </w:tc>
        <w:tc>
          <w:tcPr>
            <w:tcW w:w="1441" w:type="dxa"/>
            <w:tcBorders>
              <w:top w:val="single" w:sz="4" w:space="0" w:color="auto"/>
              <w:left w:val="single" w:sz="4" w:space="0" w:color="auto"/>
              <w:bottom w:val="single" w:sz="4" w:space="0" w:color="auto"/>
              <w:right w:val="single" w:sz="4" w:space="0" w:color="auto"/>
            </w:tcBorders>
          </w:tcPr>
          <w:p w14:paraId="3F7D5F67" w14:textId="77777777" w:rsidR="001F5115" w:rsidRDefault="001F5115" w:rsidP="006E0383">
            <w:pPr>
              <w:pStyle w:val="In-tableHeading"/>
              <w:keepNext w:val="0"/>
              <w:widowControl w:val="0"/>
              <w:jc w:val="center"/>
              <w:rPr>
                <w:rFonts w:eastAsia="Times New Roman" w:cs="Arial"/>
                <w:b w:val="0"/>
                <w:color w:val="000000"/>
                <w:sz w:val="19"/>
                <w:szCs w:val="19"/>
              </w:rPr>
            </w:pPr>
            <w:r w:rsidRPr="0EA91E1D">
              <w:rPr>
                <w:rFonts w:eastAsia="Times New Roman" w:cs="Arial"/>
                <w:b w:val="0"/>
                <w:color w:val="000000" w:themeColor="text1"/>
                <w:sz w:val="19"/>
                <w:szCs w:val="19"/>
              </w:rPr>
              <w:t xml:space="preserve">3.25 </w:t>
            </w:r>
          </w:p>
          <w:p w14:paraId="76440D43" w14:textId="02D84FE3" w:rsidR="007F0116" w:rsidRPr="009A5FA0" w:rsidRDefault="001F5115" w:rsidP="006E0383">
            <w:pPr>
              <w:pStyle w:val="In-tableHeading"/>
              <w:keepNext w:val="0"/>
              <w:widowControl w:val="0"/>
              <w:jc w:val="center"/>
              <w:rPr>
                <w:rFonts w:eastAsia="Times New Roman" w:cs="Arial"/>
                <w:bCs/>
                <w:color w:val="FF0000"/>
                <w:sz w:val="19"/>
                <w:szCs w:val="19"/>
              </w:rPr>
            </w:pPr>
            <w:r w:rsidRPr="0EA91E1D">
              <w:rPr>
                <w:rFonts w:eastAsia="Times New Roman" w:cs="Arial"/>
                <w:b w:val="0"/>
                <w:color w:val="000000" w:themeColor="text1"/>
                <w:sz w:val="19"/>
                <w:szCs w:val="19"/>
              </w:rPr>
              <w:t>(1.00, 10.59)</w:t>
            </w:r>
          </w:p>
        </w:tc>
        <w:tc>
          <w:tcPr>
            <w:tcW w:w="1485" w:type="dxa"/>
            <w:tcBorders>
              <w:top w:val="single" w:sz="4" w:space="0" w:color="auto"/>
              <w:left w:val="single" w:sz="4" w:space="0" w:color="auto"/>
              <w:bottom w:val="single" w:sz="4" w:space="0" w:color="auto"/>
              <w:right w:val="single" w:sz="4" w:space="0" w:color="auto"/>
            </w:tcBorders>
          </w:tcPr>
          <w:p w14:paraId="2BBDAAAB" w14:textId="058E0B4A" w:rsidR="007F0116" w:rsidRPr="009A5FA0" w:rsidRDefault="001F5115" w:rsidP="006E0383">
            <w:pPr>
              <w:pStyle w:val="In-tableHeading"/>
              <w:keepNext w:val="0"/>
              <w:widowControl w:val="0"/>
              <w:jc w:val="center"/>
              <w:rPr>
                <w:rFonts w:eastAsia="Times New Roman" w:cs="Arial"/>
                <w:bCs/>
                <w:color w:val="FF0000"/>
                <w:sz w:val="19"/>
                <w:szCs w:val="19"/>
              </w:rPr>
            </w:pPr>
            <w:r w:rsidRPr="009A5FA0">
              <w:rPr>
                <w:rFonts w:eastAsia="Times New Roman" w:cs="Arial"/>
                <w:b w:val="0"/>
                <w:color w:val="000000"/>
                <w:sz w:val="19"/>
                <w:szCs w:val="19"/>
              </w:rPr>
              <w:t>0.06 (0.00, 0.13)</w:t>
            </w:r>
          </w:p>
        </w:tc>
      </w:tr>
    </w:tbl>
    <w:p w14:paraId="0000B04C" w14:textId="31DCAF9D" w:rsidR="0059604F" w:rsidRPr="007B5FA8" w:rsidRDefault="0059604F" w:rsidP="00E4034F">
      <w:pPr>
        <w:pStyle w:val="TableFigureFooter"/>
      </w:pPr>
      <w:r w:rsidRPr="007B5FA8">
        <w:t>Source: Table 2.3</w:t>
      </w:r>
      <w:r>
        <w:t>1</w:t>
      </w:r>
      <w:r w:rsidRPr="007B5FA8">
        <w:t>, p15</w:t>
      </w:r>
      <w:r>
        <w:t>5</w:t>
      </w:r>
      <w:r w:rsidRPr="007B5FA8">
        <w:t xml:space="preserve"> of the submission.</w:t>
      </w:r>
    </w:p>
    <w:p w14:paraId="3577FFE5" w14:textId="76C9AB3B" w:rsidR="0059604F" w:rsidRPr="007B5FA8" w:rsidRDefault="0059604F" w:rsidP="00E4034F">
      <w:pPr>
        <w:pStyle w:val="TableFigureFooter"/>
      </w:pPr>
      <w:r w:rsidRPr="007B5FA8">
        <w:t>ADA</w:t>
      </w:r>
      <w:r>
        <w:t>=</w:t>
      </w:r>
      <w:r w:rsidRPr="007B5FA8">
        <w:t xml:space="preserve"> adalimumab; AE</w:t>
      </w:r>
      <w:r>
        <w:t>=</w:t>
      </w:r>
      <w:r w:rsidRPr="007B5FA8">
        <w:t xml:space="preserve"> adverse event; AT</w:t>
      </w:r>
      <w:r>
        <w:t>=</w:t>
      </w:r>
      <w:r w:rsidRPr="007B5FA8">
        <w:t xml:space="preserve"> active treatment; CI</w:t>
      </w:r>
      <w:r>
        <w:t>=</w:t>
      </w:r>
      <w:r w:rsidRPr="007B5FA8">
        <w:t xml:space="preserve"> confidence interval; IFX</w:t>
      </w:r>
      <w:r>
        <w:t>=</w:t>
      </w:r>
      <w:r w:rsidRPr="007B5FA8">
        <w:t xml:space="preserve"> infliximab; ITC</w:t>
      </w:r>
      <w:r>
        <w:t>=</w:t>
      </w:r>
      <w:r w:rsidRPr="007B5FA8">
        <w:t xml:space="preserve"> indirect trial comparison; </w:t>
      </w:r>
      <w:r>
        <w:t>mg</w:t>
      </w:r>
      <w:r w:rsidR="008B1228">
        <w:t xml:space="preserve">= </w:t>
      </w:r>
      <w:r w:rsidR="00F50E60">
        <w:t>milligram</w:t>
      </w:r>
      <w:r>
        <w:t xml:space="preserve">; </w:t>
      </w:r>
      <w:r w:rsidR="005774FE" w:rsidRPr="005774FE">
        <w:t>n</w:t>
      </w:r>
      <w:r w:rsidR="008B1228">
        <w:t xml:space="preserve">= </w:t>
      </w:r>
      <w:r w:rsidR="005774FE" w:rsidRPr="005774FE">
        <w:t>number of participants with event; N</w:t>
      </w:r>
      <w:r w:rsidR="008B1228">
        <w:t xml:space="preserve">= </w:t>
      </w:r>
      <w:r w:rsidR="005774FE" w:rsidRPr="005774FE">
        <w:t>total participants in group;</w:t>
      </w:r>
      <w:r>
        <w:t xml:space="preserve"> </w:t>
      </w:r>
      <w:r w:rsidRPr="007B5FA8">
        <w:t>NA</w:t>
      </w:r>
      <w:r>
        <w:t>=</w:t>
      </w:r>
      <w:r w:rsidRPr="007B5FA8">
        <w:t xml:space="preserve"> not applicable; NR</w:t>
      </w:r>
      <w:r>
        <w:t>=</w:t>
      </w:r>
      <w:r w:rsidRPr="007B5FA8">
        <w:t xml:space="preserve"> not reported; OR</w:t>
      </w:r>
      <w:r>
        <w:t>=</w:t>
      </w:r>
      <w:r w:rsidRPr="007B5FA8">
        <w:t xml:space="preserve"> odds ratio; PBO</w:t>
      </w:r>
      <w:r>
        <w:t>=</w:t>
      </w:r>
      <w:r w:rsidRPr="007B5FA8">
        <w:t xml:space="preserve"> placebo; RD</w:t>
      </w:r>
      <w:r>
        <w:t>=</w:t>
      </w:r>
      <w:r w:rsidRPr="007B5FA8">
        <w:t xml:space="preserve"> risk difference; RISA</w:t>
      </w:r>
      <w:r>
        <w:t>=</w:t>
      </w:r>
      <w:r w:rsidRPr="007B5FA8">
        <w:t xml:space="preserve"> Risankizumab; RR</w:t>
      </w:r>
      <w:r>
        <w:t>=</w:t>
      </w:r>
      <w:r w:rsidRPr="007B5FA8">
        <w:t xml:space="preserve"> relative risk; SAE</w:t>
      </w:r>
      <w:r>
        <w:t>=</w:t>
      </w:r>
      <w:r w:rsidRPr="007B5FA8">
        <w:t xml:space="preserve"> serious adverse event; </w:t>
      </w:r>
      <w:r>
        <w:t xml:space="preserve">SC= </w:t>
      </w:r>
      <w:r w:rsidRPr="00375F58">
        <w:t>subcutaneous</w:t>
      </w:r>
      <w:r>
        <w:t>;</w:t>
      </w:r>
      <w:r w:rsidRPr="00375F58">
        <w:t xml:space="preserve"> </w:t>
      </w:r>
      <w:r w:rsidRPr="007B5FA8">
        <w:t>UPA</w:t>
      </w:r>
      <w:r>
        <w:t>=</w:t>
      </w:r>
      <w:r w:rsidRPr="007B5FA8">
        <w:t xml:space="preserve"> upadacitinib; UST</w:t>
      </w:r>
      <w:r>
        <w:t>=</w:t>
      </w:r>
      <w:r w:rsidRPr="007B5FA8">
        <w:t xml:space="preserve"> ustekinumab; VDZ</w:t>
      </w:r>
      <w:r>
        <w:t>=</w:t>
      </w:r>
      <w:r w:rsidRPr="007B5FA8">
        <w:t xml:space="preserve"> vedolizumab</w:t>
      </w:r>
      <w:r>
        <w:t>; vs= versus</w:t>
      </w:r>
      <w:r w:rsidRPr="007B5FA8">
        <w:t>.</w:t>
      </w:r>
    </w:p>
    <w:p w14:paraId="57A0B514" w14:textId="77777777" w:rsidR="0059604F" w:rsidRDefault="0059604F" w:rsidP="002757F3">
      <w:pPr>
        <w:pStyle w:val="TableFigureFooter"/>
      </w:pPr>
      <w:r w:rsidRPr="00EE481F">
        <w:rPr>
          <w:b/>
          <w:bCs/>
        </w:rPr>
        <w:t xml:space="preserve">BOLD </w:t>
      </w:r>
      <w:r w:rsidRPr="00326A3C">
        <w:t>values mean significant results</w:t>
      </w:r>
      <w:r w:rsidRPr="007B5FA8">
        <w:t>.</w:t>
      </w:r>
      <w:r>
        <w:t xml:space="preserve"> </w:t>
      </w:r>
      <w:r w:rsidRPr="008E1A67">
        <w:rPr>
          <w:b/>
          <w:bCs/>
          <w:color w:val="FF0000"/>
        </w:rPr>
        <w:t>RED</w:t>
      </w:r>
      <w:r w:rsidRPr="00326A3C">
        <w:t xml:space="preserve"> indicates significant results in favour of comparators</w:t>
      </w:r>
      <w:r>
        <w:t xml:space="preserve">. </w:t>
      </w:r>
    </w:p>
    <w:p w14:paraId="4B4FB36E" w14:textId="77777777" w:rsidR="0059604F" w:rsidRPr="00826E45" w:rsidRDefault="0059604F" w:rsidP="00326A3C">
      <w:pPr>
        <w:pStyle w:val="TableFigureFooter"/>
      </w:pPr>
      <w:r w:rsidRPr="00826E45">
        <w:rPr>
          <w:vertAlign w:val="superscript"/>
        </w:rPr>
        <w:t>a</w:t>
      </w:r>
      <w:r w:rsidRPr="00826E45">
        <w:t xml:space="preserve"> Corrected values were calculated during the evaluation.</w:t>
      </w:r>
    </w:p>
    <w:p w14:paraId="4BA363C5" w14:textId="1FFB0028" w:rsidR="0059604F" w:rsidRDefault="0059604F" w:rsidP="00326A3C">
      <w:pPr>
        <w:pStyle w:val="TableFigureFooter"/>
      </w:pPr>
      <w:r w:rsidRPr="00326A3C">
        <w:rPr>
          <w:vertAlign w:val="superscript"/>
        </w:rPr>
        <w:t>b</w:t>
      </w:r>
      <w:r>
        <w:t xml:space="preserve"> Pooled Adalimumab trials: </w:t>
      </w:r>
      <w:r w:rsidRPr="00326A3C">
        <w:t>CLASSIC II, CHARM, Watanabe 2012</w:t>
      </w:r>
      <w:r>
        <w:t xml:space="preserve">; Pooled RISA trial: </w:t>
      </w:r>
      <w:r w:rsidRPr="00326A3C">
        <w:t>FORTIFY</w:t>
      </w:r>
      <w:r>
        <w:t xml:space="preserve">; Pooled Infliximab trial: </w:t>
      </w:r>
      <w:r w:rsidRPr="00326A3C">
        <w:t>ACCENT I</w:t>
      </w:r>
      <w:r>
        <w:t xml:space="preserve">; Pooled Vedolizumab trials: </w:t>
      </w:r>
      <w:r w:rsidRPr="00326A3C">
        <w:t>GEMINI II, Watanabe 2020</w:t>
      </w:r>
      <w:r>
        <w:t>; Vedolizumab</w:t>
      </w:r>
      <w:r w:rsidRPr="007B5FA8">
        <w:rPr>
          <w:lang w:val="en-US"/>
        </w:rPr>
        <w:t xml:space="preserve"> </w:t>
      </w:r>
      <w:r>
        <w:rPr>
          <w:lang w:val="en-US"/>
        </w:rPr>
        <w:t xml:space="preserve">SC trial: </w:t>
      </w:r>
      <w:r w:rsidRPr="007B5FA8">
        <w:rPr>
          <w:lang w:val="en-US"/>
        </w:rPr>
        <w:t>VISIBLE 2</w:t>
      </w:r>
      <w:r>
        <w:rPr>
          <w:lang w:val="en-US"/>
        </w:rPr>
        <w:t xml:space="preserve">; </w:t>
      </w:r>
      <w:r>
        <w:t xml:space="preserve">Pooled Ustekinumab trial: </w:t>
      </w:r>
      <w:r w:rsidRPr="00326A3C">
        <w:t>IM-UNITI</w:t>
      </w:r>
      <w:r>
        <w:t>.</w:t>
      </w:r>
    </w:p>
    <w:p w14:paraId="7B41CD94" w14:textId="4A4A2525" w:rsidR="003265C2" w:rsidRDefault="003265C2" w:rsidP="00326A3C">
      <w:pPr>
        <w:pStyle w:val="TableFigureFooter"/>
      </w:pPr>
      <w:r w:rsidRPr="00320E45">
        <w:rPr>
          <w:vertAlign w:val="superscript"/>
        </w:rPr>
        <w:t xml:space="preserve">c </w:t>
      </w:r>
      <w:r w:rsidRPr="00320E45">
        <w:t xml:space="preserve">Indirect comparisons were shown separately for 30 mg and 15 mg doses </w:t>
      </w:r>
      <w:r w:rsidR="00320E45">
        <w:t xml:space="preserve">of upadacitinib </w:t>
      </w:r>
      <w:r w:rsidRPr="00320E45">
        <w:t xml:space="preserve">because of the variability in the effect sizes. For example, UPA vs VDZ </w:t>
      </w:r>
      <w:r w:rsidR="00320E45" w:rsidRPr="00320E45">
        <w:t>indirect compari</w:t>
      </w:r>
      <w:r w:rsidR="00320E45">
        <w:t>s</w:t>
      </w:r>
      <w:r w:rsidR="00320E45" w:rsidRPr="00320E45">
        <w:t>ons were</w:t>
      </w:r>
      <w:r w:rsidRPr="00320E45">
        <w:t xml:space="preserve"> only significant </w:t>
      </w:r>
      <w:r w:rsidR="00320E45" w:rsidRPr="00320E45">
        <w:t>with the 15 mg dose</w:t>
      </w:r>
      <w:r w:rsidR="00F50E60">
        <w:t xml:space="preserve"> for AEs resulting in discontinuation</w:t>
      </w:r>
      <w:r w:rsidR="00320E45">
        <w:t xml:space="preserve">. </w:t>
      </w:r>
    </w:p>
    <w:bookmarkEnd w:id="72"/>
    <w:p w14:paraId="3C8E5676" w14:textId="226ECF34" w:rsidR="0059604F" w:rsidRDefault="006E0A24" w:rsidP="002757F3">
      <w:pPr>
        <w:pStyle w:val="3-BodyText"/>
        <w:rPr>
          <w:color w:val="000000" w:themeColor="text1"/>
        </w:rPr>
      </w:pPr>
      <w:r w:rsidRPr="00E4034F" w:rsidDel="006E0A24">
        <w:rPr>
          <w:color w:val="000000" w:themeColor="text1"/>
        </w:rPr>
        <w:t xml:space="preserve">Overall, </w:t>
      </w:r>
      <w:r w:rsidDel="006E0A24">
        <w:rPr>
          <w:color w:val="000000" w:themeColor="text1"/>
        </w:rPr>
        <w:t>the maintenance phase indirect treatment</w:t>
      </w:r>
      <w:r w:rsidRPr="00E4034F" w:rsidDel="006E0A24">
        <w:rPr>
          <w:color w:val="000000" w:themeColor="text1"/>
        </w:rPr>
        <w:t xml:space="preserve"> results did not show statistically significant differences </w:t>
      </w:r>
      <w:r w:rsidDel="006E0A24">
        <w:rPr>
          <w:color w:val="000000" w:themeColor="text1"/>
        </w:rPr>
        <w:t xml:space="preserve">between upadacitinib and the comparators, except for the AEs leading to discontinuation. </w:t>
      </w:r>
      <w:r w:rsidR="00FB4258" w:rsidRPr="00FB4258">
        <w:rPr>
          <w:color w:val="000000" w:themeColor="text1"/>
        </w:rPr>
        <w:t xml:space="preserve">Patients in the upadacitinib </w:t>
      </w:r>
      <w:r w:rsidR="00FB4258">
        <w:rPr>
          <w:color w:val="000000" w:themeColor="text1"/>
        </w:rPr>
        <w:t>15</w:t>
      </w:r>
      <w:r w:rsidR="0034364A">
        <w:rPr>
          <w:rFonts w:ascii="Arial Narrow" w:eastAsiaTheme="majorEastAsia" w:hAnsi="Arial Narrow"/>
          <w:sz w:val="18"/>
          <w:szCs w:val="22"/>
        </w:rPr>
        <w:t> </w:t>
      </w:r>
      <w:r w:rsidR="00FB4258" w:rsidRPr="00FB4258">
        <w:rPr>
          <w:color w:val="000000" w:themeColor="text1"/>
        </w:rPr>
        <w:t>mg group had a significantly higher proportion of patients discontinuing due to AEs compared to adalimumab</w:t>
      </w:r>
      <w:r w:rsidR="00767573">
        <w:rPr>
          <w:color w:val="000000" w:themeColor="text1"/>
        </w:rPr>
        <w:t xml:space="preserve">, </w:t>
      </w:r>
      <w:r w:rsidR="00767573" w:rsidRPr="00767573">
        <w:rPr>
          <w:color w:val="000000" w:themeColor="text1"/>
        </w:rPr>
        <w:t>vedolizumab</w:t>
      </w:r>
      <w:r w:rsidR="00767573">
        <w:rPr>
          <w:color w:val="000000" w:themeColor="text1"/>
        </w:rPr>
        <w:t xml:space="preserve"> and </w:t>
      </w:r>
      <w:r w:rsidR="00767573" w:rsidRPr="00767573">
        <w:rPr>
          <w:color w:val="000000" w:themeColor="text1"/>
        </w:rPr>
        <w:t>vedolizumab</w:t>
      </w:r>
      <w:r w:rsidR="00767573">
        <w:rPr>
          <w:color w:val="000000" w:themeColor="text1"/>
        </w:rPr>
        <w:t xml:space="preserve"> SC</w:t>
      </w:r>
      <w:r w:rsidR="00FB4258" w:rsidRPr="00FB4258">
        <w:rPr>
          <w:color w:val="000000" w:themeColor="text1"/>
        </w:rPr>
        <w:t xml:space="preserve"> (</w:t>
      </w:r>
      <w:r w:rsidR="00767573">
        <w:rPr>
          <w:color w:val="000000" w:themeColor="text1"/>
        </w:rPr>
        <w:t>in terms of</w:t>
      </w:r>
      <w:r w:rsidR="00FB4258" w:rsidRPr="00FB4258">
        <w:rPr>
          <w:color w:val="000000" w:themeColor="text1"/>
        </w:rPr>
        <w:t xml:space="preserve"> OR, RR and RD)</w:t>
      </w:r>
      <w:r w:rsidR="00FB4258">
        <w:rPr>
          <w:color w:val="000000" w:themeColor="text1"/>
        </w:rPr>
        <w:t xml:space="preserve">. </w:t>
      </w:r>
      <w:r>
        <w:rPr>
          <w:color w:val="000000" w:themeColor="text1"/>
        </w:rPr>
        <w:t>P</w:t>
      </w:r>
      <w:r w:rsidR="0059604F" w:rsidRPr="00E4034F">
        <w:rPr>
          <w:color w:val="000000" w:themeColor="text1"/>
        </w:rPr>
        <w:t>atients in the upadacitinib 30</w:t>
      </w:r>
      <w:r w:rsidR="0034364A">
        <w:rPr>
          <w:rFonts w:ascii="Arial Narrow" w:eastAsiaTheme="majorEastAsia" w:hAnsi="Arial Narrow"/>
          <w:sz w:val="18"/>
          <w:szCs w:val="22"/>
        </w:rPr>
        <w:t> </w:t>
      </w:r>
      <w:r w:rsidR="0059604F" w:rsidRPr="00E4034F">
        <w:rPr>
          <w:color w:val="000000" w:themeColor="text1"/>
        </w:rPr>
        <w:t xml:space="preserve">mg group had a </w:t>
      </w:r>
      <w:r w:rsidR="0059604F" w:rsidRPr="00565549">
        <w:rPr>
          <w:color w:val="000000" w:themeColor="text1"/>
        </w:rPr>
        <w:t xml:space="preserve">significantly higher proportion of patients discontinuing due to AEs </w:t>
      </w:r>
      <w:r w:rsidR="00C925C7">
        <w:rPr>
          <w:color w:val="000000" w:themeColor="text1"/>
        </w:rPr>
        <w:t>compared</w:t>
      </w:r>
      <w:r w:rsidR="0059604F" w:rsidRPr="00565549">
        <w:rPr>
          <w:color w:val="000000" w:themeColor="text1"/>
        </w:rPr>
        <w:t xml:space="preserve"> to adalimumab </w:t>
      </w:r>
      <w:bookmarkStart w:id="74" w:name="_Hlk121295726"/>
      <w:r w:rsidR="0059604F" w:rsidRPr="00565549">
        <w:rPr>
          <w:color w:val="000000" w:themeColor="text1"/>
        </w:rPr>
        <w:t>(</w:t>
      </w:r>
      <w:bookmarkEnd w:id="74"/>
      <w:r w:rsidR="008658C7">
        <w:rPr>
          <w:color w:val="000000" w:themeColor="text1"/>
        </w:rPr>
        <w:t>in terms of</w:t>
      </w:r>
      <w:r w:rsidR="0059604F" w:rsidRPr="00565549">
        <w:rPr>
          <w:color w:val="000000" w:themeColor="text1"/>
        </w:rPr>
        <w:t xml:space="preserve"> </w:t>
      </w:r>
      <w:r w:rsidR="003C254B">
        <w:rPr>
          <w:color w:val="000000" w:themeColor="text1"/>
        </w:rPr>
        <w:t>OR</w:t>
      </w:r>
      <w:r w:rsidR="0059604F" w:rsidRPr="00565549">
        <w:rPr>
          <w:color w:val="000000" w:themeColor="text1"/>
        </w:rPr>
        <w:t xml:space="preserve">, </w:t>
      </w:r>
      <w:r w:rsidR="003C254B">
        <w:rPr>
          <w:color w:val="000000" w:themeColor="text1"/>
        </w:rPr>
        <w:t>RR</w:t>
      </w:r>
      <w:r w:rsidR="0059604F" w:rsidRPr="00565549">
        <w:rPr>
          <w:color w:val="000000" w:themeColor="text1"/>
        </w:rPr>
        <w:t xml:space="preserve"> and </w:t>
      </w:r>
      <w:r w:rsidR="003C254B">
        <w:rPr>
          <w:color w:val="000000" w:themeColor="text1"/>
        </w:rPr>
        <w:t>RD</w:t>
      </w:r>
      <w:r w:rsidR="0059604F" w:rsidRPr="00565549">
        <w:rPr>
          <w:color w:val="000000" w:themeColor="text1"/>
        </w:rPr>
        <w:t>)</w:t>
      </w:r>
      <w:r w:rsidR="00BB00F8">
        <w:rPr>
          <w:color w:val="000000" w:themeColor="text1"/>
        </w:rPr>
        <w:t>.</w:t>
      </w:r>
      <w:r w:rsidR="003C254B">
        <w:rPr>
          <w:color w:val="000000" w:themeColor="text1"/>
        </w:rPr>
        <w:t xml:space="preserve"> </w:t>
      </w:r>
      <w:r w:rsidR="0059604F" w:rsidRPr="00565549">
        <w:rPr>
          <w:color w:val="000000" w:themeColor="text1"/>
        </w:rPr>
        <w:t>Conversely, significantly fewer patients discontinued due to AEs on upadacitinib 30</w:t>
      </w:r>
      <w:r w:rsidR="0034364A">
        <w:rPr>
          <w:rFonts w:ascii="Arial Narrow" w:eastAsiaTheme="majorEastAsia" w:hAnsi="Arial Narrow"/>
          <w:sz w:val="18"/>
          <w:szCs w:val="22"/>
        </w:rPr>
        <w:t> </w:t>
      </w:r>
      <w:r w:rsidR="0059604F" w:rsidRPr="00565549">
        <w:rPr>
          <w:color w:val="000000" w:themeColor="text1"/>
        </w:rPr>
        <w:t xml:space="preserve">mg </w:t>
      </w:r>
      <w:r w:rsidR="00C925C7">
        <w:rPr>
          <w:color w:val="000000" w:themeColor="text1"/>
        </w:rPr>
        <w:t>than</w:t>
      </w:r>
      <w:r w:rsidR="0059604F" w:rsidRPr="00565549">
        <w:rPr>
          <w:color w:val="000000" w:themeColor="text1"/>
        </w:rPr>
        <w:t xml:space="preserve"> infliximab (</w:t>
      </w:r>
      <w:r w:rsidR="008658C7">
        <w:rPr>
          <w:color w:val="000000" w:themeColor="text1"/>
        </w:rPr>
        <w:t>in terms of</w:t>
      </w:r>
      <w:r w:rsidR="0059604F" w:rsidRPr="00565549">
        <w:rPr>
          <w:color w:val="000000" w:themeColor="text1"/>
        </w:rPr>
        <w:t xml:space="preserve"> </w:t>
      </w:r>
      <w:r w:rsidR="003C254B">
        <w:rPr>
          <w:color w:val="000000" w:themeColor="text1"/>
        </w:rPr>
        <w:t>OR</w:t>
      </w:r>
      <w:r w:rsidR="003C254B" w:rsidRPr="00565549">
        <w:rPr>
          <w:color w:val="000000" w:themeColor="text1"/>
        </w:rPr>
        <w:t xml:space="preserve">, </w:t>
      </w:r>
      <w:r w:rsidR="003C254B">
        <w:rPr>
          <w:color w:val="000000" w:themeColor="text1"/>
        </w:rPr>
        <w:t>RR</w:t>
      </w:r>
      <w:r w:rsidR="003C254B" w:rsidRPr="00565549">
        <w:rPr>
          <w:color w:val="000000" w:themeColor="text1"/>
        </w:rPr>
        <w:t xml:space="preserve"> and </w:t>
      </w:r>
      <w:r w:rsidR="003C254B">
        <w:rPr>
          <w:color w:val="000000" w:themeColor="text1"/>
        </w:rPr>
        <w:t>RD</w:t>
      </w:r>
      <w:r w:rsidR="0059604F" w:rsidRPr="00565549">
        <w:rPr>
          <w:color w:val="000000" w:themeColor="text1"/>
        </w:rPr>
        <w:t xml:space="preserve">). </w:t>
      </w:r>
    </w:p>
    <w:p w14:paraId="424FD666" w14:textId="0F8EB434" w:rsidR="003829B4" w:rsidRDefault="000317D3" w:rsidP="00D86231">
      <w:pPr>
        <w:pStyle w:val="3-BodyText"/>
        <w:rPr>
          <w:color w:val="000000" w:themeColor="text1"/>
        </w:rPr>
      </w:pPr>
      <w:r>
        <w:rPr>
          <w:color w:val="000000" w:themeColor="text1"/>
        </w:rPr>
        <w:t>Overall, t</w:t>
      </w:r>
      <w:r w:rsidR="0059604F" w:rsidDel="006E0A24">
        <w:rPr>
          <w:color w:val="000000" w:themeColor="text1"/>
        </w:rPr>
        <w:t xml:space="preserve">he </w:t>
      </w:r>
      <w:r w:rsidR="006E0A24">
        <w:rPr>
          <w:color w:val="000000" w:themeColor="text1"/>
        </w:rPr>
        <w:t xml:space="preserve">safety </w:t>
      </w:r>
      <w:r w:rsidR="0059604F" w:rsidDel="006E0A24">
        <w:rPr>
          <w:color w:val="000000" w:themeColor="text1"/>
        </w:rPr>
        <w:t>results trended toward favouring comparators over upadacitinib</w:t>
      </w:r>
      <w:r w:rsidR="006A7E13">
        <w:rPr>
          <w:color w:val="000000" w:themeColor="text1"/>
        </w:rPr>
        <w:t xml:space="preserve"> over </w:t>
      </w:r>
      <w:r w:rsidR="00DA28F2">
        <w:rPr>
          <w:color w:val="000000" w:themeColor="text1"/>
        </w:rPr>
        <w:t xml:space="preserve">a period of </w:t>
      </w:r>
      <w:r w:rsidR="00E77D49">
        <w:rPr>
          <w:color w:val="000000" w:themeColor="text1"/>
        </w:rPr>
        <w:t>73 weeks</w:t>
      </w:r>
      <w:r w:rsidR="00691DA5">
        <w:rPr>
          <w:color w:val="000000" w:themeColor="text1"/>
        </w:rPr>
        <w:t xml:space="preserve"> in the induction and maintenance phases</w:t>
      </w:r>
      <w:r w:rsidR="0059604F" w:rsidRPr="00E4034F" w:rsidDel="006E0A24">
        <w:rPr>
          <w:color w:val="000000" w:themeColor="text1"/>
        </w:rPr>
        <w:t>.</w:t>
      </w:r>
      <w:r w:rsidR="006A7E13">
        <w:rPr>
          <w:color w:val="000000" w:themeColor="text1"/>
        </w:rPr>
        <w:t xml:space="preserve"> </w:t>
      </w:r>
    </w:p>
    <w:p w14:paraId="3B97CA61" w14:textId="48B78AEB" w:rsidR="0059604F" w:rsidRPr="00E4034F" w:rsidDel="006E0A24" w:rsidRDefault="003829B4" w:rsidP="00FB3AC6">
      <w:pPr>
        <w:pStyle w:val="3-BodyText"/>
      </w:pPr>
      <w:r>
        <w:lastRenderedPageBreak/>
        <w:t xml:space="preserve">The </w:t>
      </w:r>
      <w:r w:rsidRPr="003829B4">
        <w:t xml:space="preserve">safety profile observed in patients with CD treated with </w:t>
      </w:r>
      <w:r>
        <w:t>upadacitinib</w:t>
      </w:r>
      <w:r w:rsidRPr="003829B4">
        <w:t xml:space="preserve"> was </w:t>
      </w:r>
      <w:r>
        <w:t xml:space="preserve">broadly </w:t>
      </w:r>
      <w:r w:rsidRPr="003829B4">
        <w:t xml:space="preserve">consistent with the known safety profile of </w:t>
      </w:r>
      <w:r>
        <w:t>upadacitinib in other indications (</w:t>
      </w:r>
      <w:r w:rsidR="00601997">
        <w:t>pp18-</w:t>
      </w:r>
      <w:r w:rsidR="00E10DB9">
        <w:t>38</w:t>
      </w:r>
      <w:r w:rsidR="00601997">
        <w:t xml:space="preserve">, </w:t>
      </w:r>
      <w:r>
        <w:t xml:space="preserve">Upadacitinib Australian Product Information, September 2022). </w:t>
      </w:r>
      <w:r w:rsidR="001C29FA">
        <w:t xml:space="preserve">The PBAC previously noted that upadacitinib was </w:t>
      </w:r>
      <w:r w:rsidR="001C29FA" w:rsidRPr="001C29FA">
        <w:rPr>
          <w:color w:val="000000" w:themeColor="text1"/>
        </w:rPr>
        <w:t>included in the TGA Black Triangle Scheme and subject to additional post</w:t>
      </w:r>
      <w:r w:rsidR="001C29FA">
        <w:rPr>
          <w:color w:val="000000" w:themeColor="text1"/>
        </w:rPr>
        <w:t>-</w:t>
      </w:r>
      <w:r w:rsidR="001C29FA" w:rsidRPr="001C29FA">
        <w:rPr>
          <w:color w:val="000000" w:themeColor="text1"/>
        </w:rPr>
        <w:t>market surveillance</w:t>
      </w:r>
      <w:r w:rsidR="001C29FA">
        <w:rPr>
          <w:color w:val="000000" w:themeColor="text1"/>
        </w:rPr>
        <w:t xml:space="preserve"> (Paragraph 7.4, Upadacitinib </w:t>
      </w:r>
      <w:r w:rsidR="00507D16">
        <w:rPr>
          <w:color w:val="000000" w:themeColor="text1"/>
        </w:rPr>
        <w:t>PSD</w:t>
      </w:r>
      <w:r w:rsidR="001C29FA">
        <w:rPr>
          <w:color w:val="000000" w:themeColor="text1"/>
        </w:rPr>
        <w:t xml:space="preserve">, </w:t>
      </w:r>
      <w:r w:rsidR="00507D16">
        <w:rPr>
          <w:color w:val="000000" w:themeColor="text1"/>
        </w:rPr>
        <w:t>March </w:t>
      </w:r>
      <w:r w:rsidR="001C29FA">
        <w:rPr>
          <w:color w:val="000000" w:themeColor="text1"/>
        </w:rPr>
        <w:t>2021 PBAC meeting)</w:t>
      </w:r>
      <w:r w:rsidR="001C29FA" w:rsidRPr="001C29FA">
        <w:rPr>
          <w:color w:val="000000" w:themeColor="text1"/>
        </w:rPr>
        <w:t xml:space="preserve">. The PBAC </w:t>
      </w:r>
      <w:r w:rsidR="0086067C">
        <w:rPr>
          <w:color w:val="000000" w:themeColor="text1"/>
        </w:rPr>
        <w:t>also</w:t>
      </w:r>
      <w:r w:rsidR="00151BBB">
        <w:rPr>
          <w:color w:val="000000" w:themeColor="text1"/>
        </w:rPr>
        <w:t xml:space="preserve"> previously</w:t>
      </w:r>
      <w:r w:rsidR="001C29FA">
        <w:rPr>
          <w:color w:val="000000" w:themeColor="text1"/>
        </w:rPr>
        <w:t xml:space="preserve"> </w:t>
      </w:r>
      <w:r w:rsidR="001C29FA" w:rsidRPr="001C29FA">
        <w:rPr>
          <w:color w:val="000000" w:themeColor="text1"/>
        </w:rPr>
        <w:t>noted this issue was being monitored in multiple jurisdictions and may be a class effect for the Janus kinase inhibitor family</w:t>
      </w:r>
      <w:r w:rsidR="001C29FA">
        <w:rPr>
          <w:color w:val="000000" w:themeColor="text1"/>
        </w:rPr>
        <w:t>.</w:t>
      </w:r>
    </w:p>
    <w:p w14:paraId="133876A2" w14:textId="11EAB733" w:rsidR="0059604F" w:rsidRPr="00C9624D" w:rsidRDefault="0059604F" w:rsidP="00D86231">
      <w:pPr>
        <w:pStyle w:val="4-SubsectionHeading"/>
      </w:pPr>
      <w:bookmarkStart w:id="75" w:name="_Toc22897643"/>
      <w:bookmarkStart w:id="76" w:name="_Toc22898855"/>
      <w:bookmarkStart w:id="77" w:name="_Toc124863504"/>
      <w:r w:rsidRPr="00C9624D">
        <w:t>Benefits/harms</w:t>
      </w:r>
      <w:bookmarkEnd w:id="75"/>
      <w:bookmarkEnd w:id="76"/>
      <w:bookmarkEnd w:id="77"/>
    </w:p>
    <w:p w14:paraId="782BDF11" w14:textId="4452CDEA" w:rsidR="0059604F" w:rsidRPr="0071042B" w:rsidRDefault="002834FF" w:rsidP="00D2155B">
      <w:pPr>
        <w:pStyle w:val="3-BodyText"/>
        <w:rPr>
          <w:rFonts w:eastAsia="Calibri"/>
        </w:rPr>
      </w:pPr>
      <w:r w:rsidRPr="0071042B">
        <w:rPr>
          <w:rFonts w:eastAsia="Calibri"/>
        </w:rPr>
        <w:t xml:space="preserve">A benefits and harms table </w:t>
      </w:r>
      <w:proofErr w:type="gramStart"/>
      <w:r w:rsidRPr="0071042B">
        <w:rPr>
          <w:rFonts w:eastAsia="Calibri"/>
        </w:rPr>
        <w:t>is</w:t>
      </w:r>
      <w:proofErr w:type="gramEnd"/>
      <w:r w:rsidRPr="0071042B">
        <w:rPr>
          <w:rFonts w:eastAsia="Calibri"/>
        </w:rPr>
        <w:t xml:space="preserve"> not presented as the submission made a claim of non-inferiority. </w:t>
      </w:r>
      <w:r w:rsidR="0059604F" w:rsidRPr="0071042B">
        <w:rPr>
          <w:rFonts w:eastAsia="Calibri"/>
        </w:rPr>
        <w:t>The indirect nature of the comparisons</w:t>
      </w:r>
      <w:r w:rsidR="002B5B60" w:rsidRPr="0071042B">
        <w:rPr>
          <w:rFonts w:eastAsia="Calibri"/>
        </w:rPr>
        <w:t xml:space="preserve"> and exchangeability issues with the clinical trials</w:t>
      </w:r>
      <w:r w:rsidR="0059604F" w:rsidRPr="0071042B">
        <w:rPr>
          <w:rFonts w:eastAsia="Calibri"/>
        </w:rPr>
        <w:t xml:space="preserve"> presented in the submission did not allow for a reliable comparison of the benefits and harms of upadacitinib vs comparators. </w:t>
      </w:r>
    </w:p>
    <w:p w14:paraId="4619948C" w14:textId="77777777" w:rsidR="0059604F" w:rsidRPr="00E4034F" w:rsidRDefault="0059604F" w:rsidP="00E4034F">
      <w:pPr>
        <w:pStyle w:val="4-SubsectionHeading"/>
      </w:pPr>
      <w:bookmarkStart w:id="78" w:name="_Toc22897644"/>
      <w:bookmarkStart w:id="79" w:name="_Toc22898856"/>
      <w:bookmarkStart w:id="80" w:name="_Toc124863505"/>
      <w:r w:rsidRPr="00C9624D">
        <w:t>Clinical claim</w:t>
      </w:r>
      <w:bookmarkEnd w:id="78"/>
      <w:bookmarkEnd w:id="79"/>
      <w:bookmarkEnd w:id="80"/>
    </w:p>
    <w:p w14:paraId="646A6AF6" w14:textId="2C996946" w:rsidR="00284C4D" w:rsidRPr="00284C4D" w:rsidRDefault="0059604F" w:rsidP="00E9094A">
      <w:pPr>
        <w:pStyle w:val="3-BodyText"/>
        <w:rPr>
          <w:rFonts w:eastAsia="Calibri"/>
          <w:i/>
          <w:iCs/>
        </w:rPr>
      </w:pPr>
      <w:r w:rsidRPr="005D6F6E">
        <w:rPr>
          <w:rFonts w:eastAsia="Calibri"/>
        </w:rPr>
        <w:t xml:space="preserve">The submission </w:t>
      </w:r>
      <w:r>
        <w:rPr>
          <w:rFonts w:eastAsia="Calibri"/>
        </w:rPr>
        <w:t>claimed</w:t>
      </w:r>
      <w:r w:rsidRPr="005D6F6E">
        <w:rPr>
          <w:rFonts w:eastAsia="Calibri"/>
        </w:rPr>
        <w:t xml:space="preserve"> </w:t>
      </w:r>
      <w:r>
        <w:rPr>
          <w:rFonts w:eastAsia="Calibri"/>
        </w:rPr>
        <w:t>that upadacitinib is non-inferior</w:t>
      </w:r>
      <w:r w:rsidRPr="005D6F6E">
        <w:rPr>
          <w:rFonts w:eastAsia="Calibri"/>
        </w:rPr>
        <w:t xml:space="preserve"> in terms of </w:t>
      </w:r>
      <w:r w:rsidR="002B5B60">
        <w:rPr>
          <w:rFonts w:eastAsia="Calibri"/>
        </w:rPr>
        <w:t>effectiveness</w:t>
      </w:r>
      <w:r w:rsidR="002B5B60" w:rsidRPr="005D6F6E">
        <w:rPr>
          <w:rFonts w:eastAsia="Calibri"/>
        </w:rPr>
        <w:t xml:space="preserve"> </w:t>
      </w:r>
      <w:r>
        <w:rPr>
          <w:rFonts w:eastAsia="Calibri"/>
        </w:rPr>
        <w:t xml:space="preserve">and safety </w:t>
      </w:r>
      <w:r w:rsidRPr="005D6F6E">
        <w:rPr>
          <w:rFonts w:eastAsia="Calibri"/>
        </w:rPr>
        <w:t xml:space="preserve">compared </w:t>
      </w:r>
      <w:r>
        <w:rPr>
          <w:rFonts w:eastAsia="Calibri"/>
        </w:rPr>
        <w:t>with</w:t>
      </w:r>
      <w:r w:rsidRPr="005D6F6E">
        <w:rPr>
          <w:rFonts w:eastAsia="Calibri"/>
        </w:rPr>
        <w:t xml:space="preserve"> </w:t>
      </w:r>
      <w:r w:rsidRPr="00E4034F">
        <w:rPr>
          <w:rFonts w:eastAsia="Calibri"/>
        </w:rPr>
        <w:t>adalimumab, risankizumab, infliximab, ustekinumab and vedolizumab</w:t>
      </w:r>
      <w:r w:rsidRPr="005D6F6E">
        <w:rPr>
          <w:rFonts w:eastAsia="Calibri"/>
        </w:rPr>
        <w:t>.</w:t>
      </w:r>
    </w:p>
    <w:p w14:paraId="5E64A4FC" w14:textId="6EFAD686" w:rsidR="0059604F" w:rsidRPr="0071042B" w:rsidRDefault="00A44775" w:rsidP="00097C1E">
      <w:pPr>
        <w:pStyle w:val="3-BodyText"/>
        <w:rPr>
          <w:rFonts w:eastAsia="Calibri"/>
        </w:rPr>
      </w:pPr>
      <w:r w:rsidRPr="0071042B">
        <w:rPr>
          <w:rFonts w:eastAsia="Calibri"/>
        </w:rPr>
        <w:t>The</w:t>
      </w:r>
      <w:r w:rsidR="00020D0E" w:rsidRPr="0071042B">
        <w:rPr>
          <w:rFonts w:eastAsia="Calibri"/>
        </w:rPr>
        <w:t xml:space="preserve"> </w:t>
      </w:r>
      <w:r w:rsidR="00914136" w:rsidRPr="00E50289">
        <w:rPr>
          <w:rFonts w:eastAsia="Calibri"/>
        </w:rPr>
        <w:t>evaluation considered the</w:t>
      </w:r>
      <w:r w:rsidR="00914136">
        <w:rPr>
          <w:rFonts w:eastAsia="Calibri"/>
        </w:rPr>
        <w:t xml:space="preserve"> </w:t>
      </w:r>
      <w:r w:rsidR="00020D0E" w:rsidRPr="0071042B">
        <w:rPr>
          <w:rFonts w:eastAsia="Calibri"/>
        </w:rPr>
        <w:t>non-inferior</w:t>
      </w:r>
      <w:r w:rsidR="002B5B60" w:rsidRPr="0071042B">
        <w:rPr>
          <w:rFonts w:eastAsia="Calibri"/>
        </w:rPr>
        <w:t xml:space="preserve"> effectiveness</w:t>
      </w:r>
      <w:r w:rsidR="00020D0E" w:rsidRPr="0071042B">
        <w:rPr>
          <w:rFonts w:eastAsia="Calibri"/>
        </w:rPr>
        <w:t xml:space="preserve"> </w:t>
      </w:r>
      <w:r w:rsidR="0059604F" w:rsidRPr="0071042B">
        <w:rPr>
          <w:rFonts w:eastAsia="Calibri"/>
        </w:rPr>
        <w:t xml:space="preserve">claim </w:t>
      </w:r>
      <w:bookmarkStart w:id="81" w:name="_Hlk121507495"/>
      <w:r w:rsidR="0059604F" w:rsidRPr="0071042B">
        <w:rPr>
          <w:rFonts w:eastAsia="Calibri"/>
        </w:rPr>
        <w:t>may not be adequately supported due to the following concerns</w:t>
      </w:r>
      <w:bookmarkEnd w:id="81"/>
      <w:r w:rsidR="0059604F" w:rsidRPr="0071042B">
        <w:rPr>
          <w:rFonts w:eastAsia="Calibri"/>
        </w:rPr>
        <w:t>:</w:t>
      </w:r>
    </w:p>
    <w:p w14:paraId="2856BBA3" w14:textId="7529E765" w:rsidR="00284C4D" w:rsidRPr="00E50289" w:rsidRDefault="000A078D" w:rsidP="00E4034F">
      <w:pPr>
        <w:pStyle w:val="ListParagraph"/>
        <w:ind w:left="1134" w:hanging="425"/>
        <w:rPr>
          <w:rFonts w:eastAsia="Calibri"/>
        </w:rPr>
      </w:pPr>
      <w:bookmarkStart w:id="82" w:name="_Hlk121719853"/>
      <w:bookmarkStart w:id="83" w:name="_Hlk121434650"/>
      <w:r w:rsidRPr="00E50289">
        <w:rPr>
          <w:rFonts w:eastAsia="Calibri"/>
        </w:rPr>
        <w:t>N</w:t>
      </w:r>
      <w:r w:rsidR="00284C4D" w:rsidRPr="00E50289">
        <w:rPr>
          <w:rFonts w:eastAsia="Calibri"/>
        </w:rPr>
        <w:t>o head-to</w:t>
      </w:r>
      <w:r w:rsidR="0066701D" w:rsidRPr="00E50289">
        <w:rPr>
          <w:rFonts w:eastAsia="Calibri"/>
        </w:rPr>
        <w:t>-</w:t>
      </w:r>
      <w:r w:rsidR="00284C4D" w:rsidRPr="00E50289">
        <w:rPr>
          <w:rFonts w:eastAsia="Calibri"/>
        </w:rPr>
        <w:t xml:space="preserve">head </w:t>
      </w:r>
      <w:r w:rsidR="0066701D" w:rsidRPr="00E50289">
        <w:rPr>
          <w:rFonts w:eastAsia="Calibri"/>
        </w:rPr>
        <w:t>trial</w:t>
      </w:r>
      <w:r w:rsidR="00BA4B32" w:rsidRPr="00E50289">
        <w:rPr>
          <w:rFonts w:eastAsia="Calibri"/>
        </w:rPr>
        <w:t>s</w:t>
      </w:r>
      <w:r w:rsidR="0066701D" w:rsidRPr="00E50289">
        <w:rPr>
          <w:rFonts w:eastAsia="Calibri"/>
        </w:rPr>
        <w:t xml:space="preserve"> comparing</w:t>
      </w:r>
      <w:r w:rsidR="00284C4D" w:rsidRPr="00E50289">
        <w:rPr>
          <w:rFonts w:eastAsia="Calibri"/>
        </w:rPr>
        <w:t xml:space="preserve"> upadacitinib with any of the comparators</w:t>
      </w:r>
      <w:r w:rsidRPr="00E50289">
        <w:rPr>
          <w:rFonts w:eastAsia="Calibri"/>
        </w:rPr>
        <w:t xml:space="preserve"> were presented</w:t>
      </w:r>
      <w:r w:rsidR="00284C4D" w:rsidRPr="00E50289">
        <w:rPr>
          <w:rFonts w:eastAsia="Calibri"/>
        </w:rPr>
        <w:t>.</w:t>
      </w:r>
      <w:bookmarkEnd w:id="82"/>
    </w:p>
    <w:p w14:paraId="667AFE75" w14:textId="174A15BD" w:rsidR="0004332C" w:rsidRPr="00E50289" w:rsidRDefault="0004332C" w:rsidP="0004332C">
      <w:pPr>
        <w:pStyle w:val="ListParagraph"/>
        <w:ind w:left="1134" w:hanging="425"/>
        <w:rPr>
          <w:rFonts w:eastAsia="Calibri"/>
        </w:rPr>
      </w:pPr>
      <w:bookmarkStart w:id="84" w:name="_Hlk121719865"/>
      <w:r w:rsidRPr="00E50289">
        <w:t xml:space="preserve">The </w:t>
      </w:r>
      <w:r w:rsidR="000A078D" w:rsidRPr="00E50289">
        <w:t xml:space="preserve">upadacitinib </w:t>
      </w:r>
      <w:r w:rsidRPr="00E50289">
        <w:t xml:space="preserve">trials </w:t>
      </w:r>
      <w:r w:rsidR="007D2E4D" w:rsidRPr="00E50289">
        <w:t>likely included</w:t>
      </w:r>
      <w:r w:rsidRPr="00E50289">
        <w:t xml:space="preserve"> moderate CD patients </w:t>
      </w:r>
      <w:r w:rsidR="007D2E4D" w:rsidRPr="00E50289">
        <w:t xml:space="preserve">who were </w:t>
      </w:r>
      <w:r w:rsidRPr="00E50289">
        <w:t>not eligible for the proposed PBS indication and exclude</w:t>
      </w:r>
      <w:r w:rsidR="00BA4B32" w:rsidRPr="00E50289">
        <w:t>d</w:t>
      </w:r>
      <w:r w:rsidRPr="00E50289">
        <w:t xml:space="preserve"> severe CD patients who may be treated with upadacitinib under the PBS</w:t>
      </w:r>
      <w:r w:rsidRPr="00E50289">
        <w:rPr>
          <w:rFonts w:eastAsia="Calibri"/>
        </w:rPr>
        <w:t xml:space="preserve">. </w:t>
      </w:r>
      <w:r w:rsidR="00FE2454" w:rsidRPr="00E50289">
        <w:t>Subgroup analysis suggested a larger proportion of patients with a baseline Crohn’s Disease Activity Index (CDAI) &gt;</w:t>
      </w:r>
      <w:r w:rsidR="0034364A">
        <w:rPr>
          <w:rFonts w:ascii="Arial Narrow" w:eastAsiaTheme="majorEastAsia" w:hAnsi="Arial Narrow"/>
          <w:sz w:val="18"/>
          <w:szCs w:val="22"/>
        </w:rPr>
        <w:t> </w:t>
      </w:r>
      <w:r w:rsidR="00FE2454" w:rsidRPr="00E50289">
        <w:t>300 achieved clinical remission in the 30 mg dose arm compared to placebo in the maintenance phase (U-ENDURE trial). Consequently, the applicability of the trials to the</w:t>
      </w:r>
      <w:r w:rsidR="00E7156D" w:rsidRPr="00E50289">
        <w:t xml:space="preserve"> PBS</w:t>
      </w:r>
      <w:r w:rsidR="00FE2454" w:rsidRPr="00E50289">
        <w:t xml:space="preserve"> population is reduced.</w:t>
      </w:r>
      <w:r w:rsidR="00256504" w:rsidRPr="00E50289">
        <w:t xml:space="preserve"> The ESC noted that there were some differences in longer term outcomes based on induction dose and the subgroup baseline</w:t>
      </w:r>
      <w:r w:rsidR="0019017D" w:rsidRPr="00E50289">
        <w:t xml:space="preserve"> characteristics</w:t>
      </w:r>
      <w:r w:rsidR="00256504" w:rsidRPr="00E50289">
        <w:t xml:space="preserve"> appear</w:t>
      </w:r>
      <w:r w:rsidR="00450277" w:rsidRPr="00E50289">
        <w:t xml:space="preserve">ed </w:t>
      </w:r>
      <w:proofErr w:type="gramStart"/>
      <w:r w:rsidR="00450277" w:rsidRPr="00E50289">
        <w:t>fairly balanced</w:t>
      </w:r>
      <w:proofErr w:type="gramEnd"/>
      <w:r w:rsidR="00450277" w:rsidRPr="00E50289">
        <w:t xml:space="preserve">. </w:t>
      </w:r>
    </w:p>
    <w:p w14:paraId="37E9BA46" w14:textId="2E1CA422" w:rsidR="00284C4D" w:rsidRPr="00E50289" w:rsidRDefault="00284C4D" w:rsidP="00284C4D">
      <w:pPr>
        <w:pStyle w:val="ListParagraph"/>
        <w:ind w:left="1134" w:hanging="425"/>
        <w:rPr>
          <w:color w:val="000000" w:themeColor="text1"/>
        </w:rPr>
      </w:pPr>
      <w:r w:rsidRPr="00E50289">
        <w:rPr>
          <w:color w:val="000000" w:themeColor="text1"/>
        </w:rPr>
        <w:t xml:space="preserve">Several transitivity issues related to prior medication, </w:t>
      </w:r>
      <w:r w:rsidR="0004332C" w:rsidRPr="00E50289">
        <w:rPr>
          <w:color w:val="000000" w:themeColor="text1"/>
        </w:rPr>
        <w:t xml:space="preserve">therapies used at baseline, duration of drug exposure, duration of follow-up, </w:t>
      </w:r>
      <w:r w:rsidRPr="00E50289">
        <w:rPr>
          <w:color w:val="000000" w:themeColor="text1"/>
        </w:rPr>
        <w:t>concomitant therapies, the definition of clinical response,</w:t>
      </w:r>
      <w:r w:rsidR="005A43F6" w:rsidRPr="00E50289">
        <w:rPr>
          <w:color w:val="000000" w:themeColor="text1"/>
        </w:rPr>
        <w:t xml:space="preserve"> </w:t>
      </w:r>
      <w:r w:rsidRPr="00E50289">
        <w:rPr>
          <w:color w:val="000000" w:themeColor="text1"/>
        </w:rPr>
        <w:t xml:space="preserve">and the timing of assessment </w:t>
      </w:r>
      <w:r w:rsidR="0091625D" w:rsidRPr="00E50289">
        <w:rPr>
          <w:color w:val="000000" w:themeColor="text1"/>
        </w:rPr>
        <w:t>create substantial</w:t>
      </w:r>
      <w:r w:rsidRPr="00E50289">
        <w:rPr>
          <w:color w:val="000000" w:themeColor="text1"/>
        </w:rPr>
        <w:t xml:space="preserve"> uncertainty in </w:t>
      </w:r>
      <w:bookmarkEnd w:id="84"/>
      <w:r w:rsidR="0091625D" w:rsidRPr="00E50289">
        <w:rPr>
          <w:color w:val="000000" w:themeColor="text1"/>
        </w:rPr>
        <w:t>indirect comparisons.</w:t>
      </w:r>
      <w:r w:rsidR="003A6324" w:rsidRPr="00E50289">
        <w:rPr>
          <w:color w:val="000000" w:themeColor="text1"/>
        </w:rPr>
        <w:t xml:space="preserve"> The ESC agreed with the PSCR’s claim that transitivity issues for Crohn’s disease have been previously considered </w:t>
      </w:r>
      <w:r w:rsidR="009111D9" w:rsidRPr="00E50289">
        <w:rPr>
          <w:color w:val="000000" w:themeColor="text1"/>
        </w:rPr>
        <w:t>by the</w:t>
      </w:r>
      <w:r w:rsidR="003A6324" w:rsidRPr="00E50289">
        <w:rPr>
          <w:color w:val="000000" w:themeColor="text1"/>
        </w:rPr>
        <w:t xml:space="preserve"> PBA</w:t>
      </w:r>
      <w:r w:rsidR="0033685E" w:rsidRPr="00E50289">
        <w:rPr>
          <w:color w:val="000000" w:themeColor="text1"/>
        </w:rPr>
        <w:t xml:space="preserve">C </w:t>
      </w:r>
      <w:r w:rsidR="00BD32B7" w:rsidRPr="00E50289">
        <w:rPr>
          <w:color w:val="000000" w:themeColor="text1"/>
        </w:rPr>
        <w:t xml:space="preserve">(paragraph </w:t>
      </w:r>
      <w:r w:rsidR="00BD32B7" w:rsidRPr="00E50289">
        <w:rPr>
          <w:color w:val="000000" w:themeColor="text1"/>
        </w:rPr>
        <w:fldChar w:fldCharType="begin" w:fldLock="1"/>
      </w:r>
      <w:r w:rsidR="00BD32B7" w:rsidRPr="00E50289">
        <w:rPr>
          <w:color w:val="000000" w:themeColor="text1"/>
        </w:rPr>
        <w:instrText xml:space="preserve"> REF _Ref127188426 \r \h </w:instrText>
      </w:r>
      <w:r w:rsidR="00E50289" w:rsidRPr="00E50289">
        <w:rPr>
          <w:color w:val="000000" w:themeColor="text1"/>
        </w:rPr>
        <w:instrText xml:space="preserve"> \* MERGEFORMAT </w:instrText>
      </w:r>
      <w:r w:rsidR="00BD32B7" w:rsidRPr="00E50289">
        <w:rPr>
          <w:color w:val="000000" w:themeColor="text1"/>
        </w:rPr>
      </w:r>
      <w:r w:rsidR="00BD32B7" w:rsidRPr="00E50289">
        <w:rPr>
          <w:color w:val="000000" w:themeColor="text1"/>
        </w:rPr>
        <w:fldChar w:fldCharType="separate"/>
      </w:r>
      <w:r w:rsidR="00BD32B7" w:rsidRPr="00E50289">
        <w:rPr>
          <w:color w:val="000000" w:themeColor="text1"/>
        </w:rPr>
        <w:t>6.10</w:t>
      </w:r>
      <w:r w:rsidR="00BD32B7" w:rsidRPr="00E50289">
        <w:rPr>
          <w:color w:val="000000" w:themeColor="text1"/>
        </w:rPr>
        <w:fldChar w:fldCharType="end"/>
      </w:r>
      <w:r w:rsidR="00BD32B7" w:rsidRPr="00E50289">
        <w:rPr>
          <w:color w:val="000000" w:themeColor="text1"/>
        </w:rPr>
        <w:t xml:space="preserve"> refers).</w:t>
      </w:r>
      <w:r w:rsidR="0033685E" w:rsidRPr="00E50289">
        <w:rPr>
          <w:color w:val="000000" w:themeColor="text1"/>
        </w:rPr>
        <w:t xml:space="preserve"> </w:t>
      </w:r>
      <w:r w:rsidR="006A1B84" w:rsidRPr="00E50289">
        <w:t>The ESC considered the trial populations were sufficiently exchangeable for decision-making and noted the subgroup analysis by baseline CDAI did not suggest reduced efficacy in patients with CDAI &gt;</w:t>
      </w:r>
      <w:r w:rsidR="0034364A">
        <w:rPr>
          <w:rFonts w:ascii="Arial Narrow" w:eastAsiaTheme="majorEastAsia" w:hAnsi="Arial Narrow"/>
          <w:sz w:val="18"/>
          <w:szCs w:val="22"/>
        </w:rPr>
        <w:t> </w:t>
      </w:r>
      <w:r w:rsidR="006A1B84" w:rsidRPr="00E50289">
        <w:t>300 vs &lt;</w:t>
      </w:r>
      <w:r w:rsidR="0034364A">
        <w:rPr>
          <w:rFonts w:ascii="Arial Narrow" w:eastAsiaTheme="majorEastAsia" w:hAnsi="Arial Narrow"/>
          <w:sz w:val="18"/>
          <w:szCs w:val="22"/>
        </w:rPr>
        <w:t> </w:t>
      </w:r>
      <w:r w:rsidR="006A1B84" w:rsidRPr="00E50289">
        <w:t xml:space="preserve">300 in subgroup analyses. </w:t>
      </w:r>
    </w:p>
    <w:p w14:paraId="7FD60A40" w14:textId="34000403" w:rsidR="00A44775" w:rsidRPr="00E50289" w:rsidRDefault="00A44775" w:rsidP="00A44775">
      <w:pPr>
        <w:pStyle w:val="ListParagraph"/>
        <w:ind w:left="1134" w:hanging="425"/>
        <w:rPr>
          <w:color w:val="000000" w:themeColor="text1"/>
        </w:rPr>
      </w:pPr>
      <w:bookmarkStart w:id="85" w:name="_Hlk121719906"/>
      <w:r w:rsidRPr="00E50289">
        <w:rPr>
          <w:color w:val="000000" w:themeColor="text1"/>
        </w:rPr>
        <w:lastRenderedPageBreak/>
        <w:t xml:space="preserve">Compared to risankizumab, ustekinumab, and vedolizumab trials, the placebo response rate was lower in the upadacitinib trials during the maintenance phase and greater during the induction phase. The difference in </w:t>
      </w:r>
      <w:r w:rsidR="00D96C8C" w:rsidRPr="00E50289">
        <w:rPr>
          <w:color w:val="000000" w:themeColor="text1"/>
        </w:rPr>
        <w:t xml:space="preserve">the </w:t>
      </w:r>
      <w:r w:rsidRPr="00E50289">
        <w:rPr>
          <w:color w:val="000000" w:themeColor="text1"/>
        </w:rPr>
        <w:t>placebo response rate may reflect differences in the populations recruited or how the trials were conducted</w:t>
      </w:r>
      <w:r w:rsidR="0091625D" w:rsidRPr="00E50289">
        <w:rPr>
          <w:color w:val="000000" w:themeColor="text1"/>
        </w:rPr>
        <w:t xml:space="preserve"> and introduces further additional uncertainty to the indirect comparisons</w:t>
      </w:r>
      <w:r w:rsidR="007C6BC8" w:rsidRPr="00E50289">
        <w:rPr>
          <w:color w:val="000000" w:themeColor="text1"/>
        </w:rPr>
        <w:t xml:space="preserve">, especially for the results </w:t>
      </w:r>
      <w:r w:rsidR="00052ECA" w:rsidRPr="00E50289">
        <w:rPr>
          <w:color w:val="000000" w:themeColor="text1"/>
        </w:rPr>
        <w:t xml:space="preserve">expressed </w:t>
      </w:r>
      <w:r w:rsidR="007C6BC8" w:rsidRPr="00E50289">
        <w:rPr>
          <w:color w:val="000000" w:themeColor="text1"/>
        </w:rPr>
        <w:t>in terms of relative risk and risk difference</w:t>
      </w:r>
      <w:r w:rsidR="0091625D" w:rsidRPr="00E50289">
        <w:rPr>
          <w:color w:val="000000" w:themeColor="text1"/>
        </w:rPr>
        <w:t>.</w:t>
      </w:r>
      <w:r w:rsidRPr="00E50289">
        <w:rPr>
          <w:color w:val="000000" w:themeColor="text1"/>
        </w:rPr>
        <w:t xml:space="preserve"> This is likely to bias the results against upadacitinib in the induction phase and bias against risankizumab, ustekinumab and vedolizumab in the maintenance analysis.</w:t>
      </w:r>
    </w:p>
    <w:p w14:paraId="49356E7C" w14:textId="24A9A6C1" w:rsidR="0059604F" w:rsidRPr="00E50289" w:rsidRDefault="0059604F" w:rsidP="00E4034F">
      <w:pPr>
        <w:pStyle w:val="ListParagraph"/>
        <w:ind w:left="1134" w:hanging="425"/>
        <w:rPr>
          <w:color w:val="000000" w:themeColor="text1"/>
        </w:rPr>
      </w:pPr>
      <w:r w:rsidRPr="00E50289">
        <w:rPr>
          <w:color w:val="000000" w:themeColor="text1"/>
        </w:rPr>
        <w:t xml:space="preserve">Results for the indirect comparisons of upadacitinib with the comparators did not show a clear pattern due to the variability in the </w:t>
      </w:r>
      <w:r w:rsidR="007C6BC8" w:rsidRPr="00E50289">
        <w:rPr>
          <w:color w:val="000000" w:themeColor="text1"/>
        </w:rPr>
        <w:t>results versus the nominated comparators</w:t>
      </w:r>
      <w:r w:rsidRPr="00E50289">
        <w:rPr>
          <w:color w:val="000000" w:themeColor="text1"/>
        </w:rPr>
        <w:t>.</w:t>
      </w:r>
    </w:p>
    <w:p w14:paraId="21DC705A" w14:textId="4CD0899B" w:rsidR="0059604F" w:rsidRPr="00E50289" w:rsidRDefault="0059604F" w:rsidP="00E4034F">
      <w:pPr>
        <w:pStyle w:val="ListParagraph"/>
        <w:ind w:left="1134" w:hanging="425"/>
        <w:rPr>
          <w:color w:val="000000" w:themeColor="text1"/>
        </w:rPr>
      </w:pPr>
      <w:bookmarkStart w:id="86" w:name="_Hlk121507592"/>
      <w:bookmarkStart w:id="87" w:name="_Hlk121508445"/>
      <w:r w:rsidRPr="00E50289">
        <w:rPr>
          <w:color w:val="000000" w:themeColor="text1"/>
        </w:rPr>
        <w:t>No non-inferiority margin or MCID was nominated to assist with the interpretation of the efficacy evidence</w:t>
      </w:r>
      <w:bookmarkEnd w:id="86"/>
      <w:r w:rsidRPr="00E50289">
        <w:rPr>
          <w:color w:val="000000" w:themeColor="text1"/>
        </w:rPr>
        <w:t>.</w:t>
      </w:r>
      <w:r w:rsidR="009A2E3E" w:rsidRPr="00E50289">
        <w:rPr>
          <w:color w:val="000000" w:themeColor="text1"/>
        </w:rPr>
        <w:t xml:space="preserve"> </w:t>
      </w:r>
      <w:r w:rsidR="00B55649" w:rsidRPr="00E50289">
        <w:t xml:space="preserve">For vedolizumab, the PBAC raised concern about the claim of non-inferiority in the absence of a pre-specified non-inferiority margin (Paragraph 6.22, Vedolizumab, </w:t>
      </w:r>
      <w:r w:rsidR="00507D16">
        <w:t>PSD</w:t>
      </w:r>
      <w:r w:rsidR="00B55649" w:rsidRPr="00E50289">
        <w:t xml:space="preserve">, March 2015 PBAC meeting). Nonetheless, the lack of non-inferiority margin and MCID has been considered by the PBAC for severe CD in the vedolizumab (Paragraph 7.1, Vedolizumab, </w:t>
      </w:r>
      <w:r w:rsidR="00507D16">
        <w:t>PSD</w:t>
      </w:r>
      <w:r w:rsidR="00B55649" w:rsidRPr="00E50289">
        <w:t xml:space="preserve">, March 2015 PBAC meeting), </w:t>
      </w:r>
      <w:r w:rsidR="00B55649" w:rsidRPr="00E50289">
        <w:rPr>
          <w:lang w:val="en-US"/>
        </w:rPr>
        <w:t xml:space="preserve">ustekinumab (Paragraph 7.1, Ustekinumab, </w:t>
      </w:r>
      <w:r w:rsidR="00507D16">
        <w:rPr>
          <w:lang w:val="en-US"/>
        </w:rPr>
        <w:t>PSD</w:t>
      </w:r>
      <w:r w:rsidR="00B55649" w:rsidRPr="00E50289">
        <w:rPr>
          <w:lang w:val="en-US"/>
        </w:rPr>
        <w:t xml:space="preserve">, March 2017 PBAC meeting) and risankizumab (Paragraph 6.31, Risankizumab, </w:t>
      </w:r>
      <w:r w:rsidR="00507D16">
        <w:rPr>
          <w:lang w:val="en-US"/>
        </w:rPr>
        <w:t>PSD</w:t>
      </w:r>
      <w:r w:rsidR="00B55649" w:rsidRPr="00E50289">
        <w:rPr>
          <w:lang w:val="en-US"/>
        </w:rPr>
        <w:t>, July 2022 PBAC meeting) submissions.</w:t>
      </w:r>
    </w:p>
    <w:p w14:paraId="3ECDA360" w14:textId="25BF03BC" w:rsidR="0059604F" w:rsidRPr="00E50289" w:rsidRDefault="0059604F" w:rsidP="00A44775">
      <w:pPr>
        <w:pStyle w:val="3-BodyText"/>
        <w:rPr>
          <w:rFonts w:eastAsia="Calibri"/>
        </w:rPr>
      </w:pPr>
      <w:bookmarkStart w:id="88" w:name="_Hlk121507665"/>
      <w:bookmarkStart w:id="89" w:name="_Hlk121508541"/>
      <w:bookmarkEnd w:id="85"/>
      <w:bookmarkEnd w:id="87"/>
      <w:r w:rsidRPr="00E50289">
        <w:rPr>
          <w:rFonts w:eastAsia="Calibri"/>
        </w:rPr>
        <w:t>Given the</w:t>
      </w:r>
      <w:r w:rsidR="0091625D" w:rsidRPr="00E50289">
        <w:rPr>
          <w:rFonts w:eastAsia="Calibri"/>
        </w:rPr>
        <w:t xml:space="preserve"> identified transitivity issues and</w:t>
      </w:r>
      <w:r w:rsidRPr="00E50289">
        <w:rPr>
          <w:rFonts w:eastAsia="Calibri"/>
        </w:rPr>
        <w:t xml:space="preserve"> </w:t>
      </w:r>
      <w:r w:rsidR="0091625D" w:rsidRPr="00E50289">
        <w:rPr>
          <w:rFonts w:eastAsia="Calibri"/>
        </w:rPr>
        <w:t xml:space="preserve">variable </w:t>
      </w:r>
      <w:r w:rsidRPr="00E50289">
        <w:rPr>
          <w:rFonts w:eastAsia="Calibri"/>
        </w:rPr>
        <w:t xml:space="preserve">nature of the indirect comparison results (with some favouring comparators) </w:t>
      </w:r>
      <w:bookmarkStart w:id="90" w:name="_Hlk121507686"/>
      <w:bookmarkEnd w:id="88"/>
      <w:r w:rsidRPr="00E50289">
        <w:rPr>
          <w:rFonts w:eastAsia="Calibri"/>
        </w:rPr>
        <w:t xml:space="preserve">the </w:t>
      </w:r>
      <w:r w:rsidR="00DE0631">
        <w:rPr>
          <w:rFonts w:eastAsia="Calibri"/>
        </w:rPr>
        <w:t xml:space="preserve">evaluation considered the </w:t>
      </w:r>
      <w:r w:rsidRPr="00E50289">
        <w:rPr>
          <w:rFonts w:eastAsia="Calibri"/>
        </w:rPr>
        <w:t>results should be interpreted with caution</w:t>
      </w:r>
      <w:bookmarkEnd w:id="89"/>
      <w:r w:rsidRPr="00E50289">
        <w:rPr>
          <w:rFonts w:eastAsia="Calibri"/>
        </w:rPr>
        <w:t>.</w:t>
      </w:r>
      <w:bookmarkEnd w:id="83"/>
      <w:bookmarkEnd w:id="90"/>
    </w:p>
    <w:p w14:paraId="0052CE03" w14:textId="0DCC40B5" w:rsidR="00A44775" w:rsidRPr="00E50289" w:rsidRDefault="00A44775" w:rsidP="00A44775">
      <w:pPr>
        <w:pStyle w:val="3-BodyText"/>
        <w:rPr>
          <w:rFonts w:eastAsia="Calibri"/>
        </w:rPr>
      </w:pPr>
      <w:r w:rsidRPr="00E50289">
        <w:rPr>
          <w:rFonts w:eastAsia="Calibri"/>
        </w:rPr>
        <w:t xml:space="preserve">The </w:t>
      </w:r>
      <w:r w:rsidR="008D1AE0" w:rsidRPr="00E50289">
        <w:rPr>
          <w:rFonts w:eastAsia="Calibri"/>
        </w:rPr>
        <w:t xml:space="preserve">non-inferior safety </w:t>
      </w:r>
      <w:r w:rsidRPr="00E50289">
        <w:rPr>
          <w:rFonts w:eastAsia="Calibri"/>
        </w:rPr>
        <w:t>claim may not be adequately supported due to</w:t>
      </w:r>
      <w:r w:rsidR="008D2555" w:rsidRPr="00E50289">
        <w:rPr>
          <w:rFonts w:eastAsia="Calibri"/>
        </w:rPr>
        <w:t xml:space="preserve"> similar reasons </w:t>
      </w:r>
      <w:r w:rsidR="0091625D" w:rsidRPr="00E50289">
        <w:rPr>
          <w:rFonts w:eastAsia="Calibri"/>
        </w:rPr>
        <w:t xml:space="preserve">noted </w:t>
      </w:r>
      <w:r w:rsidR="008D2555" w:rsidRPr="00E50289">
        <w:rPr>
          <w:rFonts w:eastAsia="Calibri"/>
        </w:rPr>
        <w:t>above</w:t>
      </w:r>
      <w:r w:rsidR="00713029" w:rsidRPr="00E50289">
        <w:rPr>
          <w:rFonts w:eastAsia="Calibri"/>
        </w:rPr>
        <w:t>,</w:t>
      </w:r>
      <w:r w:rsidR="008D2555" w:rsidRPr="00E50289">
        <w:rPr>
          <w:rFonts w:eastAsia="Calibri"/>
        </w:rPr>
        <w:t xml:space="preserve"> </w:t>
      </w:r>
      <w:r w:rsidR="0091625D" w:rsidRPr="00E50289">
        <w:rPr>
          <w:rFonts w:eastAsia="Calibri"/>
        </w:rPr>
        <w:t>as well as:</w:t>
      </w:r>
    </w:p>
    <w:p w14:paraId="0AE40BD9" w14:textId="3EF069C6" w:rsidR="0059604F" w:rsidRPr="00E50289" w:rsidRDefault="00A44775" w:rsidP="00A801BA">
      <w:pPr>
        <w:pStyle w:val="ListParagraph"/>
        <w:ind w:left="1134" w:hanging="425"/>
        <w:rPr>
          <w:color w:val="000000" w:themeColor="text1"/>
        </w:rPr>
      </w:pPr>
      <w:bookmarkStart w:id="91" w:name="_Hlk121434853"/>
      <w:bookmarkStart w:id="92" w:name="_Hlk121720069"/>
      <w:r w:rsidRPr="00E50289">
        <w:rPr>
          <w:color w:val="000000" w:themeColor="text1"/>
        </w:rPr>
        <w:t>A significantly</w:t>
      </w:r>
      <w:r w:rsidR="0059604F" w:rsidRPr="00E50289">
        <w:rPr>
          <w:color w:val="000000" w:themeColor="text1"/>
        </w:rPr>
        <w:t xml:space="preserve"> greater number of upadacitinib patients experienced AEs, serious AEs, serious infections, and AEs </w:t>
      </w:r>
      <w:r w:rsidR="00894F48" w:rsidRPr="00E50289">
        <w:rPr>
          <w:color w:val="000000" w:themeColor="text1"/>
        </w:rPr>
        <w:t>leading to</w:t>
      </w:r>
      <w:r w:rsidR="0059604F" w:rsidRPr="00E50289">
        <w:rPr>
          <w:color w:val="000000" w:themeColor="text1"/>
        </w:rPr>
        <w:t xml:space="preserve"> discontinuation</w:t>
      </w:r>
      <w:r w:rsidR="00894F48" w:rsidRPr="00E50289">
        <w:rPr>
          <w:color w:val="000000" w:themeColor="text1"/>
        </w:rPr>
        <w:t>s</w:t>
      </w:r>
      <w:r w:rsidR="0059604F" w:rsidRPr="00E50289">
        <w:rPr>
          <w:color w:val="000000" w:themeColor="text1"/>
        </w:rPr>
        <w:t xml:space="preserve"> than adalimumab risankizumab, vedolizumab and ustekinumab patients in the induction phase. </w:t>
      </w:r>
    </w:p>
    <w:p w14:paraId="69A72A0B" w14:textId="2A541D80" w:rsidR="0059604F" w:rsidRPr="00E50289" w:rsidRDefault="0059604F" w:rsidP="00F132AD">
      <w:pPr>
        <w:pStyle w:val="ListParagraph"/>
        <w:ind w:left="1134" w:hanging="425"/>
        <w:rPr>
          <w:color w:val="000000" w:themeColor="text1"/>
        </w:rPr>
      </w:pPr>
      <w:r w:rsidRPr="00E50289">
        <w:rPr>
          <w:color w:val="000000" w:themeColor="text1"/>
        </w:rPr>
        <w:t>AE leading to discontinuation was significantly higher for upadacitinib than adalimumab, vedolizumab and vedolizumab SC in the maintenance phase</w:t>
      </w:r>
      <w:bookmarkEnd w:id="91"/>
      <w:r w:rsidRPr="00E50289">
        <w:rPr>
          <w:color w:val="000000" w:themeColor="text1"/>
        </w:rPr>
        <w:t>.</w:t>
      </w:r>
    </w:p>
    <w:p w14:paraId="72CED568" w14:textId="28C3E0B2" w:rsidR="00BD32B7" w:rsidRPr="00E50289" w:rsidRDefault="00BD32B7" w:rsidP="00BD32B7">
      <w:pPr>
        <w:pStyle w:val="3-BodyText"/>
        <w:rPr>
          <w:rFonts w:eastAsia="Calibri"/>
        </w:rPr>
      </w:pPr>
      <w:r w:rsidRPr="00E50289">
        <w:rPr>
          <w:rFonts w:eastAsia="Calibri"/>
        </w:rPr>
        <w:t xml:space="preserve">The ESC noted the </w:t>
      </w:r>
      <w:r w:rsidR="000F3C04" w:rsidRPr="00E50289">
        <w:rPr>
          <w:rFonts w:eastAsia="Calibri"/>
        </w:rPr>
        <w:t xml:space="preserve">transitivity </w:t>
      </w:r>
      <w:r w:rsidRPr="00E50289">
        <w:rPr>
          <w:rFonts w:eastAsia="Calibri"/>
        </w:rPr>
        <w:t xml:space="preserve">issues and their potential influence on the certainty of the clinical </w:t>
      </w:r>
      <w:proofErr w:type="gramStart"/>
      <w:r w:rsidRPr="00E50289">
        <w:rPr>
          <w:rFonts w:eastAsia="Calibri"/>
        </w:rPr>
        <w:t>claims</w:t>
      </w:r>
      <w:r w:rsidR="000F3C04" w:rsidRPr="00E50289">
        <w:rPr>
          <w:rFonts w:eastAsia="Calibri"/>
        </w:rPr>
        <w:t>,</w:t>
      </w:r>
      <w:r w:rsidRPr="00E50289">
        <w:rPr>
          <w:rFonts w:eastAsia="Calibri"/>
        </w:rPr>
        <w:t xml:space="preserve"> and</w:t>
      </w:r>
      <w:proofErr w:type="gramEnd"/>
      <w:r w:rsidRPr="00E50289">
        <w:rPr>
          <w:rFonts w:eastAsia="Calibri"/>
        </w:rPr>
        <w:t xml:space="preserve"> considered that these were similar</w:t>
      </w:r>
      <w:r w:rsidR="00CE664F">
        <w:rPr>
          <w:rFonts w:eastAsia="Calibri"/>
        </w:rPr>
        <w:t xml:space="preserve"> </w:t>
      </w:r>
      <w:r w:rsidRPr="00E50289">
        <w:rPr>
          <w:rFonts w:eastAsia="Calibri"/>
        </w:rPr>
        <w:t>to issues previously considered for this indication. On balance, the ESC considered the evidence presented likely supported the clinical claims of non-inferior efficacy</w:t>
      </w:r>
      <w:r w:rsidR="00B60BBC" w:rsidRPr="00E50289">
        <w:rPr>
          <w:rFonts w:eastAsia="Calibri"/>
        </w:rPr>
        <w:t>.</w:t>
      </w:r>
    </w:p>
    <w:p w14:paraId="239F77E0" w14:textId="42F96D1D" w:rsidR="00B60BBC" w:rsidRDefault="00B60BBC" w:rsidP="00B60BBC">
      <w:pPr>
        <w:pStyle w:val="3-BodyText"/>
        <w:rPr>
          <w:rFonts w:eastAsia="Calibri"/>
        </w:rPr>
      </w:pPr>
      <w:r w:rsidRPr="00E50289">
        <w:rPr>
          <w:rFonts w:eastAsia="Calibri"/>
        </w:rPr>
        <w:t xml:space="preserve">The evaluation considered the safety profile observed in patients with CD treated with upadacitinib was broadly consistent with the known safety profile of upadacitinib in other indications. The ESC considered the safety profile of upadacitinib was generally well-characterised and the results versus placebo were consistent with that profile; </w:t>
      </w:r>
      <w:r w:rsidRPr="00E50289">
        <w:rPr>
          <w:color w:val="000000" w:themeColor="text1"/>
        </w:rPr>
        <w:lastRenderedPageBreak/>
        <w:t>however also considered the results of some of the induction phase indirect comparisons may merit further consideration.</w:t>
      </w:r>
    </w:p>
    <w:p w14:paraId="43F2920A" w14:textId="509B7ABB" w:rsidR="002F1DE5" w:rsidRDefault="001A10A3" w:rsidP="00B60BBC">
      <w:pPr>
        <w:pStyle w:val="3-BodyText"/>
        <w:rPr>
          <w:rFonts w:eastAsia="Calibri"/>
        </w:rPr>
      </w:pPr>
      <w:r>
        <w:rPr>
          <w:rFonts w:eastAsia="Calibri"/>
        </w:rPr>
        <w:t>T</w:t>
      </w:r>
      <w:r w:rsidR="002F1DE5">
        <w:rPr>
          <w:rFonts w:eastAsia="Calibri"/>
        </w:rPr>
        <w:t xml:space="preserve">he </w:t>
      </w:r>
      <w:r>
        <w:rPr>
          <w:rFonts w:eastAsia="Calibri"/>
        </w:rPr>
        <w:t>P</w:t>
      </w:r>
      <w:r w:rsidR="002F1DE5">
        <w:rPr>
          <w:rFonts w:eastAsia="Calibri"/>
        </w:rPr>
        <w:t xml:space="preserve">re-PBAC </w:t>
      </w:r>
      <w:r>
        <w:rPr>
          <w:rFonts w:eastAsia="Calibri"/>
        </w:rPr>
        <w:t>R</w:t>
      </w:r>
      <w:r w:rsidR="002F1DE5">
        <w:rPr>
          <w:rFonts w:eastAsia="Calibri"/>
        </w:rPr>
        <w:t>esponse</w:t>
      </w:r>
      <w:r>
        <w:rPr>
          <w:rFonts w:eastAsia="Calibri"/>
        </w:rPr>
        <w:t xml:space="preserve"> argued the indirect comparisons for the safety of upadacitinib in MSUC </w:t>
      </w:r>
      <w:r w:rsidR="00D12A02">
        <w:rPr>
          <w:rFonts w:eastAsia="Calibri"/>
        </w:rPr>
        <w:t>were limited as</w:t>
      </w:r>
      <w:r w:rsidR="00146E36">
        <w:rPr>
          <w:rFonts w:eastAsia="Calibri"/>
        </w:rPr>
        <w:t xml:space="preserve"> they did not control for any between trial differences that may explain differences in the outcomes and further argued that no statistically significant differences between upadacitinib and the comparators were found in maintenance therapy.</w:t>
      </w:r>
    </w:p>
    <w:p w14:paraId="47588B7E" w14:textId="535B716A" w:rsidR="00E50289" w:rsidRPr="00691F27" w:rsidRDefault="00E50289" w:rsidP="00E50289">
      <w:pPr>
        <w:widowControl w:val="0"/>
        <w:numPr>
          <w:ilvl w:val="1"/>
          <w:numId w:val="1"/>
        </w:numPr>
        <w:spacing w:after="120"/>
        <w:rPr>
          <w:rFonts w:asciiTheme="minorHAnsi" w:hAnsiTheme="minorHAnsi"/>
          <w:snapToGrid w:val="0"/>
          <w:szCs w:val="20"/>
        </w:rPr>
      </w:pPr>
      <w:bookmarkStart w:id="93" w:name="_Hlk76376200"/>
      <w:r w:rsidRPr="00691F27">
        <w:rPr>
          <w:rFonts w:asciiTheme="minorHAnsi" w:hAnsiTheme="minorHAnsi"/>
          <w:iCs/>
          <w:snapToGrid w:val="0"/>
        </w:rPr>
        <w:t>The</w:t>
      </w:r>
      <w:r w:rsidRPr="00691F27">
        <w:rPr>
          <w:rFonts w:asciiTheme="minorHAnsi" w:hAnsiTheme="minorHAnsi"/>
          <w:snapToGrid w:val="0"/>
          <w:szCs w:val="20"/>
        </w:rPr>
        <w:t xml:space="preserve"> PBAC considered that the claim of </w:t>
      </w:r>
      <w:r w:rsidR="00691F27" w:rsidRPr="00691F27">
        <w:rPr>
          <w:rFonts w:asciiTheme="minorHAnsi" w:hAnsiTheme="minorHAnsi"/>
          <w:snapToGrid w:val="0"/>
          <w:szCs w:val="20"/>
        </w:rPr>
        <w:t>non-inferior</w:t>
      </w:r>
      <w:r w:rsidRPr="00691F27">
        <w:rPr>
          <w:rFonts w:asciiTheme="minorHAnsi" w:hAnsiTheme="minorHAnsi"/>
          <w:snapToGrid w:val="0"/>
          <w:szCs w:val="20"/>
        </w:rPr>
        <w:t xml:space="preserve"> comparative effectiveness was</w:t>
      </w:r>
      <w:r w:rsidR="00146E36">
        <w:rPr>
          <w:rFonts w:asciiTheme="minorHAnsi" w:hAnsiTheme="minorHAnsi"/>
          <w:snapToGrid w:val="0"/>
          <w:szCs w:val="20"/>
        </w:rPr>
        <w:t xml:space="preserve"> likely to be adequately supported,</w:t>
      </w:r>
      <w:r w:rsidRPr="00691F27">
        <w:rPr>
          <w:rFonts w:asciiTheme="minorHAnsi" w:hAnsiTheme="minorHAnsi"/>
          <w:snapToGrid w:val="0"/>
          <w:szCs w:val="20"/>
        </w:rPr>
        <w:t xml:space="preserve"> </w:t>
      </w:r>
      <w:r w:rsidR="00691F27" w:rsidRPr="00691F27">
        <w:rPr>
          <w:rFonts w:asciiTheme="minorHAnsi" w:hAnsiTheme="minorHAnsi"/>
          <w:snapToGrid w:val="0"/>
          <w:szCs w:val="20"/>
        </w:rPr>
        <w:t>noting the transitivity issues</w:t>
      </w:r>
      <w:r w:rsidR="00146E36">
        <w:rPr>
          <w:rFonts w:asciiTheme="minorHAnsi" w:hAnsiTheme="minorHAnsi"/>
          <w:snapToGrid w:val="0"/>
          <w:szCs w:val="20"/>
        </w:rPr>
        <w:t xml:space="preserve"> identified</w:t>
      </w:r>
      <w:r w:rsidR="00691F27" w:rsidRPr="00691F27">
        <w:rPr>
          <w:rFonts w:asciiTheme="minorHAnsi" w:hAnsiTheme="minorHAnsi"/>
          <w:snapToGrid w:val="0"/>
          <w:szCs w:val="20"/>
        </w:rPr>
        <w:t xml:space="preserve"> and</w:t>
      </w:r>
      <w:r w:rsidR="00DE0631">
        <w:rPr>
          <w:rFonts w:asciiTheme="minorHAnsi" w:hAnsiTheme="minorHAnsi"/>
          <w:snapToGrid w:val="0"/>
          <w:szCs w:val="20"/>
        </w:rPr>
        <w:t xml:space="preserve"> the</w:t>
      </w:r>
      <w:r w:rsidR="00691F27" w:rsidRPr="00691F27">
        <w:rPr>
          <w:rFonts w:asciiTheme="minorHAnsi" w:hAnsiTheme="minorHAnsi"/>
          <w:snapToGrid w:val="0"/>
          <w:szCs w:val="20"/>
        </w:rPr>
        <w:t xml:space="preserve"> impact on the indirect comparisons are not unique to upadacitinib.</w:t>
      </w:r>
    </w:p>
    <w:p w14:paraId="0C55B52F" w14:textId="7D1842CE" w:rsidR="00E50289" w:rsidRPr="00691F27" w:rsidRDefault="00E50289" w:rsidP="00E50289">
      <w:pPr>
        <w:widowControl w:val="0"/>
        <w:numPr>
          <w:ilvl w:val="1"/>
          <w:numId w:val="1"/>
        </w:numPr>
        <w:spacing w:after="120"/>
        <w:rPr>
          <w:rFonts w:asciiTheme="minorHAnsi" w:hAnsiTheme="minorHAnsi"/>
          <w:snapToGrid w:val="0"/>
          <w:szCs w:val="20"/>
        </w:rPr>
      </w:pPr>
      <w:r w:rsidRPr="00691F27">
        <w:rPr>
          <w:rFonts w:asciiTheme="minorHAnsi" w:hAnsiTheme="minorHAnsi"/>
          <w:snapToGrid w:val="0"/>
          <w:szCs w:val="20"/>
        </w:rPr>
        <w:t xml:space="preserve">The PBAC considered that the claim of non-inferior comparative safety was </w:t>
      </w:r>
      <w:r w:rsidR="00691F27" w:rsidRPr="00691F27">
        <w:rPr>
          <w:rFonts w:asciiTheme="minorHAnsi" w:hAnsiTheme="minorHAnsi"/>
          <w:snapToGrid w:val="0"/>
          <w:szCs w:val="20"/>
        </w:rPr>
        <w:t>on balance,</w:t>
      </w:r>
      <w:r w:rsidR="00146E36">
        <w:rPr>
          <w:rFonts w:asciiTheme="minorHAnsi" w:hAnsiTheme="minorHAnsi"/>
          <w:snapToGrid w:val="0"/>
          <w:szCs w:val="20"/>
        </w:rPr>
        <w:t xml:space="preserve"> likely</w:t>
      </w:r>
      <w:r w:rsidRPr="00691F27">
        <w:rPr>
          <w:rFonts w:asciiTheme="minorHAnsi" w:hAnsiTheme="minorHAnsi"/>
          <w:snapToGrid w:val="0"/>
          <w:szCs w:val="20"/>
        </w:rPr>
        <w:t xml:space="preserve"> supported by the data.</w:t>
      </w:r>
      <w:bookmarkEnd w:id="93"/>
      <w:r w:rsidR="00691F27">
        <w:rPr>
          <w:rFonts w:asciiTheme="minorHAnsi" w:hAnsiTheme="minorHAnsi"/>
          <w:snapToGrid w:val="0"/>
          <w:szCs w:val="20"/>
        </w:rPr>
        <w:t xml:space="preserve"> The PBAC noted the</w:t>
      </w:r>
      <w:r w:rsidR="00691F27" w:rsidRPr="00691F27">
        <w:rPr>
          <w:rFonts w:asciiTheme="minorHAnsi" w:hAnsiTheme="minorHAnsi"/>
          <w:snapToGrid w:val="0"/>
          <w:szCs w:val="20"/>
        </w:rPr>
        <w:t xml:space="preserve"> safety results in the upadacitinib trials are consistent with the established safety profile in other indications. </w:t>
      </w:r>
    </w:p>
    <w:p w14:paraId="62389E7B" w14:textId="6E048B32" w:rsidR="0059604F" w:rsidRDefault="0059604F" w:rsidP="00097C1E">
      <w:pPr>
        <w:pStyle w:val="4-SubsectionHeading"/>
      </w:pPr>
      <w:bookmarkStart w:id="94" w:name="_Toc124863506"/>
      <w:bookmarkEnd w:id="92"/>
      <w:r w:rsidRPr="002D2A74">
        <w:t>Economic analysis</w:t>
      </w:r>
      <w:bookmarkEnd w:id="94"/>
    </w:p>
    <w:p w14:paraId="4AC86E11" w14:textId="1ECBE72B" w:rsidR="00A36507" w:rsidRPr="00E50289" w:rsidRDefault="0059604F" w:rsidP="00097C1E">
      <w:pPr>
        <w:pStyle w:val="3-BodyText"/>
      </w:pPr>
      <w:r w:rsidRPr="00E50289">
        <w:t xml:space="preserve">The submission presented a cost-minimisation approach comparing upadacitinib with adalimumab. </w:t>
      </w:r>
      <w:r w:rsidRPr="00E50289">
        <w:rPr>
          <w:color w:val="000000" w:themeColor="text1"/>
        </w:rPr>
        <w:t xml:space="preserve">The key components and assumptions are summarised in </w:t>
      </w:r>
      <w:r w:rsidRPr="00E50289">
        <w:rPr>
          <w:color w:val="000000" w:themeColor="text1"/>
        </w:rPr>
        <w:fldChar w:fldCharType="begin" w:fldLock="1"/>
      </w:r>
      <w:r w:rsidRPr="00E50289">
        <w:rPr>
          <w:color w:val="000000" w:themeColor="text1"/>
        </w:rPr>
        <w:instrText xml:space="preserve"> REF _Ref121577027 \h </w:instrText>
      </w:r>
      <w:r w:rsidR="0071042B" w:rsidRPr="00E50289">
        <w:rPr>
          <w:color w:val="000000" w:themeColor="text1"/>
        </w:rPr>
        <w:instrText xml:space="preserve"> \* MERGEFORMAT </w:instrText>
      </w:r>
      <w:r w:rsidRPr="00E50289">
        <w:rPr>
          <w:color w:val="000000" w:themeColor="text1"/>
        </w:rPr>
      </w:r>
      <w:r w:rsidRPr="00E50289">
        <w:rPr>
          <w:color w:val="000000" w:themeColor="text1"/>
        </w:rPr>
        <w:fldChar w:fldCharType="separate"/>
      </w:r>
      <w:r w:rsidR="0033335A" w:rsidRPr="00E50289">
        <w:t xml:space="preserve">Table </w:t>
      </w:r>
      <w:r w:rsidR="0033335A" w:rsidRPr="00E50289">
        <w:rPr>
          <w:noProof/>
        </w:rPr>
        <w:t>10</w:t>
      </w:r>
      <w:r w:rsidRPr="00E50289">
        <w:rPr>
          <w:color w:val="000000" w:themeColor="text1"/>
        </w:rPr>
        <w:fldChar w:fldCharType="end"/>
      </w:r>
      <w:r w:rsidRPr="00E50289">
        <w:rPr>
          <w:color w:val="000000" w:themeColor="text1"/>
        </w:rPr>
        <w:t>.</w:t>
      </w:r>
      <w:r w:rsidRPr="00E50289">
        <w:t xml:space="preserve"> The </w:t>
      </w:r>
      <w:r w:rsidR="00914136" w:rsidRPr="00E50289">
        <w:t xml:space="preserve">evaluation considered the </w:t>
      </w:r>
      <w:r w:rsidRPr="00E50289">
        <w:t xml:space="preserve">claim of non-inferior </w:t>
      </w:r>
      <w:r w:rsidR="00CB02CE" w:rsidRPr="00E50289">
        <w:t xml:space="preserve">effectiveness </w:t>
      </w:r>
      <w:r w:rsidRPr="00E50289">
        <w:t xml:space="preserve">and safety of upadacitinib compared with adalimumab may not be adequately supported by the </w:t>
      </w:r>
      <w:r w:rsidR="00894F48" w:rsidRPr="00E50289">
        <w:t xml:space="preserve">clinical </w:t>
      </w:r>
      <w:r w:rsidRPr="00E50289">
        <w:t>evidence presented in the submission. Therefore, the cost-minimisation approach is only appropriate if the clinical claims are accepted.</w:t>
      </w:r>
    </w:p>
    <w:p w14:paraId="3124B737" w14:textId="2B0A6B77" w:rsidR="0059604F" w:rsidRPr="00E50289" w:rsidRDefault="00A36507" w:rsidP="00097C1E">
      <w:pPr>
        <w:pStyle w:val="3-BodyText"/>
      </w:pPr>
      <w:r w:rsidRPr="00E50289">
        <w:t xml:space="preserve">The submission stated that adalimumab was an appropriate comparator due to its high market share and that it is exclusively used in the community setting, where upadacitinib was also anticipated to be used. </w:t>
      </w:r>
    </w:p>
    <w:p w14:paraId="68958D59" w14:textId="0BC16294" w:rsidR="0059604F" w:rsidRDefault="0059604F" w:rsidP="006E0383">
      <w:pPr>
        <w:pStyle w:val="In-tableHeading"/>
        <w:keepLines/>
      </w:pPr>
      <w:bookmarkStart w:id="95" w:name="_Ref121577027"/>
      <w:r>
        <w:lastRenderedPageBreak/>
        <w:t xml:space="preserve">Table </w:t>
      </w:r>
      <w:r>
        <w:fldChar w:fldCharType="begin" w:fldLock="1"/>
      </w:r>
      <w:r>
        <w:instrText xml:space="preserve"> SEQ Table \* ARABIC </w:instrText>
      </w:r>
      <w:r>
        <w:fldChar w:fldCharType="separate"/>
      </w:r>
      <w:r w:rsidR="0033335A">
        <w:rPr>
          <w:noProof/>
        </w:rPr>
        <w:t>10</w:t>
      </w:r>
      <w:r>
        <w:fldChar w:fldCharType="end"/>
      </w:r>
      <w:bookmarkEnd w:id="95"/>
      <w:r>
        <w:t xml:space="preserve">: </w:t>
      </w:r>
      <w:r w:rsidRPr="00064C89">
        <w:t>Key components and assumptions of the cost-minimisation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22"/>
      </w:tblGrid>
      <w:tr w:rsidR="0059604F" w:rsidRPr="00214062" w14:paraId="26204AE7" w14:textId="77777777" w:rsidTr="008B6A0B">
        <w:tc>
          <w:tcPr>
            <w:tcW w:w="940" w:type="pct"/>
            <w:shd w:val="clear" w:color="auto" w:fill="auto"/>
            <w:vAlign w:val="center"/>
          </w:tcPr>
          <w:p w14:paraId="4C5C7D67" w14:textId="77777777" w:rsidR="0059604F" w:rsidRPr="00214062" w:rsidRDefault="0059604F" w:rsidP="006E0383">
            <w:pPr>
              <w:pStyle w:val="In-tableHeading"/>
              <w:keepLines/>
              <w:jc w:val="center"/>
              <w:rPr>
                <w:lang w:eastAsia="en-US"/>
              </w:rPr>
            </w:pPr>
            <w:r w:rsidRPr="00214062">
              <w:rPr>
                <w:lang w:eastAsia="en-US"/>
              </w:rPr>
              <w:t>Component</w:t>
            </w:r>
          </w:p>
        </w:tc>
        <w:tc>
          <w:tcPr>
            <w:tcW w:w="4060" w:type="pct"/>
            <w:shd w:val="clear" w:color="auto" w:fill="auto"/>
            <w:vAlign w:val="center"/>
          </w:tcPr>
          <w:p w14:paraId="1343ABBE" w14:textId="77777777" w:rsidR="0059604F" w:rsidRPr="00214062" w:rsidRDefault="0059604F" w:rsidP="006E0383">
            <w:pPr>
              <w:pStyle w:val="In-tableHeading"/>
              <w:keepLines/>
              <w:jc w:val="center"/>
              <w:rPr>
                <w:lang w:eastAsia="en-US"/>
              </w:rPr>
            </w:pPr>
            <w:r w:rsidRPr="00214062">
              <w:rPr>
                <w:lang w:eastAsia="en-US"/>
              </w:rPr>
              <w:t>Claim or assumption</w:t>
            </w:r>
          </w:p>
        </w:tc>
      </w:tr>
      <w:tr w:rsidR="002764A2" w:rsidRPr="00214062" w14:paraId="3A0BB73F" w14:textId="77777777" w:rsidTr="008B6A0B">
        <w:tc>
          <w:tcPr>
            <w:tcW w:w="940" w:type="pct"/>
            <w:shd w:val="clear" w:color="auto" w:fill="auto"/>
            <w:vAlign w:val="center"/>
          </w:tcPr>
          <w:p w14:paraId="3FE64035" w14:textId="77777777" w:rsidR="002764A2" w:rsidRPr="00214062" w:rsidRDefault="002764A2" w:rsidP="006E0383">
            <w:pPr>
              <w:pStyle w:val="TableText0"/>
              <w:keepLines/>
              <w:rPr>
                <w:lang w:eastAsia="en-US"/>
              </w:rPr>
            </w:pPr>
            <w:r w:rsidRPr="00214062">
              <w:rPr>
                <w:lang w:eastAsia="en-US"/>
              </w:rPr>
              <w:t>Therapeutic claim: effectiveness</w:t>
            </w:r>
          </w:p>
        </w:tc>
        <w:tc>
          <w:tcPr>
            <w:tcW w:w="4060" w:type="pct"/>
            <w:shd w:val="clear" w:color="auto" w:fill="auto"/>
            <w:vAlign w:val="center"/>
          </w:tcPr>
          <w:p w14:paraId="6FE8337A" w14:textId="23BB9C6F" w:rsidR="002764A2" w:rsidRPr="009E7FBB" w:rsidRDefault="002764A2" w:rsidP="006E0383">
            <w:pPr>
              <w:pStyle w:val="TableText0"/>
              <w:keepLines/>
              <w:rPr>
                <w:i/>
                <w:iCs/>
                <w:lang w:eastAsia="en-US"/>
              </w:rPr>
            </w:pPr>
            <w:r w:rsidRPr="00EC075D">
              <w:rPr>
                <w:szCs w:val="20"/>
                <w:lang w:eastAsia="en-US"/>
              </w:rPr>
              <w:t xml:space="preserve">Based on the </w:t>
            </w:r>
            <w:r>
              <w:rPr>
                <w:szCs w:val="20"/>
                <w:lang w:eastAsia="en-US"/>
              </w:rPr>
              <w:t xml:space="preserve">clinical </w:t>
            </w:r>
            <w:r w:rsidRPr="00EC075D">
              <w:rPr>
                <w:szCs w:val="20"/>
                <w:lang w:eastAsia="en-US"/>
              </w:rPr>
              <w:t xml:space="preserve">evidence, the effectiveness of upadacitinib </w:t>
            </w:r>
            <w:r>
              <w:rPr>
                <w:szCs w:val="20"/>
                <w:lang w:eastAsia="en-US"/>
              </w:rPr>
              <w:t xml:space="preserve">is assumed to </w:t>
            </w:r>
            <w:r w:rsidRPr="00EC075D">
              <w:rPr>
                <w:szCs w:val="20"/>
                <w:lang w:eastAsia="en-US"/>
              </w:rPr>
              <w:t>be non-inferior compared with adalimumab.</w:t>
            </w:r>
            <w:r>
              <w:rPr>
                <w:szCs w:val="20"/>
                <w:lang w:eastAsia="en-US"/>
              </w:rPr>
              <w:t xml:space="preserve"> </w:t>
            </w:r>
            <w:r w:rsidRPr="00287CEF">
              <w:rPr>
                <w:lang w:eastAsia="en-US"/>
              </w:rPr>
              <w:t>This may not be appropriate.</w:t>
            </w:r>
            <w:r w:rsidR="00073A49" w:rsidRPr="00287CEF">
              <w:rPr>
                <w:lang w:eastAsia="en-US"/>
              </w:rPr>
              <w:t xml:space="preserve"> See </w:t>
            </w:r>
            <w:r w:rsidR="00F5338B" w:rsidRPr="00287CEF">
              <w:rPr>
                <w:lang w:eastAsia="en-US"/>
              </w:rPr>
              <w:t>c</w:t>
            </w:r>
            <w:r w:rsidR="00073A49" w:rsidRPr="00287CEF">
              <w:rPr>
                <w:lang w:eastAsia="en-US"/>
              </w:rPr>
              <w:t>omparative effectiveness section for further discussion.</w:t>
            </w:r>
            <w:r w:rsidRPr="00287CEF">
              <w:rPr>
                <w:lang w:eastAsia="en-US"/>
              </w:rPr>
              <w:t xml:space="preserve"> </w:t>
            </w:r>
          </w:p>
        </w:tc>
      </w:tr>
      <w:tr w:rsidR="002764A2" w:rsidRPr="00214062" w14:paraId="27F9217D" w14:textId="77777777" w:rsidTr="00C057F6">
        <w:tc>
          <w:tcPr>
            <w:tcW w:w="940" w:type="pct"/>
            <w:shd w:val="clear" w:color="auto" w:fill="auto"/>
            <w:vAlign w:val="center"/>
          </w:tcPr>
          <w:p w14:paraId="6E81C353" w14:textId="77777777" w:rsidR="002764A2" w:rsidRPr="00214062" w:rsidRDefault="002764A2" w:rsidP="006E0383">
            <w:pPr>
              <w:pStyle w:val="TableText0"/>
              <w:keepLines/>
              <w:rPr>
                <w:lang w:eastAsia="en-US"/>
              </w:rPr>
            </w:pPr>
            <w:r w:rsidRPr="00214062">
              <w:rPr>
                <w:lang w:eastAsia="en-US"/>
              </w:rPr>
              <w:t>Therapeutic claim: safety</w:t>
            </w:r>
          </w:p>
        </w:tc>
        <w:tc>
          <w:tcPr>
            <w:tcW w:w="4060" w:type="pct"/>
            <w:shd w:val="clear" w:color="auto" w:fill="auto"/>
          </w:tcPr>
          <w:p w14:paraId="47ABE190" w14:textId="764E9041" w:rsidR="002764A2" w:rsidRPr="00214062" w:rsidRDefault="002764A2" w:rsidP="006E0383">
            <w:pPr>
              <w:pStyle w:val="TableText0"/>
              <w:keepLines/>
              <w:rPr>
                <w:lang w:eastAsia="en-US"/>
              </w:rPr>
            </w:pPr>
            <w:r w:rsidRPr="00EC075D">
              <w:rPr>
                <w:szCs w:val="20"/>
                <w:lang w:eastAsia="en-US"/>
              </w:rPr>
              <w:t xml:space="preserve">Based on the </w:t>
            </w:r>
            <w:r>
              <w:rPr>
                <w:szCs w:val="20"/>
                <w:lang w:eastAsia="en-US"/>
              </w:rPr>
              <w:t xml:space="preserve">clinical </w:t>
            </w:r>
            <w:r w:rsidRPr="00EC075D">
              <w:rPr>
                <w:szCs w:val="20"/>
                <w:lang w:eastAsia="en-US"/>
              </w:rPr>
              <w:t xml:space="preserve">evidence, the </w:t>
            </w:r>
            <w:r>
              <w:rPr>
                <w:szCs w:val="20"/>
                <w:lang w:eastAsia="en-US"/>
              </w:rPr>
              <w:t xml:space="preserve">safety </w:t>
            </w:r>
            <w:r w:rsidRPr="00EC075D">
              <w:rPr>
                <w:szCs w:val="20"/>
                <w:lang w:eastAsia="en-US"/>
              </w:rPr>
              <w:t xml:space="preserve">of upadacitinib </w:t>
            </w:r>
            <w:r>
              <w:rPr>
                <w:szCs w:val="20"/>
                <w:lang w:eastAsia="en-US"/>
              </w:rPr>
              <w:t>is assumed to</w:t>
            </w:r>
            <w:r w:rsidRPr="00EC075D">
              <w:rPr>
                <w:szCs w:val="20"/>
                <w:lang w:eastAsia="en-US"/>
              </w:rPr>
              <w:t xml:space="preserve"> be non-inferior compared with adalimumab.</w:t>
            </w:r>
            <w:r>
              <w:rPr>
                <w:szCs w:val="20"/>
                <w:lang w:eastAsia="en-US"/>
              </w:rPr>
              <w:t xml:space="preserve"> </w:t>
            </w:r>
            <w:r w:rsidRPr="00287CEF">
              <w:rPr>
                <w:lang w:eastAsia="en-US"/>
              </w:rPr>
              <w:t xml:space="preserve">This may not be appropriate. </w:t>
            </w:r>
            <w:r w:rsidR="00073A49" w:rsidRPr="00287CEF">
              <w:rPr>
                <w:lang w:eastAsia="en-US"/>
              </w:rPr>
              <w:t xml:space="preserve">See </w:t>
            </w:r>
            <w:r w:rsidR="00F5338B" w:rsidRPr="00287CEF">
              <w:rPr>
                <w:lang w:eastAsia="en-US"/>
              </w:rPr>
              <w:t>c</w:t>
            </w:r>
            <w:r w:rsidR="00073A49" w:rsidRPr="00287CEF">
              <w:rPr>
                <w:lang w:eastAsia="en-US"/>
              </w:rPr>
              <w:t>omparative effectiveness section for further discussion.</w:t>
            </w:r>
          </w:p>
        </w:tc>
      </w:tr>
      <w:tr w:rsidR="0059604F" w:rsidRPr="00214062" w14:paraId="30FA1953" w14:textId="77777777" w:rsidTr="008B6A0B">
        <w:tc>
          <w:tcPr>
            <w:tcW w:w="940" w:type="pct"/>
            <w:shd w:val="clear" w:color="auto" w:fill="auto"/>
            <w:vAlign w:val="center"/>
          </w:tcPr>
          <w:p w14:paraId="1B869087" w14:textId="77777777" w:rsidR="0059604F" w:rsidRPr="00214062" w:rsidRDefault="0059604F" w:rsidP="006E0383">
            <w:pPr>
              <w:pStyle w:val="TableText0"/>
              <w:keepLines/>
              <w:rPr>
                <w:lang w:eastAsia="en-US"/>
              </w:rPr>
            </w:pPr>
            <w:r w:rsidRPr="00214062">
              <w:rPr>
                <w:lang w:eastAsia="en-US"/>
              </w:rPr>
              <w:t>Evidence base</w:t>
            </w:r>
          </w:p>
        </w:tc>
        <w:tc>
          <w:tcPr>
            <w:tcW w:w="4060" w:type="pct"/>
            <w:shd w:val="clear" w:color="auto" w:fill="auto"/>
            <w:vAlign w:val="center"/>
          </w:tcPr>
          <w:p w14:paraId="146355E6" w14:textId="1AC43863" w:rsidR="0059604F" w:rsidRPr="005C0583" w:rsidRDefault="0059604F" w:rsidP="006E0383">
            <w:pPr>
              <w:pStyle w:val="TableText0"/>
              <w:keepLines/>
              <w:rPr>
                <w:lang w:eastAsia="en-US"/>
              </w:rPr>
            </w:pPr>
            <w:r w:rsidRPr="005C0583">
              <w:rPr>
                <w:lang w:eastAsia="en-US"/>
              </w:rPr>
              <w:t xml:space="preserve">The evidence for the </w:t>
            </w:r>
            <w:r w:rsidR="00CB02CE">
              <w:rPr>
                <w:lang w:eastAsia="en-US"/>
              </w:rPr>
              <w:t>effectiveness</w:t>
            </w:r>
            <w:r w:rsidR="00CB02CE" w:rsidRPr="005C0583">
              <w:rPr>
                <w:lang w:eastAsia="en-US"/>
              </w:rPr>
              <w:t xml:space="preserve"> </w:t>
            </w:r>
            <w:r w:rsidRPr="005C0583">
              <w:rPr>
                <w:lang w:eastAsia="en-US"/>
              </w:rPr>
              <w:t>and safety of upadacitinib compared with infliximab, adalimumab, vedolizumab, ustekinumab and risankizumab was informed by an indirect comparison via placebo using the Bucher methodology based on:</w:t>
            </w:r>
          </w:p>
          <w:p w14:paraId="41E31DA4" w14:textId="77777777" w:rsidR="0059604F" w:rsidRPr="005C0583" w:rsidRDefault="0059604F" w:rsidP="0034364A">
            <w:pPr>
              <w:pStyle w:val="TableText0"/>
              <w:keepLines/>
              <w:numPr>
                <w:ilvl w:val="0"/>
                <w:numId w:val="31"/>
              </w:numPr>
              <w:ind w:left="175" w:hanging="142"/>
              <w:rPr>
                <w:lang w:eastAsia="en-US"/>
              </w:rPr>
            </w:pPr>
            <w:r w:rsidRPr="005C0583">
              <w:rPr>
                <w:lang w:eastAsia="en-US"/>
              </w:rPr>
              <w:t xml:space="preserve">Three randomised controlled trials of upadacitinib versus placebo – U-EXCEED, U-EXCEL and U-ENDURE. </w:t>
            </w:r>
          </w:p>
          <w:p w14:paraId="40F4E230" w14:textId="77777777" w:rsidR="0059604F" w:rsidRPr="005C0583" w:rsidRDefault="0059604F" w:rsidP="0034364A">
            <w:pPr>
              <w:pStyle w:val="TableText0"/>
              <w:keepLines/>
              <w:numPr>
                <w:ilvl w:val="0"/>
                <w:numId w:val="31"/>
              </w:numPr>
              <w:ind w:left="175" w:hanging="142"/>
              <w:rPr>
                <w:lang w:eastAsia="en-US"/>
              </w:rPr>
            </w:pPr>
            <w:r w:rsidRPr="005C0583">
              <w:rPr>
                <w:lang w:eastAsia="en-US"/>
              </w:rPr>
              <w:t>Four randomised controlled trials of risankizumab versus placebo – M15-993, ADVANCE, MOTIVATE and FORTIFY.</w:t>
            </w:r>
          </w:p>
          <w:p w14:paraId="0D961B77" w14:textId="4B906300" w:rsidR="0059604F" w:rsidRPr="005C0583" w:rsidRDefault="0059604F" w:rsidP="0034364A">
            <w:pPr>
              <w:pStyle w:val="TableText0"/>
              <w:keepLines/>
              <w:numPr>
                <w:ilvl w:val="0"/>
                <w:numId w:val="31"/>
              </w:numPr>
              <w:ind w:left="175" w:hanging="142"/>
              <w:rPr>
                <w:lang w:eastAsia="en-US"/>
              </w:rPr>
            </w:pPr>
            <w:r w:rsidRPr="005C0583">
              <w:rPr>
                <w:lang w:eastAsia="en-US"/>
              </w:rPr>
              <w:t xml:space="preserve">Four randomised controlled trials of vedolizumab versus placebo – GEMINI II &amp; III, Watanabe 2020 and </w:t>
            </w:r>
            <w:r w:rsidR="003323A7">
              <w:rPr>
                <w:lang w:eastAsia="en-US"/>
              </w:rPr>
              <w:t>VISIBLE</w:t>
            </w:r>
            <w:r w:rsidR="003323A7" w:rsidRPr="005C0583">
              <w:rPr>
                <w:lang w:eastAsia="en-US"/>
              </w:rPr>
              <w:t xml:space="preserve"> </w:t>
            </w:r>
            <w:r w:rsidRPr="005C0583">
              <w:rPr>
                <w:lang w:eastAsia="en-US"/>
              </w:rPr>
              <w:t>2.</w:t>
            </w:r>
          </w:p>
          <w:p w14:paraId="52A85768" w14:textId="77777777" w:rsidR="0059604F" w:rsidRPr="005C0583" w:rsidRDefault="0059604F" w:rsidP="0034364A">
            <w:pPr>
              <w:pStyle w:val="TableText0"/>
              <w:keepLines/>
              <w:numPr>
                <w:ilvl w:val="0"/>
                <w:numId w:val="31"/>
              </w:numPr>
              <w:ind w:left="175" w:hanging="142"/>
              <w:rPr>
                <w:lang w:eastAsia="en-US"/>
              </w:rPr>
            </w:pPr>
            <w:r w:rsidRPr="005C0583">
              <w:rPr>
                <w:lang w:eastAsia="en-US"/>
              </w:rPr>
              <w:t>Three randomised controlled trials of ustekinumab versus placebo – UNITI-I&amp; II and, IM-UNITI.</w:t>
            </w:r>
          </w:p>
          <w:p w14:paraId="1F2E0CF2" w14:textId="4CDEF5FA" w:rsidR="0059604F" w:rsidRPr="005C0583" w:rsidRDefault="0059604F" w:rsidP="0034364A">
            <w:pPr>
              <w:pStyle w:val="TableText0"/>
              <w:keepLines/>
              <w:numPr>
                <w:ilvl w:val="0"/>
                <w:numId w:val="31"/>
              </w:numPr>
              <w:ind w:left="175" w:hanging="142"/>
              <w:rPr>
                <w:lang w:eastAsia="en-US"/>
              </w:rPr>
            </w:pPr>
            <w:r w:rsidRPr="005C0583">
              <w:rPr>
                <w:lang w:eastAsia="en-US"/>
              </w:rPr>
              <w:t>Five randomised controlled trials of adalimumab versus placebo – CLASSIC I &amp; II, GAIN, CHARM and Watanabe 2012.</w:t>
            </w:r>
          </w:p>
          <w:p w14:paraId="44B3636D" w14:textId="77777777" w:rsidR="0059604F" w:rsidRPr="001D5FAA" w:rsidRDefault="0059604F" w:rsidP="0034364A">
            <w:pPr>
              <w:pStyle w:val="TableText0"/>
              <w:keepLines/>
              <w:numPr>
                <w:ilvl w:val="0"/>
                <w:numId w:val="31"/>
              </w:numPr>
              <w:ind w:left="175" w:hanging="142"/>
              <w:rPr>
                <w:i/>
                <w:iCs/>
                <w:lang w:eastAsia="en-US"/>
              </w:rPr>
            </w:pPr>
            <w:r w:rsidRPr="005C0583">
              <w:rPr>
                <w:lang w:eastAsia="en-US"/>
              </w:rPr>
              <w:t>Two randomised controlled trials of infliximab versus placebo – T16 and ACCENT I</w:t>
            </w:r>
            <w:r>
              <w:rPr>
                <w:lang w:eastAsia="en-US"/>
              </w:rPr>
              <w:t>.</w:t>
            </w:r>
          </w:p>
        </w:tc>
      </w:tr>
      <w:tr w:rsidR="0059604F" w:rsidRPr="00214062" w14:paraId="401186A3" w14:textId="77777777" w:rsidTr="008B6A0B">
        <w:tc>
          <w:tcPr>
            <w:tcW w:w="940" w:type="pct"/>
            <w:shd w:val="clear" w:color="auto" w:fill="auto"/>
            <w:vAlign w:val="center"/>
          </w:tcPr>
          <w:p w14:paraId="05AA5EFF" w14:textId="77777777" w:rsidR="0059604F" w:rsidRPr="00214062" w:rsidRDefault="0059604F" w:rsidP="006E0383">
            <w:pPr>
              <w:pStyle w:val="TableText0"/>
              <w:keepLines/>
              <w:rPr>
                <w:lang w:eastAsia="en-US"/>
              </w:rPr>
            </w:pPr>
            <w:r w:rsidRPr="00214062">
              <w:rPr>
                <w:lang w:eastAsia="en-US"/>
              </w:rPr>
              <w:t>Equi-effective doses</w:t>
            </w:r>
          </w:p>
        </w:tc>
        <w:tc>
          <w:tcPr>
            <w:tcW w:w="4060" w:type="pct"/>
            <w:shd w:val="clear" w:color="auto" w:fill="auto"/>
            <w:vAlign w:val="center"/>
          </w:tcPr>
          <w:p w14:paraId="62BF00E4" w14:textId="77777777" w:rsidR="003323A7" w:rsidRDefault="0059604F" w:rsidP="006E0383">
            <w:pPr>
              <w:pStyle w:val="TableText0"/>
              <w:keepLines/>
              <w:rPr>
                <w:lang w:eastAsia="en-US"/>
              </w:rPr>
            </w:pPr>
            <w:r w:rsidRPr="00214062">
              <w:rPr>
                <w:lang w:eastAsia="en-US"/>
              </w:rPr>
              <w:t>Upadacitinib 45 mg for the first 12 weeks</w:t>
            </w:r>
            <w:r>
              <w:rPr>
                <w:lang w:eastAsia="en-US"/>
              </w:rPr>
              <w:t xml:space="preserve"> (i.e., initiation phase)</w:t>
            </w:r>
            <w:r w:rsidRPr="00214062">
              <w:rPr>
                <w:lang w:eastAsia="en-US"/>
              </w:rPr>
              <w:t xml:space="preserve"> followed by upadacitinib 30 mg or 15 mg thereafter</w:t>
            </w:r>
            <w:r>
              <w:rPr>
                <w:lang w:eastAsia="en-US"/>
              </w:rPr>
              <w:t xml:space="preserve"> (</w:t>
            </w:r>
            <w:proofErr w:type="gramStart"/>
            <w:r>
              <w:rPr>
                <w:lang w:eastAsia="en-US"/>
              </w:rPr>
              <w:t>i.e.</w:t>
            </w:r>
            <w:proofErr w:type="gramEnd"/>
            <w:r>
              <w:rPr>
                <w:lang w:eastAsia="en-US"/>
              </w:rPr>
              <w:t xml:space="preserve"> continuation phase)</w:t>
            </w:r>
            <w:r w:rsidRPr="00214062">
              <w:rPr>
                <w:lang w:eastAsia="en-US"/>
              </w:rPr>
              <w:t>, modified release oral tablet, once daily</w:t>
            </w:r>
          </w:p>
          <w:p w14:paraId="35FCBA57" w14:textId="77777777" w:rsidR="003323A7" w:rsidRDefault="0059604F" w:rsidP="006E0383">
            <w:pPr>
              <w:pStyle w:val="TableText0"/>
              <w:keepLines/>
              <w:rPr>
                <w:lang w:eastAsia="en-US"/>
              </w:rPr>
            </w:pPr>
            <w:r>
              <w:rPr>
                <w:lang w:eastAsia="en-US"/>
              </w:rPr>
              <w:t xml:space="preserve"> =</w:t>
            </w:r>
          </w:p>
          <w:p w14:paraId="740B07F1" w14:textId="3B1FD338" w:rsidR="0059604F" w:rsidRDefault="0059604F" w:rsidP="006E0383">
            <w:pPr>
              <w:pStyle w:val="TableText0"/>
              <w:keepLines/>
              <w:rPr>
                <w:lang w:eastAsia="en-US"/>
              </w:rPr>
            </w:pPr>
            <w:r w:rsidRPr="00214062">
              <w:rPr>
                <w:lang w:eastAsia="en-US"/>
              </w:rPr>
              <w:t xml:space="preserve">Adalimumab 160 mg at </w:t>
            </w:r>
            <w:r w:rsidR="001652AC">
              <w:rPr>
                <w:lang w:eastAsia="en-US"/>
              </w:rPr>
              <w:t>w</w:t>
            </w:r>
            <w:r w:rsidRPr="00214062">
              <w:rPr>
                <w:lang w:eastAsia="en-US"/>
              </w:rPr>
              <w:t xml:space="preserve">eek 0 followed by 80 mg at </w:t>
            </w:r>
            <w:r w:rsidR="001652AC">
              <w:rPr>
                <w:lang w:eastAsia="en-US"/>
              </w:rPr>
              <w:t>w</w:t>
            </w:r>
            <w:r w:rsidRPr="00214062">
              <w:rPr>
                <w:lang w:eastAsia="en-US"/>
              </w:rPr>
              <w:t>eek 2 and 40 mg every two weeks thereafter subcutaneous injection.</w:t>
            </w:r>
          </w:p>
          <w:p w14:paraId="0116E701" w14:textId="77777777" w:rsidR="003323A7" w:rsidRDefault="003323A7" w:rsidP="006E0383">
            <w:pPr>
              <w:pStyle w:val="TableText0"/>
              <w:keepLines/>
              <w:rPr>
                <w:lang w:eastAsia="en-US"/>
              </w:rPr>
            </w:pPr>
          </w:p>
          <w:p w14:paraId="663CA84D" w14:textId="77777777" w:rsidR="0059604F" w:rsidRPr="00287CEF" w:rsidRDefault="0059604F" w:rsidP="006E0383">
            <w:pPr>
              <w:pStyle w:val="TableText0"/>
              <w:keepLines/>
              <w:rPr>
                <w:lang w:eastAsia="en-US"/>
              </w:rPr>
            </w:pPr>
            <w:r w:rsidRPr="00287CEF">
              <w:rPr>
                <w:lang w:eastAsia="en-US"/>
              </w:rPr>
              <w:t>The dose regimens are aligned with the proposed (upadacitinib) and approved (adalimumab) TGA Product Information.</w:t>
            </w:r>
          </w:p>
        </w:tc>
      </w:tr>
      <w:tr w:rsidR="0059604F" w:rsidRPr="00214062" w14:paraId="6BE6FF53" w14:textId="77777777" w:rsidTr="008B6A0B">
        <w:tc>
          <w:tcPr>
            <w:tcW w:w="940" w:type="pct"/>
            <w:shd w:val="clear" w:color="auto" w:fill="auto"/>
            <w:vAlign w:val="center"/>
          </w:tcPr>
          <w:p w14:paraId="7B66EDEF" w14:textId="77777777" w:rsidR="0059604F" w:rsidRPr="00214062" w:rsidRDefault="0059604F" w:rsidP="006E0383">
            <w:pPr>
              <w:pStyle w:val="TableText0"/>
              <w:keepLines/>
              <w:rPr>
                <w:lang w:eastAsia="en-US"/>
              </w:rPr>
            </w:pPr>
            <w:r w:rsidRPr="00214062">
              <w:rPr>
                <w:lang w:eastAsia="en-US"/>
              </w:rPr>
              <w:t>Direct medicine costs</w:t>
            </w:r>
          </w:p>
        </w:tc>
        <w:tc>
          <w:tcPr>
            <w:tcW w:w="4060" w:type="pct"/>
            <w:shd w:val="clear" w:color="auto" w:fill="auto"/>
            <w:vAlign w:val="center"/>
          </w:tcPr>
          <w:p w14:paraId="36C2D80B" w14:textId="77777777" w:rsidR="0059604F" w:rsidRPr="00214062" w:rsidRDefault="0059604F" w:rsidP="006E0383">
            <w:pPr>
              <w:pStyle w:val="TableText0"/>
              <w:keepLines/>
              <w:rPr>
                <w:lang w:eastAsia="en-US"/>
              </w:rPr>
            </w:pPr>
            <w:r w:rsidRPr="00E6620A">
              <w:rPr>
                <w:lang w:eastAsia="en-US"/>
              </w:rPr>
              <w:t>Drug costs and MBS item codes associated with injection assistance</w:t>
            </w:r>
            <w:r>
              <w:rPr>
                <w:lang w:eastAsia="en-US"/>
              </w:rPr>
              <w:t xml:space="preserve"> were presented. Costing was done based on the published pricing information.</w:t>
            </w:r>
            <w:r w:rsidRPr="00E6620A">
              <w:rPr>
                <w:lang w:eastAsia="en-US"/>
              </w:rPr>
              <w:t xml:space="preserve"> </w:t>
            </w:r>
            <w:r w:rsidRPr="00287CEF">
              <w:rPr>
                <w:lang w:eastAsia="en-US"/>
              </w:rPr>
              <w:t>The data source is appropriate. The published price of adalimumab used in the cost-minimisation analysis is appropriate.</w:t>
            </w:r>
          </w:p>
        </w:tc>
      </w:tr>
      <w:tr w:rsidR="0059604F" w:rsidRPr="00214062" w14:paraId="7A8656CB" w14:textId="77777777" w:rsidTr="008B6A0B">
        <w:tc>
          <w:tcPr>
            <w:tcW w:w="940" w:type="pct"/>
            <w:shd w:val="clear" w:color="auto" w:fill="auto"/>
            <w:vAlign w:val="center"/>
          </w:tcPr>
          <w:p w14:paraId="17DE117C" w14:textId="77777777" w:rsidR="0059604F" w:rsidRPr="00214062" w:rsidRDefault="0059604F" w:rsidP="006E0383">
            <w:pPr>
              <w:pStyle w:val="TableText0"/>
              <w:keepLines/>
              <w:rPr>
                <w:lang w:eastAsia="en-US"/>
              </w:rPr>
            </w:pPr>
            <w:r w:rsidRPr="00214062">
              <w:rPr>
                <w:lang w:eastAsia="en-US"/>
              </w:rPr>
              <w:t>Other costs or cost offsets</w:t>
            </w:r>
          </w:p>
        </w:tc>
        <w:tc>
          <w:tcPr>
            <w:tcW w:w="4060" w:type="pct"/>
            <w:shd w:val="clear" w:color="auto" w:fill="auto"/>
            <w:vAlign w:val="center"/>
          </w:tcPr>
          <w:p w14:paraId="3D517F1D" w14:textId="77777777" w:rsidR="0059604F" w:rsidRPr="00E0216C" w:rsidRDefault="0059604F" w:rsidP="006E0383">
            <w:pPr>
              <w:pStyle w:val="TableText0"/>
              <w:keepLines/>
              <w:rPr>
                <w:i/>
                <w:iCs/>
                <w:lang w:eastAsia="en-US"/>
              </w:rPr>
            </w:pPr>
            <w:r w:rsidRPr="00820082">
              <w:rPr>
                <w:lang w:eastAsia="en-US"/>
              </w:rPr>
              <w:t xml:space="preserve">The submission </w:t>
            </w:r>
            <w:r>
              <w:rPr>
                <w:lang w:eastAsia="en-US"/>
              </w:rPr>
              <w:t xml:space="preserve">assumed that other potential healthcare resource utilisation such as periodic face-to-face special consultation visits and associated monitoring would occur equally with each treatment. </w:t>
            </w:r>
            <w:r w:rsidRPr="00287CEF">
              <w:rPr>
                <w:lang w:eastAsia="en-US"/>
              </w:rPr>
              <w:t>The assumption may not be reasonable in terms of adverse events.</w:t>
            </w:r>
          </w:p>
        </w:tc>
      </w:tr>
    </w:tbl>
    <w:p w14:paraId="0EBCB318" w14:textId="323C5E00" w:rsidR="0059604F" w:rsidRPr="00E154FE" w:rsidRDefault="0059604F" w:rsidP="006E0383">
      <w:pPr>
        <w:pStyle w:val="TableFigureFooter"/>
        <w:keepNext/>
        <w:keepLines/>
        <w:rPr>
          <w:rFonts w:eastAsia="Calibri"/>
          <w:i/>
          <w:iCs/>
          <w:lang w:eastAsia="en-US"/>
        </w:rPr>
      </w:pPr>
      <w:r>
        <w:rPr>
          <w:rFonts w:eastAsia="Calibri"/>
          <w:lang w:eastAsia="en-US"/>
        </w:rPr>
        <w:t xml:space="preserve">Source: </w:t>
      </w:r>
      <w:r w:rsidRPr="006A6D2E">
        <w:rPr>
          <w:rFonts w:eastAsia="Calibri"/>
          <w:lang w:eastAsia="en-US"/>
        </w:rPr>
        <w:t>Table 3-1, p167 of the submission.</w:t>
      </w:r>
      <w:r>
        <w:rPr>
          <w:rFonts w:eastAsia="Calibri"/>
          <w:i/>
          <w:iCs/>
          <w:lang w:eastAsia="en-US"/>
        </w:rPr>
        <w:t xml:space="preserve"> </w:t>
      </w:r>
    </w:p>
    <w:p w14:paraId="782F513E" w14:textId="1D1B463F" w:rsidR="0059604F" w:rsidRDefault="0059604F" w:rsidP="006E0383">
      <w:pPr>
        <w:pStyle w:val="TableFigureFooter"/>
        <w:keepNext/>
        <w:keepLines/>
        <w:rPr>
          <w:rFonts w:eastAsia="Calibri"/>
          <w:lang w:eastAsia="en-US"/>
        </w:rPr>
      </w:pPr>
      <w:r>
        <w:rPr>
          <w:rFonts w:eastAsia="Calibri"/>
          <w:lang w:eastAsia="en-US"/>
        </w:rPr>
        <w:t>MBS</w:t>
      </w:r>
      <w:r w:rsidR="008B1228">
        <w:rPr>
          <w:rFonts w:eastAsia="Calibri"/>
          <w:lang w:eastAsia="en-US"/>
        </w:rPr>
        <w:t xml:space="preserve">= </w:t>
      </w:r>
      <w:r>
        <w:rPr>
          <w:rFonts w:eastAsia="Calibri"/>
          <w:lang w:eastAsia="en-US"/>
        </w:rPr>
        <w:t>Medicare Benefits Schedule; mg</w:t>
      </w:r>
      <w:r w:rsidR="008B1228">
        <w:rPr>
          <w:rFonts w:eastAsia="Calibri"/>
          <w:lang w:eastAsia="en-US"/>
        </w:rPr>
        <w:t xml:space="preserve">= </w:t>
      </w:r>
      <w:r>
        <w:rPr>
          <w:rFonts w:eastAsia="Calibri"/>
          <w:lang w:eastAsia="en-US"/>
        </w:rPr>
        <w:t>milligram; TGA</w:t>
      </w:r>
      <w:r w:rsidR="008B1228">
        <w:rPr>
          <w:rFonts w:eastAsia="Calibri"/>
          <w:lang w:eastAsia="en-US"/>
        </w:rPr>
        <w:t xml:space="preserve">= </w:t>
      </w:r>
      <w:r>
        <w:rPr>
          <w:rFonts w:eastAsia="Calibri"/>
          <w:lang w:eastAsia="en-US"/>
        </w:rPr>
        <w:t>Therapeutic Goods Administration</w:t>
      </w:r>
    </w:p>
    <w:p w14:paraId="374059A3" w14:textId="1D3D1F0F" w:rsidR="00585AE1" w:rsidRPr="002D2A74" w:rsidRDefault="0059604F" w:rsidP="00585AE1">
      <w:pPr>
        <w:pStyle w:val="TableFigureFooter"/>
      </w:pPr>
      <w:r>
        <w:rPr>
          <w:rFonts w:eastAsia="Calibri"/>
          <w:lang w:eastAsia="en-US"/>
        </w:rPr>
        <w:t xml:space="preserve">Note: </w:t>
      </w:r>
      <w:r w:rsidRPr="00BC51F4">
        <w:rPr>
          <w:rFonts w:eastAsia="Calibri"/>
          <w:lang w:eastAsia="en-US"/>
        </w:rPr>
        <w:t xml:space="preserve">Continuing </w:t>
      </w:r>
      <w:r>
        <w:rPr>
          <w:rFonts w:eastAsia="Calibri"/>
          <w:lang w:eastAsia="en-US"/>
        </w:rPr>
        <w:t>phase</w:t>
      </w:r>
      <w:r w:rsidRPr="00BC51F4">
        <w:rPr>
          <w:rFonts w:eastAsia="Calibri"/>
          <w:lang w:eastAsia="en-US"/>
        </w:rPr>
        <w:t xml:space="preserve"> is subject to PBS restriction criteria outlined in Section </w:t>
      </w:r>
      <w:r>
        <w:rPr>
          <w:rFonts w:eastAsia="Calibri"/>
          <w:lang w:eastAsia="en-US"/>
        </w:rPr>
        <w:t>1.4.3, pp28-29 of the submission.</w:t>
      </w:r>
    </w:p>
    <w:p w14:paraId="3C8EC64E" w14:textId="24E1998B" w:rsidR="0059604F" w:rsidRPr="0071042B" w:rsidRDefault="0059604F" w:rsidP="00097C1E">
      <w:pPr>
        <w:pStyle w:val="3-BodyText"/>
      </w:pPr>
      <w:r w:rsidRPr="006C5445">
        <w:t>The submission proposed that upadacitinib 45 mg tablet once daily for 12</w:t>
      </w:r>
      <w:r w:rsidR="0034364A">
        <w:rPr>
          <w:rFonts w:ascii="Arial Narrow" w:eastAsiaTheme="majorEastAsia" w:hAnsi="Arial Narrow"/>
          <w:sz w:val="18"/>
          <w:szCs w:val="22"/>
        </w:rPr>
        <w:t> </w:t>
      </w:r>
      <w:r w:rsidRPr="006C5445">
        <w:t>weeks</w:t>
      </w:r>
      <w:r w:rsidR="00BD771B">
        <w:t>,</w:t>
      </w:r>
      <w:r w:rsidRPr="006C5445">
        <w:t xml:space="preserve"> followed by either 15</w:t>
      </w:r>
      <w:r w:rsidR="0034364A">
        <w:rPr>
          <w:rFonts w:ascii="Arial Narrow" w:eastAsiaTheme="majorEastAsia" w:hAnsi="Arial Narrow"/>
          <w:sz w:val="18"/>
          <w:szCs w:val="22"/>
        </w:rPr>
        <w:t> </w:t>
      </w:r>
      <w:r w:rsidRPr="006C5445">
        <w:t>mg or 30</w:t>
      </w:r>
      <w:r w:rsidR="0034364A">
        <w:rPr>
          <w:rFonts w:ascii="Arial Narrow" w:eastAsiaTheme="majorEastAsia" w:hAnsi="Arial Narrow"/>
          <w:sz w:val="18"/>
          <w:szCs w:val="22"/>
        </w:rPr>
        <w:t> </w:t>
      </w:r>
      <w:r w:rsidRPr="006C5445">
        <w:t xml:space="preserve">mg tablet once </w:t>
      </w:r>
      <w:proofErr w:type="gramStart"/>
      <w:r w:rsidRPr="006C5445">
        <w:t>daily</w:t>
      </w:r>
      <w:proofErr w:type="gramEnd"/>
      <w:r w:rsidRPr="006C5445">
        <w:t xml:space="preserve"> thereafter</w:t>
      </w:r>
      <w:r w:rsidR="00BD771B">
        <w:t>,</w:t>
      </w:r>
      <w:r w:rsidRPr="006C5445">
        <w:t xml:space="preserve"> is equi-effective to adalimumab 160</w:t>
      </w:r>
      <w:r w:rsidR="0034364A">
        <w:rPr>
          <w:rFonts w:ascii="Arial Narrow" w:eastAsiaTheme="majorEastAsia" w:hAnsi="Arial Narrow"/>
          <w:sz w:val="18"/>
          <w:szCs w:val="22"/>
        </w:rPr>
        <w:t> </w:t>
      </w:r>
      <w:r w:rsidRPr="006C5445">
        <w:t>mg on Day 0 administered as four 40</w:t>
      </w:r>
      <w:r w:rsidR="0034364A">
        <w:rPr>
          <w:rFonts w:ascii="Arial Narrow" w:eastAsiaTheme="majorEastAsia" w:hAnsi="Arial Narrow"/>
          <w:sz w:val="18"/>
          <w:szCs w:val="22"/>
        </w:rPr>
        <w:t> </w:t>
      </w:r>
      <w:r w:rsidRPr="006C5445">
        <w:t>mg/0.4</w:t>
      </w:r>
      <w:r w:rsidR="0034364A">
        <w:rPr>
          <w:rFonts w:ascii="Arial Narrow" w:eastAsiaTheme="majorEastAsia" w:hAnsi="Arial Narrow"/>
          <w:sz w:val="18"/>
          <w:szCs w:val="22"/>
        </w:rPr>
        <w:t> </w:t>
      </w:r>
      <w:r w:rsidRPr="006C5445">
        <w:t>mL subcutaneous injections, followed by 80</w:t>
      </w:r>
      <w:r w:rsidR="0034364A">
        <w:rPr>
          <w:rFonts w:ascii="Arial Narrow" w:eastAsiaTheme="majorEastAsia" w:hAnsi="Arial Narrow"/>
          <w:sz w:val="18"/>
          <w:szCs w:val="22"/>
        </w:rPr>
        <w:t> </w:t>
      </w:r>
      <w:r w:rsidRPr="006C5445">
        <w:t>mg on Day 14 administered as two 40</w:t>
      </w:r>
      <w:r w:rsidR="0034364A">
        <w:rPr>
          <w:rFonts w:ascii="Arial Narrow" w:eastAsiaTheme="majorEastAsia" w:hAnsi="Arial Narrow"/>
          <w:sz w:val="18"/>
          <w:szCs w:val="22"/>
        </w:rPr>
        <w:t> </w:t>
      </w:r>
      <w:r w:rsidRPr="006C5445">
        <w:t>mg/0.4</w:t>
      </w:r>
      <w:r w:rsidR="0034364A">
        <w:rPr>
          <w:rFonts w:ascii="Arial Narrow" w:eastAsiaTheme="majorEastAsia" w:hAnsi="Arial Narrow"/>
          <w:sz w:val="18"/>
          <w:szCs w:val="22"/>
        </w:rPr>
        <w:t> </w:t>
      </w:r>
      <w:r w:rsidRPr="006C5445">
        <w:t>mL subcutaneous injections and then 40</w:t>
      </w:r>
      <w:r w:rsidR="0034364A">
        <w:rPr>
          <w:rFonts w:ascii="Arial Narrow" w:eastAsiaTheme="majorEastAsia" w:hAnsi="Arial Narrow"/>
          <w:sz w:val="18"/>
          <w:szCs w:val="22"/>
        </w:rPr>
        <w:t> </w:t>
      </w:r>
      <w:r w:rsidRPr="006C5445">
        <w:t>mg/0.4</w:t>
      </w:r>
      <w:r w:rsidR="0034364A">
        <w:rPr>
          <w:rFonts w:ascii="Arial Narrow" w:eastAsiaTheme="majorEastAsia" w:hAnsi="Arial Narrow"/>
          <w:sz w:val="18"/>
          <w:szCs w:val="22"/>
        </w:rPr>
        <w:t> </w:t>
      </w:r>
      <w:r w:rsidRPr="006C5445">
        <w:t xml:space="preserve">mL subcutaneous injections administered on Day 28 dosed fortnightly thereafter. </w:t>
      </w:r>
      <w:r w:rsidRPr="0071042B">
        <w:t>The use of upadacitinib matches the dosing, frequency of use, continuation or cessation rules in the draft TGA Product Information (Upadacitinib (Rinvoq) TGA draft Product Information, September</w:t>
      </w:r>
      <w:r w:rsidR="0034364A">
        <w:rPr>
          <w:rFonts w:ascii="Arial Narrow" w:eastAsiaTheme="majorEastAsia" w:hAnsi="Arial Narrow"/>
          <w:sz w:val="18"/>
          <w:szCs w:val="22"/>
        </w:rPr>
        <w:t> </w:t>
      </w:r>
      <w:r w:rsidRPr="0071042B">
        <w:t xml:space="preserve">2022). They are also consistent with the dosing and frequency of use in the trial arms presented in </w:t>
      </w:r>
      <w:r w:rsidR="00582DF7" w:rsidRPr="0071042B">
        <w:t xml:space="preserve">the clinical </w:t>
      </w:r>
      <w:r w:rsidR="007236E5" w:rsidRPr="0071042B">
        <w:t>evidence</w:t>
      </w:r>
      <w:r w:rsidRPr="0071042B">
        <w:t xml:space="preserve"> to support the clinical claims.</w:t>
      </w:r>
    </w:p>
    <w:p w14:paraId="45E3A678" w14:textId="48D05FBD" w:rsidR="0059604F" w:rsidRDefault="0059604F" w:rsidP="00097C1E">
      <w:pPr>
        <w:pStyle w:val="3-BodyText"/>
        <w:rPr>
          <w:i/>
          <w:iCs/>
        </w:rPr>
      </w:pPr>
      <w:r w:rsidRPr="00946B8A">
        <w:t>The submission assumed that 10% of patients receiving adalimumab w</w:t>
      </w:r>
      <w:r w:rsidR="00FF24A5">
        <w:t>ould</w:t>
      </w:r>
      <w:r w:rsidRPr="00946B8A">
        <w:t xml:space="preserve"> require injection assistance</w:t>
      </w:r>
      <w:r w:rsidR="00FF24A5">
        <w:t>,</w:t>
      </w:r>
      <w:r w:rsidRPr="00946B8A">
        <w:t xml:space="preserve"> and MBS item </w:t>
      </w:r>
      <w:r w:rsidR="00FF24A5">
        <w:t>23 was applied,</w:t>
      </w:r>
      <w:r w:rsidRPr="00946B8A">
        <w:t xml:space="preserve"> updated on 1 July 2022 </w:t>
      </w:r>
      <w:r w:rsidR="00FF24A5">
        <w:t>to</w:t>
      </w:r>
      <w:r w:rsidRPr="00946B8A">
        <w:t xml:space="preserve"> $39.75. The submission claimed that this assumption was in line with the previous biologic </w:t>
      </w:r>
      <w:r w:rsidRPr="00946B8A">
        <w:lastRenderedPageBreak/>
        <w:t xml:space="preserve">submissions where the PBAC considered it appropriate to include the associated costs for injection assistance as a visit to a doctor (Paragraph 7.16, Vedolizumab </w:t>
      </w:r>
      <w:r w:rsidR="00507D16">
        <w:t>PSD</w:t>
      </w:r>
      <w:r w:rsidRPr="00946B8A">
        <w:t xml:space="preserve">, November 2020 PBAC meeting). </w:t>
      </w:r>
    </w:p>
    <w:p w14:paraId="527F7EE9" w14:textId="7DCC3505" w:rsidR="0059604F" w:rsidRPr="00AC3094" w:rsidRDefault="0059604F" w:rsidP="00097C1E">
      <w:pPr>
        <w:pStyle w:val="3-BodyText"/>
        <w:rPr>
          <w:i/>
          <w:iCs/>
        </w:rPr>
      </w:pPr>
      <w:r w:rsidRPr="0049671D">
        <w:t>The submission assumed that potential healthcare resource utilisation</w:t>
      </w:r>
      <w:r w:rsidR="00AB11F8">
        <w:t>,</w:t>
      </w:r>
      <w:r w:rsidRPr="0049671D">
        <w:t xml:space="preserve"> such as periodic face-to-face specialist consultation visits and associated monitoring</w:t>
      </w:r>
      <w:r w:rsidR="00AB11F8">
        <w:t>,</w:t>
      </w:r>
      <w:r w:rsidRPr="0049671D">
        <w:t xml:space="preserve"> would occur equally with each treatment.</w:t>
      </w:r>
      <w:r w:rsidRPr="0071042B">
        <w:t xml:space="preserve"> A similar assumption was previously considered in the case of risankizumab (Paragraph 6.6</w:t>
      </w:r>
      <w:r w:rsidR="005D49C3">
        <w:t>5</w:t>
      </w:r>
      <w:r w:rsidRPr="0071042B">
        <w:t xml:space="preserve">, Risankizumab, </w:t>
      </w:r>
      <w:r w:rsidR="00507D16">
        <w:t>PSD</w:t>
      </w:r>
      <w:r w:rsidRPr="0071042B">
        <w:t>, July 2022 PBAC meeting).</w:t>
      </w:r>
    </w:p>
    <w:p w14:paraId="267C432B" w14:textId="5DE519B4" w:rsidR="008C566C" w:rsidRPr="0071042B" w:rsidRDefault="008C566C" w:rsidP="008C566C">
      <w:pPr>
        <w:pStyle w:val="3-BodyText"/>
      </w:pPr>
      <w:r w:rsidRPr="00946B8A">
        <w:t xml:space="preserve">The submission </w:t>
      </w:r>
      <w:r w:rsidR="00685451">
        <w:t>used</w:t>
      </w:r>
      <w:r w:rsidRPr="00946B8A">
        <w:t xml:space="preserve"> the published AEMP</w:t>
      </w:r>
      <w:r>
        <w:t xml:space="preserve"> ($818.54)</w:t>
      </w:r>
      <w:r w:rsidRPr="00946B8A">
        <w:t xml:space="preserve"> for adalimumab</w:t>
      </w:r>
      <w:r w:rsidR="00D12A02">
        <w:t xml:space="preserve"> when originally submitted to the March 2023 PBAC meeting</w:t>
      </w:r>
      <w:r w:rsidR="005D49C3">
        <w:t>.</w:t>
      </w:r>
      <w:r w:rsidR="00D12A02">
        <w:t xml:space="preserve"> The PBAC noted the price of some brands of adalimumab had reduced between the March 2023 and July 2023 meetings, however the proposed cost minimisation approach was not updated prior to consideration.</w:t>
      </w:r>
    </w:p>
    <w:p w14:paraId="638E521D" w14:textId="214358B7" w:rsidR="00310EAF" w:rsidRPr="00814A3A" w:rsidRDefault="00310EAF" w:rsidP="00097C1E">
      <w:pPr>
        <w:pStyle w:val="3-BodyText"/>
        <w:rPr>
          <w:i/>
          <w:iCs/>
        </w:rPr>
      </w:pPr>
      <w:r>
        <w:t xml:space="preserve">Results of the cost-minimisation approach </w:t>
      </w:r>
      <w:r w:rsidRPr="00310EAF">
        <w:t xml:space="preserve">of upadacitinib versus adalimumab </w:t>
      </w:r>
      <w:r w:rsidR="00EC4CA4">
        <w:t xml:space="preserve">using the published </w:t>
      </w:r>
      <w:r w:rsidR="00776E6E">
        <w:t>AEMP</w:t>
      </w:r>
      <w:r w:rsidR="00EC4CA4">
        <w:t xml:space="preserve"> for adalimumab </w:t>
      </w:r>
      <w:r w:rsidRPr="00310EAF">
        <w:t xml:space="preserve">are presented in </w:t>
      </w:r>
      <w:r>
        <w:fldChar w:fldCharType="begin" w:fldLock="1"/>
      </w:r>
      <w:r>
        <w:instrText xml:space="preserve"> REF _Ref121577206 \h </w:instrText>
      </w:r>
      <w:r>
        <w:fldChar w:fldCharType="separate"/>
      </w:r>
      <w:r w:rsidR="0033335A">
        <w:t xml:space="preserve">Table </w:t>
      </w:r>
      <w:r w:rsidR="0033335A">
        <w:rPr>
          <w:noProof/>
        </w:rPr>
        <w:t>11</w:t>
      </w:r>
      <w:r>
        <w:fldChar w:fldCharType="end"/>
      </w:r>
      <w:r>
        <w:t xml:space="preserve">. </w:t>
      </w:r>
    </w:p>
    <w:p w14:paraId="32A7567F" w14:textId="247C3E12" w:rsidR="0059604F" w:rsidRDefault="0059604F" w:rsidP="006E0383">
      <w:pPr>
        <w:pStyle w:val="In-tableHeading"/>
        <w:keepLines/>
      </w:pPr>
      <w:bookmarkStart w:id="96" w:name="_Ref121577206"/>
      <w:r>
        <w:t xml:space="preserve">Table </w:t>
      </w:r>
      <w:r>
        <w:fldChar w:fldCharType="begin" w:fldLock="1"/>
      </w:r>
      <w:r>
        <w:instrText xml:space="preserve"> SEQ Table \* ARABIC </w:instrText>
      </w:r>
      <w:r>
        <w:fldChar w:fldCharType="separate"/>
      </w:r>
      <w:r w:rsidR="0033335A">
        <w:rPr>
          <w:noProof/>
        </w:rPr>
        <w:t>11</w:t>
      </w:r>
      <w:r>
        <w:fldChar w:fldCharType="end"/>
      </w:r>
      <w:bookmarkEnd w:id="96"/>
      <w:r>
        <w:t xml:space="preserve">: </w:t>
      </w:r>
      <w:r w:rsidRPr="005A20E3">
        <w:t xml:space="preserve">Cost-minimisation approach of upadacitinib versus adalimumab over 24 months of treatment based on the published ex-manufacturer price of </w:t>
      </w:r>
      <w:proofErr w:type="gramStart"/>
      <w:r w:rsidRPr="005A20E3">
        <w:t>adalimumab</w:t>
      </w:r>
      <w:proofErr w:type="gramEnd"/>
    </w:p>
    <w:tbl>
      <w:tblPr>
        <w:tblStyle w:val="TableGrid"/>
        <w:tblW w:w="5000" w:type="pct"/>
        <w:tblLook w:val="04A0" w:firstRow="1" w:lastRow="0" w:firstColumn="1" w:lastColumn="0" w:noHBand="0" w:noVBand="1"/>
      </w:tblPr>
      <w:tblGrid>
        <w:gridCol w:w="563"/>
        <w:gridCol w:w="2692"/>
        <w:gridCol w:w="1674"/>
        <w:gridCol w:w="1729"/>
        <w:gridCol w:w="2359"/>
      </w:tblGrid>
      <w:tr w:rsidR="0059604F" w:rsidRPr="006E0383" w14:paraId="04D7165D" w14:textId="77777777" w:rsidTr="00097C1E">
        <w:trPr>
          <w:trHeight w:val="70"/>
          <w:tblHeader/>
        </w:trPr>
        <w:tc>
          <w:tcPr>
            <w:tcW w:w="312" w:type="pct"/>
          </w:tcPr>
          <w:p w14:paraId="58AE15A2" w14:textId="77777777" w:rsidR="0059604F" w:rsidRPr="006E0383" w:rsidRDefault="0059604F" w:rsidP="006E0383">
            <w:pPr>
              <w:pStyle w:val="Tabletext"/>
              <w:keepNext/>
              <w:keepLines/>
              <w:jc w:val="center"/>
              <w:rPr>
                <w:b/>
                <w:bCs/>
                <w:szCs w:val="20"/>
              </w:rPr>
            </w:pPr>
            <w:r w:rsidRPr="006E0383">
              <w:rPr>
                <w:b/>
                <w:bCs/>
                <w:szCs w:val="20"/>
              </w:rPr>
              <w:t>Row</w:t>
            </w:r>
          </w:p>
        </w:tc>
        <w:tc>
          <w:tcPr>
            <w:tcW w:w="1493" w:type="pct"/>
            <w:shd w:val="clear" w:color="auto" w:fill="auto"/>
          </w:tcPr>
          <w:p w14:paraId="2980DD57" w14:textId="77777777" w:rsidR="0059604F" w:rsidRPr="006E0383" w:rsidRDefault="0059604F" w:rsidP="006E0383">
            <w:pPr>
              <w:pStyle w:val="Tabletext"/>
              <w:keepNext/>
              <w:keepLines/>
              <w:jc w:val="center"/>
              <w:rPr>
                <w:b/>
                <w:bCs/>
                <w:szCs w:val="20"/>
              </w:rPr>
            </w:pPr>
            <w:r w:rsidRPr="006E0383">
              <w:rPr>
                <w:b/>
                <w:bCs/>
                <w:szCs w:val="20"/>
              </w:rPr>
              <w:t>Component</w:t>
            </w:r>
          </w:p>
        </w:tc>
        <w:tc>
          <w:tcPr>
            <w:tcW w:w="928" w:type="pct"/>
          </w:tcPr>
          <w:p w14:paraId="4FB82540" w14:textId="77777777" w:rsidR="0059604F" w:rsidRPr="006E0383" w:rsidRDefault="0059604F" w:rsidP="006E0383">
            <w:pPr>
              <w:pStyle w:val="Tabletext"/>
              <w:keepNext/>
              <w:keepLines/>
              <w:jc w:val="center"/>
              <w:rPr>
                <w:b/>
                <w:bCs/>
                <w:szCs w:val="20"/>
              </w:rPr>
            </w:pPr>
            <w:r w:rsidRPr="006E0383">
              <w:rPr>
                <w:b/>
                <w:bCs/>
                <w:szCs w:val="20"/>
              </w:rPr>
              <w:t>UPA</w:t>
            </w:r>
          </w:p>
        </w:tc>
        <w:tc>
          <w:tcPr>
            <w:tcW w:w="959" w:type="pct"/>
            <w:shd w:val="clear" w:color="auto" w:fill="auto"/>
          </w:tcPr>
          <w:p w14:paraId="6679EF80" w14:textId="77777777" w:rsidR="0059604F" w:rsidRPr="006E0383" w:rsidRDefault="0059604F" w:rsidP="006E0383">
            <w:pPr>
              <w:pStyle w:val="Tabletext"/>
              <w:keepNext/>
              <w:keepLines/>
              <w:jc w:val="center"/>
              <w:rPr>
                <w:b/>
                <w:bCs/>
                <w:szCs w:val="20"/>
              </w:rPr>
            </w:pPr>
            <w:r w:rsidRPr="006E0383">
              <w:rPr>
                <w:b/>
                <w:bCs/>
                <w:szCs w:val="20"/>
              </w:rPr>
              <w:t>ADA</w:t>
            </w:r>
          </w:p>
        </w:tc>
        <w:tc>
          <w:tcPr>
            <w:tcW w:w="1308" w:type="pct"/>
            <w:shd w:val="clear" w:color="auto" w:fill="auto"/>
          </w:tcPr>
          <w:p w14:paraId="6EE5E6E0" w14:textId="77777777" w:rsidR="0059604F" w:rsidRPr="006E0383" w:rsidRDefault="0059604F" w:rsidP="006E0383">
            <w:pPr>
              <w:pStyle w:val="Tabletext"/>
              <w:keepNext/>
              <w:keepLines/>
              <w:jc w:val="center"/>
              <w:rPr>
                <w:b/>
                <w:bCs/>
                <w:szCs w:val="20"/>
              </w:rPr>
            </w:pPr>
            <w:r w:rsidRPr="006E0383">
              <w:rPr>
                <w:b/>
                <w:bCs/>
                <w:szCs w:val="20"/>
              </w:rPr>
              <w:t>Source / calculation</w:t>
            </w:r>
          </w:p>
        </w:tc>
      </w:tr>
      <w:tr w:rsidR="0059604F" w:rsidRPr="006E0383" w14:paraId="11AF7498" w14:textId="77777777" w:rsidTr="00097C1E">
        <w:trPr>
          <w:trHeight w:val="217"/>
        </w:trPr>
        <w:tc>
          <w:tcPr>
            <w:tcW w:w="312" w:type="pct"/>
          </w:tcPr>
          <w:p w14:paraId="4A81B258" w14:textId="77777777" w:rsidR="0059604F" w:rsidRPr="006E0383" w:rsidRDefault="0059604F" w:rsidP="006E0383">
            <w:pPr>
              <w:pStyle w:val="Tabletext"/>
              <w:keepNext/>
              <w:keepLines/>
              <w:rPr>
                <w:szCs w:val="20"/>
              </w:rPr>
            </w:pPr>
            <w:r w:rsidRPr="006E0383">
              <w:rPr>
                <w:szCs w:val="20"/>
              </w:rPr>
              <w:t>A</w:t>
            </w:r>
          </w:p>
        </w:tc>
        <w:tc>
          <w:tcPr>
            <w:tcW w:w="1493" w:type="pct"/>
            <w:shd w:val="clear" w:color="auto" w:fill="auto"/>
          </w:tcPr>
          <w:p w14:paraId="6CA3BB86" w14:textId="77777777" w:rsidR="0059604F" w:rsidRPr="006E0383" w:rsidRDefault="0059604F" w:rsidP="006E0383">
            <w:pPr>
              <w:pStyle w:val="Tabletext"/>
              <w:keepNext/>
              <w:keepLines/>
              <w:rPr>
                <w:szCs w:val="20"/>
              </w:rPr>
            </w:pPr>
            <w:r w:rsidRPr="006E0383">
              <w:rPr>
                <w:szCs w:val="20"/>
              </w:rPr>
              <w:t>Treatment duration, years</w:t>
            </w:r>
          </w:p>
        </w:tc>
        <w:tc>
          <w:tcPr>
            <w:tcW w:w="928" w:type="pct"/>
          </w:tcPr>
          <w:p w14:paraId="605DF08D" w14:textId="77777777" w:rsidR="0059604F" w:rsidRPr="006E0383" w:rsidRDefault="0059604F" w:rsidP="006E0383">
            <w:pPr>
              <w:pStyle w:val="Tabletext"/>
              <w:keepNext/>
              <w:keepLines/>
              <w:jc w:val="center"/>
              <w:rPr>
                <w:szCs w:val="20"/>
              </w:rPr>
            </w:pPr>
            <w:r w:rsidRPr="006E0383">
              <w:rPr>
                <w:szCs w:val="20"/>
              </w:rPr>
              <w:t>2</w:t>
            </w:r>
          </w:p>
        </w:tc>
        <w:tc>
          <w:tcPr>
            <w:tcW w:w="959" w:type="pct"/>
            <w:shd w:val="clear" w:color="auto" w:fill="auto"/>
          </w:tcPr>
          <w:p w14:paraId="0EE22838" w14:textId="77777777" w:rsidR="0059604F" w:rsidRPr="006E0383" w:rsidRDefault="0059604F" w:rsidP="006E0383">
            <w:pPr>
              <w:pStyle w:val="Tabletext"/>
              <w:keepNext/>
              <w:keepLines/>
              <w:jc w:val="center"/>
              <w:rPr>
                <w:szCs w:val="20"/>
              </w:rPr>
            </w:pPr>
            <w:r w:rsidRPr="006E0383">
              <w:rPr>
                <w:szCs w:val="20"/>
              </w:rPr>
              <w:t>2</w:t>
            </w:r>
          </w:p>
        </w:tc>
        <w:tc>
          <w:tcPr>
            <w:tcW w:w="1308" w:type="pct"/>
            <w:shd w:val="clear" w:color="auto" w:fill="auto"/>
          </w:tcPr>
          <w:p w14:paraId="152D9B67" w14:textId="77777777" w:rsidR="0059604F" w:rsidRPr="006E0383" w:rsidRDefault="0059604F" w:rsidP="006E0383">
            <w:pPr>
              <w:pStyle w:val="Tabletext"/>
              <w:keepNext/>
              <w:keepLines/>
              <w:rPr>
                <w:szCs w:val="20"/>
              </w:rPr>
            </w:pPr>
            <w:r w:rsidRPr="006E0383">
              <w:rPr>
                <w:szCs w:val="20"/>
              </w:rPr>
              <w:t>Reported by the submission</w:t>
            </w:r>
          </w:p>
        </w:tc>
      </w:tr>
      <w:tr w:rsidR="0059604F" w:rsidRPr="006E0383" w14:paraId="346CEEBD" w14:textId="77777777" w:rsidTr="00097C1E">
        <w:trPr>
          <w:trHeight w:val="228"/>
        </w:trPr>
        <w:tc>
          <w:tcPr>
            <w:tcW w:w="5000" w:type="pct"/>
            <w:gridSpan w:val="5"/>
          </w:tcPr>
          <w:p w14:paraId="1318AB36" w14:textId="77777777" w:rsidR="0059604F" w:rsidRPr="006E0383" w:rsidRDefault="0059604F" w:rsidP="006E0383">
            <w:pPr>
              <w:pStyle w:val="Tabletext"/>
              <w:keepNext/>
              <w:keepLines/>
              <w:rPr>
                <w:b/>
                <w:bCs/>
                <w:szCs w:val="20"/>
              </w:rPr>
            </w:pPr>
            <w:r w:rsidRPr="006E0383">
              <w:rPr>
                <w:b/>
                <w:bCs/>
                <w:szCs w:val="20"/>
              </w:rPr>
              <w:t>Drug costs</w:t>
            </w:r>
          </w:p>
        </w:tc>
      </w:tr>
      <w:tr w:rsidR="0059604F" w:rsidRPr="006E0383" w14:paraId="6433A50F" w14:textId="77777777" w:rsidTr="00097C1E">
        <w:trPr>
          <w:trHeight w:val="898"/>
        </w:trPr>
        <w:tc>
          <w:tcPr>
            <w:tcW w:w="312" w:type="pct"/>
          </w:tcPr>
          <w:p w14:paraId="520FA45F" w14:textId="77777777" w:rsidR="0059604F" w:rsidRPr="006E0383" w:rsidRDefault="0059604F" w:rsidP="006E0383">
            <w:pPr>
              <w:pStyle w:val="Tabletext"/>
              <w:keepNext/>
              <w:keepLines/>
              <w:rPr>
                <w:i/>
                <w:iCs/>
                <w:szCs w:val="20"/>
              </w:rPr>
            </w:pPr>
            <w:r w:rsidRPr="006E0383">
              <w:rPr>
                <w:i/>
                <w:iCs/>
                <w:szCs w:val="20"/>
              </w:rPr>
              <w:t>B</w:t>
            </w:r>
          </w:p>
        </w:tc>
        <w:tc>
          <w:tcPr>
            <w:tcW w:w="1493" w:type="pct"/>
            <w:shd w:val="clear" w:color="auto" w:fill="auto"/>
          </w:tcPr>
          <w:p w14:paraId="3D21B6F0" w14:textId="77777777" w:rsidR="0059604F" w:rsidRPr="006E0383" w:rsidRDefault="0059604F" w:rsidP="006E0383">
            <w:pPr>
              <w:pStyle w:val="Tabletext"/>
              <w:keepNext/>
              <w:keepLines/>
              <w:rPr>
                <w:szCs w:val="20"/>
              </w:rPr>
            </w:pPr>
            <w:r w:rsidRPr="006E0383">
              <w:rPr>
                <w:szCs w:val="20"/>
              </w:rPr>
              <w:t>Dosing details</w:t>
            </w:r>
          </w:p>
        </w:tc>
        <w:tc>
          <w:tcPr>
            <w:tcW w:w="928" w:type="pct"/>
          </w:tcPr>
          <w:p w14:paraId="5173FAA4" w14:textId="1E1B049E" w:rsidR="0059604F" w:rsidRPr="006E0383" w:rsidRDefault="0059604F" w:rsidP="006E0383">
            <w:pPr>
              <w:pStyle w:val="Tabletext"/>
              <w:keepNext/>
              <w:keepLines/>
              <w:jc w:val="center"/>
              <w:rPr>
                <w:bCs/>
                <w:szCs w:val="20"/>
              </w:rPr>
            </w:pPr>
            <w:r w:rsidRPr="006E0383">
              <w:rPr>
                <w:bCs/>
                <w:szCs w:val="20"/>
              </w:rPr>
              <w:t>Initial therapy: 45</w:t>
            </w:r>
            <w:r w:rsidR="0034364A">
              <w:rPr>
                <w:rFonts w:eastAsiaTheme="majorEastAsia"/>
                <w:sz w:val="18"/>
                <w:szCs w:val="22"/>
              </w:rPr>
              <w:t> </w:t>
            </w:r>
            <w:r w:rsidRPr="006E0383">
              <w:rPr>
                <w:bCs/>
                <w:szCs w:val="20"/>
              </w:rPr>
              <w:t>mg tablet once daily for 12 weeks</w:t>
            </w:r>
          </w:p>
          <w:p w14:paraId="69633D2B" w14:textId="77777777" w:rsidR="0059604F" w:rsidRPr="006E0383" w:rsidRDefault="0059604F" w:rsidP="006E0383">
            <w:pPr>
              <w:pStyle w:val="Tabletext"/>
              <w:keepNext/>
              <w:keepLines/>
              <w:jc w:val="center"/>
              <w:rPr>
                <w:bCs/>
                <w:szCs w:val="20"/>
              </w:rPr>
            </w:pPr>
          </w:p>
          <w:p w14:paraId="1F2E816D" w14:textId="77777777" w:rsidR="0059604F" w:rsidRPr="006E0383" w:rsidRDefault="0059604F" w:rsidP="006E0383">
            <w:pPr>
              <w:pStyle w:val="Tabletext"/>
              <w:keepNext/>
              <w:keepLines/>
              <w:jc w:val="center"/>
              <w:rPr>
                <w:szCs w:val="20"/>
              </w:rPr>
            </w:pPr>
            <w:r w:rsidRPr="006E0383">
              <w:rPr>
                <w:bCs/>
                <w:szCs w:val="20"/>
              </w:rPr>
              <w:t xml:space="preserve">Continuing therapy: 30 mg or 15 mg tablet once daily </w:t>
            </w:r>
          </w:p>
        </w:tc>
        <w:tc>
          <w:tcPr>
            <w:tcW w:w="959" w:type="pct"/>
            <w:shd w:val="clear" w:color="auto" w:fill="auto"/>
          </w:tcPr>
          <w:p w14:paraId="5627EE2A" w14:textId="71BAC56B" w:rsidR="0059604F" w:rsidRPr="006E0383" w:rsidRDefault="0059604F" w:rsidP="006E0383">
            <w:pPr>
              <w:pStyle w:val="Tabletext"/>
              <w:keepNext/>
              <w:keepLines/>
              <w:jc w:val="center"/>
              <w:rPr>
                <w:szCs w:val="20"/>
              </w:rPr>
            </w:pPr>
            <w:r w:rsidRPr="006E0383">
              <w:rPr>
                <w:szCs w:val="20"/>
              </w:rPr>
              <w:t>Initial therapy: 160</w:t>
            </w:r>
            <w:r w:rsidR="0034364A">
              <w:rPr>
                <w:rFonts w:eastAsiaTheme="majorEastAsia"/>
                <w:sz w:val="18"/>
                <w:szCs w:val="22"/>
              </w:rPr>
              <w:t> </w:t>
            </w:r>
            <w:r w:rsidRPr="006E0383">
              <w:rPr>
                <w:szCs w:val="20"/>
              </w:rPr>
              <w:t>mg on Day 0, 80</w:t>
            </w:r>
            <w:r w:rsidR="0034364A">
              <w:rPr>
                <w:rFonts w:eastAsiaTheme="majorEastAsia"/>
                <w:sz w:val="18"/>
                <w:szCs w:val="22"/>
              </w:rPr>
              <w:t> </w:t>
            </w:r>
            <w:r w:rsidRPr="006E0383">
              <w:rPr>
                <w:szCs w:val="20"/>
              </w:rPr>
              <w:t>mg on day 14</w:t>
            </w:r>
          </w:p>
          <w:p w14:paraId="54E8AA9B" w14:textId="77777777" w:rsidR="0059604F" w:rsidRPr="006E0383" w:rsidRDefault="0059604F" w:rsidP="006E0383">
            <w:pPr>
              <w:pStyle w:val="Tabletext"/>
              <w:keepNext/>
              <w:keepLines/>
              <w:jc w:val="center"/>
              <w:rPr>
                <w:szCs w:val="20"/>
              </w:rPr>
            </w:pPr>
          </w:p>
          <w:p w14:paraId="7CE5E4FB" w14:textId="77777777" w:rsidR="0059604F" w:rsidRPr="006E0383" w:rsidRDefault="0059604F" w:rsidP="006E0383">
            <w:pPr>
              <w:pStyle w:val="Tabletext"/>
              <w:keepNext/>
              <w:keepLines/>
              <w:jc w:val="center"/>
              <w:rPr>
                <w:szCs w:val="20"/>
              </w:rPr>
            </w:pPr>
            <w:r w:rsidRPr="006E0383">
              <w:rPr>
                <w:szCs w:val="20"/>
              </w:rPr>
              <w:t xml:space="preserve">Continuing therapy: 40 mg SC injection starting Day 28 and continuing fortnightly </w:t>
            </w:r>
          </w:p>
        </w:tc>
        <w:tc>
          <w:tcPr>
            <w:tcW w:w="1308" w:type="pct"/>
            <w:shd w:val="clear" w:color="auto" w:fill="auto"/>
            <w:vAlign w:val="center"/>
          </w:tcPr>
          <w:p w14:paraId="1A8E67DF" w14:textId="77777777" w:rsidR="0059604F" w:rsidRPr="006E0383" w:rsidRDefault="0059604F" w:rsidP="006E0383">
            <w:pPr>
              <w:pStyle w:val="Tabletext"/>
              <w:keepNext/>
              <w:keepLines/>
              <w:rPr>
                <w:szCs w:val="20"/>
              </w:rPr>
            </w:pPr>
            <w:r w:rsidRPr="006E0383">
              <w:rPr>
                <w:szCs w:val="20"/>
              </w:rPr>
              <w:t>Reported by the submission (equi-effective doses)</w:t>
            </w:r>
          </w:p>
        </w:tc>
      </w:tr>
      <w:tr w:rsidR="0059604F" w:rsidRPr="006E0383" w14:paraId="4C591E2A" w14:textId="77777777" w:rsidTr="00097C1E">
        <w:trPr>
          <w:trHeight w:val="228"/>
        </w:trPr>
        <w:tc>
          <w:tcPr>
            <w:tcW w:w="312" w:type="pct"/>
          </w:tcPr>
          <w:p w14:paraId="2C50227E" w14:textId="77777777" w:rsidR="0059604F" w:rsidRPr="006E0383" w:rsidRDefault="0059604F" w:rsidP="006E0383">
            <w:pPr>
              <w:pStyle w:val="Tabletext"/>
              <w:keepNext/>
              <w:keepLines/>
              <w:rPr>
                <w:szCs w:val="20"/>
              </w:rPr>
            </w:pPr>
            <w:r w:rsidRPr="006E0383">
              <w:rPr>
                <w:szCs w:val="20"/>
              </w:rPr>
              <w:t>C</w:t>
            </w:r>
          </w:p>
        </w:tc>
        <w:tc>
          <w:tcPr>
            <w:tcW w:w="1493" w:type="pct"/>
            <w:shd w:val="clear" w:color="auto" w:fill="auto"/>
          </w:tcPr>
          <w:p w14:paraId="194800C9" w14:textId="77777777" w:rsidR="0059604F" w:rsidRPr="006E0383" w:rsidRDefault="0059604F" w:rsidP="006E0383">
            <w:pPr>
              <w:pStyle w:val="Tabletext"/>
              <w:keepNext/>
              <w:keepLines/>
              <w:rPr>
                <w:szCs w:val="20"/>
              </w:rPr>
            </w:pPr>
            <w:r w:rsidRPr="006E0383">
              <w:rPr>
                <w:szCs w:val="20"/>
              </w:rPr>
              <w:t>AEMP per pack</w:t>
            </w:r>
          </w:p>
        </w:tc>
        <w:tc>
          <w:tcPr>
            <w:tcW w:w="928" w:type="pct"/>
          </w:tcPr>
          <w:p w14:paraId="7A52DDA8" w14:textId="77777777" w:rsidR="0059604F" w:rsidRPr="006E0383" w:rsidRDefault="0059604F" w:rsidP="006E0383">
            <w:pPr>
              <w:pStyle w:val="Tabletext"/>
              <w:keepNext/>
              <w:keepLines/>
              <w:jc w:val="center"/>
              <w:rPr>
                <w:szCs w:val="20"/>
              </w:rPr>
            </w:pPr>
            <w:r w:rsidRPr="006E0383">
              <w:rPr>
                <w:szCs w:val="20"/>
              </w:rPr>
              <w:t>$883.36</w:t>
            </w:r>
            <w:r w:rsidRPr="006E0383">
              <w:rPr>
                <w:szCs w:val="20"/>
                <w:vertAlign w:val="superscript"/>
              </w:rPr>
              <w:t>a, b</w:t>
            </w:r>
          </w:p>
        </w:tc>
        <w:tc>
          <w:tcPr>
            <w:tcW w:w="959" w:type="pct"/>
            <w:shd w:val="clear" w:color="auto" w:fill="auto"/>
          </w:tcPr>
          <w:p w14:paraId="580E708A" w14:textId="39F1FEC1" w:rsidR="0059604F" w:rsidRPr="006E0383" w:rsidRDefault="0059604F" w:rsidP="006E0383">
            <w:pPr>
              <w:pStyle w:val="Tabletext"/>
              <w:keepNext/>
              <w:keepLines/>
              <w:jc w:val="center"/>
              <w:rPr>
                <w:szCs w:val="20"/>
              </w:rPr>
            </w:pPr>
            <w:r w:rsidRPr="006E0383">
              <w:rPr>
                <w:szCs w:val="20"/>
              </w:rPr>
              <w:t>$818.54 (published)</w:t>
            </w:r>
          </w:p>
        </w:tc>
        <w:tc>
          <w:tcPr>
            <w:tcW w:w="1308" w:type="pct"/>
            <w:vMerge w:val="restart"/>
            <w:shd w:val="clear" w:color="auto" w:fill="auto"/>
            <w:vAlign w:val="center"/>
          </w:tcPr>
          <w:p w14:paraId="3D00375F" w14:textId="77777777" w:rsidR="0059604F" w:rsidRPr="006E0383" w:rsidRDefault="0059604F" w:rsidP="006E0383">
            <w:pPr>
              <w:pStyle w:val="Tabletext"/>
              <w:keepNext/>
              <w:keepLines/>
              <w:rPr>
                <w:szCs w:val="20"/>
              </w:rPr>
            </w:pPr>
            <w:r w:rsidRPr="006E0383">
              <w:rPr>
                <w:szCs w:val="20"/>
              </w:rPr>
              <w:t>Reported by the submission</w:t>
            </w:r>
          </w:p>
        </w:tc>
      </w:tr>
      <w:tr w:rsidR="0059604F" w:rsidRPr="006E0383" w14:paraId="713D3472" w14:textId="77777777" w:rsidTr="00097C1E">
        <w:trPr>
          <w:trHeight w:val="228"/>
        </w:trPr>
        <w:tc>
          <w:tcPr>
            <w:tcW w:w="312" w:type="pct"/>
          </w:tcPr>
          <w:p w14:paraId="11E70541" w14:textId="77777777" w:rsidR="0059604F" w:rsidRPr="006E0383" w:rsidRDefault="0059604F" w:rsidP="006E0383">
            <w:pPr>
              <w:pStyle w:val="Tabletext"/>
              <w:keepNext/>
              <w:keepLines/>
              <w:rPr>
                <w:szCs w:val="20"/>
              </w:rPr>
            </w:pPr>
            <w:r w:rsidRPr="006E0383">
              <w:rPr>
                <w:szCs w:val="20"/>
              </w:rPr>
              <w:t>D</w:t>
            </w:r>
          </w:p>
        </w:tc>
        <w:tc>
          <w:tcPr>
            <w:tcW w:w="1493" w:type="pct"/>
            <w:shd w:val="clear" w:color="auto" w:fill="auto"/>
          </w:tcPr>
          <w:p w14:paraId="66C159D7" w14:textId="77777777" w:rsidR="0059604F" w:rsidRPr="006E0383" w:rsidDel="002F7C62" w:rsidRDefault="0059604F" w:rsidP="006E0383">
            <w:pPr>
              <w:pStyle w:val="Tabletext"/>
              <w:keepNext/>
              <w:keepLines/>
              <w:rPr>
                <w:szCs w:val="20"/>
              </w:rPr>
            </w:pPr>
            <w:r w:rsidRPr="006E0383">
              <w:rPr>
                <w:szCs w:val="20"/>
              </w:rPr>
              <w:t>Medical assistance with injections</w:t>
            </w:r>
          </w:p>
        </w:tc>
        <w:tc>
          <w:tcPr>
            <w:tcW w:w="928" w:type="pct"/>
          </w:tcPr>
          <w:p w14:paraId="22A07508" w14:textId="77777777" w:rsidR="0059604F" w:rsidRPr="006E0383" w:rsidRDefault="0059604F" w:rsidP="006E0383">
            <w:pPr>
              <w:pStyle w:val="Tabletext"/>
              <w:keepNext/>
              <w:keepLines/>
              <w:jc w:val="center"/>
              <w:rPr>
                <w:szCs w:val="20"/>
              </w:rPr>
            </w:pPr>
            <w:r w:rsidRPr="006E0383">
              <w:rPr>
                <w:szCs w:val="20"/>
              </w:rPr>
              <w:t>$0</w:t>
            </w:r>
          </w:p>
        </w:tc>
        <w:tc>
          <w:tcPr>
            <w:tcW w:w="959" w:type="pct"/>
            <w:shd w:val="clear" w:color="auto" w:fill="auto"/>
          </w:tcPr>
          <w:p w14:paraId="00B68B47" w14:textId="13C6FE52" w:rsidR="0059604F" w:rsidRPr="006E0383" w:rsidRDefault="0059604F" w:rsidP="006E0383">
            <w:pPr>
              <w:pStyle w:val="Tabletext"/>
              <w:keepNext/>
              <w:keepLines/>
              <w:jc w:val="center"/>
              <w:rPr>
                <w:szCs w:val="20"/>
              </w:rPr>
            </w:pPr>
            <w:r w:rsidRPr="006E0383">
              <w:rPr>
                <w:szCs w:val="20"/>
              </w:rPr>
              <w:t>$3.98</w:t>
            </w:r>
            <w:r w:rsidR="00BE5834" w:rsidRPr="006E0383">
              <w:rPr>
                <w:szCs w:val="20"/>
                <w:vertAlign w:val="superscript"/>
              </w:rPr>
              <w:t>c</w:t>
            </w:r>
          </w:p>
        </w:tc>
        <w:tc>
          <w:tcPr>
            <w:tcW w:w="1308" w:type="pct"/>
            <w:vMerge/>
            <w:shd w:val="clear" w:color="auto" w:fill="auto"/>
            <w:vAlign w:val="center"/>
          </w:tcPr>
          <w:p w14:paraId="7609CE53" w14:textId="77777777" w:rsidR="0059604F" w:rsidRPr="006E0383" w:rsidDel="002F7C62" w:rsidRDefault="0059604F" w:rsidP="006E0383">
            <w:pPr>
              <w:pStyle w:val="Tabletext"/>
              <w:keepNext/>
              <w:keepLines/>
              <w:rPr>
                <w:szCs w:val="20"/>
              </w:rPr>
            </w:pPr>
          </w:p>
        </w:tc>
      </w:tr>
      <w:tr w:rsidR="0059604F" w:rsidRPr="006E0383" w14:paraId="41086920" w14:textId="77777777" w:rsidTr="00097C1E">
        <w:trPr>
          <w:trHeight w:val="257"/>
        </w:trPr>
        <w:tc>
          <w:tcPr>
            <w:tcW w:w="312" w:type="pct"/>
          </w:tcPr>
          <w:p w14:paraId="5411ED2D" w14:textId="77777777" w:rsidR="0059604F" w:rsidRPr="006E0383" w:rsidRDefault="0059604F" w:rsidP="006E0383">
            <w:pPr>
              <w:pStyle w:val="Tabletext"/>
              <w:keepNext/>
              <w:keepLines/>
              <w:rPr>
                <w:szCs w:val="20"/>
              </w:rPr>
            </w:pPr>
            <w:r w:rsidRPr="006E0383">
              <w:rPr>
                <w:szCs w:val="20"/>
              </w:rPr>
              <w:t>E</w:t>
            </w:r>
          </w:p>
        </w:tc>
        <w:tc>
          <w:tcPr>
            <w:tcW w:w="1493" w:type="pct"/>
            <w:shd w:val="clear" w:color="auto" w:fill="auto"/>
          </w:tcPr>
          <w:p w14:paraId="4EC4C99D" w14:textId="77777777" w:rsidR="0059604F" w:rsidRPr="006E0383" w:rsidRDefault="0059604F" w:rsidP="006E0383">
            <w:pPr>
              <w:pStyle w:val="Tabletext"/>
              <w:keepNext/>
              <w:keepLines/>
              <w:rPr>
                <w:szCs w:val="20"/>
              </w:rPr>
            </w:pPr>
            <w:r w:rsidRPr="006E0383">
              <w:rPr>
                <w:szCs w:val="20"/>
              </w:rPr>
              <w:t>Unit volume</w:t>
            </w:r>
          </w:p>
        </w:tc>
        <w:tc>
          <w:tcPr>
            <w:tcW w:w="928" w:type="pct"/>
          </w:tcPr>
          <w:p w14:paraId="6E7765F2" w14:textId="77777777" w:rsidR="0059604F" w:rsidRPr="006E0383" w:rsidRDefault="0059604F" w:rsidP="006E0383">
            <w:pPr>
              <w:pStyle w:val="Tabletext"/>
              <w:keepNext/>
              <w:keepLines/>
              <w:jc w:val="center"/>
              <w:rPr>
                <w:szCs w:val="20"/>
              </w:rPr>
            </w:pPr>
            <w:r w:rsidRPr="006E0383">
              <w:rPr>
                <w:szCs w:val="20"/>
              </w:rPr>
              <w:t>45 mg, 30 mg and 15 mg oral tablets</w:t>
            </w:r>
          </w:p>
        </w:tc>
        <w:tc>
          <w:tcPr>
            <w:tcW w:w="959" w:type="pct"/>
            <w:shd w:val="clear" w:color="auto" w:fill="auto"/>
          </w:tcPr>
          <w:p w14:paraId="758EF3EA" w14:textId="77777777" w:rsidR="0059604F" w:rsidRPr="006E0383" w:rsidRDefault="0059604F" w:rsidP="006E0383">
            <w:pPr>
              <w:pStyle w:val="Tabletext"/>
              <w:keepNext/>
              <w:keepLines/>
              <w:jc w:val="center"/>
              <w:rPr>
                <w:szCs w:val="20"/>
              </w:rPr>
            </w:pPr>
            <w:r w:rsidRPr="006E0383">
              <w:rPr>
                <w:szCs w:val="20"/>
              </w:rPr>
              <w:t>160 mg and 80 mg PFS, Pen</w:t>
            </w:r>
          </w:p>
        </w:tc>
        <w:tc>
          <w:tcPr>
            <w:tcW w:w="1308" w:type="pct"/>
            <w:vMerge/>
            <w:shd w:val="clear" w:color="auto" w:fill="auto"/>
          </w:tcPr>
          <w:p w14:paraId="083053B8" w14:textId="77777777" w:rsidR="0059604F" w:rsidRPr="006E0383" w:rsidRDefault="0059604F" w:rsidP="006E0383">
            <w:pPr>
              <w:pStyle w:val="Tabletext"/>
              <w:keepNext/>
              <w:keepLines/>
              <w:rPr>
                <w:szCs w:val="20"/>
              </w:rPr>
            </w:pPr>
          </w:p>
        </w:tc>
      </w:tr>
      <w:tr w:rsidR="0059604F" w:rsidRPr="006E0383" w14:paraId="18D49CCF" w14:textId="77777777" w:rsidTr="00097C1E">
        <w:trPr>
          <w:trHeight w:val="115"/>
        </w:trPr>
        <w:tc>
          <w:tcPr>
            <w:tcW w:w="312" w:type="pct"/>
          </w:tcPr>
          <w:p w14:paraId="7AB5BBB3" w14:textId="77777777" w:rsidR="0059604F" w:rsidRPr="006E0383" w:rsidRDefault="0059604F" w:rsidP="006E0383">
            <w:pPr>
              <w:pStyle w:val="Tabletext"/>
              <w:keepNext/>
              <w:keepLines/>
              <w:rPr>
                <w:szCs w:val="20"/>
              </w:rPr>
            </w:pPr>
            <w:r w:rsidRPr="006E0383">
              <w:rPr>
                <w:szCs w:val="20"/>
              </w:rPr>
              <w:t>F</w:t>
            </w:r>
          </w:p>
        </w:tc>
        <w:tc>
          <w:tcPr>
            <w:tcW w:w="1493" w:type="pct"/>
            <w:shd w:val="clear" w:color="auto" w:fill="auto"/>
          </w:tcPr>
          <w:p w14:paraId="28EEC262" w14:textId="77777777" w:rsidR="0059604F" w:rsidRPr="006E0383" w:rsidRDefault="0059604F" w:rsidP="006E0383">
            <w:pPr>
              <w:pStyle w:val="Tabletext"/>
              <w:keepNext/>
              <w:keepLines/>
              <w:rPr>
                <w:szCs w:val="20"/>
              </w:rPr>
            </w:pPr>
            <w:r w:rsidRPr="006E0383">
              <w:rPr>
                <w:szCs w:val="20"/>
              </w:rPr>
              <w:t>Number of packs first year</w:t>
            </w:r>
          </w:p>
        </w:tc>
        <w:tc>
          <w:tcPr>
            <w:tcW w:w="928" w:type="pct"/>
          </w:tcPr>
          <w:p w14:paraId="6AA3E2EB" w14:textId="3ECFA289" w:rsidR="0059604F" w:rsidRPr="006E0383" w:rsidRDefault="0059604F" w:rsidP="006E0383">
            <w:pPr>
              <w:pStyle w:val="Tabletext"/>
              <w:keepNext/>
              <w:keepLines/>
              <w:jc w:val="center"/>
              <w:rPr>
                <w:szCs w:val="20"/>
              </w:rPr>
            </w:pPr>
            <w:r w:rsidRPr="006E0383">
              <w:rPr>
                <w:szCs w:val="20"/>
              </w:rPr>
              <w:t>13</w:t>
            </w:r>
          </w:p>
        </w:tc>
        <w:tc>
          <w:tcPr>
            <w:tcW w:w="959" w:type="pct"/>
            <w:shd w:val="clear" w:color="auto" w:fill="auto"/>
          </w:tcPr>
          <w:p w14:paraId="2C454FDA" w14:textId="77777777" w:rsidR="0059604F" w:rsidRPr="006E0383" w:rsidRDefault="0059604F" w:rsidP="006E0383">
            <w:pPr>
              <w:pStyle w:val="Tabletext"/>
              <w:keepNext/>
              <w:keepLines/>
              <w:jc w:val="center"/>
              <w:rPr>
                <w:szCs w:val="20"/>
              </w:rPr>
            </w:pPr>
            <w:r w:rsidRPr="006E0383">
              <w:rPr>
                <w:szCs w:val="20"/>
              </w:rPr>
              <w:t>16</w:t>
            </w:r>
          </w:p>
        </w:tc>
        <w:tc>
          <w:tcPr>
            <w:tcW w:w="1308" w:type="pct"/>
            <w:vMerge/>
            <w:shd w:val="clear" w:color="auto" w:fill="auto"/>
          </w:tcPr>
          <w:p w14:paraId="7A15290C" w14:textId="77777777" w:rsidR="0059604F" w:rsidRPr="006E0383" w:rsidRDefault="0059604F" w:rsidP="006E0383">
            <w:pPr>
              <w:pStyle w:val="Tabletext"/>
              <w:keepNext/>
              <w:keepLines/>
              <w:rPr>
                <w:szCs w:val="20"/>
              </w:rPr>
            </w:pPr>
          </w:p>
        </w:tc>
      </w:tr>
      <w:tr w:rsidR="0059604F" w:rsidRPr="006E0383" w14:paraId="4C05FA56" w14:textId="77777777" w:rsidTr="00097C1E">
        <w:trPr>
          <w:trHeight w:val="147"/>
        </w:trPr>
        <w:tc>
          <w:tcPr>
            <w:tcW w:w="312" w:type="pct"/>
          </w:tcPr>
          <w:p w14:paraId="2F9076F5" w14:textId="77777777" w:rsidR="0059604F" w:rsidRPr="006E0383" w:rsidRDefault="0059604F" w:rsidP="006E0383">
            <w:pPr>
              <w:pStyle w:val="Tabletext"/>
              <w:keepNext/>
              <w:keepLines/>
              <w:rPr>
                <w:szCs w:val="20"/>
              </w:rPr>
            </w:pPr>
            <w:r w:rsidRPr="006E0383">
              <w:rPr>
                <w:szCs w:val="20"/>
              </w:rPr>
              <w:t>G</w:t>
            </w:r>
          </w:p>
        </w:tc>
        <w:tc>
          <w:tcPr>
            <w:tcW w:w="1493" w:type="pct"/>
            <w:shd w:val="clear" w:color="auto" w:fill="auto"/>
          </w:tcPr>
          <w:p w14:paraId="543072F7" w14:textId="77777777" w:rsidR="0059604F" w:rsidRPr="006E0383" w:rsidRDefault="0059604F" w:rsidP="006E0383">
            <w:pPr>
              <w:pStyle w:val="Tabletext"/>
              <w:keepNext/>
              <w:keepLines/>
              <w:rPr>
                <w:szCs w:val="20"/>
              </w:rPr>
            </w:pPr>
            <w:r w:rsidRPr="006E0383">
              <w:rPr>
                <w:szCs w:val="20"/>
              </w:rPr>
              <w:t>Number of packs second year</w:t>
            </w:r>
          </w:p>
        </w:tc>
        <w:tc>
          <w:tcPr>
            <w:tcW w:w="928" w:type="pct"/>
          </w:tcPr>
          <w:p w14:paraId="61B73F07" w14:textId="3E9B3FA8" w:rsidR="0059604F" w:rsidRPr="006E0383" w:rsidRDefault="0059604F" w:rsidP="006E0383">
            <w:pPr>
              <w:pStyle w:val="Tabletext"/>
              <w:keepNext/>
              <w:keepLines/>
              <w:jc w:val="center"/>
              <w:rPr>
                <w:szCs w:val="20"/>
              </w:rPr>
            </w:pPr>
            <w:r w:rsidRPr="006E0383">
              <w:rPr>
                <w:szCs w:val="20"/>
              </w:rPr>
              <w:t>13</w:t>
            </w:r>
          </w:p>
        </w:tc>
        <w:tc>
          <w:tcPr>
            <w:tcW w:w="959" w:type="pct"/>
            <w:shd w:val="clear" w:color="auto" w:fill="auto"/>
          </w:tcPr>
          <w:p w14:paraId="4DF9CC74" w14:textId="77777777" w:rsidR="0059604F" w:rsidRPr="006E0383" w:rsidRDefault="0059604F" w:rsidP="006E0383">
            <w:pPr>
              <w:pStyle w:val="Tabletext"/>
              <w:keepNext/>
              <w:keepLines/>
              <w:jc w:val="center"/>
              <w:rPr>
                <w:szCs w:val="20"/>
              </w:rPr>
            </w:pPr>
            <w:r w:rsidRPr="006E0383">
              <w:rPr>
                <w:szCs w:val="20"/>
              </w:rPr>
              <w:t>12</w:t>
            </w:r>
          </w:p>
        </w:tc>
        <w:tc>
          <w:tcPr>
            <w:tcW w:w="1308" w:type="pct"/>
            <w:vMerge/>
            <w:shd w:val="clear" w:color="auto" w:fill="auto"/>
          </w:tcPr>
          <w:p w14:paraId="032560FA" w14:textId="77777777" w:rsidR="0059604F" w:rsidRPr="006E0383" w:rsidRDefault="0059604F" w:rsidP="006E0383">
            <w:pPr>
              <w:pStyle w:val="Tabletext"/>
              <w:keepNext/>
              <w:keepLines/>
              <w:rPr>
                <w:szCs w:val="20"/>
              </w:rPr>
            </w:pPr>
          </w:p>
        </w:tc>
      </w:tr>
      <w:tr w:rsidR="0059604F" w:rsidRPr="006E0383" w14:paraId="74E22F0C" w14:textId="77777777" w:rsidTr="00097C1E">
        <w:trPr>
          <w:trHeight w:val="228"/>
        </w:trPr>
        <w:tc>
          <w:tcPr>
            <w:tcW w:w="312" w:type="pct"/>
          </w:tcPr>
          <w:p w14:paraId="1C6192D5" w14:textId="77777777" w:rsidR="0059604F" w:rsidRPr="006E0383" w:rsidRDefault="0059604F" w:rsidP="006E0383">
            <w:pPr>
              <w:pStyle w:val="Tabletext"/>
              <w:keepNext/>
              <w:keepLines/>
              <w:rPr>
                <w:szCs w:val="20"/>
              </w:rPr>
            </w:pPr>
            <w:r w:rsidRPr="006E0383">
              <w:rPr>
                <w:szCs w:val="20"/>
              </w:rPr>
              <w:t>H</w:t>
            </w:r>
          </w:p>
        </w:tc>
        <w:tc>
          <w:tcPr>
            <w:tcW w:w="1493" w:type="pct"/>
            <w:shd w:val="clear" w:color="auto" w:fill="auto"/>
          </w:tcPr>
          <w:p w14:paraId="664ABAD6" w14:textId="77777777" w:rsidR="0059604F" w:rsidRPr="006E0383" w:rsidRDefault="0059604F" w:rsidP="006E0383">
            <w:pPr>
              <w:pStyle w:val="Tabletext"/>
              <w:keepNext/>
              <w:keepLines/>
              <w:rPr>
                <w:szCs w:val="20"/>
              </w:rPr>
            </w:pPr>
            <w:r w:rsidRPr="006E0383">
              <w:rPr>
                <w:szCs w:val="20"/>
              </w:rPr>
              <w:t>Packs utilised over two years</w:t>
            </w:r>
          </w:p>
        </w:tc>
        <w:tc>
          <w:tcPr>
            <w:tcW w:w="928" w:type="pct"/>
          </w:tcPr>
          <w:p w14:paraId="5BEE8C31" w14:textId="64E5DA5C" w:rsidR="0059604F" w:rsidRPr="006E0383" w:rsidRDefault="0059604F" w:rsidP="006E0383">
            <w:pPr>
              <w:pStyle w:val="Tabletext"/>
              <w:keepNext/>
              <w:keepLines/>
              <w:jc w:val="center"/>
              <w:rPr>
                <w:szCs w:val="20"/>
              </w:rPr>
            </w:pPr>
            <w:r w:rsidRPr="006E0383">
              <w:rPr>
                <w:szCs w:val="20"/>
              </w:rPr>
              <w:t>26</w:t>
            </w:r>
          </w:p>
        </w:tc>
        <w:tc>
          <w:tcPr>
            <w:tcW w:w="959" w:type="pct"/>
            <w:shd w:val="clear" w:color="auto" w:fill="auto"/>
          </w:tcPr>
          <w:p w14:paraId="69851594" w14:textId="77777777" w:rsidR="0059604F" w:rsidRPr="006E0383" w:rsidRDefault="0059604F" w:rsidP="006E0383">
            <w:pPr>
              <w:pStyle w:val="Tabletext"/>
              <w:keepNext/>
              <w:keepLines/>
              <w:jc w:val="center"/>
              <w:rPr>
                <w:szCs w:val="20"/>
              </w:rPr>
            </w:pPr>
            <w:r w:rsidRPr="006E0383">
              <w:rPr>
                <w:szCs w:val="20"/>
              </w:rPr>
              <w:t>28</w:t>
            </w:r>
          </w:p>
        </w:tc>
        <w:tc>
          <w:tcPr>
            <w:tcW w:w="1308" w:type="pct"/>
            <w:shd w:val="clear" w:color="auto" w:fill="auto"/>
            <w:vAlign w:val="center"/>
          </w:tcPr>
          <w:p w14:paraId="3199D08B" w14:textId="77777777" w:rsidR="0059604F" w:rsidRPr="006E0383" w:rsidRDefault="0059604F" w:rsidP="006E0383">
            <w:pPr>
              <w:pStyle w:val="Tabletext"/>
              <w:keepNext/>
              <w:keepLines/>
              <w:rPr>
                <w:szCs w:val="20"/>
              </w:rPr>
            </w:pPr>
            <w:r w:rsidRPr="006E0383">
              <w:rPr>
                <w:szCs w:val="20"/>
              </w:rPr>
              <w:t>F+G</w:t>
            </w:r>
          </w:p>
        </w:tc>
      </w:tr>
      <w:tr w:rsidR="0059604F" w:rsidRPr="006E0383" w14:paraId="288461A8" w14:textId="77777777" w:rsidTr="00097C1E">
        <w:trPr>
          <w:trHeight w:val="228"/>
        </w:trPr>
        <w:tc>
          <w:tcPr>
            <w:tcW w:w="312" w:type="pct"/>
          </w:tcPr>
          <w:p w14:paraId="2433D54C" w14:textId="77777777" w:rsidR="0059604F" w:rsidRPr="006E0383" w:rsidRDefault="0059604F" w:rsidP="006E0383">
            <w:pPr>
              <w:pStyle w:val="Tabletext"/>
              <w:keepNext/>
              <w:keepLines/>
              <w:rPr>
                <w:szCs w:val="20"/>
              </w:rPr>
            </w:pPr>
            <w:r w:rsidRPr="006E0383">
              <w:rPr>
                <w:szCs w:val="20"/>
              </w:rPr>
              <w:t>I</w:t>
            </w:r>
          </w:p>
        </w:tc>
        <w:tc>
          <w:tcPr>
            <w:tcW w:w="1493" w:type="pct"/>
            <w:shd w:val="clear" w:color="auto" w:fill="auto"/>
          </w:tcPr>
          <w:p w14:paraId="738A9AD9" w14:textId="77777777" w:rsidR="0059604F" w:rsidRPr="006E0383" w:rsidRDefault="0059604F" w:rsidP="006E0383">
            <w:pPr>
              <w:pStyle w:val="Tabletext"/>
              <w:keepNext/>
              <w:keepLines/>
              <w:rPr>
                <w:szCs w:val="20"/>
              </w:rPr>
            </w:pPr>
            <w:r w:rsidRPr="006E0383">
              <w:rPr>
                <w:szCs w:val="20"/>
              </w:rPr>
              <w:t>Total drug costs over two years</w:t>
            </w:r>
          </w:p>
        </w:tc>
        <w:tc>
          <w:tcPr>
            <w:tcW w:w="928" w:type="pct"/>
          </w:tcPr>
          <w:p w14:paraId="276379A9" w14:textId="04205E2E" w:rsidR="0059604F" w:rsidRPr="006E0383" w:rsidRDefault="005D49C3" w:rsidP="006E0383">
            <w:pPr>
              <w:pStyle w:val="Tabletext"/>
              <w:keepNext/>
              <w:keepLines/>
              <w:jc w:val="center"/>
              <w:rPr>
                <w:szCs w:val="20"/>
              </w:rPr>
            </w:pPr>
            <w:r w:rsidRPr="006E0383">
              <w:rPr>
                <w:szCs w:val="20"/>
              </w:rPr>
              <w:t>$</w:t>
            </w:r>
            <w:r w:rsidR="0059604F" w:rsidRPr="006E0383">
              <w:rPr>
                <w:szCs w:val="20"/>
              </w:rPr>
              <w:t>23,030.42</w:t>
            </w:r>
          </w:p>
        </w:tc>
        <w:tc>
          <w:tcPr>
            <w:tcW w:w="959" w:type="pct"/>
            <w:shd w:val="clear" w:color="auto" w:fill="auto"/>
          </w:tcPr>
          <w:p w14:paraId="2E3F0191" w14:textId="29050DA0" w:rsidR="0059604F" w:rsidRPr="006E0383" w:rsidRDefault="005D49C3" w:rsidP="006E0383">
            <w:pPr>
              <w:pStyle w:val="Tabletext"/>
              <w:keepNext/>
              <w:keepLines/>
              <w:jc w:val="center"/>
              <w:rPr>
                <w:szCs w:val="20"/>
              </w:rPr>
            </w:pPr>
            <w:r w:rsidRPr="006E0383">
              <w:rPr>
                <w:szCs w:val="20"/>
              </w:rPr>
              <w:t>$</w:t>
            </w:r>
            <w:r w:rsidR="0059604F" w:rsidRPr="006E0383">
              <w:rPr>
                <w:szCs w:val="20"/>
              </w:rPr>
              <w:t>23,030.42</w:t>
            </w:r>
          </w:p>
        </w:tc>
        <w:tc>
          <w:tcPr>
            <w:tcW w:w="1308" w:type="pct"/>
            <w:shd w:val="clear" w:color="auto" w:fill="auto"/>
            <w:vAlign w:val="center"/>
          </w:tcPr>
          <w:p w14:paraId="422BE1DB" w14:textId="77777777" w:rsidR="0059604F" w:rsidRPr="006E0383" w:rsidRDefault="0059604F" w:rsidP="006E0383">
            <w:pPr>
              <w:pStyle w:val="Tabletext"/>
              <w:keepNext/>
              <w:keepLines/>
              <w:rPr>
                <w:szCs w:val="20"/>
              </w:rPr>
            </w:pPr>
            <w:r w:rsidRPr="006E0383">
              <w:rPr>
                <w:szCs w:val="20"/>
              </w:rPr>
              <w:t>(C+</w:t>
            </w:r>
            <w:proofErr w:type="gramStart"/>
            <w:r w:rsidRPr="006E0383">
              <w:rPr>
                <w:szCs w:val="20"/>
              </w:rPr>
              <w:t>D)*</w:t>
            </w:r>
            <w:proofErr w:type="gramEnd"/>
            <w:r w:rsidRPr="006E0383">
              <w:rPr>
                <w:szCs w:val="20"/>
              </w:rPr>
              <w:t>H</w:t>
            </w:r>
          </w:p>
        </w:tc>
      </w:tr>
      <w:tr w:rsidR="0059604F" w:rsidRPr="006E0383" w14:paraId="724267BE" w14:textId="77777777" w:rsidTr="006E58F2">
        <w:trPr>
          <w:trHeight w:val="228"/>
        </w:trPr>
        <w:tc>
          <w:tcPr>
            <w:tcW w:w="312" w:type="pct"/>
          </w:tcPr>
          <w:p w14:paraId="79A32E5D" w14:textId="77777777" w:rsidR="0059604F" w:rsidRPr="006E0383" w:rsidRDefault="0059604F" w:rsidP="006E0383">
            <w:pPr>
              <w:pStyle w:val="Tabletext"/>
              <w:keepNext/>
              <w:keepLines/>
              <w:rPr>
                <w:szCs w:val="20"/>
              </w:rPr>
            </w:pPr>
            <w:r w:rsidRPr="006E0383">
              <w:rPr>
                <w:szCs w:val="20"/>
              </w:rPr>
              <w:t>J</w:t>
            </w:r>
          </w:p>
        </w:tc>
        <w:tc>
          <w:tcPr>
            <w:tcW w:w="1493" w:type="pct"/>
            <w:shd w:val="clear" w:color="auto" w:fill="auto"/>
          </w:tcPr>
          <w:p w14:paraId="043698CE" w14:textId="77777777" w:rsidR="0059604F" w:rsidRPr="006E0383" w:rsidRDefault="0059604F" w:rsidP="006E0383">
            <w:pPr>
              <w:pStyle w:val="Tabletext"/>
              <w:keepNext/>
              <w:keepLines/>
              <w:rPr>
                <w:szCs w:val="20"/>
              </w:rPr>
            </w:pPr>
            <w:r w:rsidRPr="006E0383">
              <w:rPr>
                <w:szCs w:val="20"/>
              </w:rPr>
              <w:t>Difference in cost over two years [published AEMP]</w:t>
            </w:r>
          </w:p>
        </w:tc>
        <w:tc>
          <w:tcPr>
            <w:tcW w:w="1887" w:type="pct"/>
            <w:gridSpan w:val="2"/>
            <w:vAlign w:val="center"/>
          </w:tcPr>
          <w:p w14:paraId="3D90C36B" w14:textId="77777777" w:rsidR="0059604F" w:rsidRPr="006E0383" w:rsidRDefault="0059604F" w:rsidP="006E0383">
            <w:pPr>
              <w:pStyle w:val="Tabletext"/>
              <w:keepNext/>
              <w:keepLines/>
              <w:jc w:val="center"/>
              <w:rPr>
                <w:szCs w:val="20"/>
              </w:rPr>
            </w:pPr>
            <w:r w:rsidRPr="006E0383">
              <w:rPr>
                <w:szCs w:val="20"/>
              </w:rPr>
              <w:t>$0</w:t>
            </w:r>
          </w:p>
        </w:tc>
        <w:tc>
          <w:tcPr>
            <w:tcW w:w="1308" w:type="pct"/>
            <w:shd w:val="clear" w:color="auto" w:fill="auto"/>
            <w:vAlign w:val="center"/>
          </w:tcPr>
          <w:p w14:paraId="75A5BCA1" w14:textId="77777777" w:rsidR="0059604F" w:rsidRPr="006E0383" w:rsidRDefault="0059604F" w:rsidP="006E0383">
            <w:pPr>
              <w:pStyle w:val="Tabletext"/>
              <w:keepNext/>
              <w:keepLines/>
              <w:rPr>
                <w:szCs w:val="20"/>
              </w:rPr>
            </w:pPr>
            <w:r w:rsidRPr="006E0383">
              <w:rPr>
                <w:szCs w:val="20"/>
              </w:rPr>
              <w:t>UPA Row I- ADA Row I</w:t>
            </w:r>
          </w:p>
        </w:tc>
      </w:tr>
    </w:tbl>
    <w:p w14:paraId="7892DC94" w14:textId="696CE854" w:rsidR="0059604F" w:rsidRPr="00DE0A7D" w:rsidRDefault="0059604F" w:rsidP="006E0383">
      <w:pPr>
        <w:pStyle w:val="TableFigureFooter"/>
        <w:keepNext/>
        <w:keepLines/>
        <w:rPr>
          <w:i/>
          <w:iCs/>
        </w:rPr>
      </w:pPr>
      <w:r>
        <w:t xml:space="preserve">Source: </w:t>
      </w:r>
      <w:r w:rsidRPr="00287CEF">
        <w:t>Compiled during the evaluation based on Table 3-4, p169 of the submission and Sheets Cost-min UPA vs AD and Dosing per week, Section 3 Workbook</w:t>
      </w:r>
      <w:r w:rsidR="001C4985" w:rsidRPr="00287CEF">
        <w:t>.</w:t>
      </w:r>
    </w:p>
    <w:p w14:paraId="35252402" w14:textId="5ED22483" w:rsidR="0059604F" w:rsidRPr="00EC5CC4" w:rsidRDefault="0059604F" w:rsidP="006E0383">
      <w:pPr>
        <w:pStyle w:val="TableFigureFooter"/>
        <w:keepNext/>
        <w:keepLines/>
      </w:pPr>
      <w:r>
        <w:t>ADA</w:t>
      </w:r>
      <w:r w:rsidR="008B1228">
        <w:t xml:space="preserve">= </w:t>
      </w:r>
      <w:r>
        <w:t>Adalimumab; AEMP</w:t>
      </w:r>
      <w:r w:rsidR="008B1228">
        <w:t xml:space="preserve">= </w:t>
      </w:r>
      <w:r>
        <w:t>approved ex-manufacturer’s price; P</w:t>
      </w:r>
      <w:r w:rsidRPr="00EC5CC4">
        <w:t>FS</w:t>
      </w:r>
      <w:r w:rsidR="008B1228">
        <w:t xml:space="preserve">= </w:t>
      </w:r>
      <w:r w:rsidRPr="00EC5CC4">
        <w:t>pre-filled syringe</w:t>
      </w:r>
      <w:r>
        <w:t>; SC= subcutaneous; UPA</w:t>
      </w:r>
      <w:r w:rsidR="008B1228">
        <w:t xml:space="preserve">= </w:t>
      </w:r>
      <w:r>
        <w:t>Upadacitinib</w:t>
      </w:r>
      <w:r w:rsidR="00E94B12">
        <w:t>.</w:t>
      </w:r>
    </w:p>
    <w:p w14:paraId="6CE33F82" w14:textId="2F686E5C" w:rsidR="0059604F" w:rsidRDefault="0059604F" w:rsidP="006E0383">
      <w:pPr>
        <w:pStyle w:val="TableFigureFooter"/>
        <w:keepNext/>
        <w:keepLines/>
        <w:rPr>
          <w:rFonts w:cstheme="minorBidi"/>
        </w:rPr>
      </w:pPr>
      <w:proofErr w:type="gramStart"/>
      <w:r w:rsidRPr="00492694">
        <w:rPr>
          <w:rFonts w:cstheme="minorBidi"/>
          <w:vertAlign w:val="superscript"/>
        </w:rPr>
        <w:t>a</w:t>
      </w:r>
      <w:proofErr w:type="gramEnd"/>
      <w:r w:rsidRPr="7144FFBD">
        <w:rPr>
          <w:rFonts w:cstheme="minorBidi"/>
        </w:rPr>
        <w:t xml:space="preserve"> </w:t>
      </w:r>
      <w:r>
        <w:rPr>
          <w:rFonts w:cstheme="minorBidi"/>
        </w:rPr>
        <w:t xml:space="preserve">Indicative cost-minimised price based on the published price of adalimumab. This figure was estimated by dividing AEMP by </w:t>
      </w:r>
      <w:r w:rsidR="00310EAF">
        <w:rPr>
          <w:rFonts w:cstheme="minorBidi"/>
        </w:rPr>
        <w:t xml:space="preserve">the </w:t>
      </w:r>
      <w:r>
        <w:rPr>
          <w:rFonts w:cstheme="minorBidi"/>
        </w:rPr>
        <w:t xml:space="preserve">total number of packs, i.e., </w:t>
      </w:r>
      <w:r w:rsidRPr="0019136D">
        <w:rPr>
          <w:rFonts w:cstheme="minorBidi"/>
        </w:rPr>
        <w:t>$23,030.42</w:t>
      </w:r>
      <w:r>
        <w:rPr>
          <w:rFonts w:cstheme="minorBidi"/>
        </w:rPr>
        <w:t>/26.07.</w:t>
      </w:r>
    </w:p>
    <w:p w14:paraId="5A7EFC6E" w14:textId="71B9415B" w:rsidR="0059604F" w:rsidRPr="0013039E" w:rsidRDefault="00BE5834" w:rsidP="00097C1E">
      <w:pPr>
        <w:pStyle w:val="TableFigureFooter"/>
        <w:rPr>
          <w:vertAlign w:val="superscript"/>
        </w:rPr>
      </w:pPr>
      <w:bookmarkStart w:id="97" w:name="_Hlk121574018"/>
      <w:r>
        <w:rPr>
          <w:vertAlign w:val="superscript"/>
        </w:rPr>
        <w:t xml:space="preserve">c </w:t>
      </w:r>
      <w:r w:rsidR="0059604F" w:rsidRPr="0010385F">
        <w:t xml:space="preserve">10% of the MBS item for doctor visit (item 23) of $39.75 added to the total costs associated with </w:t>
      </w:r>
      <w:r w:rsidR="0059604F">
        <w:t>a</w:t>
      </w:r>
      <w:r w:rsidR="0059604F" w:rsidRPr="0010385F">
        <w:t>dalimumab treatment</w:t>
      </w:r>
      <w:r w:rsidR="0059604F">
        <w:t>.</w:t>
      </w:r>
      <w:bookmarkEnd w:id="97"/>
    </w:p>
    <w:p w14:paraId="54A6E911" w14:textId="38A7D5E1" w:rsidR="0059604F" w:rsidRDefault="007F2841" w:rsidP="00097C1E">
      <w:pPr>
        <w:pStyle w:val="4-SubsectionHeading"/>
      </w:pPr>
      <w:bookmarkStart w:id="98" w:name="_Toc124863507"/>
      <w:r>
        <w:t>Drug</w:t>
      </w:r>
      <w:r w:rsidRPr="00B350A7">
        <w:t xml:space="preserve"> </w:t>
      </w:r>
      <w:r w:rsidR="0059604F" w:rsidRPr="00817E7E">
        <w:t>cost/patient/year</w:t>
      </w:r>
      <w:bookmarkEnd w:id="98"/>
    </w:p>
    <w:p w14:paraId="22481A9A" w14:textId="7430C3F2" w:rsidR="0059604F" w:rsidRPr="00817E7E" w:rsidRDefault="0059604F" w:rsidP="00097C1E">
      <w:pPr>
        <w:pStyle w:val="3-BodyText"/>
      </w:pPr>
      <w:r w:rsidRPr="000E1D55">
        <w:t xml:space="preserve">Based on the published AEMP, </w:t>
      </w:r>
      <w:r w:rsidR="005D49C3">
        <w:t>t</w:t>
      </w:r>
      <w:r w:rsidRPr="000E1D55">
        <w:t xml:space="preserve">he cost per patient per </w:t>
      </w:r>
      <w:r w:rsidR="008042B4" w:rsidRPr="000E1D55">
        <w:t xml:space="preserve">year </w:t>
      </w:r>
      <w:r w:rsidR="008042B4">
        <w:t>is</w:t>
      </w:r>
      <w:r w:rsidR="005D49C3">
        <w:t xml:space="preserve"> </w:t>
      </w:r>
      <w:r w:rsidRPr="000E1D55">
        <w:t>$11,515.21.</w:t>
      </w:r>
    </w:p>
    <w:p w14:paraId="5B3AD0AA" w14:textId="77777777" w:rsidR="0059604F" w:rsidRPr="00C9624D" w:rsidRDefault="0059604F" w:rsidP="00097C1E">
      <w:pPr>
        <w:pStyle w:val="4-SubsectionHeading"/>
      </w:pPr>
      <w:bookmarkStart w:id="99" w:name="_Toc22897647"/>
      <w:bookmarkStart w:id="100" w:name="_Toc103776030"/>
      <w:bookmarkStart w:id="101" w:name="_Toc124863508"/>
      <w:r w:rsidRPr="00C9624D">
        <w:lastRenderedPageBreak/>
        <w:t xml:space="preserve">Estimated PBS usage &amp; financial </w:t>
      </w:r>
      <w:proofErr w:type="gramStart"/>
      <w:r w:rsidRPr="00C9624D">
        <w:t>implications</w:t>
      </w:r>
      <w:bookmarkEnd w:id="99"/>
      <w:bookmarkEnd w:id="100"/>
      <w:bookmarkEnd w:id="101"/>
      <w:proofErr w:type="gramEnd"/>
    </w:p>
    <w:p w14:paraId="7A63E278" w14:textId="4D7FC601" w:rsidR="0059604F" w:rsidRPr="002D45A7" w:rsidRDefault="0059604F" w:rsidP="00097C1E">
      <w:pPr>
        <w:pStyle w:val="3-BodyText"/>
        <w:rPr>
          <w:color w:val="0066FF"/>
        </w:rPr>
      </w:pPr>
      <w:r>
        <w:t xml:space="preserve">The submission </w:t>
      </w:r>
      <w:r w:rsidR="00763FA2">
        <w:t>was not</w:t>
      </w:r>
      <w:r>
        <w:t xml:space="preserve"> considered by the DUSC. </w:t>
      </w:r>
      <w:r w:rsidRPr="006370CA">
        <w:t xml:space="preserve">The submission used a market share approach to estimate the use and financial impact of </w:t>
      </w:r>
      <w:r>
        <w:t xml:space="preserve">listing </w:t>
      </w:r>
      <w:r w:rsidRPr="006370CA">
        <w:t>upadacitinib</w:t>
      </w:r>
      <w:r>
        <w:t xml:space="preserve"> for adult patients with severe CD.</w:t>
      </w:r>
    </w:p>
    <w:p w14:paraId="1B8B9353" w14:textId="13D62B4B" w:rsidR="009F3A7A" w:rsidRPr="0013039E" w:rsidRDefault="0059604F" w:rsidP="00647E6A">
      <w:pPr>
        <w:pStyle w:val="3-BodyText"/>
        <w:jc w:val="left"/>
      </w:pPr>
      <w:r>
        <w:fldChar w:fldCharType="begin" w:fldLock="1"/>
      </w:r>
      <w:r>
        <w:instrText xml:space="preserve"> REF _Ref121578473 \h </w:instrText>
      </w:r>
      <w:r>
        <w:fldChar w:fldCharType="separate"/>
      </w:r>
      <w:r w:rsidR="0033335A">
        <w:t xml:space="preserve">Table </w:t>
      </w:r>
      <w:r w:rsidR="0033335A">
        <w:rPr>
          <w:noProof/>
        </w:rPr>
        <w:t>12</w:t>
      </w:r>
      <w:r>
        <w:fldChar w:fldCharType="end"/>
      </w:r>
      <w:r>
        <w:t xml:space="preserve"> </w:t>
      </w:r>
      <w:r w:rsidR="00FB1B99">
        <w:t>summarises</w:t>
      </w:r>
      <w:r>
        <w:t xml:space="preserve"> the key inputs used to </w:t>
      </w:r>
      <w:r w:rsidR="00371C3B">
        <w:t xml:space="preserve">calculate the </w:t>
      </w:r>
      <w:r>
        <w:t xml:space="preserve">financial estimates. </w:t>
      </w:r>
    </w:p>
    <w:p w14:paraId="035100B9" w14:textId="220C595A" w:rsidR="0059604F" w:rsidRDefault="0059604F" w:rsidP="00097C1E">
      <w:pPr>
        <w:pStyle w:val="TableFigureHeading"/>
      </w:pPr>
      <w:bookmarkStart w:id="102" w:name="_Ref121578473"/>
      <w:r>
        <w:t xml:space="preserve">Table </w:t>
      </w:r>
      <w:fldSimple w:instr=" SEQ Table \* ARABIC " w:fldLock="1">
        <w:r w:rsidR="0033335A">
          <w:rPr>
            <w:noProof/>
          </w:rPr>
          <w:t>12</w:t>
        </w:r>
      </w:fldSimple>
      <w:bookmarkEnd w:id="102"/>
      <w:r>
        <w:t xml:space="preserve">: </w:t>
      </w:r>
      <w:r w:rsidRPr="00C66DCC">
        <w:t>Key inputs for financial estimates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3107"/>
        <w:gridCol w:w="3746"/>
      </w:tblGrid>
      <w:tr w:rsidR="0059604F" w:rsidRPr="00461145" w14:paraId="46D99F89" w14:textId="77777777" w:rsidTr="00D47555">
        <w:trPr>
          <w:cantSplit/>
          <w:tblHeader/>
        </w:trPr>
        <w:tc>
          <w:tcPr>
            <w:tcW w:w="1200" w:type="pct"/>
            <w:tcBorders>
              <w:top w:val="single" w:sz="4" w:space="0" w:color="auto"/>
              <w:left w:val="single" w:sz="4" w:space="0" w:color="auto"/>
              <w:bottom w:val="single" w:sz="4" w:space="0" w:color="auto"/>
              <w:right w:val="single" w:sz="4" w:space="0" w:color="auto"/>
            </w:tcBorders>
            <w:hideMark/>
          </w:tcPr>
          <w:p w14:paraId="5595626B" w14:textId="77777777" w:rsidR="0059604F" w:rsidRPr="00461145" w:rsidRDefault="0059604F" w:rsidP="00A93AC7">
            <w:pPr>
              <w:widowControl w:val="0"/>
              <w:ind w:right="141"/>
              <w:jc w:val="center"/>
              <w:rPr>
                <w:rFonts w:ascii="Arial Narrow" w:eastAsiaTheme="majorEastAsia" w:hAnsi="Arial Narrow" w:cs="Times New Roman"/>
                <w:b/>
                <w:sz w:val="20"/>
                <w:lang w:val="en-US"/>
              </w:rPr>
            </w:pPr>
            <w:r w:rsidRPr="00461145">
              <w:rPr>
                <w:rFonts w:ascii="Arial Narrow" w:eastAsiaTheme="majorEastAsia" w:hAnsi="Arial Narrow" w:cs="Times New Roman"/>
                <w:b/>
                <w:sz w:val="20"/>
                <w:lang w:val="en-US"/>
              </w:rPr>
              <w:t>Data</w:t>
            </w:r>
          </w:p>
        </w:tc>
        <w:tc>
          <w:tcPr>
            <w:tcW w:w="1723" w:type="pct"/>
            <w:tcBorders>
              <w:top w:val="single" w:sz="4" w:space="0" w:color="auto"/>
              <w:left w:val="single" w:sz="4" w:space="0" w:color="auto"/>
              <w:bottom w:val="single" w:sz="4" w:space="0" w:color="auto"/>
              <w:right w:val="single" w:sz="4" w:space="0" w:color="auto"/>
            </w:tcBorders>
            <w:hideMark/>
          </w:tcPr>
          <w:p w14:paraId="5EED78F7" w14:textId="77777777" w:rsidR="0059604F" w:rsidRPr="00461145" w:rsidRDefault="0059604F" w:rsidP="00A93AC7">
            <w:pPr>
              <w:widowControl w:val="0"/>
              <w:ind w:right="141"/>
              <w:jc w:val="center"/>
              <w:rPr>
                <w:rFonts w:ascii="Arial Narrow" w:eastAsiaTheme="majorEastAsia" w:hAnsi="Arial Narrow" w:cs="Times New Roman"/>
                <w:b/>
                <w:sz w:val="20"/>
                <w:lang w:val="en-US"/>
              </w:rPr>
            </w:pPr>
            <w:r w:rsidRPr="00461145">
              <w:rPr>
                <w:rFonts w:ascii="Arial Narrow" w:eastAsiaTheme="majorEastAsia" w:hAnsi="Arial Narrow" w:cs="Times New Roman"/>
                <w:b/>
                <w:sz w:val="20"/>
                <w:lang w:val="en-US"/>
              </w:rPr>
              <w:t>Value</w:t>
            </w:r>
            <w:r>
              <w:rPr>
                <w:rFonts w:ascii="Arial Narrow" w:eastAsiaTheme="majorEastAsia" w:hAnsi="Arial Narrow" w:cs="Times New Roman"/>
                <w:b/>
                <w:sz w:val="20"/>
                <w:lang w:val="en-US"/>
              </w:rPr>
              <w:t xml:space="preserve"> applied and source</w:t>
            </w:r>
          </w:p>
        </w:tc>
        <w:tc>
          <w:tcPr>
            <w:tcW w:w="2077" w:type="pct"/>
            <w:tcBorders>
              <w:top w:val="single" w:sz="4" w:space="0" w:color="auto"/>
              <w:left w:val="single" w:sz="4" w:space="0" w:color="auto"/>
              <w:bottom w:val="single" w:sz="4" w:space="0" w:color="auto"/>
              <w:right w:val="single" w:sz="4" w:space="0" w:color="auto"/>
            </w:tcBorders>
            <w:hideMark/>
          </w:tcPr>
          <w:p w14:paraId="57468142" w14:textId="77777777" w:rsidR="0059604F" w:rsidRPr="00461145" w:rsidRDefault="0059604F" w:rsidP="00A93AC7">
            <w:pPr>
              <w:widowControl w:val="0"/>
              <w:ind w:right="141"/>
              <w:jc w:val="center"/>
              <w:rPr>
                <w:rFonts w:ascii="Arial Narrow" w:eastAsiaTheme="majorEastAsia" w:hAnsi="Arial Narrow" w:cs="Times New Roman"/>
                <w:b/>
                <w:sz w:val="20"/>
                <w:lang w:val="en-US"/>
              </w:rPr>
            </w:pPr>
            <w:r w:rsidRPr="00461145">
              <w:rPr>
                <w:rFonts w:ascii="Arial Narrow" w:eastAsiaTheme="majorEastAsia" w:hAnsi="Arial Narrow" w:cs="Times New Roman"/>
                <w:b/>
                <w:sz w:val="20"/>
                <w:lang w:val="en-US"/>
              </w:rPr>
              <w:t>Comment</w:t>
            </w:r>
          </w:p>
        </w:tc>
      </w:tr>
      <w:tr w:rsidR="0059604F" w:rsidRPr="00461145" w14:paraId="6F6B4674" w14:textId="77777777" w:rsidTr="00D47555">
        <w:trPr>
          <w:cantSplit/>
        </w:trPr>
        <w:tc>
          <w:tcPr>
            <w:tcW w:w="2923" w:type="pct"/>
            <w:gridSpan w:val="2"/>
            <w:tcBorders>
              <w:top w:val="single" w:sz="4" w:space="0" w:color="auto"/>
              <w:left w:val="single" w:sz="4" w:space="0" w:color="auto"/>
              <w:bottom w:val="single" w:sz="4" w:space="0" w:color="auto"/>
              <w:right w:val="single" w:sz="4" w:space="0" w:color="auto"/>
            </w:tcBorders>
            <w:vAlign w:val="center"/>
            <w:hideMark/>
          </w:tcPr>
          <w:p w14:paraId="25CA2D74" w14:textId="77777777" w:rsidR="0059604F" w:rsidRPr="00461145" w:rsidRDefault="0059604F" w:rsidP="00097C1E">
            <w:pPr>
              <w:widowControl w:val="0"/>
              <w:ind w:right="141"/>
              <w:jc w:val="left"/>
              <w:rPr>
                <w:rFonts w:ascii="Arial Narrow" w:eastAsiaTheme="majorEastAsia" w:hAnsi="Arial Narrow" w:cstheme="majorBidi"/>
                <w:b/>
                <w:bCs/>
                <w:sz w:val="20"/>
              </w:rPr>
            </w:pPr>
            <w:r w:rsidRPr="00461145">
              <w:rPr>
                <w:rFonts w:ascii="Arial Narrow" w:eastAsiaTheme="majorEastAsia" w:hAnsi="Arial Narrow" w:cstheme="majorBidi"/>
                <w:b/>
                <w:bCs/>
                <w:sz w:val="20"/>
              </w:rPr>
              <w:t>Treatment utilisation</w:t>
            </w:r>
          </w:p>
        </w:tc>
        <w:tc>
          <w:tcPr>
            <w:tcW w:w="2077" w:type="pct"/>
            <w:tcBorders>
              <w:top w:val="single" w:sz="4" w:space="0" w:color="auto"/>
              <w:left w:val="single" w:sz="4" w:space="0" w:color="auto"/>
              <w:bottom w:val="single" w:sz="4" w:space="0" w:color="auto"/>
              <w:right w:val="single" w:sz="4" w:space="0" w:color="auto"/>
            </w:tcBorders>
            <w:vAlign w:val="center"/>
          </w:tcPr>
          <w:p w14:paraId="583E7715" w14:textId="77777777" w:rsidR="0059604F" w:rsidRPr="00461145" w:rsidRDefault="0059604F" w:rsidP="00097C1E">
            <w:pPr>
              <w:widowControl w:val="0"/>
              <w:ind w:right="141"/>
              <w:jc w:val="left"/>
              <w:rPr>
                <w:rFonts w:ascii="Arial Narrow" w:eastAsiaTheme="majorEastAsia" w:hAnsi="Arial Narrow" w:cstheme="majorBidi"/>
                <w:b/>
                <w:bCs/>
                <w:sz w:val="20"/>
              </w:rPr>
            </w:pPr>
          </w:p>
        </w:tc>
      </w:tr>
      <w:tr w:rsidR="0059604F" w:rsidRPr="00461145" w14:paraId="405B73BF" w14:textId="77777777" w:rsidTr="00D47555">
        <w:trPr>
          <w:cantSplit/>
        </w:trPr>
        <w:tc>
          <w:tcPr>
            <w:tcW w:w="1200" w:type="pct"/>
            <w:tcBorders>
              <w:top w:val="single" w:sz="4" w:space="0" w:color="auto"/>
              <w:left w:val="single" w:sz="4" w:space="0" w:color="auto"/>
              <w:bottom w:val="single" w:sz="4" w:space="0" w:color="auto"/>
              <w:right w:val="single" w:sz="4" w:space="0" w:color="auto"/>
            </w:tcBorders>
            <w:vAlign w:val="center"/>
            <w:hideMark/>
          </w:tcPr>
          <w:p w14:paraId="017ACA94" w14:textId="77777777" w:rsidR="0059604F" w:rsidRPr="00461145" w:rsidRDefault="0059604F" w:rsidP="00097C1E">
            <w:pPr>
              <w:widowControl w:val="0"/>
              <w:ind w:right="141"/>
              <w:jc w:val="left"/>
              <w:rPr>
                <w:rFonts w:ascii="Arial Narrow" w:eastAsiaTheme="majorEastAsia" w:hAnsi="Arial Narrow" w:cstheme="majorBidi"/>
                <w:bCs/>
                <w:sz w:val="20"/>
              </w:rPr>
            </w:pPr>
            <w:r w:rsidRPr="00461145">
              <w:rPr>
                <w:rFonts w:ascii="Arial Narrow" w:eastAsiaTheme="majorEastAsia" w:hAnsi="Arial Narrow" w:cstheme="majorBidi"/>
                <w:bCs/>
                <w:sz w:val="20"/>
              </w:rPr>
              <w:t xml:space="preserve">Market growth without the listing of </w:t>
            </w:r>
            <w:r>
              <w:rPr>
                <w:rFonts w:ascii="Arial Narrow" w:eastAsiaTheme="majorEastAsia" w:hAnsi="Arial Narrow" w:cstheme="majorBidi"/>
                <w:bCs/>
                <w:sz w:val="20"/>
              </w:rPr>
              <w:t>UPA</w:t>
            </w:r>
          </w:p>
        </w:tc>
        <w:tc>
          <w:tcPr>
            <w:tcW w:w="1723" w:type="pct"/>
            <w:tcBorders>
              <w:top w:val="single" w:sz="4" w:space="0" w:color="auto"/>
              <w:left w:val="single" w:sz="4" w:space="0" w:color="auto"/>
              <w:bottom w:val="single" w:sz="4" w:space="0" w:color="auto"/>
              <w:right w:val="single" w:sz="4" w:space="0" w:color="auto"/>
            </w:tcBorders>
            <w:vAlign w:val="center"/>
          </w:tcPr>
          <w:p w14:paraId="5EBA3BBF" w14:textId="77777777" w:rsidR="0059604F" w:rsidRDefault="0059604F" w:rsidP="00097C1E">
            <w:pPr>
              <w:widowControl w:val="0"/>
              <w:ind w:right="141"/>
              <w:jc w:val="left"/>
              <w:rPr>
                <w:rFonts w:ascii="Arial Narrow" w:eastAsiaTheme="majorEastAsia" w:hAnsi="Arial Narrow" w:cstheme="majorBidi"/>
                <w:bCs/>
                <w:sz w:val="20"/>
              </w:rPr>
            </w:pPr>
            <w:r w:rsidRPr="00461145">
              <w:rPr>
                <w:rFonts w:ascii="Arial Narrow" w:eastAsiaTheme="majorEastAsia" w:hAnsi="Arial Narrow" w:cstheme="majorBidi"/>
                <w:bCs/>
                <w:sz w:val="20"/>
              </w:rPr>
              <w:t>Functional form: Linear</w:t>
            </w:r>
          </w:p>
          <w:p w14:paraId="29930021" w14:textId="77777777" w:rsidR="0059604F" w:rsidRPr="00461145" w:rsidRDefault="0059604F" w:rsidP="00097C1E">
            <w:pPr>
              <w:widowControl w:val="0"/>
              <w:ind w:right="141"/>
              <w:jc w:val="left"/>
              <w:rPr>
                <w:rFonts w:ascii="Arial Narrow" w:eastAsiaTheme="majorEastAsia" w:hAnsi="Arial Narrow" w:cstheme="majorBidi"/>
                <w:bCs/>
                <w:sz w:val="20"/>
              </w:rPr>
            </w:pPr>
            <w:r>
              <w:rPr>
                <w:rFonts w:ascii="Arial Narrow" w:eastAsiaTheme="majorEastAsia" w:hAnsi="Arial Narrow" w:cstheme="majorBidi"/>
                <w:bCs/>
                <w:sz w:val="20"/>
              </w:rPr>
              <w:t xml:space="preserve">Source: </w:t>
            </w:r>
            <w:r w:rsidRPr="00461145">
              <w:rPr>
                <w:rFonts w:ascii="Arial Narrow" w:eastAsiaTheme="majorEastAsia" w:hAnsi="Arial Narrow" w:cstheme="majorBidi"/>
                <w:bCs/>
                <w:sz w:val="20"/>
              </w:rPr>
              <w:t xml:space="preserve">The submission assumed a linear trend of growth in Year 1 to 6 following </w:t>
            </w:r>
            <w:r>
              <w:rPr>
                <w:rFonts w:ascii="Arial Narrow" w:eastAsiaTheme="majorEastAsia" w:hAnsi="Arial Narrow" w:cstheme="majorBidi"/>
                <w:bCs/>
                <w:sz w:val="20"/>
              </w:rPr>
              <w:t xml:space="preserve">the </w:t>
            </w:r>
            <w:r w:rsidRPr="00461145">
              <w:rPr>
                <w:rFonts w:ascii="Arial Narrow" w:eastAsiaTheme="majorEastAsia" w:hAnsi="Arial Narrow" w:cstheme="majorBidi"/>
                <w:bCs/>
                <w:sz w:val="20"/>
              </w:rPr>
              <w:t>listing reflecting the 2017-2021 usage</w:t>
            </w:r>
            <w:r>
              <w:rPr>
                <w:rFonts w:ascii="Arial Narrow" w:eastAsiaTheme="majorEastAsia" w:hAnsi="Arial Narrow" w:cstheme="majorBidi"/>
                <w:bCs/>
                <w:sz w:val="20"/>
              </w:rPr>
              <w:t>,</w:t>
            </w:r>
            <w:r w:rsidRPr="00461145">
              <w:rPr>
                <w:rFonts w:ascii="Arial Narrow" w:eastAsiaTheme="majorEastAsia" w:hAnsi="Arial Narrow" w:cstheme="majorBidi"/>
                <w:bCs/>
                <w:sz w:val="20"/>
              </w:rPr>
              <w:t xml:space="preserve"> and each modelled list item was projected individually.</w:t>
            </w:r>
          </w:p>
        </w:tc>
        <w:tc>
          <w:tcPr>
            <w:tcW w:w="2077" w:type="pct"/>
            <w:tcBorders>
              <w:top w:val="single" w:sz="4" w:space="0" w:color="auto"/>
              <w:left w:val="single" w:sz="4" w:space="0" w:color="auto"/>
              <w:bottom w:val="single" w:sz="4" w:space="0" w:color="auto"/>
              <w:right w:val="single" w:sz="4" w:space="0" w:color="auto"/>
            </w:tcBorders>
            <w:vAlign w:val="center"/>
            <w:hideMark/>
          </w:tcPr>
          <w:p w14:paraId="0778CCF4" w14:textId="1BA4BD47" w:rsidR="0059604F" w:rsidRPr="00287CEF" w:rsidRDefault="0059604F" w:rsidP="00097C1E">
            <w:pPr>
              <w:widowControl w:val="0"/>
              <w:ind w:right="141"/>
              <w:jc w:val="left"/>
              <w:rPr>
                <w:rFonts w:ascii="Arial Narrow" w:eastAsiaTheme="majorEastAsia" w:hAnsi="Arial Narrow" w:cstheme="majorBidi"/>
                <w:bCs/>
                <w:sz w:val="20"/>
              </w:rPr>
            </w:pPr>
            <w:bookmarkStart w:id="103" w:name="_Hlk120010666"/>
            <w:r w:rsidRPr="00287CEF">
              <w:rPr>
                <w:rFonts w:ascii="Arial Narrow" w:eastAsiaTheme="majorEastAsia" w:hAnsi="Arial Narrow" w:cstheme="majorBidi"/>
                <w:bCs/>
                <w:sz w:val="20"/>
              </w:rPr>
              <w:t>The linear trend lines predicted from the 2017-2021 usage data are correct. It may be reasonable to assume linear growth of IFX, UST and VDZ based on the 2017-2021 usage data. However, the usage of ADA initiation therapy fluctuates, and it is uncertain if it follows a linear trend. Assuming a linear trend likely overestimated the usage</w:t>
            </w:r>
            <w:r w:rsidR="0043789B" w:rsidRPr="00287CEF">
              <w:rPr>
                <w:rFonts w:ascii="Arial Narrow" w:eastAsiaTheme="majorEastAsia" w:hAnsi="Arial Narrow" w:cstheme="majorBidi"/>
                <w:bCs/>
                <w:sz w:val="20"/>
              </w:rPr>
              <w:t xml:space="preserve"> for ADA</w:t>
            </w:r>
            <w:r w:rsidRPr="00287CEF">
              <w:rPr>
                <w:rFonts w:ascii="Arial Narrow" w:eastAsiaTheme="majorEastAsia" w:hAnsi="Arial Narrow" w:cstheme="majorBidi"/>
                <w:bCs/>
                <w:sz w:val="20"/>
              </w:rPr>
              <w:t>.</w:t>
            </w:r>
            <w:bookmarkEnd w:id="103"/>
          </w:p>
        </w:tc>
      </w:tr>
      <w:tr w:rsidR="0059604F" w:rsidRPr="00461145" w14:paraId="5B30D07C" w14:textId="77777777" w:rsidTr="00D47555">
        <w:trPr>
          <w:cantSplit/>
        </w:trPr>
        <w:tc>
          <w:tcPr>
            <w:tcW w:w="1200" w:type="pct"/>
            <w:tcBorders>
              <w:top w:val="single" w:sz="4" w:space="0" w:color="auto"/>
              <w:left w:val="single" w:sz="4" w:space="0" w:color="auto"/>
              <w:bottom w:val="single" w:sz="4" w:space="0" w:color="auto"/>
              <w:right w:val="single" w:sz="4" w:space="0" w:color="auto"/>
            </w:tcBorders>
            <w:vAlign w:val="center"/>
            <w:hideMark/>
          </w:tcPr>
          <w:p w14:paraId="0F744EB1" w14:textId="77777777" w:rsidR="0059604F" w:rsidRPr="00461145" w:rsidRDefault="0059604F" w:rsidP="00097C1E">
            <w:pPr>
              <w:widowControl w:val="0"/>
              <w:jc w:val="left"/>
              <w:rPr>
                <w:rFonts w:ascii="Arial Narrow" w:eastAsiaTheme="majorEastAsia" w:hAnsi="Arial Narrow" w:cstheme="majorBidi"/>
                <w:bCs/>
                <w:sz w:val="20"/>
              </w:rPr>
            </w:pPr>
            <w:r w:rsidRPr="00461145">
              <w:rPr>
                <w:rFonts w:ascii="Arial Narrow" w:eastAsiaTheme="majorEastAsia" w:hAnsi="Arial Narrow" w:cstheme="majorBidi"/>
                <w:bCs/>
                <w:sz w:val="20"/>
              </w:rPr>
              <w:t xml:space="preserve">Substitution rates of </w:t>
            </w:r>
            <w:r>
              <w:rPr>
                <w:rFonts w:ascii="Arial Narrow" w:eastAsiaTheme="majorEastAsia" w:hAnsi="Arial Narrow" w:cstheme="majorBidi"/>
                <w:bCs/>
                <w:sz w:val="20"/>
              </w:rPr>
              <w:t>UPA</w:t>
            </w:r>
          </w:p>
        </w:tc>
        <w:tc>
          <w:tcPr>
            <w:tcW w:w="1723" w:type="pct"/>
            <w:tcBorders>
              <w:top w:val="single" w:sz="4" w:space="0" w:color="auto"/>
              <w:left w:val="single" w:sz="4" w:space="0" w:color="auto"/>
              <w:bottom w:val="single" w:sz="4" w:space="0" w:color="auto"/>
              <w:right w:val="single" w:sz="4" w:space="0" w:color="auto"/>
            </w:tcBorders>
            <w:vAlign w:val="center"/>
            <w:hideMark/>
          </w:tcPr>
          <w:tbl>
            <w:tblPr>
              <w:tblStyle w:val="TableGrid"/>
              <w:tblW w:w="2838" w:type="dxa"/>
              <w:tblLayout w:type="fixed"/>
              <w:tblLook w:val="04A0" w:firstRow="1" w:lastRow="0" w:firstColumn="1" w:lastColumn="0" w:noHBand="0" w:noVBand="1"/>
            </w:tblPr>
            <w:tblGrid>
              <w:gridCol w:w="1419"/>
              <w:gridCol w:w="1419"/>
            </w:tblGrid>
            <w:tr w:rsidR="0059604F" w14:paraId="0BF8B511" w14:textId="77777777" w:rsidTr="00FB1B99">
              <w:trPr>
                <w:trHeight w:val="1439"/>
              </w:trPr>
              <w:tc>
                <w:tcPr>
                  <w:tcW w:w="1419" w:type="dxa"/>
                  <w:vAlign w:val="center"/>
                </w:tcPr>
                <w:p w14:paraId="7BFB89C7" w14:textId="77777777" w:rsidR="0059604F" w:rsidRDefault="0059604F" w:rsidP="00AA21A9">
                  <w:pPr>
                    <w:pStyle w:val="TableText0"/>
                    <w:framePr w:hSpace="180" w:wrap="around" w:vAnchor="text" w:hAnchor="text" w:y="1"/>
                    <w:suppressOverlap/>
                  </w:pPr>
                  <w:r w:rsidRPr="00A64ACE">
                    <w:t>Y</w:t>
                  </w:r>
                  <w:r>
                    <w:t>ea</w:t>
                  </w:r>
                  <w:r w:rsidRPr="00A64ACE">
                    <w:t>r 1: 5%</w:t>
                  </w:r>
                </w:p>
                <w:p w14:paraId="7BE1A14F" w14:textId="77777777" w:rsidR="0059604F" w:rsidRDefault="0059604F" w:rsidP="00AA21A9">
                  <w:pPr>
                    <w:pStyle w:val="TableText0"/>
                    <w:framePr w:hSpace="180" w:wrap="around" w:vAnchor="text" w:hAnchor="text" w:y="1"/>
                    <w:suppressOverlap/>
                  </w:pPr>
                  <w:r w:rsidRPr="00A64ACE">
                    <w:t>Y</w:t>
                  </w:r>
                  <w:r>
                    <w:t>ear</w:t>
                  </w:r>
                  <w:r w:rsidRPr="00A64ACE">
                    <w:t xml:space="preserve"> 2: 7%</w:t>
                  </w:r>
                </w:p>
                <w:p w14:paraId="19F64405" w14:textId="77777777" w:rsidR="0059604F" w:rsidRDefault="0059604F" w:rsidP="00AA21A9">
                  <w:pPr>
                    <w:pStyle w:val="TableText0"/>
                    <w:framePr w:hSpace="180" w:wrap="around" w:vAnchor="text" w:hAnchor="text" w:y="1"/>
                    <w:suppressOverlap/>
                  </w:pPr>
                  <w:r w:rsidRPr="00A64ACE">
                    <w:t>Y</w:t>
                  </w:r>
                  <w:r>
                    <w:t>ear</w:t>
                  </w:r>
                  <w:r w:rsidRPr="00A64ACE">
                    <w:t xml:space="preserve"> 3: 9%</w:t>
                  </w:r>
                </w:p>
                <w:p w14:paraId="179C3216" w14:textId="77777777" w:rsidR="0059604F" w:rsidRDefault="0059604F" w:rsidP="00AA21A9">
                  <w:pPr>
                    <w:pStyle w:val="TableText0"/>
                    <w:framePr w:hSpace="180" w:wrap="around" w:vAnchor="text" w:hAnchor="text" w:y="1"/>
                    <w:suppressOverlap/>
                  </w:pPr>
                  <w:r w:rsidRPr="00A64ACE">
                    <w:t>Y</w:t>
                  </w:r>
                  <w:r>
                    <w:t>ear</w:t>
                  </w:r>
                  <w:r w:rsidRPr="00A64ACE">
                    <w:t xml:space="preserve"> 4: 11%</w:t>
                  </w:r>
                </w:p>
                <w:p w14:paraId="5E3A274B" w14:textId="77777777" w:rsidR="0059604F" w:rsidRDefault="0059604F" w:rsidP="00AA21A9">
                  <w:pPr>
                    <w:pStyle w:val="TableText0"/>
                    <w:framePr w:hSpace="180" w:wrap="around" w:vAnchor="text" w:hAnchor="text" w:y="1"/>
                    <w:suppressOverlap/>
                  </w:pPr>
                  <w:r w:rsidRPr="00A64ACE">
                    <w:t>Y</w:t>
                  </w:r>
                  <w:r>
                    <w:t>ear</w:t>
                  </w:r>
                  <w:r w:rsidRPr="00A64ACE">
                    <w:t xml:space="preserve"> 5: 13%</w:t>
                  </w:r>
                </w:p>
                <w:p w14:paraId="78025603" w14:textId="77777777" w:rsidR="0059604F" w:rsidRDefault="0059604F" w:rsidP="00AA21A9">
                  <w:pPr>
                    <w:pStyle w:val="TableText0"/>
                    <w:framePr w:hSpace="180" w:wrap="around" w:vAnchor="text" w:hAnchor="text" w:y="1"/>
                    <w:suppressOverlap/>
                  </w:pPr>
                  <w:r w:rsidRPr="00A64ACE">
                    <w:t>Y</w:t>
                  </w:r>
                  <w:r>
                    <w:t>ear</w:t>
                  </w:r>
                  <w:r w:rsidRPr="00A64ACE">
                    <w:t xml:space="preserve"> 6: 15%</w:t>
                  </w:r>
                </w:p>
              </w:tc>
              <w:tc>
                <w:tcPr>
                  <w:tcW w:w="1419" w:type="dxa"/>
                  <w:vAlign w:val="center"/>
                </w:tcPr>
                <w:p w14:paraId="0CAAB544" w14:textId="1EEFE43C" w:rsidR="0059604F" w:rsidRDefault="0059604F" w:rsidP="00AA21A9">
                  <w:pPr>
                    <w:pStyle w:val="TableText0"/>
                    <w:framePr w:hSpace="180" w:wrap="around" w:vAnchor="text" w:hAnchor="text" w:y="1"/>
                    <w:suppressOverlap/>
                  </w:pPr>
                  <w:r>
                    <w:t>Source: Assumed</w:t>
                  </w:r>
                </w:p>
              </w:tc>
            </w:tr>
          </w:tbl>
          <w:p w14:paraId="5F470BF7" w14:textId="77777777" w:rsidR="0059604F" w:rsidRPr="00461145" w:rsidRDefault="0059604F" w:rsidP="00097C1E">
            <w:pPr>
              <w:widowControl w:val="0"/>
              <w:jc w:val="left"/>
              <w:rPr>
                <w:rFonts w:ascii="Arial Narrow" w:eastAsiaTheme="majorEastAsia" w:hAnsi="Arial Narrow" w:cstheme="majorBidi"/>
                <w:bCs/>
                <w:sz w:val="20"/>
              </w:rPr>
            </w:pPr>
          </w:p>
        </w:tc>
        <w:tc>
          <w:tcPr>
            <w:tcW w:w="2077" w:type="pct"/>
            <w:tcBorders>
              <w:top w:val="single" w:sz="4" w:space="0" w:color="auto"/>
              <w:left w:val="single" w:sz="4" w:space="0" w:color="auto"/>
              <w:bottom w:val="single" w:sz="4" w:space="0" w:color="auto"/>
              <w:right w:val="single" w:sz="4" w:space="0" w:color="auto"/>
            </w:tcBorders>
            <w:vAlign w:val="center"/>
          </w:tcPr>
          <w:p w14:paraId="43A2E4D0" w14:textId="77777777" w:rsidR="0059604F" w:rsidRPr="00287CEF" w:rsidRDefault="0059604F" w:rsidP="00097C1E">
            <w:pPr>
              <w:widowControl w:val="0"/>
              <w:jc w:val="left"/>
              <w:rPr>
                <w:rFonts w:ascii="Arial Narrow" w:eastAsiaTheme="majorEastAsia" w:hAnsi="Arial Narrow" w:cstheme="majorBidi"/>
                <w:bCs/>
                <w:sz w:val="20"/>
              </w:rPr>
            </w:pPr>
            <w:r w:rsidRPr="00287CEF">
              <w:rPr>
                <w:rFonts w:ascii="Arial Narrow" w:eastAsiaTheme="majorEastAsia" w:hAnsi="Arial Narrow" w:cstheme="majorBidi"/>
                <w:bCs/>
                <w:sz w:val="20"/>
              </w:rPr>
              <w:t>The substitution rates were unsupported and are uncertain. Upadacitinib may have a higher substitution rate compared to all comparators given it will be the only oral medicine available to treat severe CD if listed. Sensitivity analysis conducted during the evaluation found that this parameter had a large impact on the results.</w:t>
            </w:r>
          </w:p>
        </w:tc>
      </w:tr>
      <w:tr w:rsidR="0059604F" w:rsidRPr="00461145" w14:paraId="49457725" w14:textId="77777777" w:rsidTr="00D47555">
        <w:trPr>
          <w:cantSplit/>
        </w:trPr>
        <w:tc>
          <w:tcPr>
            <w:tcW w:w="1200" w:type="pct"/>
            <w:tcBorders>
              <w:top w:val="single" w:sz="4" w:space="0" w:color="auto"/>
              <w:left w:val="single" w:sz="4" w:space="0" w:color="auto"/>
              <w:bottom w:val="single" w:sz="4" w:space="0" w:color="auto"/>
              <w:right w:val="single" w:sz="4" w:space="0" w:color="auto"/>
            </w:tcBorders>
            <w:vAlign w:val="center"/>
            <w:hideMark/>
          </w:tcPr>
          <w:p w14:paraId="7ABB057A" w14:textId="77777777" w:rsidR="0059604F" w:rsidRPr="00461145" w:rsidRDefault="0059604F" w:rsidP="00097C1E">
            <w:pPr>
              <w:widowControl w:val="0"/>
              <w:jc w:val="left"/>
              <w:rPr>
                <w:rFonts w:ascii="Arial Narrow" w:eastAsiaTheme="majorEastAsia" w:hAnsi="Arial Narrow" w:cstheme="majorBidi"/>
                <w:bCs/>
                <w:sz w:val="20"/>
              </w:rPr>
            </w:pPr>
            <w:r w:rsidRPr="00461145">
              <w:rPr>
                <w:rFonts w:ascii="Arial Narrow" w:eastAsiaTheme="majorEastAsia" w:hAnsi="Arial Narrow" w:cstheme="majorBidi"/>
                <w:bCs/>
                <w:sz w:val="20"/>
              </w:rPr>
              <w:t xml:space="preserve">Market growth due to PBS listing of </w:t>
            </w:r>
            <w:r>
              <w:rPr>
                <w:rFonts w:ascii="Arial Narrow" w:eastAsiaTheme="majorEastAsia" w:hAnsi="Arial Narrow" w:cstheme="majorBidi"/>
                <w:bCs/>
                <w:sz w:val="20"/>
              </w:rPr>
              <w:t>UPA</w:t>
            </w:r>
            <w:r w:rsidRPr="00461145">
              <w:rPr>
                <w:rFonts w:ascii="Arial Narrow" w:eastAsiaTheme="majorEastAsia" w:hAnsi="Arial Narrow" w:cstheme="majorBidi"/>
                <w:bCs/>
                <w:sz w:val="20"/>
              </w:rPr>
              <w:t xml:space="preserve"> (additional growth/</w:t>
            </w:r>
            <w:r>
              <w:rPr>
                <w:rFonts w:ascii="Arial Narrow" w:eastAsiaTheme="majorEastAsia" w:hAnsi="Arial Narrow" w:cstheme="majorBidi"/>
                <w:bCs/>
                <w:sz w:val="20"/>
              </w:rPr>
              <w:t>UPA</w:t>
            </w:r>
            <w:r w:rsidRPr="00461145">
              <w:rPr>
                <w:rFonts w:ascii="Arial Narrow" w:eastAsiaTheme="majorEastAsia" w:hAnsi="Arial Narrow" w:cstheme="majorBidi"/>
                <w:bCs/>
                <w:sz w:val="20"/>
              </w:rPr>
              <w:t xml:space="preserve"> uptake on the PBS)</w:t>
            </w:r>
          </w:p>
        </w:tc>
        <w:tc>
          <w:tcPr>
            <w:tcW w:w="1723" w:type="pct"/>
            <w:tcBorders>
              <w:top w:val="single" w:sz="4" w:space="0" w:color="auto"/>
              <w:left w:val="single" w:sz="4" w:space="0" w:color="auto"/>
              <w:bottom w:val="single" w:sz="4" w:space="0" w:color="auto"/>
              <w:right w:val="single" w:sz="4" w:space="0" w:color="auto"/>
            </w:tcBorders>
            <w:vAlign w:val="center"/>
            <w:hideMark/>
          </w:tcPr>
          <w:p w14:paraId="73CE10C1" w14:textId="77777777" w:rsidR="0059604F" w:rsidRDefault="0059604F" w:rsidP="00097C1E">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0%</w:t>
            </w:r>
          </w:p>
          <w:p w14:paraId="4365AAA2" w14:textId="52A3800F" w:rsidR="0059604F" w:rsidRPr="00461145" w:rsidRDefault="0059604F" w:rsidP="00097C1E">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 xml:space="preserve">Source: </w:t>
            </w:r>
            <w:r w:rsidRPr="00461145">
              <w:rPr>
                <w:rFonts w:ascii="Arial Narrow" w:eastAsiaTheme="majorEastAsia" w:hAnsi="Arial Narrow" w:cstheme="majorBidi"/>
                <w:bCs/>
                <w:sz w:val="20"/>
              </w:rPr>
              <w:t>Assum</w:t>
            </w:r>
            <w:r w:rsidR="00FB1B99">
              <w:rPr>
                <w:rFonts w:ascii="Arial Narrow" w:eastAsiaTheme="majorEastAsia" w:hAnsi="Arial Narrow" w:cstheme="majorBidi"/>
                <w:bCs/>
                <w:sz w:val="20"/>
              </w:rPr>
              <w:t>ed</w:t>
            </w:r>
          </w:p>
        </w:tc>
        <w:tc>
          <w:tcPr>
            <w:tcW w:w="2077" w:type="pct"/>
            <w:tcBorders>
              <w:top w:val="single" w:sz="4" w:space="0" w:color="auto"/>
              <w:left w:val="single" w:sz="4" w:space="0" w:color="auto"/>
              <w:bottom w:val="single" w:sz="4" w:space="0" w:color="auto"/>
              <w:right w:val="single" w:sz="4" w:space="0" w:color="auto"/>
            </w:tcBorders>
            <w:vAlign w:val="center"/>
          </w:tcPr>
          <w:p w14:paraId="2E4FDFB2" w14:textId="0117C9C1" w:rsidR="0059604F" w:rsidRPr="00287CEF" w:rsidRDefault="0059604F" w:rsidP="00097C1E">
            <w:pPr>
              <w:widowControl w:val="0"/>
              <w:jc w:val="left"/>
              <w:rPr>
                <w:rFonts w:ascii="Arial Narrow" w:eastAsiaTheme="majorEastAsia" w:hAnsi="Arial Narrow" w:cstheme="majorBidi"/>
                <w:bCs/>
                <w:sz w:val="20"/>
              </w:rPr>
            </w:pPr>
            <w:r w:rsidRPr="00287CEF">
              <w:rPr>
                <w:rFonts w:ascii="Arial Narrow" w:eastAsiaTheme="majorEastAsia" w:hAnsi="Arial Narrow" w:cstheme="majorBidi"/>
                <w:bCs/>
                <w:sz w:val="20"/>
              </w:rPr>
              <w:t xml:space="preserve">This assumption is uncertain, and there is a possibility of additional market growth as a result of patients who are refractory or intolerant to currently listed biologics returning for treatment. </w:t>
            </w:r>
          </w:p>
        </w:tc>
      </w:tr>
      <w:tr w:rsidR="0059604F" w:rsidRPr="00461145" w14:paraId="0A573EEE" w14:textId="77777777" w:rsidTr="00D47555">
        <w:trPr>
          <w:cantSplit/>
        </w:trPr>
        <w:tc>
          <w:tcPr>
            <w:tcW w:w="1200" w:type="pct"/>
            <w:tcBorders>
              <w:top w:val="single" w:sz="4" w:space="0" w:color="auto"/>
              <w:left w:val="single" w:sz="4" w:space="0" w:color="auto"/>
              <w:bottom w:val="single" w:sz="4" w:space="0" w:color="auto"/>
              <w:right w:val="single" w:sz="4" w:space="0" w:color="auto"/>
            </w:tcBorders>
            <w:vAlign w:val="center"/>
            <w:hideMark/>
          </w:tcPr>
          <w:p w14:paraId="08F8AB39" w14:textId="77777777" w:rsidR="0059604F" w:rsidRPr="00461145" w:rsidRDefault="0059604F" w:rsidP="00097C1E">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Script equivalence vs UPA</w:t>
            </w:r>
          </w:p>
        </w:tc>
        <w:tc>
          <w:tcPr>
            <w:tcW w:w="1723" w:type="pct"/>
            <w:tcBorders>
              <w:top w:val="single" w:sz="4" w:space="0" w:color="auto"/>
              <w:left w:val="single" w:sz="4" w:space="0" w:color="auto"/>
              <w:bottom w:val="single" w:sz="4" w:space="0" w:color="auto"/>
              <w:right w:val="single" w:sz="4" w:space="0" w:color="auto"/>
            </w:tcBorders>
            <w:vAlign w:val="center"/>
            <w:hideMark/>
          </w:tcPr>
          <w:tbl>
            <w:tblPr>
              <w:tblW w:w="2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435"/>
              <w:gridCol w:w="1223"/>
              <w:gridCol w:w="1223"/>
            </w:tblGrid>
            <w:tr w:rsidR="0059604F" w:rsidRPr="005A6A46" w14:paraId="3086F55B" w14:textId="77777777" w:rsidTr="00FB1B99">
              <w:trPr>
                <w:trHeight w:val="6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6CD68F2" w14:textId="77777777" w:rsidR="0059604F" w:rsidRPr="00191AC2" w:rsidRDefault="0059604F" w:rsidP="00AA21A9">
                  <w:pPr>
                    <w:pStyle w:val="TableText0"/>
                    <w:framePr w:hSpace="180" w:wrap="around" w:vAnchor="text" w:hAnchor="text" w:y="1"/>
                    <w:suppressOverlap/>
                    <w:rPr>
                      <w:b/>
                      <w:bCs w:val="0"/>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513FF171" w14:textId="77777777" w:rsidR="0059604F" w:rsidRPr="00191AC2" w:rsidRDefault="0059604F" w:rsidP="00AA21A9">
                  <w:pPr>
                    <w:pStyle w:val="TableText0"/>
                    <w:framePr w:hSpace="180" w:wrap="around" w:vAnchor="text" w:hAnchor="text" w:y="1"/>
                    <w:suppressOverlap/>
                    <w:rPr>
                      <w:b/>
                      <w:bCs w:val="0"/>
                    </w:rPr>
                  </w:pPr>
                  <w:r w:rsidRPr="00191AC2">
                    <w:rPr>
                      <w:b/>
                      <w:bCs w:val="0"/>
                    </w:rPr>
                    <w:t>Initiation</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1D1E5A9D" w14:textId="77777777" w:rsidR="0059604F" w:rsidRPr="00191AC2" w:rsidRDefault="0059604F" w:rsidP="00AA21A9">
                  <w:pPr>
                    <w:pStyle w:val="TableText0"/>
                    <w:framePr w:hSpace="180" w:wrap="around" w:vAnchor="text" w:hAnchor="text" w:y="1"/>
                    <w:suppressOverlap/>
                    <w:rPr>
                      <w:b/>
                      <w:bCs w:val="0"/>
                    </w:rPr>
                  </w:pPr>
                  <w:r w:rsidRPr="00191AC2">
                    <w:rPr>
                      <w:b/>
                      <w:bCs w:val="0"/>
                    </w:rPr>
                    <w:t>Continuation</w:t>
                  </w:r>
                </w:p>
              </w:tc>
            </w:tr>
            <w:tr w:rsidR="0059604F" w:rsidRPr="005A6A46" w14:paraId="2FA76031" w14:textId="77777777" w:rsidTr="00FB1B99">
              <w:trPr>
                <w:trHeight w:val="98"/>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47F6000"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UPA</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6592C5D3"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Reference</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4ABC2A16"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Reference</w:t>
                  </w:r>
                </w:p>
              </w:tc>
            </w:tr>
            <w:tr w:rsidR="0059604F" w:rsidRPr="005A6A46" w14:paraId="0AF786BA" w14:textId="77777777" w:rsidTr="00FB1B99">
              <w:trPr>
                <w:trHeight w:val="6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321F53E"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ADA</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08CA2345"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5:3-UPA 45mg</w:t>
                  </w:r>
                </w:p>
                <w:p w14:paraId="4DB7B614"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1:0.3-UPA 30mg</w:t>
                  </w:r>
                </w:p>
                <w:p w14:paraId="1BD0F6F5"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1:0.7-UPA 15mg</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3A9ED8BD"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1:0.3</w:t>
                  </w:r>
                  <w:r>
                    <w:rPr>
                      <w:sz w:val="18"/>
                      <w:szCs w:val="18"/>
                    </w:rPr>
                    <w:t>-</w:t>
                  </w:r>
                  <w:r w:rsidRPr="005A6A46">
                    <w:rPr>
                      <w:sz w:val="18"/>
                      <w:szCs w:val="18"/>
                    </w:rPr>
                    <w:t>UPA 30mg</w:t>
                  </w:r>
                </w:p>
                <w:p w14:paraId="7AEDAC4A"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1:0.7</w:t>
                  </w:r>
                  <w:r>
                    <w:rPr>
                      <w:sz w:val="18"/>
                      <w:szCs w:val="18"/>
                    </w:rPr>
                    <w:t>-</w:t>
                  </w:r>
                  <w:r w:rsidRPr="005A6A46">
                    <w:rPr>
                      <w:sz w:val="18"/>
                      <w:szCs w:val="18"/>
                    </w:rPr>
                    <w:t>UPA 15mg</w:t>
                  </w:r>
                </w:p>
              </w:tc>
            </w:tr>
            <w:tr w:rsidR="0059604F" w:rsidRPr="005A6A46" w14:paraId="4CB4F414" w14:textId="77777777" w:rsidTr="00FB1B99">
              <w:trPr>
                <w:trHeight w:val="6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4F83A27"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IFX</w:t>
                  </w:r>
                  <w:r>
                    <w:rPr>
                      <w:sz w:val="18"/>
                      <w:szCs w:val="18"/>
                      <w:vertAlign w:val="superscript"/>
                    </w:rPr>
                    <w:t>a</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51DBC6EE"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1:1 UPA 45mg</w:t>
                  </w:r>
                </w:p>
                <w:p w14:paraId="776B6D5A"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1:0.3 UPA 30mg</w:t>
                  </w:r>
                </w:p>
                <w:p w14:paraId="6F4F0E2D"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1.0.7 UPA 15mg</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46DFD78C"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1:0.6</w:t>
                  </w:r>
                  <w:r>
                    <w:rPr>
                      <w:sz w:val="18"/>
                      <w:szCs w:val="18"/>
                    </w:rPr>
                    <w:t>-</w:t>
                  </w:r>
                  <w:r w:rsidRPr="005A6A46">
                    <w:rPr>
                      <w:sz w:val="18"/>
                      <w:szCs w:val="18"/>
                    </w:rPr>
                    <w:t>UPA 30mg</w:t>
                  </w:r>
                </w:p>
                <w:p w14:paraId="145CF1CD" w14:textId="77777777" w:rsidR="0059604F" w:rsidRPr="005A6A46" w:rsidRDefault="0059604F" w:rsidP="00AA21A9">
                  <w:pPr>
                    <w:pStyle w:val="TableText0"/>
                    <w:framePr w:hSpace="180" w:wrap="around" w:vAnchor="text" w:hAnchor="text" w:y="1"/>
                    <w:suppressOverlap/>
                    <w:rPr>
                      <w:sz w:val="18"/>
                      <w:szCs w:val="18"/>
                      <w:lang w:val="en-US"/>
                    </w:rPr>
                  </w:pPr>
                  <w:r w:rsidRPr="005A6A46">
                    <w:rPr>
                      <w:sz w:val="18"/>
                      <w:szCs w:val="18"/>
                    </w:rPr>
                    <w:t>1:1.4</w:t>
                  </w:r>
                  <w:r>
                    <w:rPr>
                      <w:sz w:val="18"/>
                      <w:szCs w:val="18"/>
                    </w:rPr>
                    <w:t>-</w:t>
                  </w:r>
                  <w:r w:rsidRPr="005A6A46">
                    <w:rPr>
                      <w:sz w:val="18"/>
                      <w:szCs w:val="18"/>
                    </w:rPr>
                    <w:t>UPA 15mg</w:t>
                  </w:r>
                </w:p>
              </w:tc>
            </w:tr>
            <w:tr w:rsidR="0059604F" w:rsidRPr="005A6A46" w14:paraId="2FAD821F" w14:textId="77777777" w:rsidTr="00FB1B99">
              <w:trPr>
                <w:trHeight w:val="47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5047C5B"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 xml:space="preserve">UST </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282387C7"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1:3</w:t>
                  </w:r>
                  <w:r>
                    <w:rPr>
                      <w:sz w:val="18"/>
                      <w:szCs w:val="18"/>
                    </w:rPr>
                    <w:t>-</w:t>
                  </w:r>
                  <w:r w:rsidRPr="005A6A46">
                    <w:rPr>
                      <w:sz w:val="18"/>
                      <w:szCs w:val="18"/>
                    </w:rPr>
                    <w:t>UPA 45mg</w:t>
                  </w:r>
                </w:p>
                <w:p w14:paraId="761C932A"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1:0.3</w:t>
                  </w:r>
                  <w:r>
                    <w:rPr>
                      <w:sz w:val="18"/>
                      <w:szCs w:val="18"/>
                    </w:rPr>
                    <w:t>-</w:t>
                  </w:r>
                  <w:r w:rsidRPr="005A6A46">
                    <w:rPr>
                      <w:sz w:val="18"/>
                      <w:szCs w:val="18"/>
                    </w:rPr>
                    <w:t>UPA 30mg</w:t>
                  </w:r>
                </w:p>
                <w:p w14:paraId="4146A31A"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1:0.7</w:t>
                  </w:r>
                  <w:r>
                    <w:rPr>
                      <w:sz w:val="18"/>
                      <w:szCs w:val="18"/>
                    </w:rPr>
                    <w:t>-</w:t>
                  </w:r>
                  <w:r w:rsidRPr="005A6A46">
                    <w:rPr>
                      <w:sz w:val="18"/>
                      <w:szCs w:val="18"/>
                    </w:rPr>
                    <w:t>UPA 15mg</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4DEBE533"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1:0.6</w:t>
                  </w:r>
                  <w:r>
                    <w:rPr>
                      <w:sz w:val="18"/>
                      <w:szCs w:val="18"/>
                    </w:rPr>
                    <w:t>-</w:t>
                  </w:r>
                  <w:r w:rsidRPr="005A6A46">
                    <w:rPr>
                      <w:sz w:val="18"/>
                      <w:szCs w:val="18"/>
                    </w:rPr>
                    <w:t>UPA 30mg</w:t>
                  </w:r>
                </w:p>
                <w:p w14:paraId="6DC4BDAD"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1:1.4</w:t>
                  </w:r>
                  <w:r>
                    <w:rPr>
                      <w:sz w:val="18"/>
                      <w:szCs w:val="18"/>
                    </w:rPr>
                    <w:t>-</w:t>
                  </w:r>
                  <w:r w:rsidRPr="005A6A46">
                    <w:rPr>
                      <w:sz w:val="18"/>
                      <w:szCs w:val="18"/>
                    </w:rPr>
                    <w:t xml:space="preserve">UPA 15mg </w:t>
                  </w:r>
                </w:p>
              </w:tc>
            </w:tr>
            <w:tr w:rsidR="0059604F" w:rsidRPr="005A6A46" w14:paraId="6CC69214" w14:textId="77777777" w:rsidTr="00FB1B99">
              <w:trPr>
                <w:trHeight w:val="6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E65A4DF"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VDZ</w:t>
                  </w:r>
                  <w:r>
                    <w:rPr>
                      <w:sz w:val="18"/>
                      <w:szCs w:val="18"/>
                      <w:vertAlign w:val="superscript"/>
                    </w:rPr>
                    <w:t>b</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0C72CF0A"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1:1 UPA 45mg</w:t>
                  </w:r>
                </w:p>
                <w:p w14:paraId="2B7D65CF"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1:0.3 UPA 30mg</w:t>
                  </w:r>
                </w:p>
                <w:p w14:paraId="04B7925D"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1.0.7 UPA 15mg</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1176BD4C"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1:0.6</w:t>
                  </w:r>
                  <w:r>
                    <w:rPr>
                      <w:sz w:val="18"/>
                      <w:szCs w:val="18"/>
                    </w:rPr>
                    <w:t>-</w:t>
                  </w:r>
                  <w:r w:rsidRPr="005A6A46">
                    <w:rPr>
                      <w:sz w:val="18"/>
                      <w:szCs w:val="18"/>
                    </w:rPr>
                    <w:t>UPA 30mg</w:t>
                  </w:r>
                </w:p>
                <w:p w14:paraId="1348D957" w14:textId="77777777" w:rsidR="0059604F" w:rsidRPr="005A6A46" w:rsidRDefault="0059604F" w:rsidP="00AA21A9">
                  <w:pPr>
                    <w:pStyle w:val="TableText0"/>
                    <w:framePr w:hSpace="180" w:wrap="around" w:vAnchor="text" w:hAnchor="text" w:y="1"/>
                    <w:suppressOverlap/>
                    <w:rPr>
                      <w:sz w:val="18"/>
                      <w:szCs w:val="18"/>
                    </w:rPr>
                  </w:pPr>
                  <w:r w:rsidRPr="005A6A46">
                    <w:rPr>
                      <w:sz w:val="18"/>
                      <w:szCs w:val="18"/>
                    </w:rPr>
                    <w:t>1:1.4</w:t>
                  </w:r>
                  <w:r>
                    <w:rPr>
                      <w:sz w:val="18"/>
                      <w:szCs w:val="18"/>
                    </w:rPr>
                    <w:t>-</w:t>
                  </w:r>
                  <w:r w:rsidRPr="005A6A46">
                    <w:rPr>
                      <w:sz w:val="18"/>
                      <w:szCs w:val="18"/>
                    </w:rPr>
                    <w:t>UPA 15mg</w:t>
                  </w:r>
                </w:p>
              </w:tc>
            </w:tr>
            <w:tr w:rsidR="0059604F" w:rsidRPr="005A6A46" w14:paraId="3E41C083" w14:textId="77777777" w:rsidTr="00FB1B99">
              <w:trPr>
                <w:trHeight w:val="66"/>
              </w:trPr>
              <w:tc>
                <w:tcPr>
                  <w:tcW w:w="2881" w:type="dxa"/>
                  <w:gridSpan w:val="3"/>
                  <w:tcBorders>
                    <w:top w:val="single" w:sz="4" w:space="0" w:color="auto"/>
                    <w:left w:val="nil"/>
                    <w:bottom w:val="nil"/>
                    <w:right w:val="nil"/>
                  </w:tcBorders>
                  <w:shd w:val="clear" w:color="auto" w:fill="auto"/>
                  <w:vAlign w:val="center"/>
                </w:tcPr>
                <w:p w14:paraId="18DF014E" w14:textId="77777777" w:rsidR="0059604F" w:rsidRPr="005A6A46" w:rsidRDefault="0059604F" w:rsidP="00AA21A9">
                  <w:pPr>
                    <w:pStyle w:val="TableText0"/>
                    <w:framePr w:hSpace="180" w:wrap="around" w:vAnchor="text" w:hAnchor="text" w:y="1"/>
                    <w:suppressOverlap/>
                    <w:rPr>
                      <w:sz w:val="18"/>
                      <w:szCs w:val="18"/>
                    </w:rPr>
                  </w:pPr>
                  <w:r>
                    <w:rPr>
                      <w:sz w:val="18"/>
                      <w:szCs w:val="18"/>
                    </w:rPr>
                    <w:t>Source: Assumed</w:t>
                  </w:r>
                </w:p>
              </w:tc>
            </w:tr>
          </w:tbl>
          <w:p w14:paraId="7B833DC0" w14:textId="77777777" w:rsidR="0059604F" w:rsidRPr="00461145" w:rsidRDefault="0059604F" w:rsidP="00097C1E">
            <w:pPr>
              <w:widowControl w:val="0"/>
              <w:jc w:val="left"/>
              <w:rPr>
                <w:rFonts w:ascii="Arial Narrow" w:eastAsiaTheme="majorEastAsia" w:hAnsi="Arial Narrow" w:cstheme="majorBidi"/>
                <w:bCs/>
                <w:sz w:val="20"/>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74E4D89F" w14:textId="3AA8CB99" w:rsidR="0059604F" w:rsidRPr="00287CEF" w:rsidRDefault="0059604F" w:rsidP="00097C1E">
            <w:pPr>
              <w:widowControl w:val="0"/>
              <w:jc w:val="left"/>
              <w:rPr>
                <w:rFonts w:ascii="Arial Narrow" w:eastAsiaTheme="majorEastAsia" w:hAnsi="Arial Narrow" w:cstheme="majorBidi"/>
                <w:bCs/>
                <w:sz w:val="20"/>
              </w:rPr>
            </w:pPr>
            <w:r w:rsidRPr="00287CEF">
              <w:rPr>
                <w:rFonts w:ascii="Arial Narrow" w:eastAsiaTheme="majorEastAsia" w:hAnsi="Arial Narrow" w:cstheme="majorBidi"/>
                <w:bCs/>
                <w:sz w:val="20"/>
              </w:rPr>
              <w:t>The estimation of the script equivalence is correct based on the estimates provided in Section 4 Workbook. However, the source of the proposed dosing regimens is unclear as the submission assumed that 70% of the total continuation scripts would be a 15</w:t>
            </w:r>
            <w:r w:rsidR="005D49C3">
              <w:rPr>
                <w:rFonts w:ascii="Arial Narrow" w:eastAsiaTheme="majorEastAsia" w:hAnsi="Arial Narrow" w:cstheme="majorBidi"/>
                <w:bCs/>
                <w:sz w:val="20"/>
              </w:rPr>
              <w:t xml:space="preserve"> </w:t>
            </w:r>
            <w:r w:rsidRPr="00287CEF">
              <w:rPr>
                <w:rFonts w:ascii="Arial Narrow" w:eastAsiaTheme="majorEastAsia" w:hAnsi="Arial Narrow" w:cstheme="majorBidi"/>
                <w:bCs/>
                <w:sz w:val="20"/>
              </w:rPr>
              <w:t>mg regimen (thus 30% for the 30</w:t>
            </w:r>
            <w:r w:rsidR="005D49C3">
              <w:rPr>
                <w:rFonts w:ascii="Arial Narrow" w:eastAsiaTheme="majorEastAsia" w:hAnsi="Arial Narrow" w:cstheme="majorBidi"/>
                <w:bCs/>
                <w:sz w:val="20"/>
              </w:rPr>
              <w:t xml:space="preserve"> </w:t>
            </w:r>
            <w:r w:rsidRPr="00287CEF">
              <w:rPr>
                <w:rFonts w:ascii="Arial Narrow" w:eastAsiaTheme="majorEastAsia" w:hAnsi="Arial Narrow" w:cstheme="majorBidi"/>
                <w:bCs/>
                <w:sz w:val="20"/>
              </w:rPr>
              <w:t xml:space="preserve">mg regimen). </w:t>
            </w:r>
          </w:p>
        </w:tc>
      </w:tr>
      <w:tr w:rsidR="0059604F" w:rsidRPr="00461145" w14:paraId="46F02B73" w14:textId="77777777" w:rsidTr="00D47555">
        <w:trPr>
          <w:cantSplit/>
        </w:trPr>
        <w:tc>
          <w:tcPr>
            <w:tcW w:w="1200" w:type="pct"/>
            <w:tcBorders>
              <w:top w:val="single" w:sz="4" w:space="0" w:color="auto"/>
              <w:left w:val="single" w:sz="4" w:space="0" w:color="auto"/>
              <w:bottom w:val="single" w:sz="4" w:space="0" w:color="auto"/>
              <w:right w:val="single" w:sz="4" w:space="0" w:color="auto"/>
            </w:tcBorders>
            <w:vAlign w:val="center"/>
            <w:hideMark/>
          </w:tcPr>
          <w:p w14:paraId="5015EAFB" w14:textId="77777777" w:rsidR="0059604F" w:rsidRPr="00461145" w:rsidRDefault="0059604F" w:rsidP="003F7519">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UPA</w:t>
            </w:r>
            <w:r w:rsidRPr="00461145">
              <w:rPr>
                <w:rFonts w:ascii="Arial Narrow" w:eastAsiaTheme="majorEastAsia" w:hAnsi="Arial Narrow" w:cstheme="majorBidi"/>
                <w:bCs/>
                <w:sz w:val="20"/>
              </w:rPr>
              <w:t xml:space="preserve"> </w:t>
            </w:r>
          </w:p>
        </w:tc>
        <w:tc>
          <w:tcPr>
            <w:tcW w:w="1723" w:type="pct"/>
            <w:tcBorders>
              <w:top w:val="single" w:sz="4" w:space="0" w:color="auto"/>
              <w:left w:val="single" w:sz="4" w:space="0" w:color="auto"/>
              <w:bottom w:val="single" w:sz="4" w:space="0" w:color="auto"/>
              <w:right w:val="single" w:sz="4" w:space="0" w:color="auto"/>
            </w:tcBorders>
            <w:vAlign w:val="center"/>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60"/>
              <w:gridCol w:w="960"/>
              <w:gridCol w:w="961"/>
            </w:tblGrid>
            <w:tr w:rsidR="0059604F" w:rsidRPr="006B1377" w14:paraId="35FAEA31" w14:textId="77777777" w:rsidTr="003F7519">
              <w:trPr>
                <w:trHeight w:val="80"/>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3E473B3" w14:textId="77777777" w:rsidR="0059604F" w:rsidRPr="00724CA8" w:rsidRDefault="0059604F" w:rsidP="00AA21A9">
                  <w:pPr>
                    <w:pStyle w:val="TableText0"/>
                    <w:keepLines/>
                    <w:framePr w:hSpace="180" w:wrap="around" w:vAnchor="text" w:hAnchor="text" w:y="1"/>
                    <w:suppressOverlap/>
                    <w:jc w:val="center"/>
                    <w:rPr>
                      <w:b/>
                      <w:bCs w:val="0"/>
                    </w:rPr>
                  </w:pPr>
                  <w:r w:rsidRPr="00724CA8">
                    <w:rPr>
                      <w:b/>
                      <w:bCs w:val="0"/>
                    </w:rPr>
                    <w:t>Treatment</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E379609" w14:textId="77777777" w:rsidR="0059604F" w:rsidRPr="00724CA8" w:rsidRDefault="0059604F" w:rsidP="00AA21A9">
                  <w:pPr>
                    <w:pStyle w:val="TableText0"/>
                    <w:keepLines/>
                    <w:framePr w:hSpace="180" w:wrap="around" w:vAnchor="text" w:hAnchor="text" w:y="1"/>
                    <w:suppressOverlap/>
                    <w:jc w:val="center"/>
                    <w:rPr>
                      <w:b/>
                      <w:bCs w:val="0"/>
                    </w:rPr>
                  </w:pPr>
                  <w:r w:rsidRPr="00724CA8">
                    <w:rPr>
                      <w:b/>
                      <w:bCs w:val="0"/>
                    </w:rPr>
                    <w:t>DPMQ</w:t>
                  </w: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5583A26C" w14:textId="77777777" w:rsidR="0059604F" w:rsidRPr="00724CA8" w:rsidRDefault="0059604F" w:rsidP="00AA21A9">
                  <w:pPr>
                    <w:pStyle w:val="TableText0"/>
                    <w:keepLines/>
                    <w:framePr w:hSpace="180" w:wrap="around" w:vAnchor="text" w:hAnchor="text" w:y="1"/>
                    <w:suppressOverlap/>
                    <w:rPr>
                      <w:b/>
                      <w:bCs w:val="0"/>
                    </w:rPr>
                  </w:pPr>
                  <w:r w:rsidRPr="00724CA8">
                    <w:rPr>
                      <w:b/>
                      <w:bCs w:val="0"/>
                    </w:rPr>
                    <w:t>Source</w:t>
                  </w:r>
                </w:p>
              </w:tc>
            </w:tr>
            <w:tr w:rsidR="0059604F" w:rsidRPr="006B1377" w14:paraId="4D144243" w14:textId="77777777" w:rsidTr="003F7519">
              <w:trPr>
                <w:trHeight w:val="11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5F73549" w14:textId="397718C8" w:rsidR="0059604F" w:rsidRPr="00FB1B99" w:rsidRDefault="0059604F" w:rsidP="00AA21A9">
                  <w:pPr>
                    <w:pStyle w:val="TableText0"/>
                    <w:keepLines/>
                    <w:framePr w:hSpace="180" w:wrap="around" w:vAnchor="text" w:hAnchor="text" w:y="1"/>
                    <w:suppressOverlap/>
                    <w:jc w:val="center"/>
                    <w:rPr>
                      <w:sz w:val="18"/>
                      <w:szCs w:val="18"/>
                    </w:rPr>
                  </w:pPr>
                  <w:r w:rsidRPr="00FB1B99">
                    <w:rPr>
                      <w:sz w:val="18"/>
                      <w:szCs w:val="18"/>
                    </w:rPr>
                    <w:t>UPA 45</w:t>
                  </w:r>
                  <w:r w:rsidR="00DA6A96">
                    <w:rPr>
                      <w:sz w:val="18"/>
                      <w:szCs w:val="18"/>
                    </w:rPr>
                    <w:t xml:space="preserve"> </w:t>
                  </w:r>
                  <w:r w:rsidRPr="00FB1B99">
                    <w:rPr>
                      <w:sz w:val="18"/>
                      <w:szCs w:val="18"/>
                    </w:rPr>
                    <w:t>mg</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7C42968" w14:textId="77777777" w:rsidR="0059604F" w:rsidRPr="00FB1B99" w:rsidRDefault="0059604F" w:rsidP="00AA21A9">
                  <w:pPr>
                    <w:pStyle w:val="TableText0"/>
                    <w:keepLines/>
                    <w:framePr w:hSpace="180" w:wrap="around" w:vAnchor="text" w:hAnchor="text" w:y="1"/>
                    <w:suppressOverlap/>
                    <w:jc w:val="center"/>
                    <w:rPr>
                      <w:sz w:val="18"/>
                      <w:szCs w:val="18"/>
                    </w:rPr>
                  </w:pPr>
                  <w:r w:rsidRPr="00FB1B99">
                    <w:rPr>
                      <w:sz w:val="18"/>
                      <w:szCs w:val="18"/>
                    </w:rPr>
                    <w:t>$2,716.13</w:t>
                  </w:r>
                </w:p>
              </w:tc>
              <w:tc>
                <w:tcPr>
                  <w:tcW w:w="1668" w:type="pct"/>
                  <w:vMerge w:val="restart"/>
                  <w:tcBorders>
                    <w:top w:val="single" w:sz="4" w:space="0" w:color="auto"/>
                    <w:left w:val="single" w:sz="4" w:space="0" w:color="auto"/>
                    <w:right w:val="single" w:sz="4" w:space="0" w:color="auto"/>
                  </w:tcBorders>
                  <w:shd w:val="clear" w:color="auto" w:fill="auto"/>
                  <w:vAlign w:val="center"/>
                </w:tcPr>
                <w:p w14:paraId="2B75463C" w14:textId="77777777" w:rsidR="0059604F" w:rsidRPr="00FB1B99" w:rsidRDefault="0059604F" w:rsidP="00AA21A9">
                  <w:pPr>
                    <w:pStyle w:val="TableText0"/>
                    <w:keepLines/>
                    <w:framePr w:hSpace="180" w:wrap="around" w:vAnchor="text" w:hAnchor="text" w:y="1"/>
                    <w:suppressOverlap/>
                    <w:rPr>
                      <w:sz w:val="18"/>
                      <w:szCs w:val="18"/>
                    </w:rPr>
                  </w:pPr>
                  <w:r w:rsidRPr="00FB1B99">
                    <w:rPr>
                      <w:sz w:val="18"/>
                      <w:szCs w:val="18"/>
                    </w:rPr>
                    <w:t>Proposed DPMQs based on publicly available prices</w:t>
                  </w:r>
                </w:p>
              </w:tc>
            </w:tr>
            <w:tr w:rsidR="0059604F" w:rsidRPr="006B1377" w14:paraId="597FE22A" w14:textId="77777777" w:rsidTr="003F7519">
              <w:trPr>
                <w:trHeight w:val="80"/>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D3EF5B5" w14:textId="28FE8CBF" w:rsidR="0059604F" w:rsidRPr="00FB1B99" w:rsidRDefault="0059604F" w:rsidP="00AA21A9">
                  <w:pPr>
                    <w:pStyle w:val="TableText0"/>
                    <w:keepLines/>
                    <w:framePr w:hSpace="180" w:wrap="around" w:vAnchor="text" w:hAnchor="text" w:y="1"/>
                    <w:suppressOverlap/>
                    <w:jc w:val="center"/>
                    <w:rPr>
                      <w:sz w:val="18"/>
                      <w:szCs w:val="18"/>
                    </w:rPr>
                  </w:pPr>
                  <w:r w:rsidRPr="00FB1B99">
                    <w:rPr>
                      <w:sz w:val="18"/>
                      <w:szCs w:val="18"/>
                    </w:rPr>
                    <w:t>UPA 30</w:t>
                  </w:r>
                  <w:r w:rsidR="00DA6A96">
                    <w:rPr>
                      <w:sz w:val="18"/>
                      <w:szCs w:val="18"/>
                    </w:rPr>
                    <w:t xml:space="preserve"> </w:t>
                  </w:r>
                  <w:r w:rsidRPr="00FB1B99">
                    <w:rPr>
                      <w:sz w:val="18"/>
                      <w:szCs w:val="18"/>
                    </w:rPr>
                    <w:t>mg</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364F3C7" w14:textId="77777777" w:rsidR="0059604F" w:rsidRPr="00FB1B99" w:rsidRDefault="0059604F" w:rsidP="00AA21A9">
                  <w:pPr>
                    <w:pStyle w:val="TableText0"/>
                    <w:keepLines/>
                    <w:framePr w:hSpace="180" w:wrap="around" w:vAnchor="text" w:hAnchor="text" w:y="1"/>
                    <w:suppressOverlap/>
                    <w:jc w:val="center"/>
                    <w:rPr>
                      <w:sz w:val="18"/>
                      <w:szCs w:val="18"/>
                    </w:rPr>
                  </w:pPr>
                  <w:r w:rsidRPr="00FB1B99">
                    <w:rPr>
                      <w:sz w:val="18"/>
                      <w:szCs w:val="18"/>
                    </w:rPr>
                    <w:t>$2,076.44</w:t>
                  </w:r>
                </w:p>
              </w:tc>
              <w:tc>
                <w:tcPr>
                  <w:tcW w:w="1668" w:type="pct"/>
                  <w:vMerge/>
                  <w:tcBorders>
                    <w:left w:val="single" w:sz="4" w:space="0" w:color="auto"/>
                    <w:right w:val="single" w:sz="4" w:space="0" w:color="auto"/>
                  </w:tcBorders>
                  <w:shd w:val="clear" w:color="auto" w:fill="auto"/>
                </w:tcPr>
                <w:p w14:paraId="22E8D6A9" w14:textId="77777777" w:rsidR="0059604F" w:rsidRPr="0042211D" w:rsidRDefault="0059604F" w:rsidP="00AA21A9">
                  <w:pPr>
                    <w:pStyle w:val="TableText0"/>
                    <w:keepLines/>
                    <w:framePr w:hSpace="180" w:wrap="around" w:vAnchor="text" w:hAnchor="text" w:y="1"/>
                    <w:suppressOverlap/>
                  </w:pPr>
                </w:p>
              </w:tc>
            </w:tr>
            <w:tr w:rsidR="0059604F" w:rsidRPr="006B1377" w14:paraId="2CE2B309" w14:textId="77777777" w:rsidTr="003F7519">
              <w:trPr>
                <w:trHeight w:val="80"/>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A145E1F" w14:textId="486A37EE" w:rsidR="0059604F" w:rsidRPr="00FB1B99" w:rsidRDefault="0059604F" w:rsidP="00AA21A9">
                  <w:pPr>
                    <w:pStyle w:val="TableText0"/>
                    <w:keepLines/>
                    <w:framePr w:hSpace="180" w:wrap="around" w:vAnchor="text" w:hAnchor="text" w:y="1"/>
                    <w:suppressOverlap/>
                    <w:jc w:val="center"/>
                    <w:rPr>
                      <w:sz w:val="18"/>
                      <w:szCs w:val="18"/>
                    </w:rPr>
                  </w:pPr>
                  <w:r w:rsidRPr="00FB1B99">
                    <w:rPr>
                      <w:sz w:val="18"/>
                      <w:szCs w:val="18"/>
                    </w:rPr>
                    <w:t>UPA 15</w:t>
                  </w:r>
                  <w:r w:rsidR="00DA6A96">
                    <w:rPr>
                      <w:sz w:val="18"/>
                      <w:szCs w:val="18"/>
                    </w:rPr>
                    <w:t xml:space="preserve"> </w:t>
                  </w:r>
                  <w:r w:rsidRPr="00FB1B99">
                    <w:rPr>
                      <w:sz w:val="18"/>
                      <w:szCs w:val="18"/>
                    </w:rPr>
                    <w:t>mg</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A6B7E37" w14:textId="77777777" w:rsidR="0059604F" w:rsidRPr="00FB1B99" w:rsidRDefault="0059604F" w:rsidP="00AA21A9">
                  <w:pPr>
                    <w:pStyle w:val="TableText0"/>
                    <w:keepLines/>
                    <w:framePr w:hSpace="180" w:wrap="around" w:vAnchor="text" w:hAnchor="text" w:y="1"/>
                    <w:suppressOverlap/>
                    <w:jc w:val="center"/>
                    <w:rPr>
                      <w:sz w:val="18"/>
                      <w:szCs w:val="18"/>
                      <w:lang w:val="en-US"/>
                    </w:rPr>
                  </w:pPr>
                  <w:r w:rsidRPr="00FB1B99">
                    <w:rPr>
                      <w:sz w:val="18"/>
                      <w:szCs w:val="18"/>
                    </w:rPr>
                    <w:t>$1,271.46</w:t>
                  </w:r>
                </w:p>
              </w:tc>
              <w:tc>
                <w:tcPr>
                  <w:tcW w:w="1668" w:type="pct"/>
                  <w:vMerge/>
                  <w:tcBorders>
                    <w:left w:val="single" w:sz="4" w:space="0" w:color="auto"/>
                    <w:right w:val="single" w:sz="4" w:space="0" w:color="auto"/>
                  </w:tcBorders>
                  <w:shd w:val="clear" w:color="auto" w:fill="auto"/>
                </w:tcPr>
                <w:p w14:paraId="28D5CB3D" w14:textId="77777777" w:rsidR="0059604F" w:rsidRPr="0042211D" w:rsidRDefault="0059604F" w:rsidP="00AA21A9">
                  <w:pPr>
                    <w:pStyle w:val="TableText0"/>
                    <w:keepLines/>
                    <w:framePr w:hSpace="180" w:wrap="around" w:vAnchor="text" w:hAnchor="text" w:y="1"/>
                    <w:suppressOverlap/>
                  </w:pPr>
                </w:p>
              </w:tc>
            </w:tr>
          </w:tbl>
          <w:p w14:paraId="0FFB2BE0" w14:textId="77777777" w:rsidR="0059604F" w:rsidRPr="00461145" w:rsidRDefault="0059604F" w:rsidP="003F7519">
            <w:pPr>
              <w:keepNext/>
              <w:keepLines/>
              <w:jc w:val="left"/>
              <w:rPr>
                <w:rFonts w:ascii="Arial Narrow" w:eastAsiaTheme="majorEastAsia" w:hAnsi="Arial Narrow" w:cstheme="majorBidi"/>
                <w:bCs/>
                <w:sz w:val="20"/>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2DEBB79F" w14:textId="403C0F13" w:rsidR="0059604F" w:rsidRPr="00287CEF" w:rsidRDefault="0059604F" w:rsidP="003F7519">
            <w:pPr>
              <w:keepNext/>
              <w:keepLines/>
              <w:jc w:val="left"/>
              <w:rPr>
                <w:rFonts w:ascii="Arial Narrow" w:eastAsiaTheme="majorEastAsia" w:hAnsi="Arial Narrow" w:cstheme="majorBidi"/>
                <w:bCs/>
                <w:sz w:val="20"/>
              </w:rPr>
            </w:pPr>
            <w:r w:rsidRPr="00287CEF">
              <w:rPr>
                <w:rFonts w:ascii="Arial Narrow" w:eastAsiaTheme="majorEastAsia" w:hAnsi="Arial Narrow" w:cstheme="majorBidi"/>
                <w:bCs/>
                <w:sz w:val="20"/>
              </w:rPr>
              <w:t>Also, the proposed published DPMQs differ from the published prices proposed in Section 1 of the submission (UPA 45mg: $2,716.07, UPA 30mg: $2,076.38, and UPA 15mg: $1,271.40).</w:t>
            </w:r>
          </w:p>
        </w:tc>
      </w:tr>
      <w:tr w:rsidR="0059604F" w:rsidRPr="00461145" w14:paraId="019B2509" w14:textId="77777777" w:rsidTr="00D47555">
        <w:trPr>
          <w:cantSplit/>
        </w:trPr>
        <w:tc>
          <w:tcPr>
            <w:tcW w:w="1200" w:type="pct"/>
            <w:tcBorders>
              <w:top w:val="single" w:sz="4" w:space="0" w:color="auto"/>
              <w:left w:val="single" w:sz="4" w:space="0" w:color="auto"/>
              <w:bottom w:val="single" w:sz="4" w:space="0" w:color="auto"/>
              <w:right w:val="single" w:sz="4" w:space="0" w:color="auto"/>
            </w:tcBorders>
            <w:vAlign w:val="center"/>
          </w:tcPr>
          <w:p w14:paraId="06BFA8B5" w14:textId="77777777" w:rsidR="0059604F" w:rsidRDefault="0059604F" w:rsidP="00097C1E">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 xml:space="preserve">Comparators </w:t>
            </w:r>
          </w:p>
        </w:tc>
        <w:tc>
          <w:tcPr>
            <w:tcW w:w="3800" w:type="pct"/>
            <w:gridSpan w:val="2"/>
            <w:tcBorders>
              <w:top w:val="single" w:sz="4" w:space="0" w:color="auto"/>
              <w:left w:val="single" w:sz="4" w:space="0" w:color="auto"/>
              <w:bottom w:val="single" w:sz="4" w:space="0" w:color="auto"/>
              <w:right w:val="single" w:sz="4" w:space="0" w:color="auto"/>
            </w:tcBorders>
            <w:vAlign w:val="center"/>
          </w:tcPr>
          <w:tbl>
            <w:tblPr>
              <w:tblStyle w:val="TableGrid"/>
              <w:tblW w:w="0" w:type="auto"/>
              <w:tblLayout w:type="fixed"/>
              <w:tblLook w:val="04A0" w:firstRow="1" w:lastRow="0" w:firstColumn="1" w:lastColumn="0" w:noHBand="0" w:noVBand="1"/>
            </w:tblPr>
            <w:tblGrid>
              <w:gridCol w:w="1813"/>
              <w:gridCol w:w="1143"/>
              <w:gridCol w:w="3671"/>
            </w:tblGrid>
            <w:tr w:rsidR="0059604F" w:rsidRPr="00FB1B99" w14:paraId="595CA903" w14:textId="77777777" w:rsidTr="00FB1B99">
              <w:trPr>
                <w:trHeight w:val="458"/>
              </w:trPr>
              <w:tc>
                <w:tcPr>
                  <w:tcW w:w="1813" w:type="dxa"/>
                  <w:vAlign w:val="center"/>
                </w:tcPr>
                <w:p w14:paraId="01B7D7A3" w14:textId="77777777" w:rsidR="0059604F" w:rsidRPr="00FB1B99" w:rsidRDefault="0059604F" w:rsidP="00AA21A9">
                  <w:pPr>
                    <w:pStyle w:val="TableText0"/>
                    <w:framePr w:hSpace="180" w:wrap="around" w:vAnchor="text" w:hAnchor="text" w:y="1"/>
                    <w:suppressOverlap/>
                    <w:rPr>
                      <w:b/>
                      <w:bCs w:val="0"/>
                      <w:szCs w:val="20"/>
                    </w:rPr>
                  </w:pPr>
                  <w:r w:rsidRPr="00FB1B99">
                    <w:rPr>
                      <w:b/>
                      <w:bCs w:val="0"/>
                      <w:szCs w:val="20"/>
                    </w:rPr>
                    <w:t>Treatment</w:t>
                  </w:r>
                </w:p>
              </w:tc>
              <w:tc>
                <w:tcPr>
                  <w:tcW w:w="1143" w:type="dxa"/>
                  <w:vAlign w:val="center"/>
                </w:tcPr>
                <w:p w14:paraId="04D83E51" w14:textId="77777777" w:rsidR="0059604F" w:rsidRPr="00FB1B99" w:rsidRDefault="0059604F" w:rsidP="00AA21A9">
                  <w:pPr>
                    <w:pStyle w:val="TableText0"/>
                    <w:framePr w:hSpace="180" w:wrap="around" w:vAnchor="text" w:hAnchor="text" w:y="1"/>
                    <w:suppressOverlap/>
                    <w:jc w:val="center"/>
                    <w:rPr>
                      <w:b/>
                      <w:bCs w:val="0"/>
                      <w:szCs w:val="20"/>
                    </w:rPr>
                  </w:pPr>
                  <w:r w:rsidRPr="00FB1B99">
                    <w:rPr>
                      <w:b/>
                      <w:bCs w:val="0"/>
                      <w:szCs w:val="20"/>
                    </w:rPr>
                    <w:t>DPMQ (weighted</w:t>
                  </w:r>
                  <w:r w:rsidRPr="00FB1B99">
                    <w:rPr>
                      <w:b/>
                      <w:bCs w:val="0"/>
                      <w:szCs w:val="20"/>
                      <w:vertAlign w:val="superscript"/>
                    </w:rPr>
                    <w:t>c</w:t>
                  </w:r>
                  <w:r w:rsidRPr="00FB1B99">
                    <w:rPr>
                      <w:b/>
                      <w:bCs w:val="0"/>
                      <w:szCs w:val="20"/>
                    </w:rPr>
                    <w:t>)</w:t>
                  </w:r>
                </w:p>
              </w:tc>
              <w:tc>
                <w:tcPr>
                  <w:tcW w:w="3671" w:type="dxa"/>
                  <w:vAlign w:val="center"/>
                </w:tcPr>
                <w:p w14:paraId="76DB6272" w14:textId="6FA1E08C" w:rsidR="0059604F" w:rsidRPr="00FB1B99" w:rsidRDefault="0059604F" w:rsidP="00AA21A9">
                  <w:pPr>
                    <w:pStyle w:val="TableText0"/>
                    <w:framePr w:hSpace="180" w:wrap="around" w:vAnchor="text" w:hAnchor="text" w:y="1"/>
                    <w:suppressOverlap/>
                    <w:rPr>
                      <w:b/>
                      <w:bCs w:val="0"/>
                      <w:szCs w:val="20"/>
                    </w:rPr>
                  </w:pPr>
                </w:p>
              </w:tc>
            </w:tr>
            <w:tr w:rsidR="0059604F" w:rsidRPr="00FB1B99" w14:paraId="0861D2E2" w14:textId="77777777" w:rsidTr="00FB1B99">
              <w:trPr>
                <w:trHeight w:val="781"/>
              </w:trPr>
              <w:tc>
                <w:tcPr>
                  <w:tcW w:w="1813" w:type="dxa"/>
                  <w:vAlign w:val="center"/>
                </w:tcPr>
                <w:p w14:paraId="52CCC183" w14:textId="609B1B67" w:rsidR="0059604F" w:rsidRPr="00FB1B99" w:rsidRDefault="0059604F" w:rsidP="00AA21A9">
                  <w:pPr>
                    <w:pStyle w:val="TableText0"/>
                    <w:framePr w:hSpace="180" w:wrap="around" w:vAnchor="text" w:hAnchor="text" w:y="1"/>
                    <w:suppressOverlap/>
                    <w:rPr>
                      <w:sz w:val="18"/>
                      <w:szCs w:val="18"/>
                    </w:rPr>
                  </w:pPr>
                  <w:r w:rsidRPr="00FB1B99">
                    <w:rPr>
                      <w:sz w:val="18"/>
                      <w:szCs w:val="18"/>
                    </w:rPr>
                    <w:lastRenderedPageBreak/>
                    <w:t>UST 130</w:t>
                  </w:r>
                  <w:r w:rsidR="00DA6A96">
                    <w:rPr>
                      <w:sz w:val="18"/>
                      <w:szCs w:val="18"/>
                    </w:rPr>
                    <w:t xml:space="preserve"> </w:t>
                  </w:r>
                  <w:r w:rsidRPr="00FB1B99">
                    <w:rPr>
                      <w:sz w:val="18"/>
                      <w:szCs w:val="18"/>
                    </w:rPr>
                    <w:t>mg/26 mL injection, 26 mL vial - Initiating</w:t>
                  </w:r>
                </w:p>
              </w:tc>
              <w:tc>
                <w:tcPr>
                  <w:tcW w:w="1143" w:type="dxa"/>
                  <w:vAlign w:val="center"/>
                </w:tcPr>
                <w:p w14:paraId="1428AE3C" w14:textId="77777777" w:rsidR="0059604F" w:rsidRPr="00FB1B99" w:rsidRDefault="0059604F" w:rsidP="00AA21A9">
                  <w:pPr>
                    <w:pStyle w:val="TableText0"/>
                    <w:framePr w:hSpace="180" w:wrap="around" w:vAnchor="text" w:hAnchor="text" w:y="1"/>
                    <w:suppressOverlap/>
                    <w:jc w:val="center"/>
                    <w:rPr>
                      <w:sz w:val="18"/>
                      <w:szCs w:val="18"/>
                    </w:rPr>
                  </w:pPr>
                  <w:r w:rsidRPr="00FB1B99">
                    <w:rPr>
                      <w:sz w:val="18"/>
                      <w:szCs w:val="18"/>
                    </w:rPr>
                    <w:t>$12,465.68</w:t>
                  </w:r>
                  <w:r w:rsidRPr="00FB1B99">
                    <w:rPr>
                      <w:sz w:val="18"/>
                      <w:szCs w:val="18"/>
                      <w:vertAlign w:val="superscript"/>
                    </w:rPr>
                    <w:t>d</w:t>
                  </w:r>
                </w:p>
              </w:tc>
              <w:tc>
                <w:tcPr>
                  <w:tcW w:w="3671" w:type="dxa"/>
                  <w:vAlign w:val="center"/>
                </w:tcPr>
                <w:p w14:paraId="77B0FFFF" w14:textId="77777777" w:rsidR="0059604F" w:rsidRPr="00287CEF" w:rsidRDefault="0059604F" w:rsidP="00AA21A9">
                  <w:pPr>
                    <w:framePr w:hSpace="180" w:wrap="around" w:vAnchor="text" w:hAnchor="text" w:y="1"/>
                    <w:widowControl w:val="0"/>
                    <w:suppressOverlap/>
                    <w:jc w:val="left"/>
                    <w:rPr>
                      <w:rFonts w:ascii="Arial Narrow" w:eastAsiaTheme="majorEastAsia" w:hAnsi="Arial Narrow" w:cstheme="majorBidi"/>
                      <w:bCs/>
                      <w:sz w:val="20"/>
                    </w:rPr>
                  </w:pPr>
                  <w:r w:rsidRPr="00287CEF">
                    <w:rPr>
                      <w:rFonts w:ascii="Arial Narrow" w:eastAsiaTheme="majorEastAsia" w:hAnsi="Arial Narrow" w:cstheme="majorBidi"/>
                      <w:bCs/>
                      <w:sz w:val="20"/>
                    </w:rPr>
                    <w:t xml:space="preserve">The assumption of the average vial number (3.27) per script is reasonable. </w:t>
                  </w:r>
                </w:p>
                <w:p w14:paraId="5C59CF6C" w14:textId="77777777" w:rsidR="0059604F" w:rsidRPr="00287CEF" w:rsidRDefault="0059604F" w:rsidP="00AA21A9">
                  <w:pPr>
                    <w:framePr w:hSpace="180" w:wrap="around" w:vAnchor="text" w:hAnchor="text" w:y="1"/>
                    <w:widowControl w:val="0"/>
                    <w:suppressOverlap/>
                    <w:jc w:val="left"/>
                    <w:rPr>
                      <w:rFonts w:ascii="Arial Narrow" w:eastAsiaTheme="majorEastAsia" w:hAnsi="Arial Narrow" w:cstheme="majorBidi"/>
                      <w:bCs/>
                      <w:sz w:val="20"/>
                    </w:rPr>
                  </w:pPr>
                </w:p>
                <w:p w14:paraId="7C7750C0" w14:textId="77777777" w:rsidR="0059604F" w:rsidRPr="00287CEF" w:rsidRDefault="0059604F" w:rsidP="00AA21A9">
                  <w:pPr>
                    <w:pStyle w:val="TableText0"/>
                    <w:framePr w:hSpace="180" w:wrap="around" w:vAnchor="text" w:hAnchor="text" w:y="1"/>
                    <w:suppressOverlap/>
                  </w:pPr>
                  <w:r w:rsidRPr="00287CEF">
                    <w:t>The weighted price used in the analysis is appropriate</w:t>
                  </w:r>
                </w:p>
              </w:tc>
            </w:tr>
            <w:tr w:rsidR="0059604F" w:rsidRPr="00FB1B99" w14:paraId="649F492D" w14:textId="77777777" w:rsidTr="00FB1B99">
              <w:trPr>
                <w:trHeight w:val="237"/>
              </w:trPr>
              <w:tc>
                <w:tcPr>
                  <w:tcW w:w="1813" w:type="dxa"/>
                  <w:vAlign w:val="center"/>
                </w:tcPr>
                <w:p w14:paraId="2BE3E8C4" w14:textId="64C5379C" w:rsidR="0059604F" w:rsidRPr="00FB1B99" w:rsidRDefault="0059604F" w:rsidP="00AA21A9">
                  <w:pPr>
                    <w:pStyle w:val="TableText0"/>
                    <w:framePr w:hSpace="180" w:wrap="around" w:vAnchor="text" w:hAnchor="text" w:y="1"/>
                    <w:suppressOverlap/>
                    <w:rPr>
                      <w:sz w:val="18"/>
                      <w:szCs w:val="18"/>
                    </w:rPr>
                  </w:pPr>
                  <w:r w:rsidRPr="00FB1B99">
                    <w:rPr>
                      <w:sz w:val="18"/>
                      <w:szCs w:val="18"/>
                    </w:rPr>
                    <w:t>UST 45</w:t>
                  </w:r>
                  <w:r w:rsidR="00DA6A96">
                    <w:rPr>
                      <w:sz w:val="18"/>
                      <w:szCs w:val="18"/>
                    </w:rPr>
                    <w:t xml:space="preserve"> </w:t>
                  </w:r>
                  <w:r w:rsidRPr="00FB1B99">
                    <w:rPr>
                      <w:sz w:val="18"/>
                      <w:szCs w:val="18"/>
                    </w:rPr>
                    <w:t>mg/0.5 mL injection, 0.5 mL vial - Initiating/continuing</w:t>
                  </w:r>
                </w:p>
              </w:tc>
              <w:tc>
                <w:tcPr>
                  <w:tcW w:w="1143" w:type="dxa"/>
                  <w:vAlign w:val="center"/>
                </w:tcPr>
                <w:p w14:paraId="616577AD" w14:textId="77777777" w:rsidR="0059604F" w:rsidRPr="00FB1B99" w:rsidRDefault="0059604F" w:rsidP="00AA21A9">
                  <w:pPr>
                    <w:framePr w:hSpace="180" w:wrap="around" w:vAnchor="text" w:hAnchor="text" w:y="1"/>
                    <w:widowControl w:val="0"/>
                    <w:suppressOverlap/>
                    <w:jc w:val="center"/>
                    <w:rPr>
                      <w:rFonts w:ascii="Arial Narrow" w:eastAsiaTheme="majorEastAsia" w:hAnsi="Arial Narrow" w:cstheme="majorBidi"/>
                      <w:bCs/>
                      <w:sz w:val="18"/>
                      <w:szCs w:val="18"/>
                    </w:rPr>
                  </w:pPr>
                  <w:r w:rsidRPr="00FB1B99">
                    <w:rPr>
                      <w:rFonts w:ascii="Arial Narrow" w:eastAsiaTheme="majorEastAsia" w:hAnsi="Arial Narrow" w:cstheme="majorBidi"/>
                      <w:bCs/>
                      <w:sz w:val="18"/>
                      <w:szCs w:val="18"/>
                    </w:rPr>
                    <w:t>$7,779.38</w:t>
                  </w:r>
                  <w:r w:rsidRPr="00FB1B99">
                    <w:rPr>
                      <w:rFonts w:ascii="Arial Narrow" w:eastAsiaTheme="majorEastAsia" w:hAnsi="Arial Narrow" w:cstheme="majorBidi"/>
                      <w:bCs/>
                      <w:sz w:val="18"/>
                      <w:szCs w:val="18"/>
                      <w:vertAlign w:val="superscript"/>
                    </w:rPr>
                    <w:t>e</w:t>
                  </w:r>
                </w:p>
              </w:tc>
              <w:tc>
                <w:tcPr>
                  <w:tcW w:w="3671" w:type="dxa"/>
                  <w:vMerge w:val="restart"/>
                  <w:vAlign w:val="center"/>
                </w:tcPr>
                <w:p w14:paraId="0CAD04D6" w14:textId="77777777" w:rsidR="0059604F" w:rsidRPr="00287CEF" w:rsidRDefault="0059604F" w:rsidP="00AA21A9">
                  <w:pPr>
                    <w:pStyle w:val="TableText0"/>
                    <w:framePr w:hSpace="180" w:wrap="around" w:vAnchor="text" w:hAnchor="text" w:y="1"/>
                    <w:suppressOverlap/>
                  </w:pPr>
                  <w:r w:rsidRPr="00287CEF">
                    <w:t>This is appropriate.</w:t>
                  </w:r>
                </w:p>
              </w:tc>
            </w:tr>
            <w:tr w:rsidR="0059604F" w:rsidRPr="00FB1B99" w14:paraId="4BF198CA" w14:textId="77777777" w:rsidTr="00FB1B99">
              <w:trPr>
                <w:trHeight w:val="237"/>
              </w:trPr>
              <w:tc>
                <w:tcPr>
                  <w:tcW w:w="1813" w:type="dxa"/>
                  <w:vAlign w:val="center"/>
                </w:tcPr>
                <w:p w14:paraId="4DC72F78" w14:textId="25349C53" w:rsidR="0059604F" w:rsidRPr="00FB1B99" w:rsidRDefault="0059604F" w:rsidP="00AA21A9">
                  <w:pPr>
                    <w:pStyle w:val="TableText0"/>
                    <w:framePr w:hSpace="180" w:wrap="around" w:vAnchor="text" w:hAnchor="text" w:y="1"/>
                    <w:suppressOverlap/>
                    <w:rPr>
                      <w:sz w:val="18"/>
                      <w:szCs w:val="18"/>
                    </w:rPr>
                  </w:pPr>
                  <w:r w:rsidRPr="00FB1B99">
                    <w:rPr>
                      <w:sz w:val="18"/>
                      <w:szCs w:val="18"/>
                    </w:rPr>
                    <w:t>ADA 40</w:t>
                  </w:r>
                  <w:r w:rsidR="00DA6A96">
                    <w:rPr>
                      <w:sz w:val="18"/>
                      <w:szCs w:val="18"/>
                    </w:rPr>
                    <w:t xml:space="preserve"> </w:t>
                  </w:r>
                  <w:r w:rsidRPr="00FB1B99">
                    <w:rPr>
                      <w:sz w:val="18"/>
                      <w:szCs w:val="18"/>
                    </w:rPr>
                    <w:t>mg x 2</w:t>
                  </w:r>
                  <w:r w:rsidR="003F7519">
                    <w:rPr>
                      <w:snapToGrid w:val="0"/>
                      <w:sz w:val="18"/>
                      <w:szCs w:val="22"/>
                    </w:rPr>
                    <w:t> </w:t>
                  </w:r>
                  <w:r w:rsidRPr="00FB1B99">
                    <w:rPr>
                      <w:sz w:val="18"/>
                      <w:szCs w:val="18"/>
                    </w:rPr>
                    <w:t>injections (script equivalence matched) – Initiating &amp; continuing</w:t>
                  </w:r>
                </w:p>
              </w:tc>
              <w:tc>
                <w:tcPr>
                  <w:tcW w:w="1143" w:type="dxa"/>
                  <w:vAlign w:val="center"/>
                </w:tcPr>
                <w:p w14:paraId="39A3D4E2" w14:textId="20386453" w:rsidR="0059604F" w:rsidRPr="00FB1B99" w:rsidRDefault="0059604F" w:rsidP="00AA21A9">
                  <w:pPr>
                    <w:pStyle w:val="TableText0"/>
                    <w:framePr w:hSpace="180" w:wrap="around" w:vAnchor="text" w:hAnchor="text" w:y="1"/>
                    <w:suppressOverlap/>
                    <w:jc w:val="center"/>
                    <w:rPr>
                      <w:sz w:val="18"/>
                      <w:szCs w:val="18"/>
                    </w:rPr>
                  </w:pPr>
                  <w:r w:rsidRPr="00FB1B99">
                    <w:rPr>
                      <w:bCs w:val="0"/>
                      <w:sz w:val="18"/>
                      <w:szCs w:val="18"/>
                    </w:rPr>
                    <w:t>$885.50</w:t>
                  </w:r>
                  <w:r w:rsidRPr="00FB1B99">
                    <w:rPr>
                      <w:bCs w:val="0"/>
                      <w:sz w:val="18"/>
                      <w:szCs w:val="18"/>
                      <w:vertAlign w:val="superscript"/>
                    </w:rPr>
                    <w:t>f</w:t>
                  </w:r>
                </w:p>
              </w:tc>
              <w:tc>
                <w:tcPr>
                  <w:tcW w:w="3671" w:type="dxa"/>
                  <w:vMerge/>
                  <w:vAlign w:val="center"/>
                </w:tcPr>
                <w:p w14:paraId="5D2ABF16" w14:textId="77777777" w:rsidR="0059604F" w:rsidRPr="00287CEF" w:rsidRDefault="0059604F" w:rsidP="00AA21A9">
                  <w:pPr>
                    <w:pStyle w:val="TableText0"/>
                    <w:framePr w:hSpace="180" w:wrap="around" w:vAnchor="text" w:hAnchor="text" w:y="1"/>
                    <w:suppressOverlap/>
                    <w:rPr>
                      <w:sz w:val="18"/>
                      <w:szCs w:val="18"/>
                    </w:rPr>
                  </w:pPr>
                </w:p>
              </w:tc>
            </w:tr>
            <w:tr w:rsidR="0059604F" w:rsidRPr="00FB1B99" w14:paraId="108355F3" w14:textId="77777777" w:rsidTr="00FB1B99">
              <w:trPr>
                <w:trHeight w:val="220"/>
              </w:trPr>
              <w:tc>
                <w:tcPr>
                  <w:tcW w:w="1813" w:type="dxa"/>
                  <w:vAlign w:val="center"/>
                </w:tcPr>
                <w:p w14:paraId="0E7F6982" w14:textId="6E5DD8C4" w:rsidR="0059604F" w:rsidRPr="00FB1B99" w:rsidRDefault="0059604F" w:rsidP="00AA21A9">
                  <w:pPr>
                    <w:framePr w:hSpace="180" w:wrap="around" w:vAnchor="text" w:hAnchor="text" w:y="1"/>
                    <w:widowControl w:val="0"/>
                    <w:suppressOverlap/>
                    <w:jc w:val="left"/>
                    <w:rPr>
                      <w:rFonts w:ascii="Arial Narrow" w:eastAsiaTheme="majorEastAsia" w:hAnsi="Arial Narrow" w:cstheme="majorBidi"/>
                      <w:bCs/>
                      <w:sz w:val="18"/>
                      <w:szCs w:val="18"/>
                    </w:rPr>
                  </w:pPr>
                  <w:r w:rsidRPr="00FB1B99">
                    <w:rPr>
                      <w:rFonts w:ascii="Arial Narrow" w:eastAsiaTheme="majorEastAsia" w:hAnsi="Arial Narrow" w:cstheme="majorBidi"/>
                      <w:bCs/>
                      <w:sz w:val="18"/>
                      <w:szCs w:val="18"/>
                    </w:rPr>
                    <w:t>IFX 100</w:t>
                  </w:r>
                  <w:r w:rsidR="00DA6A96">
                    <w:rPr>
                      <w:rFonts w:ascii="Arial Narrow" w:eastAsiaTheme="majorEastAsia" w:hAnsi="Arial Narrow" w:cstheme="majorBidi"/>
                      <w:bCs/>
                      <w:sz w:val="18"/>
                      <w:szCs w:val="18"/>
                    </w:rPr>
                    <w:t xml:space="preserve"> </w:t>
                  </w:r>
                  <w:r w:rsidRPr="00FB1B99">
                    <w:rPr>
                      <w:rFonts w:ascii="Arial Narrow" w:eastAsiaTheme="majorEastAsia" w:hAnsi="Arial Narrow" w:cstheme="majorBidi"/>
                      <w:bCs/>
                      <w:sz w:val="18"/>
                      <w:szCs w:val="18"/>
                    </w:rPr>
                    <w:t>mg injection, 1</w:t>
                  </w:r>
                  <w:r w:rsidR="003F7519">
                    <w:rPr>
                      <w:rFonts w:ascii="Arial Narrow" w:eastAsiaTheme="majorEastAsia" w:hAnsi="Arial Narrow"/>
                      <w:snapToGrid w:val="0"/>
                      <w:sz w:val="18"/>
                      <w:szCs w:val="22"/>
                    </w:rPr>
                    <w:t> </w:t>
                  </w:r>
                  <w:r w:rsidRPr="00FB1B99">
                    <w:rPr>
                      <w:rFonts w:ascii="Arial Narrow" w:eastAsiaTheme="majorEastAsia" w:hAnsi="Arial Narrow" w:cstheme="majorBidi"/>
                      <w:bCs/>
                      <w:sz w:val="18"/>
                      <w:szCs w:val="18"/>
                    </w:rPr>
                    <w:t>vial - Initiating/continuing</w:t>
                  </w:r>
                </w:p>
              </w:tc>
              <w:tc>
                <w:tcPr>
                  <w:tcW w:w="1143" w:type="dxa"/>
                  <w:vAlign w:val="center"/>
                </w:tcPr>
                <w:p w14:paraId="48FF57D3" w14:textId="77777777" w:rsidR="0059604F" w:rsidRPr="00FB1B99" w:rsidRDefault="0059604F" w:rsidP="00AA21A9">
                  <w:pPr>
                    <w:framePr w:hSpace="180" w:wrap="around" w:vAnchor="text" w:hAnchor="text" w:y="1"/>
                    <w:widowControl w:val="0"/>
                    <w:suppressOverlap/>
                    <w:jc w:val="center"/>
                    <w:rPr>
                      <w:rFonts w:ascii="Arial Narrow" w:eastAsiaTheme="majorEastAsia" w:hAnsi="Arial Narrow" w:cstheme="majorBidi"/>
                      <w:bCs/>
                      <w:sz w:val="18"/>
                      <w:szCs w:val="18"/>
                    </w:rPr>
                  </w:pPr>
                  <w:r w:rsidRPr="00FB1B99">
                    <w:rPr>
                      <w:rFonts w:ascii="Arial Narrow" w:eastAsiaTheme="majorEastAsia" w:hAnsi="Arial Narrow" w:cstheme="majorBidi"/>
                      <w:bCs/>
                      <w:sz w:val="18"/>
                      <w:szCs w:val="18"/>
                    </w:rPr>
                    <w:t>$1,413.67</w:t>
                  </w:r>
                  <w:r w:rsidRPr="00FB1B99">
                    <w:rPr>
                      <w:rFonts w:ascii="Arial Narrow" w:eastAsiaTheme="majorEastAsia" w:hAnsi="Arial Narrow" w:cstheme="majorBidi"/>
                      <w:bCs/>
                      <w:sz w:val="18"/>
                      <w:szCs w:val="18"/>
                      <w:vertAlign w:val="superscript"/>
                    </w:rPr>
                    <w:t>g</w:t>
                  </w:r>
                </w:p>
              </w:tc>
              <w:tc>
                <w:tcPr>
                  <w:tcW w:w="3671" w:type="dxa"/>
                  <w:vMerge w:val="restart"/>
                  <w:vAlign w:val="center"/>
                </w:tcPr>
                <w:p w14:paraId="06D90AF4" w14:textId="77777777" w:rsidR="0059604F" w:rsidRPr="00287CEF" w:rsidRDefault="0059604F" w:rsidP="00AA21A9">
                  <w:pPr>
                    <w:framePr w:hSpace="180" w:wrap="around" w:vAnchor="text" w:hAnchor="text" w:y="1"/>
                    <w:widowControl w:val="0"/>
                    <w:suppressOverlap/>
                    <w:jc w:val="left"/>
                    <w:rPr>
                      <w:rFonts w:ascii="Arial Narrow" w:eastAsiaTheme="majorEastAsia" w:hAnsi="Arial Narrow" w:cstheme="majorBidi"/>
                      <w:bCs/>
                      <w:sz w:val="20"/>
                    </w:rPr>
                  </w:pPr>
                  <w:r w:rsidRPr="00287CEF">
                    <w:rPr>
                      <w:rFonts w:ascii="Arial Narrow" w:eastAsiaTheme="majorEastAsia" w:hAnsi="Arial Narrow" w:cstheme="majorBidi"/>
                      <w:bCs/>
                      <w:sz w:val="20"/>
                    </w:rPr>
                    <w:t xml:space="preserve">The assumptions of the average vial number per script (4.34 for initiating/continuing and 4.54 for no max qty- continuing) are reasonable. </w:t>
                  </w:r>
                </w:p>
                <w:p w14:paraId="4F85E930" w14:textId="77777777" w:rsidR="0059604F" w:rsidRPr="00287CEF" w:rsidRDefault="0059604F" w:rsidP="00AA21A9">
                  <w:pPr>
                    <w:framePr w:hSpace="180" w:wrap="around" w:vAnchor="text" w:hAnchor="text" w:y="1"/>
                    <w:widowControl w:val="0"/>
                    <w:suppressOverlap/>
                    <w:jc w:val="left"/>
                    <w:rPr>
                      <w:rFonts w:ascii="Arial Narrow" w:eastAsiaTheme="majorEastAsia" w:hAnsi="Arial Narrow" w:cstheme="majorBidi"/>
                      <w:bCs/>
                      <w:sz w:val="20"/>
                    </w:rPr>
                  </w:pPr>
                </w:p>
                <w:p w14:paraId="5F4FB944" w14:textId="77777777" w:rsidR="0059604F" w:rsidRPr="00287CEF" w:rsidRDefault="0059604F" w:rsidP="00AA21A9">
                  <w:pPr>
                    <w:pStyle w:val="TableText0"/>
                    <w:framePr w:hSpace="180" w:wrap="around" w:vAnchor="text" w:hAnchor="text" w:y="1"/>
                    <w:suppressOverlap/>
                  </w:pPr>
                  <w:r w:rsidRPr="00287CEF">
                    <w:t>The submission did not justify why the UST data rather than the IFX data was used to inform the public vs. private split. The proportion of s100 public of all PBS items related to IFX IV during 2017-2021 was 62.94% (estimated during the evaluation). The submission may have slightly underestimated the financial implication weighting by the UST service split. Sensitivity analysis conducted during the evaluation found that this parameter had minimal impact on the results.</w:t>
                  </w:r>
                </w:p>
              </w:tc>
            </w:tr>
            <w:tr w:rsidR="0059604F" w:rsidRPr="00FB1B99" w14:paraId="147201DE" w14:textId="77777777" w:rsidTr="00FB1B99">
              <w:trPr>
                <w:trHeight w:val="252"/>
              </w:trPr>
              <w:tc>
                <w:tcPr>
                  <w:tcW w:w="1813" w:type="dxa"/>
                  <w:vAlign w:val="center"/>
                </w:tcPr>
                <w:p w14:paraId="19850281" w14:textId="62528C87" w:rsidR="0059604F" w:rsidRPr="00FB1B99" w:rsidRDefault="0059604F" w:rsidP="00AA21A9">
                  <w:pPr>
                    <w:framePr w:hSpace="180" w:wrap="around" w:vAnchor="text" w:hAnchor="text" w:y="1"/>
                    <w:widowControl w:val="0"/>
                    <w:suppressOverlap/>
                    <w:jc w:val="left"/>
                    <w:rPr>
                      <w:rFonts w:ascii="Arial Narrow" w:eastAsiaTheme="majorEastAsia" w:hAnsi="Arial Narrow" w:cstheme="majorBidi"/>
                      <w:bCs/>
                      <w:sz w:val="18"/>
                      <w:szCs w:val="18"/>
                    </w:rPr>
                  </w:pPr>
                  <w:r w:rsidRPr="00FB1B99">
                    <w:rPr>
                      <w:rFonts w:ascii="Arial Narrow" w:eastAsiaTheme="majorEastAsia" w:hAnsi="Arial Narrow" w:cstheme="majorBidi"/>
                      <w:bCs/>
                      <w:sz w:val="18"/>
                      <w:szCs w:val="18"/>
                    </w:rPr>
                    <w:t>IFX 100</w:t>
                  </w:r>
                  <w:r w:rsidR="00DA6A96">
                    <w:rPr>
                      <w:rFonts w:ascii="Arial Narrow" w:eastAsiaTheme="majorEastAsia" w:hAnsi="Arial Narrow" w:cstheme="majorBidi"/>
                      <w:bCs/>
                      <w:sz w:val="18"/>
                      <w:szCs w:val="18"/>
                    </w:rPr>
                    <w:t xml:space="preserve"> </w:t>
                  </w:r>
                  <w:r w:rsidRPr="00FB1B99">
                    <w:rPr>
                      <w:rFonts w:ascii="Arial Narrow" w:eastAsiaTheme="majorEastAsia" w:hAnsi="Arial Narrow" w:cstheme="majorBidi"/>
                      <w:bCs/>
                      <w:sz w:val="18"/>
                      <w:szCs w:val="18"/>
                    </w:rPr>
                    <w:t xml:space="preserve">mg injection, </w:t>
                  </w:r>
                  <w:proofErr w:type="gramStart"/>
                  <w:r w:rsidRPr="00FB1B99">
                    <w:rPr>
                      <w:rFonts w:ascii="Arial Narrow" w:eastAsiaTheme="majorEastAsia" w:hAnsi="Arial Narrow" w:cstheme="majorBidi"/>
                      <w:bCs/>
                      <w:sz w:val="18"/>
                      <w:szCs w:val="18"/>
                    </w:rPr>
                    <w:t>1</w:t>
                  </w:r>
                  <w:r w:rsidR="003F7519">
                    <w:rPr>
                      <w:rFonts w:ascii="Arial Narrow" w:eastAsiaTheme="majorEastAsia" w:hAnsi="Arial Narrow"/>
                      <w:snapToGrid w:val="0"/>
                      <w:sz w:val="18"/>
                      <w:szCs w:val="22"/>
                    </w:rPr>
                    <w:t> </w:t>
                  </w:r>
                  <w:r w:rsidRPr="00FB1B99">
                    <w:rPr>
                      <w:rFonts w:ascii="Arial Narrow" w:eastAsiaTheme="majorEastAsia" w:hAnsi="Arial Narrow" w:cstheme="majorBidi"/>
                      <w:bCs/>
                      <w:sz w:val="18"/>
                      <w:szCs w:val="18"/>
                    </w:rPr>
                    <w:t xml:space="preserve"> vial</w:t>
                  </w:r>
                  <w:proofErr w:type="gramEnd"/>
                  <w:r w:rsidRPr="00FB1B99">
                    <w:rPr>
                      <w:rFonts w:ascii="Arial Narrow" w:eastAsiaTheme="majorEastAsia" w:hAnsi="Arial Narrow" w:cstheme="majorBidi"/>
                      <w:bCs/>
                      <w:sz w:val="18"/>
                      <w:szCs w:val="18"/>
                    </w:rPr>
                    <w:t xml:space="preserve"> (no Max Qty)</w:t>
                  </w:r>
                </w:p>
                <w:p w14:paraId="1EBDBD52" w14:textId="77777777" w:rsidR="0059604F" w:rsidRPr="00FB1B99" w:rsidRDefault="0059604F" w:rsidP="00AA21A9">
                  <w:pPr>
                    <w:pStyle w:val="TableText0"/>
                    <w:framePr w:hSpace="180" w:wrap="around" w:vAnchor="text" w:hAnchor="text" w:y="1"/>
                    <w:suppressOverlap/>
                    <w:rPr>
                      <w:sz w:val="18"/>
                      <w:szCs w:val="18"/>
                    </w:rPr>
                  </w:pPr>
                  <w:r w:rsidRPr="00FB1B99">
                    <w:rPr>
                      <w:sz w:val="18"/>
                      <w:szCs w:val="18"/>
                    </w:rPr>
                    <w:t>– Continuing</w:t>
                  </w:r>
                </w:p>
              </w:tc>
              <w:tc>
                <w:tcPr>
                  <w:tcW w:w="1143" w:type="dxa"/>
                  <w:vAlign w:val="center"/>
                </w:tcPr>
                <w:p w14:paraId="7014BDF1" w14:textId="77777777" w:rsidR="0059604F" w:rsidRPr="00FB1B99" w:rsidRDefault="0059604F" w:rsidP="00AA21A9">
                  <w:pPr>
                    <w:framePr w:hSpace="180" w:wrap="around" w:vAnchor="text" w:hAnchor="text" w:y="1"/>
                    <w:widowControl w:val="0"/>
                    <w:suppressOverlap/>
                    <w:jc w:val="center"/>
                    <w:rPr>
                      <w:rFonts w:ascii="Arial Narrow" w:eastAsiaTheme="majorEastAsia" w:hAnsi="Arial Narrow" w:cstheme="majorBidi"/>
                      <w:bCs/>
                      <w:sz w:val="18"/>
                      <w:szCs w:val="18"/>
                    </w:rPr>
                  </w:pPr>
                  <w:r w:rsidRPr="00FB1B99">
                    <w:rPr>
                      <w:rFonts w:ascii="Arial Narrow" w:eastAsiaTheme="majorEastAsia" w:hAnsi="Arial Narrow" w:cstheme="majorBidi"/>
                      <w:bCs/>
                      <w:sz w:val="18"/>
                      <w:szCs w:val="18"/>
                    </w:rPr>
                    <w:t>$1,477.22</w:t>
                  </w:r>
                  <w:r w:rsidRPr="00FB1B99">
                    <w:rPr>
                      <w:rFonts w:ascii="Arial Narrow" w:eastAsiaTheme="majorEastAsia" w:hAnsi="Arial Narrow" w:cstheme="majorBidi"/>
                      <w:bCs/>
                      <w:sz w:val="18"/>
                      <w:szCs w:val="18"/>
                      <w:vertAlign w:val="superscript"/>
                    </w:rPr>
                    <w:t>g</w:t>
                  </w:r>
                </w:p>
              </w:tc>
              <w:tc>
                <w:tcPr>
                  <w:tcW w:w="3671" w:type="dxa"/>
                  <w:vMerge/>
                  <w:vAlign w:val="center"/>
                </w:tcPr>
                <w:p w14:paraId="66C7A782" w14:textId="77777777" w:rsidR="0059604F" w:rsidRPr="00287CEF" w:rsidRDefault="0059604F" w:rsidP="00AA21A9">
                  <w:pPr>
                    <w:pStyle w:val="TableText0"/>
                    <w:framePr w:hSpace="180" w:wrap="around" w:vAnchor="text" w:hAnchor="text" w:y="1"/>
                    <w:suppressOverlap/>
                  </w:pPr>
                </w:p>
              </w:tc>
            </w:tr>
            <w:tr w:rsidR="0059604F" w:rsidRPr="00FB1B99" w14:paraId="7124444D" w14:textId="77777777" w:rsidTr="00FB1B99">
              <w:trPr>
                <w:trHeight w:val="237"/>
              </w:trPr>
              <w:tc>
                <w:tcPr>
                  <w:tcW w:w="1813" w:type="dxa"/>
                  <w:vAlign w:val="center"/>
                </w:tcPr>
                <w:p w14:paraId="74BE5ABE" w14:textId="2151D562" w:rsidR="0059604F" w:rsidRPr="00FB1B99" w:rsidRDefault="0059604F" w:rsidP="00AA21A9">
                  <w:pPr>
                    <w:pStyle w:val="TableText0"/>
                    <w:framePr w:hSpace="180" w:wrap="around" w:vAnchor="text" w:hAnchor="text" w:y="1"/>
                    <w:suppressOverlap/>
                    <w:rPr>
                      <w:sz w:val="18"/>
                      <w:szCs w:val="18"/>
                    </w:rPr>
                  </w:pPr>
                  <w:r w:rsidRPr="00FB1B99">
                    <w:rPr>
                      <w:sz w:val="18"/>
                      <w:szCs w:val="18"/>
                    </w:rPr>
                    <w:t>IFX 100mg injection, 1</w:t>
                  </w:r>
                  <w:r w:rsidR="003F7519">
                    <w:rPr>
                      <w:sz w:val="18"/>
                      <w:szCs w:val="18"/>
                    </w:rPr>
                    <w:t> </w:t>
                  </w:r>
                  <w:r w:rsidRPr="00FB1B99">
                    <w:rPr>
                      <w:sz w:val="18"/>
                      <w:szCs w:val="18"/>
                    </w:rPr>
                    <w:t>vial (Max Qty = 5) - Continuing</w:t>
                  </w:r>
                </w:p>
              </w:tc>
              <w:tc>
                <w:tcPr>
                  <w:tcW w:w="1143" w:type="dxa"/>
                  <w:vAlign w:val="center"/>
                </w:tcPr>
                <w:p w14:paraId="45AC1499" w14:textId="77777777" w:rsidR="0059604F" w:rsidRPr="00FB1B99" w:rsidRDefault="0059604F" w:rsidP="00AA21A9">
                  <w:pPr>
                    <w:framePr w:hSpace="180" w:wrap="around" w:vAnchor="text" w:hAnchor="text" w:y="1"/>
                    <w:widowControl w:val="0"/>
                    <w:suppressOverlap/>
                    <w:jc w:val="center"/>
                    <w:rPr>
                      <w:rFonts w:ascii="Arial Narrow" w:eastAsiaTheme="majorEastAsia" w:hAnsi="Arial Narrow" w:cstheme="majorBidi"/>
                      <w:bCs/>
                      <w:sz w:val="18"/>
                      <w:szCs w:val="18"/>
                    </w:rPr>
                  </w:pPr>
                  <w:r w:rsidRPr="00FB1B99">
                    <w:rPr>
                      <w:rFonts w:ascii="Arial Narrow" w:eastAsiaTheme="majorEastAsia" w:hAnsi="Arial Narrow" w:cstheme="majorBidi"/>
                      <w:bCs/>
                      <w:sz w:val="18"/>
                      <w:szCs w:val="18"/>
                    </w:rPr>
                    <w:t>$1,623.87</w:t>
                  </w:r>
                  <w:r w:rsidRPr="00FB1B99">
                    <w:rPr>
                      <w:rFonts w:ascii="Arial Narrow" w:eastAsiaTheme="majorEastAsia" w:hAnsi="Arial Narrow" w:cstheme="majorBidi"/>
                      <w:bCs/>
                      <w:sz w:val="18"/>
                      <w:szCs w:val="18"/>
                      <w:vertAlign w:val="superscript"/>
                    </w:rPr>
                    <w:t>g</w:t>
                  </w:r>
                </w:p>
              </w:tc>
              <w:tc>
                <w:tcPr>
                  <w:tcW w:w="3671" w:type="dxa"/>
                  <w:vMerge/>
                  <w:vAlign w:val="center"/>
                </w:tcPr>
                <w:p w14:paraId="759F08DF" w14:textId="77777777" w:rsidR="0059604F" w:rsidRPr="00287CEF" w:rsidRDefault="0059604F" w:rsidP="00AA21A9">
                  <w:pPr>
                    <w:pStyle w:val="TableText0"/>
                    <w:framePr w:hSpace="180" w:wrap="around" w:vAnchor="text" w:hAnchor="text" w:y="1"/>
                    <w:suppressOverlap/>
                  </w:pPr>
                </w:p>
              </w:tc>
            </w:tr>
            <w:tr w:rsidR="0059604F" w:rsidRPr="00FB1B99" w14:paraId="0E165F37" w14:textId="77777777" w:rsidTr="00FB1B99">
              <w:trPr>
                <w:trHeight w:val="237"/>
              </w:trPr>
              <w:tc>
                <w:tcPr>
                  <w:tcW w:w="1813" w:type="dxa"/>
                  <w:vAlign w:val="center"/>
                </w:tcPr>
                <w:p w14:paraId="175D3064" w14:textId="5B73E5F2" w:rsidR="0059604F" w:rsidRPr="00FB1B99" w:rsidRDefault="0059604F" w:rsidP="00AA21A9">
                  <w:pPr>
                    <w:pStyle w:val="TableText0"/>
                    <w:framePr w:hSpace="180" w:wrap="around" w:vAnchor="text" w:hAnchor="text" w:y="1"/>
                    <w:suppressOverlap/>
                    <w:rPr>
                      <w:sz w:val="18"/>
                      <w:szCs w:val="18"/>
                    </w:rPr>
                  </w:pPr>
                  <w:r w:rsidRPr="00FB1B99">
                    <w:rPr>
                      <w:sz w:val="18"/>
                      <w:szCs w:val="18"/>
                    </w:rPr>
                    <w:t>VDZ 300mg injection, 1</w:t>
                  </w:r>
                  <w:r w:rsidR="003F7519">
                    <w:rPr>
                      <w:sz w:val="18"/>
                      <w:szCs w:val="18"/>
                    </w:rPr>
                    <w:t> </w:t>
                  </w:r>
                  <w:r w:rsidRPr="00FB1B99">
                    <w:rPr>
                      <w:sz w:val="18"/>
                      <w:szCs w:val="18"/>
                    </w:rPr>
                    <w:t>vial – Initiating/continuing</w:t>
                  </w:r>
                </w:p>
              </w:tc>
              <w:tc>
                <w:tcPr>
                  <w:tcW w:w="1143" w:type="dxa"/>
                  <w:vAlign w:val="center"/>
                </w:tcPr>
                <w:p w14:paraId="6D162DE3" w14:textId="77777777" w:rsidR="0059604F" w:rsidRPr="00FB1B99" w:rsidRDefault="0059604F" w:rsidP="00AA21A9">
                  <w:pPr>
                    <w:pStyle w:val="TableText0"/>
                    <w:framePr w:hSpace="180" w:wrap="around" w:vAnchor="text" w:hAnchor="text" w:y="1"/>
                    <w:suppressOverlap/>
                    <w:jc w:val="center"/>
                    <w:rPr>
                      <w:sz w:val="18"/>
                      <w:szCs w:val="18"/>
                    </w:rPr>
                  </w:pPr>
                  <w:r w:rsidRPr="00FB1B99">
                    <w:rPr>
                      <w:sz w:val="18"/>
                      <w:szCs w:val="18"/>
                    </w:rPr>
                    <w:t>$2,970.25</w:t>
                  </w:r>
                  <w:r w:rsidRPr="00FB1B99">
                    <w:rPr>
                      <w:sz w:val="18"/>
                      <w:szCs w:val="18"/>
                      <w:vertAlign w:val="superscript"/>
                    </w:rPr>
                    <w:t>h</w:t>
                  </w:r>
                </w:p>
              </w:tc>
              <w:tc>
                <w:tcPr>
                  <w:tcW w:w="3671" w:type="dxa"/>
                  <w:vAlign w:val="center"/>
                </w:tcPr>
                <w:p w14:paraId="06EB5B33" w14:textId="6B4E96E9" w:rsidR="0059604F" w:rsidRPr="00287CEF" w:rsidRDefault="0059604F" w:rsidP="00AA21A9">
                  <w:pPr>
                    <w:pStyle w:val="TableText0"/>
                    <w:framePr w:hSpace="180" w:wrap="around" w:vAnchor="text" w:hAnchor="text" w:y="1"/>
                    <w:suppressOverlap/>
                  </w:pPr>
                  <w:r w:rsidRPr="00287CEF">
                    <w:t xml:space="preserve">The submission did not justify why the UST data rather than the VDZ data was used to inform the public vs. private split. The proportion of s100 public of </w:t>
                  </w:r>
                  <w:r w:rsidR="00A10A11" w:rsidRPr="00287CEF">
                    <w:t xml:space="preserve">VDZ </w:t>
                  </w:r>
                  <w:r w:rsidRPr="00287CEF">
                    <w:t>(10390W/10415E) during the 2017-2021 period was 64.26% (estimated during the evaluation). The submission may have slightly underestimated the financial implication weighting by the UST service split. Sensitivity analysis conducted during the evaluation found that this parameter had minimal impact on the results.</w:t>
                  </w:r>
                </w:p>
              </w:tc>
            </w:tr>
          </w:tbl>
          <w:p w14:paraId="0B4F707D" w14:textId="77777777" w:rsidR="0059604F" w:rsidRDefault="0059604F" w:rsidP="00097C1E">
            <w:pPr>
              <w:widowControl w:val="0"/>
              <w:jc w:val="left"/>
              <w:rPr>
                <w:rFonts w:ascii="Arial Narrow" w:eastAsiaTheme="majorEastAsia" w:hAnsi="Arial Narrow" w:cstheme="majorBidi"/>
                <w:bCs/>
                <w:i/>
                <w:iCs/>
                <w:sz w:val="20"/>
              </w:rPr>
            </w:pPr>
          </w:p>
        </w:tc>
      </w:tr>
      <w:tr w:rsidR="0059604F" w:rsidRPr="00927D9E" w14:paraId="7EC9D8A0" w14:textId="77777777" w:rsidTr="00D47555">
        <w:trPr>
          <w:cantSplit/>
        </w:trPr>
        <w:tc>
          <w:tcPr>
            <w:tcW w:w="1200" w:type="pct"/>
            <w:tcBorders>
              <w:top w:val="single" w:sz="4" w:space="0" w:color="auto"/>
              <w:left w:val="single" w:sz="4" w:space="0" w:color="auto"/>
              <w:bottom w:val="single" w:sz="4" w:space="0" w:color="auto"/>
              <w:right w:val="single" w:sz="4" w:space="0" w:color="auto"/>
            </w:tcBorders>
            <w:vAlign w:val="center"/>
          </w:tcPr>
          <w:p w14:paraId="37E87188" w14:textId="77777777" w:rsidR="0059604F" w:rsidRDefault="0059604F" w:rsidP="00097C1E">
            <w:pPr>
              <w:widowControl w:val="0"/>
              <w:ind w:left="113"/>
              <w:jc w:val="left"/>
              <w:rPr>
                <w:rFonts w:ascii="Arial Narrow" w:eastAsiaTheme="majorEastAsia" w:hAnsi="Arial Narrow" w:cstheme="majorBidi"/>
                <w:bCs/>
                <w:sz w:val="20"/>
              </w:rPr>
            </w:pPr>
            <w:r w:rsidRPr="00461145">
              <w:rPr>
                <w:rFonts w:ascii="Arial Narrow" w:eastAsiaTheme="majorEastAsia" w:hAnsi="Arial Narrow" w:cstheme="majorBidi"/>
                <w:bCs/>
                <w:sz w:val="20"/>
              </w:rPr>
              <w:lastRenderedPageBreak/>
              <w:t>IV administration for</w:t>
            </w:r>
            <w:r>
              <w:rPr>
                <w:rFonts w:ascii="Arial Narrow" w:eastAsiaTheme="majorEastAsia" w:hAnsi="Arial Narrow" w:cstheme="majorBidi"/>
                <w:bCs/>
                <w:sz w:val="20"/>
              </w:rPr>
              <w:t xml:space="preserve"> UST/VDZ</w:t>
            </w:r>
          </w:p>
        </w:tc>
        <w:tc>
          <w:tcPr>
            <w:tcW w:w="1723" w:type="pct"/>
            <w:tcBorders>
              <w:top w:val="single" w:sz="4" w:space="0" w:color="auto"/>
              <w:left w:val="single" w:sz="4" w:space="0" w:color="auto"/>
              <w:bottom w:val="single" w:sz="4" w:space="0" w:color="auto"/>
              <w:right w:val="single" w:sz="4" w:space="0" w:color="auto"/>
            </w:tcBorders>
            <w:vAlign w:val="center"/>
          </w:tcPr>
          <w:p w14:paraId="6B584F23" w14:textId="77777777" w:rsidR="0059604F" w:rsidRDefault="0059604F" w:rsidP="00097C1E">
            <w:pPr>
              <w:widowControl w:val="0"/>
              <w:jc w:val="left"/>
              <w:rPr>
                <w:rFonts w:ascii="Arial Narrow" w:eastAsiaTheme="majorEastAsia" w:hAnsi="Arial Narrow" w:cstheme="majorBidi"/>
                <w:bCs/>
                <w:sz w:val="20"/>
              </w:rPr>
            </w:pPr>
            <w:r w:rsidRPr="00461145">
              <w:rPr>
                <w:rFonts w:ascii="Arial Narrow" w:eastAsiaTheme="majorEastAsia" w:hAnsi="Arial Narrow" w:cstheme="majorBidi"/>
                <w:bCs/>
                <w:sz w:val="20"/>
              </w:rPr>
              <w:t>$81.05</w:t>
            </w:r>
          </w:p>
          <w:p w14:paraId="35E0EA20" w14:textId="77777777" w:rsidR="0059604F" w:rsidRPr="00461145" w:rsidRDefault="0059604F" w:rsidP="00097C1E">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Source: MBS item 116</w:t>
            </w:r>
          </w:p>
        </w:tc>
        <w:tc>
          <w:tcPr>
            <w:tcW w:w="2077" w:type="pct"/>
            <w:tcBorders>
              <w:top w:val="single" w:sz="4" w:space="0" w:color="auto"/>
              <w:left w:val="single" w:sz="4" w:space="0" w:color="auto"/>
              <w:bottom w:val="single" w:sz="4" w:space="0" w:color="auto"/>
              <w:right w:val="single" w:sz="4" w:space="0" w:color="auto"/>
            </w:tcBorders>
            <w:vAlign w:val="center"/>
          </w:tcPr>
          <w:p w14:paraId="1082A392" w14:textId="77777777" w:rsidR="0059604F" w:rsidRPr="00287CEF" w:rsidRDefault="0059604F" w:rsidP="00097C1E">
            <w:pPr>
              <w:widowControl w:val="0"/>
              <w:jc w:val="left"/>
              <w:rPr>
                <w:rFonts w:ascii="Arial Narrow" w:hAnsi="Arial Narrow"/>
                <w:sz w:val="20"/>
              </w:rPr>
            </w:pPr>
            <w:r w:rsidRPr="00287CEF">
              <w:rPr>
                <w:rFonts w:ascii="Arial Narrow" w:eastAsiaTheme="majorEastAsia" w:hAnsi="Arial Narrow" w:cstheme="majorBidi"/>
                <w:bCs/>
                <w:sz w:val="20"/>
              </w:rPr>
              <w:t>This is appropriate.</w:t>
            </w:r>
          </w:p>
        </w:tc>
      </w:tr>
      <w:tr w:rsidR="0059604F" w:rsidRPr="00927D9E" w14:paraId="488E5B0A" w14:textId="77777777" w:rsidTr="00D47555">
        <w:trPr>
          <w:cantSplit/>
        </w:trPr>
        <w:tc>
          <w:tcPr>
            <w:tcW w:w="1200" w:type="pct"/>
            <w:tcBorders>
              <w:top w:val="single" w:sz="4" w:space="0" w:color="auto"/>
              <w:left w:val="single" w:sz="4" w:space="0" w:color="auto"/>
              <w:bottom w:val="single" w:sz="4" w:space="0" w:color="auto"/>
              <w:right w:val="single" w:sz="4" w:space="0" w:color="auto"/>
            </w:tcBorders>
            <w:vAlign w:val="center"/>
          </w:tcPr>
          <w:p w14:paraId="208861FF" w14:textId="77777777" w:rsidR="0059604F" w:rsidRDefault="0059604F" w:rsidP="00097C1E">
            <w:pPr>
              <w:widowControl w:val="0"/>
              <w:ind w:left="113"/>
              <w:jc w:val="left"/>
              <w:rPr>
                <w:rFonts w:ascii="Arial Narrow" w:eastAsiaTheme="majorEastAsia" w:hAnsi="Arial Narrow" w:cstheme="majorBidi"/>
                <w:bCs/>
                <w:sz w:val="20"/>
              </w:rPr>
            </w:pPr>
            <w:r w:rsidRPr="0039620A">
              <w:rPr>
                <w:rFonts w:ascii="Arial Narrow" w:eastAsiaTheme="majorEastAsia" w:hAnsi="Arial Narrow" w:cstheme="majorBidi"/>
                <w:bCs/>
                <w:sz w:val="20"/>
              </w:rPr>
              <w:t>IV administration for IFX</w:t>
            </w:r>
          </w:p>
        </w:tc>
        <w:tc>
          <w:tcPr>
            <w:tcW w:w="1723" w:type="pct"/>
            <w:tcBorders>
              <w:top w:val="single" w:sz="4" w:space="0" w:color="auto"/>
              <w:left w:val="single" w:sz="4" w:space="0" w:color="auto"/>
              <w:bottom w:val="single" w:sz="4" w:space="0" w:color="auto"/>
              <w:right w:val="single" w:sz="4" w:space="0" w:color="auto"/>
            </w:tcBorders>
            <w:vAlign w:val="center"/>
          </w:tcPr>
          <w:p w14:paraId="2B242E75" w14:textId="77777777" w:rsidR="0059604F" w:rsidRDefault="0059604F" w:rsidP="00097C1E">
            <w:pPr>
              <w:widowControl w:val="0"/>
              <w:jc w:val="left"/>
              <w:rPr>
                <w:rFonts w:ascii="Arial Narrow" w:eastAsiaTheme="majorEastAsia" w:hAnsi="Arial Narrow" w:cstheme="majorBidi"/>
                <w:bCs/>
                <w:sz w:val="20"/>
              </w:rPr>
            </w:pPr>
            <w:r w:rsidRPr="0039620A">
              <w:rPr>
                <w:rFonts w:ascii="Arial Narrow" w:eastAsiaTheme="majorEastAsia" w:hAnsi="Arial Narrow" w:cstheme="majorBidi"/>
                <w:bCs/>
                <w:sz w:val="20"/>
              </w:rPr>
              <w:t>$103.55</w:t>
            </w:r>
          </w:p>
          <w:p w14:paraId="26170889" w14:textId="77777777" w:rsidR="0059604F" w:rsidRPr="00461145" w:rsidRDefault="0059604F" w:rsidP="00097C1E">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 xml:space="preserve">MBS item </w:t>
            </w:r>
            <w:r w:rsidRPr="00461145">
              <w:rPr>
                <w:rFonts w:ascii="Arial Narrow" w:eastAsiaTheme="majorEastAsia" w:hAnsi="Arial Narrow" w:cstheme="majorBidi"/>
                <w:bCs/>
                <w:sz w:val="20"/>
              </w:rPr>
              <w:t>14245</w:t>
            </w:r>
          </w:p>
        </w:tc>
        <w:tc>
          <w:tcPr>
            <w:tcW w:w="2077" w:type="pct"/>
            <w:tcBorders>
              <w:top w:val="single" w:sz="4" w:space="0" w:color="auto"/>
              <w:left w:val="single" w:sz="4" w:space="0" w:color="auto"/>
              <w:bottom w:val="single" w:sz="4" w:space="0" w:color="auto"/>
              <w:right w:val="single" w:sz="4" w:space="0" w:color="auto"/>
            </w:tcBorders>
            <w:vAlign w:val="center"/>
          </w:tcPr>
          <w:p w14:paraId="5CAF34ED" w14:textId="77777777" w:rsidR="0059604F" w:rsidRPr="00287CEF" w:rsidRDefault="0059604F" w:rsidP="00097C1E">
            <w:pPr>
              <w:widowControl w:val="0"/>
              <w:jc w:val="left"/>
              <w:rPr>
                <w:rFonts w:ascii="Arial Narrow" w:hAnsi="Arial Narrow"/>
                <w:sz w:val="20"/>
              </w:rPr>
            </w:pPr>
            <w:r w:rsidRPr="00287CEF">
              <w:rPr>
                <w:rFonts w:ascii="Arial Narrow" w:eastAsiaTheme="majorEastAsia" w:hAnsi="Arial Narrow" w:cstheme="majorBidi"/>
                <w:bCs/>
                <w:sz w:val="20"/>
              </w:rPr>
              <w:t>This is appropriate.</w:t>
            </w:r>
          </w:p>
        </w:tc>
      </w:tr>
      <w:tr w:rsidR="0059604F" w:rsidRPr="00927D9E" w14:paraId="006CCDDB" w14:textId="77777777" w:rsidTr="00D47555">
        <w:trPr>
          <w:cantSplit/>
        </w:trPr>
        <w:tc>
          <w:tcPr>
            <w:tcW w:w="1200" w:type="pct"/>
            <w:tcBorders>
              <w:top w:val="single" w:sz="4" w:space="0" w:color="auto"/>
              <w:left w:val="single" w:sz="4" w:space="0" w:color="auto"/>
              <w:bottom w:val="single" w:sz="4" w:space="0" w:color="auto"/>
              <w:right w:val="single" w:sz="4" w:space="0" w:color="auto"/>
            </w:tcBorders>
            <w:vAlign w:val="center"/>
          </w:tcPr>
          <w:p w14:paraId="18475A8A" w14:textId="77777777" w:rsidR="0059604F" w:rsidRPr="00461145" w:rsidRDefault="0059604F" w:rsidP="00097C1E">
            <w:pPr>
              <w:widowControl w:val="0"/>
              <w:ind w:left="113"/>
              <w:jc w:val="left"/>
              <w:rPr>
                <w:rFonts w:ascii="Arial Narrow" w:eastAsiaTheme="majorEastAsia" w:hAnsi="Arial Narrow" w:cstheme="majorBidi"/>
                <w:bCs/>
                <w:sz w:val="20"/>
              </w:rPr>
            </w:pPr>
            <w:r>
              <w:rPr>
                <w:rFonts w:ascii="Arial Narrow" w:eastAsiaTheme="majorEastAsia" w:hAnsi="Arial Narrow" w:cstheme="majorBidi"/>
                <w:bCs/>
                <w:sz w:val="20"/>
              </w:rPr>
              <w:t xml:space="preserve">MBS costs: </w:t>
            </w:r>
            <w:r w:rsidRPr="00461145">
              <w:rPr>
                <w:rFonts w:ascii="Arial Narrow" w:eastAsiaTheme="majorEastAsia" w:hAnsi="Arial Narrow" w:cstheme="majorBidi"/>
                <w:bCs/>
                <w:sz w:val="20"/>
              </w:rPr>
              <w:t xml:space="preserve">Administration fee for </w:t>
            </w:r>
            <w:r>
              <w:rPr>
                <w:rFonts w:ascii="Arial Narrow" w:eastAsiaTheme="majorEastAsia" w:hAnsi="Arial Narrow" w:cstheme="majorBidi"/>
                <w:bCs/>
                <w:sz w:val="20"/>
              </w:rPr>
              <w:t>ADA</w:t>
            </w:r>
            <w:r w:rsidRPr="00461145">
              <w:rPr>
                <w:rFonts w:ascii="Arial Narrow" w:eastAsiaTheme="majorEastAsia" w:hAnsi="Arial Narrow" w:cstheme="majorBidi"/>
                <w:bCs/>
                <w:sz w:val="20"/>
              </w:rPr>
              <w:t xml:space="preserve"> and </w:t>
            </w:r>
            <w:r>
              <w:rPr>
                <w:rFonts w:ascii="Arial Narrow" w:eastAsiaTheme="majorEastAsia" w:hAnsi="Arial Narrow" w:cstheme="majorBidi"/>
                <w:bCs/>
                <w:sz w:val="20"/>
              </w:rPr>
              <w:t>UST</w:t>
            </w:r>
            <w:r w:rsidRPr="00461145">
              <w:rPr>
                <w:rFonts w:ascii="Arial Narrow" w:eastAsiaTheme="majorEastAsia" w:hAnsi="Arial Narrow" w:cstheme="majorBidi"/>
                <w:bCs/>
                <w:sz w:val="20"/>
              </w:rPr>
              <w:t xml:space="preserve"> SC</w:t>
            </w:r>
          </w:p>
        </w:tc>
        <w:tc>
          <w:tcPr>
            <w:tcW w:w="1723" w:type="pct"/>
            <w:tcBorders>
              <w:top w:val="single" w:sz="4" w:space="0" w:color="auto"/>
              <w:left w:val="single" w:sz="4" w:space="0" w:color="auto"/>
              <w:bottom w:val="single" w:sz="4" w:space="0" w:color="auto"/>
              <w:right w:val="single" w:sz="4" w:space="0" w:color="auto"/>
            </w:tcBorders>
            <w:vAlign w:val="center"/>
          </w:tcPr>
          <w:p w14:paraId="046913B0" w14:textId="77777777" w:rsidR="0059604F" w:rsidRDefault="0059604F" w:rsidP="00097C1E">
            <w:pPr>
              <w:widowControl w:val="0"/>
              <w:jc w:val="left"/>
              <w:rPr>
                <w:rFonts w:ascii="Arial Narrow" w:eastAsiaTheme="majorEastAsia" w:hAnsi="Arial Narrow" w:cstheme="majorBidi"/>
                <w:bCs/>
                <w:sz w:val="20"/>
              </w:rPr>
            </w:pPr>
            <w:r w:rsidRPr="00461145">
              <w:rPr>
                <w:rFonts w:ascii="Arial Narrow" w:eastAsiaTheme="majorEastAsia" w:hAnsi="Arial Narrow" w:cstheme="majorBidi"/>
                <w:bCs/>
                <w:sz w:val="20"/>
              </w:rPr>
              <w:t>$39.75</w:t>
            </w:r>
          </w:p>
          <w:p w14:paraId="4C0577DB" w14:textId="77777777" w:rsidR="00235708" w:rsidRDefault="00235708" w:rsidP="00235708">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MBS item 23</w:t>
            </w:r>
          </w:p>
          <w:p w14:paraId="4E24F937" w14:textId="0DC2CCCB" w:rsidR="0059604F" w:rsidRPr="00461145" w:rsidRDefault="0059604F" w:rsidP="00097C1E">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 xml:space="preserve">Source: </w:t>
            </w:r>
            <w:r w:rsidRPr="00461145">
              <w:rPr>
                <w:rFonts w:ascii="Arial Narrow" w:eastAsiaTheme="majorEastAsia" w:hAnsi="Arial Narrow" w:cstheme="majorBidi"/>
                <w:bCs/>
                <w:sz w:val="20"/>
              </w:rPr>
              <w:t>Assumed based on</w:t>
            </w:r>
            <w:r>
              <w:rPr>
                <w:rFonts w:ascii="Arial Narrow" w:eastAsiaTheme="majorEastAsia" w:hAnsi="Arial Narrow" w:cstheme="majorBidi"/>
                <w:bCs/>
                <w:sz w:val="20"/>
              </w:rPr>
              <w:t xml:space="preserve"> Paragraph 6.48, </w:t>
            </w:r>
            <w:r w:rsidR="00507D16">
              <w:rPr>
                <w:rFonts w:ascii="Arial Narrow" w:eastAsiaTheme="majorEastAsia" w:hAnsi="Arial Narrow" w:cstheme="majorBidi"/>
                <w:bCs/>
                <w:sz w:val="20"/>
              </w:rPr>
              <w:t>PSD</w:t>
            </w:r>
            <w:r>
              <w:rPr>
                <w:rFonts w:ascii="Arial Narrow" w:eastAsiaTheme="majorEastAsia" w:hAnsi="Arial Narrow" w:cstheme="majorBidi"/>
                <w:bCs/>
                <w:sz w:val="20"/>
              </w:rPr>
              <w:t>,</w:t>
            </w:r>
            <w:r w:rsidRPr="00461145">
              <w:rPr>
                <w:rFonts w:ascii="Arial Narrow" w:eastAsiaTheme="majorEastAsia" w:hAnsi="Arial Narrow" w:cstheme="majorBidi"/>
                <w:bCs/>
                <w:sz w:val="20"/>
              </w:rPr>
              <w:t xml:space="preserve"> </w:t>
            </w:r>
            <w:r>
              <w:rPr>
                <w:rFonts w:ascii="Arial Narrow" w:eastAsiaTheme="majorEastAsia" w:hAnsi="Arial Narrow" w:cstheme="majorBidi"/>
                <w:bCs/>
                <w:sz w:val="20"/>
              </w:rPr>
              <w:t>Vedolizumab</w:t>
            </w:r>
            <w:r w:rsidRPr="00461145">
              <w:rPr>
                <w:rFonts w:ascii="Arial Narrow" w:eastAsiaTheme="majorEastAsia" w:hAnsi="Arial Narrow" w:cstheme="majorBidi"/>
                <w:bCs/>
                <w:sz w:val="20"/>
              </w:rPr>
              <w:t xml:space="preserve">, </w:t>
            </w:r>
            <w:r>
              <w:rPr>
                <w:rFonts w:ascii="Arial Narrow" w:eastAsiaTheme="majorEastAsia" w:hAnsi="Arial Narrow" w:cstheme="majorBidi"/>
                <w:bCs/>
                <w:sz w:val="20"/>
              </w:rPr>
              <w:t>November</w:t>
            </w:r>
            <w:r w:rsidRPr="00461145">
              <w:rPr>
                <w:rFonts w:ascii="Arial Narrow" w:eastAsiaTheme="majorEastAsia" w:hAnsi="Arial Narrow" w:cstheme="majorBidi"/>
                <w:bCs/>
                <w:sz w:val="20"/>
              </w:rPr>
              <w:t xml:space="preserve"> 20</w:t>
            </w:r>
            <w:r>
              <w:rPr>
                <w:rFonts w:ascii="Arial Narrow" w:eastAsiaTheme="majorEastAsia" w:hAnsi="Arial Narrow" w:cstheme="majorBidi"/>
                <w:bCs/>
                <w:sz w:val="20"/>
              </w:rPr>
              <w:t>2</w:t>
            </w:r>
            <w:r w:rsidRPr="00461145">
              <w:rPr>
                <w:rFonts w:ascii="Arial Narrow" w:eastAsiaTheme="majorEastAsia" w:hAnsi="Arial Narrow" w:cstheme="majorBidi"/>
                <w:bCs/>
                <w:sz w:val="20"/>
              </w:rPr>
              <w:t>0</w:t>
            </w:r>
            <w:r>
              <w:rPr>
                <w:rFonts w:ascii="Arial Narrow" w:eastAsiaTheme="majorEastAsia" w:hAnsi="Arial Narrow" w:cstheme="majorBidi"/>
                <w:bCs/>
                <w:sz w:val="20"/>
              </w:rPr>
              <w:t xml:space="preserve"> PBAC meeting</w:t>
            </w:r>
            <w:r w:rsidRPr="00461145">
              <w:rPr>
                <w:rFonts w:ascii="Arial Narrow" w:eastAsiaTheme="majorEastAsia" w:hAnsi="Arial Narrow" w:cstheme="majorBidi"/>
                <w:bCs/>
                <w:sz w:val="20"/>
              </w:rPr>
              <w:t xml:space="preserve"> and </w:t>
            </w:r>
            <w:r>
              <w:rPr>
                <w:rFonts w:ascii="Arial Narrow" w:eastAsiaTheme="majorEastAsia" w:hAnsi="Arial Narrow" w:cstheme="majorBidi"/>
                <w:bCs/>
                <w:sz w:val="20"/>
              </w:rPr>
              <w:t>P</w:t>
            </w:r>
            <w:r w:rsidRPr="00461145">
              <w:rPr>
                <w:rFonts w:ascii="Arial Narrow" w:eastAsiaTheme="majorEastAsia" w:hAnsi="Arial Narrow" w:cstheme="majorBidi"/>
                <w:bCs/>
                <w:sz w:val="20"/>
              </w:rPr>
              <w:t>aragraph 10,</w:t>
            </w:r>
            <w:r>
              <w:rPr>
                <w:rFonts w:ascii="Arial Narrow" w:eastAsiaTheme="majorEastAsia" w:hAnsi="Arial Narrow" w:cstheme="majorBidi"/>
                <w:bCs/>
                <w:sz w:val="20"/>
              </w:rPr>
              <w:t xml:space="preserve"> </w:t>
            </w:r>
            <w:r w:rsidR="00507D16">
              <w:rPr>
                <w:rFonts w:ascii="Arial Narrow" w:eastAsiaTheme="majorEastAsia" w:hAnsi="Arial Narrow" w:cstheme="majorBidi"/>
                <w:bCs/>
                <w:sz w:val="20"/>
              </w:rPr>
              <w:t>PSD</w:t>
            </w:r>
            <w:r>
              <w:rPr>
                <w:rFonts w:ascii="Arial Narrow" w:eastAsiaTheme="majorEastAsia" w:hAnsi="Arial Narrow" w:cstheme="majorBidi"/>
                <w:bCs/>
                <w:sz w:val="20"/>
              </w:rPr>
              <w:t>,</w:t>
            </w:r>
            <w:r w:rsidRPr="00461145">
              <w:rPr>
                <w:rFonts w:ascii="Arial Narrow" w:eastAsiaTheme="majorEastAsia" w:hAnsi="Arial Narrow" w:cstheme="majorBidi"/>
                <w:bCs/>
                <w:sz w:val="20"/>
              </w:rPr>
              <w:t xml:space="preserve"> </w:t>
            </w:r>
            <w:r>
              <w:rPr>
                <w:rFonts w:ascii="Arial Narrow" w:eastAsiaTheme="majorEastAsia" w:hAnsi="Arial Narrow" w:cstheme="majorBidi"/>
                <w:bCs/>
                <w:sz w:val="20"/>
              </w:rPr>
              <w:t>G</w:t>
            </w:r>
            <w:r w:rsidRPr="00461145">
              <w:rPr>
                <w:rFonts w:ascii="Arial Narrow" w:eastAsiaTheme="majorEastAsia" w:hAnsi="Arial Narrow" w:cstheme="majorBidi"/>
                <w:bCs/>
                <w:sz w:val="20"/>
              </w:rPr>
              <w:t>olimumab, March 2010</w:t>
            </w:r>
            <w:r>
              <w:rPr>
                <w:rFonts w:ascii="Arial Narrow" w:eastAsiaTheme="majorEastAsia" w:hAnsi="Arial Narrow" w:cstheme="majorBidi"/>
                <w:bCs/>
                <w:sz w:val="20"/>
              </w:rPr>
              <w:t xml:space="preserve"> PBAC meeting.</w:t>
            </w:r>
          </w:p>
        </w:tc>
        <w:tc>
          <w:tcPr>
            <w:tcW w:w="2077" w:type="pct"/>
            <w:tcBorders>
              <w:top w:val="single" w:sz="4" w:space="0" w:color="auto"/>
              <w:left w:val="single" w:sz="4" w:space="0" w:color="auto"/>
              <w:bottom w:val="single" w:sz="4" w:space="0" w:color="auto"/>
              <w:right w:val="single" w:sz="4" w:space="0" w:color="auto"/>
            </w:tcBorders>
            <w:vAlign w:val="center"/>
          </w:tcPr>
          <w:p w14:paraId="7B79883F" w14:textId="05374BEF" w:rsidR="0059604F" w:rsidRPr="00287CEF" w:rsidRDefault="0059604F" w:rsidP="00097C1E">
            <w:pPr>
              <w:widowControl w:val="0"/>
              <w:jc w:val="left"/>
              <w:rPr>
                <w:rFonts w:ascii="Arial Narrow" w:eastAsiaTheme="majorEastAsia" w:hAnsi="Arial Narrow" w:cstheme="majorBidi"/>
                <w:bCs/>
                <w:sz w:val="20"/>
              </w:rPr>
            </w:pPr>
            <w:bookmarkStart w:id="104" w:name="_Hlk121480336"/>
            <w:r w:rsidRPr="00287CEF">
              <w:rPr>
                <w:rFonts w:ascii="Arial Narrow" w:hAnsi="Arial Narrow"/>
                <w:sz w:val="20"/>
              </w:rPr>
              <w:t xml:space="preserve">The inclusion of MBS item 23 </w:t>
            </w:r>
            <w:proofErr w:type="gramStart"/>
            <w:r w:rsidR="003827CD">
              <w:rPr>
                <w:rFonts w:ascii="Arial Narrow" w:hAnsi="Arial Narrow"/>
                <w:sz w:val="20"/>
              </w:rPr>
              <w:t xml:space="preserve">is </w:t>
            </w:r>
            <w:r w:rsidRPr="00287CEF">
              <w:rPr>
                <w:rFonts w:ascii="Arial Narrow" w:hAnsi="Arial Narrow"/>
                <w:sz w:val="20"/>
              </w:rPr>
              <w:t>not be</w:t>
            </w:r>
            <w:proofErr w:type="gramEnd"/>
            <w:r w:rsidRPr="00287CEF">
              <w:rPr>
                <w:rFonts w:ascii="Arial Narrow" w:hAnsi="Arial Narrow"/>
                <w:sz w:val="20"/>
              </w:rPr>
              <w:t xml:space="preserve"> appropriate and would overestimate the net reduction to MBS-funded procedures due to the listing of upadacitinib. In this regard, the ESC noted that “…MBS items for general practice should not be included in the estimated financial implications as these costs/savings to Government will not be realised in clinical practice” (Paragraph 6.63, Cabotegravir/Cabotegravir and Rilpivirine, </w:t>
            </w:r>
            <w:r w:rsidR="00507D16">
              <w:rPr>
                <w:rFonts w:ascii="Arial Narrow" w:hAnsi="Arial Narrow"/>
                <w:sz w:val="20"/>
              </w:rPr>
              <w:t>PSD</w:t>
            </w:r>
            <w:r w:rsidRPr="00287CEF">
              <w:rPr>
                <w:rFonts w:ascii="Arial Narrow" w:hAnsi="Arial Narrow"/>
                <w:sz w:val="20"/>
              </w:rPr>
              <w:t xml:space="preserve">, </w:t>
            </w:r>
            <w:r w:rsidRPr="00287CEF">
              <w:rPr>
                <w:rFonts w:ascii="Arial Narrow" w:hAnsi="Arial Narrow"/>
                <w:sz w:val="20"/>
              </w:rPr>
              <w:lastRenderedPageBreak/>
              <w:t>November 2021 PBAC meeting).</w:t>
            </w:r>
            <w:bookmarkEnd w:id="104"/>
          </w:p>
        </w:tc>
      </w:tr>
    </w:tbl>
    <w:p w14:paraId="6921EC80" w14:textId="77777777" w:rsidR="0059604F" w:rsidRPr="00EA4812" w:rsidRDefault="0059604F" w:rsidP="00097C1E">
      <w:pPr>
        <w:pStyle w:val="TableFigureFooter"/>
        <w:jc w:val="left"/>
        <w:rPr>
          <w:rFonts w:eastAsia="SimSun"/>
        </w:rPr>
      </w:pPr>
      <w:r w:rsidRPr="00EA4812">
        <w:rPr>
          <w:rStyle w:val="TableFigureFooterChar"/>
          <w:rFonts w:eastAsia="SimSun"/>
        </w:rPr>
        <w:lastRenderedPageBreak/>
        <w:t xml:space="preserve">Source: </w:t>
      </w:r>
      <w:r w:rsidRPr="00287CEF">
        <w:rPr>
          <w:rStyle w:val="TableFigureFooterChar"/>
          <w:rFonts w:eastAsia="SimSun"/>
        </w:rPr>
        <w:t xml:space="preserve">Compiled during the evaluation based on Attachment 4- upadacitinib </w:t>
      </w:r>
      <w:r w:rsidRPr="00287CEF">
        <w:rPr>
          <w:rStyle w:val="TableFigureFooterChar"/>
        </w:rPr>
        <w:t>Section 4 workbook</w:t>
      </w:r>
      <w:r w:rsidRPr="00287CEF">
        <w:rPr>
          <w:rStyle w:val="TableFigureFooterChar"/>
          <w:rFonts w:eastAsia="SimSun"/>
        </w:rPr>
        <w:t xml:space="preserve"> of the submission and Tables 4-3-4-6, 4-8, 4-9, 4-11, 4-13-4-14,4-17-4-18, pp176-180, 183, 185 of the submission.</w:t>
      </w:r>
    </w:p>
    <w:p w14:paraId="557ACF34" w14:textId="22ADA7C9" w:rsidR="0059604F" w:rsidRDefault="0059604F" w:rsidP="00097C1E">
      <w:pPr>
        <w:pStyle w:val="TableFigureFooter"/>
        <w:rPr>
          <w:rFonts w:eastAsia="SimSun"/>
        </w:rPr>
      </w:pPr>
      <w:r>
        <w:rPr>
          <w:rFonts w:eastAsia="SimSun"/>
        </w:rPr>
        <w:t>ADA</w:t>
      </w:r>
      <w:r w:rsidR="008B1228">
        <w:rPr>
          <w:rFonts w:eastAsia="SimSun"/>
        </w:rPr>
        <w:t xml:space="preserve">= </w:t>
      </w:r>
      <w:r>
        <w:rPr>
          <w:rFonts w:eastAsia="SimSun"/>
        </w:rPr>
        <w:t xml:space="preserve">adalimumab; </w:t>
      </w:r>
      <w:r w:rsidRPr="00927D9E">
        <w:rPr>
          <w:rFonts w:eastAsia="SimSun"/>
        </w:rPr>
        <w:t>AHI</w:t>
      </w:r>
      <w:r w:rsidR="008B1228">
        <w:rPr>
          <w:rFonts w:eastAsia="SimSun"/>
        </w:rPr>
        <w:t xml:space="preserve">= </w:t>
      </w:r>
      <w:r>
        <w:rPr>
          <w:rFonts w:eastAsia="SimSun"/>
        </w:rPr>
        <w:t>A</w:t>
      </w:r>
      <w:r w:rsidRPr="00927D9E">
        <w:rPr>
          <w:rFonts w:eastAsia="SimSun"/>
        </w:rPr>
        <w:t>dministration</w:t>
      </w:r>
      <w:r>
        <w:rPr>
          <w:rFonts w:eastAsia="SimSun"/>
        </w:rPr>
        <w:t>, h</w:t>
      </w:r>
      <w:r w:rsidRPr="00927D9E">
        <w:rPr>
          <w:rFonts w:eastAsia="SimSun"/>
        </w:rPr>
        <w:t xml:space="preserve">andling and </w:t>
      </w:r>
      <w:r>
        <w:rPr>
          <w:rFonts w:eastAsia="SimSun"/>
        </w:rPr>
        <w:t>i</w:t>
      </w:r>
      <w:r w:rsidRPr="00927D9E">
        <w:rPr>
          <w:rFonts w:eastAsia="SimSun"/>
        </w:rPr>
        <w:t>nfrastructure</w:t>
      </w:r>
      <w:r>
        <w:rPr>
          <w:rFonts w:eastAsia="SimSun"/>
        </w:rPr>
        <w:t xml:space="preserve">; </w:t>
      </w:r>
      <w:r w:rsidRPr="00927D9E">
        <w:rPr>
          <w:rFonts w:eastAsia="SimSun"/>
        </w:rPr>
        <w:t>DPMQ</w:t>
      </w:r>
      <w:r w:rsidR="008B1228">
        <w:rPr>
          <w:rFonts w:eastAsia="SimSun"/>
        </w:rPr>
        <w:t xml:space="preserve">= </w:t>
      </w:r>
      <w:r w:rsidRPr="00927D9E">
        <w:rPr>
          <w:rFonts w:eastAsia="SimSun"/>
        </w:rPr>
        <w:t>dispensed price for maximum quantity</w:t>
      </w:r>
      <w:r>
        <w:rPr>
          <w:rFonts w:eastAsia="SimSun"/>
        </w:rPr>
        <w:t>;</w:t>
      </w:r>
      <w:r w:rsidRPr="007F1D98">
        <w:rPr>
          <w:rFonts w:eastAsia="SimSun"/>
        </w:rPr>
        <w:t xml:space="preserve"> </w:t>
      </w:r>
      <w:r w:rsidRPr="00927D9E">
        <w:rPr>
          <w:rFonts w:eastAsia="SimSun"/>
        </w:rPr>
        <w:t>IV</w:t>
      </w:r>
      <w:r w:rsidR="008B1228">
        <w:rPr>
          <w:rFonts w:eastAsia="SimSun"/>
        </w:rPr>
        <w:t xml:space="preserve">= </w:t>
      </w:r>
      <w:r w:rsidRPr="00927D9E">
        <w:rPr>
          <w:rFonts w:eastAsia="SimSun"/>
        </w:rPr>
        <w:t>intravenous</w:t>
      </w:r>
      <w:r>
        <w:rPr>
          <w:rFonts w:eastAsia="SimSun"/>
        </w:rPr>
        <w:t xml:space="preserve">; IFX: infliximab; </w:t>
      </w:r>
      <w:r w:rsidRPr="00927D9E">
        <w:rPr>
          <w:rFonts w:eastAsia="SimSun"/>
        </w:rPr>
        <w:t>Max Qty</w:t>
      </w:r>
      <w:r w:rsidR="008B1228">
        <w:rPr>
          <w:rFonts w:eastAsia="SimSun"/>
        </w:rPr>
        <w:t xml:space="preserve">= </w:t>
      </w:r>
      <w:r w:rsidRPr="00927D9E">
        <w:rPr>
          <w:rFonts w:eastAsia="SimSun"/>
        </w:rPr>
        <w:t>maximum quantity</w:t>
      </w:r>
      <w:r>
        <w:rPr>
          <w:rFonts w:eastAsia="SimSun"/>
        </w:rPr>
        <w:t>;</w:t>
      </w:r>
      <w:r w:rsidRPr="00927D9E">
        <w:rPr>
          <w:rFonts w:eastAsia="SimSun"/>
        </w:rPr>
        <w:t xml:space="preserve"> MBS</w:t>
      </w:r>
      <w:r w:rsidR="008B1228">
        <w:rPr>
          <w:rFonts w:eastAsia="SimSun"/>
        </w:rPr>
        <w:t xml:space="preserve">= </w:t>
      </w:r>
      <w:r w:rsidRPr="00927D9E">
        <w:rPr>
          <w:rFonts w:eastAsia="SimSun"/>
        </w:rPr>
        <w:t xml:space="preserve">Medicare Benefits </w:t>
      </w:r>
      <w:r>
        <w:rPr>
          <w:rFonts w:eastAsia="SimSun"/>
        </w:rPr>
        <w:t>Schedule;</w:t>
      </w:r>
      <w:r w:rsidRPr="00927D9E">
        <w:rPr>
          <w:rFonts w:eastAsia="SimSun"/>
        </w:rPr>
        <w:t xml:space="preserve"> PBS</w:t>
      </w:r>
      <w:r w:rsidR="008B1228">
        <w:rPr>
          <w:rFonts w:eastAsia="SimSun"/>
        </w:rPr>
        <w:t xml:space="preserve">= </w:t>
      </w:r>
      <w:r w:rsidRPr="00927D9E">
        <w:rPr>
          <w:rFonts w:eastAsia="SimSun"/>
        </w:rPr>
        <w:t>Pharmaceutical Benefits Scheme</w:t>
      </w:r>
      <w:r>
        <w:rPr>
          <w:rFonts w:eastAsia="SimSun"/>
        </w:rPr>
        <w:t>;</w:t>
      </w:r>
      <w:r w:rsidRPr="00927D9E">
        <w:rPr>
          <w:rFonts w:eastAsia="SimSun"/>
        </w:rPr>
        <w:t xml:space="preserve"> PSD</w:t>
      </w:r>
      <w:r w:rsidR="008B1228">
        <w:rPr>
          <w:rFonts w:eastAsia="SimSun"/>
        </w:rPr>
        <w:t xml:space="preserve">= </w:t>
      </w:r>
      <w:r w:rsidRPr="00927D9E">
        <w:rPr>
          <w:rFonts w:eastAsia="SimSun"/>
        </w:rPr>
        <w:t>Public Summary Document; SC</w:t>
      </w:r>
      <w:r w:rsidR="008B1228">
        <w:rPr>
          <w:rFonts w:eastAsia="SimSun"/>
        </w:rPr>
        <w:t xml:space="preserve">= </w:t>
      </w:r>
      <w:r w:rsidRPr="00927D9E">
        <w:rPr>
          <w:rFonts w:eastAsia="SimSun"/>
        </w:rPr>
        <w:t>subcutaneous;</w:t>
      </w:r>
      <w:r>
        <w:rPr>
          <w:rFonts w:eastAsia="SimSun"/>
        </w:rPr>
        <w:t xml:space="preserve"> UPA</w:t>
      </w:r>
      <w:r w:rsidR="008B1228">
        <w:rPr>
          <w:rFonts w:eastAsia="SimSun"/>
        </w:rPr>
        <w:t xml:space="preserve">= </w:t>
      </w:r>
      <w:r>
        <w:rPr>
          <w:rFonts w:eastAsia="SimSun"/>
        </w:rPr>
        <w:t>upadacitinib; UST</w:t>
      </w:r>
      <w:r w:rsidR="008B1228">
        <w:rPr>
          <w:rFonts w:eastAsia="SimSun"/>
        </w:rPr>
        <w:t xml:space="preserve">= </w:t>
      </w:r>
      <w:r>
        <w:rPr>
          <w:rFonts w:eastAsia="SimSun"/>
        </w:rPr>
        <w:t>ustekinumab; VDZ</w:t>
      </w:r>
      <w:r w:rsidR="008B1228">
        <w:rPr>
          <w:rFonts w:eastAsia="SimSun"/>
        </w:rPr>
        <w:t xml:space="preserve">= </w:t>
      </w:r>
      <w:r>
        <w:rPr>
          <w:rFonts w:eastAsia="SimSun"/>
        </w:rPr>
        <w:t>vedolizumab.</w:t>
      </w:r>
    </w:p>
    <w:p w14:paraId="636BE7FD" w14:textId="77777777" w:rsidR="0059604F" w:rsidRDefault="0059604F" w:rsidP="00097C1E">
      <w:pPr>
        <w:pStyle w:val="TableFigureFooter"/>
        <w:rPr>
          <w:rFonts w:eastAsia="SimSun"/>
        </w:rPr>
      </w:pPr>
      <w:proofErr w:type="gramStart"/>
      <w:r w:rsidRPr="006B3F5E">
        <w:rPr>
          <w:rFonts w:eastAsia="SimSun"/>
          <w:vertAlign w:val="superscript"/>
        </w:rPr>
        <w:t>a</w:t>
      </w:r>
      <w:proofErr w:type="gramEnd"/>
      <w:r>
        <w:rPr>
          <w:rFonts w:eastAsia="SimSun"/>
          <w:vertAlign w:val="superscript"/>
        </w:rPr>
        <w:t xml:space="preserve"> </w:t>
      </w:r>
      <w:r w:rsidRPr="006B3F5E">
        <w:rPr>
          <w:rFonts w:eastAsia="SimSun"/>
        </w:rPr>
        <w:t>IV formulations were reflected in the current market share analysis (SC formulation usage captured within).</w:t>
      </w:r>
    </w:p>
    <w:p w14:paraId="3DAFB68B" w14:textId="77777777" w:rsidR="0059604F" w:rsidRDefault="0059604F" w:rsidP="00097C1E">
      <w:pPr>
        <w:pStyle w:val="TableFigureFooter"/>
        <w:rPr>
          <w:rFonts w:eastAsia="SimSun"/>
        </w:rPr>
      </w:pPr>
      <w:r w:rsidRPr="001402D9">
        <w:rPr>
          <w:rFonts w:eastAsia="SimSun"/>
          <w:vertAlign w:val="superscript"/>
        </w:rPr>
        <w:t>b</w:t>
      </w:r>
      <w:r>
        <w:rPr>
          <w:rFonts w:eastAsia="SimSun"/>
          <w:vertAlign w:val="superscript"/>
        </w:rPr>
        <w:t xml:space="preserve"> </w:t>
      </w:r>
      <w:r>
        <w:rPr>
          <w:rFonts w:eastAsia="SimSun"/>
        </w:rPr>
        <w:t xml:space="preserve">Script equivalence for vedolizumab subcutaneous, initiation/continuation/balance of supply (PBS items </w:t>
      </w:r>
      <w:r w:rsidRPr="00243968">
        <w:rPr>
          <w:rFonts w:eastAsia="SimSun"/>
        </w:rPr>
        <w:t>12620F</w:t>
      </w:r>
      <w:r>
        <w:rPr>
          <w:rFonts w:eastAsia="SimSun"/>
        </w:rPr>
        <w:t>/</w:t>
      </w:r>
      <w:r w:rsidRPr="00243968">
        <w:rPr>
          <w:rFonts w:eastAsia="SimSun"/>
        </w:rPr>
        <w:t>12638E</w:t>
      </w:r>
      <w:r>
        <w:rPr>
          <w:rFonts w:eastAsia="SimSun"/>
        </w:rPr>
        <w:t>/</w:t>
      </w:r>
      <w:r w:rsidRPr="00243968">
        <w:rPr>
          <w:rFonts w:eastAsia="SimSun"/>
        </w:rPr>
        <w:t>12654B</w:t>
      </w:r>
      <w:r>
        <w:rPr>
          <w:rFonts w:eastAsia="SimSun"/>
        </w:rPr>
        <w:t>) was done by dividing its usage by 2.</w:t>
      </w:r>
    </w:p>
    <w:p w14:paraId="18FABFFA" w14:textId="77777777" w:rsidR="0059604F" w:rsidRDefault="0059604F" w:rsidP="00097C1E">
      <w:pPr>
        <w:pStyle w:val="TableFigureFooter"/>
        <w:rPr>
          <w:rFonts w:eastAsia="SimSun"/>
        </w:rPr>
      </w:pPr>
      <w:r>
        <w:rPr>
          <w:rFonts w:eastAsia="SimSun"/>
          <w:vertAlign w:val="superscript"/>
        </w:rPr>
        <w:t>c</w:t>
      </w:r>
      <w:r w:rsidRPr="006F16BC">
        <w:rPr>
          <w:rFonts w:eastAsia="SimSun"/>
        </w:rPr>
        <w:t xml:space="preserve"> Weighted </w:t>
      </w:r>
      <w:r>
        <w:rPr>
          <w:rFonts w:eastAsia="SimSun"/>
        </w:rPr>
        <w:t xml:space="preserve">based on s100 </w:t>
      </w:r>
      <w:r w:rsidRPr="006F16BC">
        <w:rPr>
          <w:rFonts w:eastAsia="SimSun"/>
        </w:rPr>
        <w:t xml:space="preserve">public and </w:t>
      </w:r>
      <w:r>
        <w:rPr>
          <w:rFonts w:eastAsia="SimSun"/>
        </w:rPr>
        <w:t xml:space="preserve">S100 </w:t>
      </w:r>
      <w:r w:rsidRPr="006F16BC">
        <w:rPr>
          <w:rFonts w:eastAsia="SimSun"/>
        </w:rPr>
        <w:t>private</w:t>
      </w:r>
      <w:r>
        <w:rPr>
          <w:rFonts w:eastAsia="SimSun"/>
        </w:rPr>
        <w:t xml:space="preserve"> services split, where applicable.</w:t>
      </w:r>
    </w:p>
    <w:p w14:paraId="66A38640" w14:textId="77777777" w:rsidR="0059604F" w:rsidRDefault="0059604F" w:rsidP="00097C1E">
      <w:pPr>
        <w:pStyle w:val="TableFigureFooter"/>
      </w:pPr>
      <w:r w:rsidRPr="0090599D">
        <w:rPr>
          <w:rFonts w:eastAsia="SimSun"/>
          <w:vertAlign w:val="superscript"/>
        </w:rPr>
        <w:t>d</w:t>
      </w:r>
      <w:r>
        <w:rPr>
          <w:rFonts w:eastAsia="SimSun"/>
        </w:rPr>
        <w:t xml:space="preserve"> </w:t>
      </w:r>
      <w:r w:rsidRPr="00664FCF">
        <w:t>D</w:t>
      </w:r>
      <w:r>
        <w:t>PMQ (public) d</w:t>
      </w:r>
      <w:r w:rsidRPr="00664FCF">
        <w:t xml:space="preserve">etermined </w:t>
      </w:r>
      <w:r>
        <w:t xml:space="preserve">using the following formula in the Section 4 Workbook: AEMP of $3,809.08* 3.27 vials = $12,445.36; </w:t>
      </w:r>
      <w:r w:rsidRPr="00664FCF">
        <w:t>D</w:t>
      </w:r>
      <w:r>
        <w:t>PMQ (private) d</w:t>
      </w:r>
      <w:r w:rsidRPr="00664FCF">
        <w:t xml:space="preserve">etermined </w:t>
      </w:r>
      <w:r>
        <w:t xml:space="preserve">using the following formula in the Section 4 Workbook: AEMP of $3,809.08* 3.27 vials + AHI mark-up of $40 + </w:t>
      </w:r>
      <w:r w:rsidRPr="0090599D">
        <w:t>dispensing fee of $7.78. Note: Current (from 1 July 2022) dispensing fee= $7.82.</w:t>
      </w:r>
    </w:p>
    <w:p w14:paraId="2A623A71" w14:textId="77777777" w:rsidR="0059604F" w:rsidRDefault="0059604F" w:rsidP="00097C1E">
      <w:pPr>
        <w:pStyle w:val="TableFigureFooter"/>
      </w:pPr>
      <w:r>
        <w:rPr>
          <w:vertAlign w:val="superscript"/>
        </w:rPr>
        <w:t>e</w:t>
      </w:r>
      <w:r w:rsidRPr="00B15AAB">
        <w:t xml:space="preserve"> </w:t>
      </w:r>
      <w:r>
        <w:t xml:space="preserve">Current DPMQ of </w:t>
      </w:r>
      <w:r w:rsidRPr="00B15AAB">
        <w:t>UST 45mg/0.5 mL injection, 0.5 mL vial</w:t>
      </w:r>
      <w:r>
        <w:t xml:space="preserve">= </w:t>
      </w:r>
      <w:r w:rsidRPr="00B15AAB">
        <w:t>$7,779.44</w:t>
      </w:r>
    </w:p>
    <w:p w14:paraId="1568B7D4" w14:textId="77777777" w:rsidR="0059604F" w:rsidRDefault="0059604F" w:rsidP="00097C1E">
      <w:pPr>
        <w:pStyle w:val="TableFigureFooter"/>
        <w:rPr>
          <w:vertAlign w:val="superscript"/>
        </w:rPr>
      </w:pPr>
      <w:r>
        <w:rPr>
          <w:vertAlign w:val="superscript"/>
        </w:rPr>
        <w:t>f</w:t>
      </w:r>
      <w:r>
        <w:t xml:space="preserve"> Current DPMQ of </w:t>
      </w:r>
      <w:r w:rsidRPr="00B15AAB">
        <w:t>ADA 40mg x 2 injections</w:t>
      </w:r>
      <w:r>
        <w:t>=</w:t>
      </w:r>
      <w:r w:rsidRPr="00B15AAB">
        <w:t xml:space="preserve"> $885.56</w:t>
      </w:r>
    </w:p>
    <w:p w14:paraId="6D60EB06" w14:textId="77777777" w:rsidR="0059604F" w:rsidRDefault="0059604F" w:rsidP="00097C1E">
      <w:pPr>
        <w:pStyle w:val="TableFigureFooter"/>
      </w:pPr>
      <w:r>
        <w:rPr>
          <w:vertAlign w:val="superscript"/>
        </w:rPr>
        <w:t xml:space="preserve">g </w:t>
      </w:r>
      <w:r w:rsidRPr="00A53E83">
        <w:t xml:space="preserve">Used </w:t>
      </w:r>
      <w:r>
        <w:t>AEMP of $320.71 to calculate DPMQs. Current AEMP= $253.52; Used in the submission: $320.71.</w:t>
      </w:r>
    </w:p>
    <w:p w14:paraId="3A25290F" w14:textId="77777777" w:rsidR="0059604F" w:rsidRDefault="0059604F" w:rsidP="00097C1E">
      <w:pPr>
        <w:pStyle w:val="TableFigureFooter"/>
        <w:rPr>
          <w:rFonts w:eastAsiaTheme="majorEastAsia" w:cstheme="majorBidi"/>
          <w:bCs/>
          <w:sz w:val="20"/>
        </w:rPr>
      </w:pPr>
      <w:r>
        <w:rPr>
          <w:vertAlign w:val="superscript"/>
        </w:rPr>
        <w:t xml:space="preserve">h </w:t>
      </w:r>
      <w:r w:rsidRPr="00C57FA0">
        <w:t>DPMQ</w:t>
      </w:r>
      <w:r>
        <w:t xml:space="preserve"> for </w:t>
      </w:r>
      <w:r w:rsidRPr="00D76CD4">
        <w:rPr>
          <w:rFonts w:eastAsiaTheme="majorEastAsia"/>
        </w:rPr>
        <w:t>10415E (</w:t>
      </w:r>
      <w:proofErr w:type="gramStart"/>
      <w:r w:rsidRPr="00D76CD4">
        <w:rPr>
          <w:rFonts w:eastAsiaTheme="majorEastAsia"/>
        </w:rPr>
        <w:t>i.e.</w:t>
      </w:r>
      <w:proofErr w:type="gramEnd"/>
      <w:r w:rsidRPr="00D76CD4">
        <w:rPr>
          <w:rFonts w:eastAsiaTheme="majorEastAsia"/>
        </w:rPr>
        <w:t xml:space="preserve"> s100 private) = $2997.75; Used in the submission: $2,997.71; the difference was due to the inclusion of dispensing fee of $7.78 instead of the current dispensing fee of $7.82.</w:t>
      </w:r>
    </w:p>
    <w:p w14:paraId="5B79E605" w14:textId="08494A7C" w:rsidR="0059604F" w:rsidRDefault="0059604F" w:rsidP="00097C1E">
      <w:pPr>
        <w:pStyle w:val="TableFigureFooter"/>
        <w:rPr>
          <w:rFonts w:eastAsia="SimSun"/>
        </w:rPr>
      </w:pPr>
      <w:r w:rsidRPr="00287CEF">
        <w:rPr>
          <w:rFonts w:eastAsia="SimSun"/>
        </w:rPr>
        <w:t>Note: The submission noted that the 2021 ustekinumab IV data were used for the Section 100 public vs private split (i.e., 57.96% vs. 42.04%). However, it used 2017-2021 ustekinumab IV data in the calculations.</w:t>
      </w:r>
    </w:p>
    <w:p w14:paraId="6E7A23C2" w14:textId="5AED32DE" w:rsidR="0059604F" w:rsidRPr="00CF2B6B" w:rsidRDefault="0059604F" w:rsidP="0093794D">
      <w:pPr>
        <w:pStyle w:val="3-BodyText"/>
        <w:rPr>
          <w:color w:val="0066FF"/>
        </w:rPr>
      </w:pPr>
      <w:r>
        <w:t xml:space="preserve">The estimated use and financial implications of upadacitinib for severe CD are presented in </w:t>
      </w:r>
      <w:r>
        <w:fldChar w:fldCharType="begin" w:fldLock="1"/>
      </w:r>
      <w:r>
        <w:instrText xml:space="preserve"> REF _Ref121578492 \h </w:instrText>
      </w:r>
      <w:r>
        <w:fldChar w:fldCharType="separate"/>
      </w:r>
      <w:r w:rsidR="00826E45">
        <w:t xml:space="preserve">Table </w:t>
      </w:r>
      <w:r w:rsidR="00826E45">
        <w:rPr>
          <w:noProof/>
        </w:rPr>
        <w:t>13</w:t>
      </w:r>
      <w:r>
        <w:fldChar w:fldCharType="end"/>
      </w:r>
      <w:r>
        <w:t>.</w:t>
      </w:r>
    </w:p>
    <w:p w14:paraId="5EBAB06D" w14:textId="0BE9B52E" w:rsidR="0059604F" w:rsidRDefault="0059604F" w:rsidP="003F7519">
      <w:pPr>
        <w:pStyle w:val="TableFigureHeading"/>
        <w:keepLines/>
      </w:pPr>
      <w:bookmarkStart w:id="105" w:name="_Ref121578492"/>
      <w:r>
        <w:t xml:space="preserve">Table </w:t>
      </w:r>
      <w:fldSimple w:instr=" SEQ Table \* ARABIC " w:fldLock="1">
        <w:r w:rsidR="0033335A">
          <w:rPr>
            <w:noProof/>
          </w:rPr>
          <w:t>13</w:t>
        </w:r>
      </w:fldSimple>
      <w:bookmarkEnd w:id="105"/>
      <w:r>
        <w:t xml:space="preserve">: </w:t>
      </w:r>
      <w:r w:rsidRPr="00C1009F">
        <w:t>Estimated use and financial implications (using published prices)</w:t>
      </w:r>
    </w:p>
    <w:tbl>
      <w:tblPr>
        <w:tblStyle w:val="HTAtableplain6"/>
        <w:tblW w:w="5000" w:type="pct"/>
        <w:tblCellMar>
          <w:left w:w="85" w:type="dxa"/>
          <w:right w:w="85" w:type="dxa"/>
        </w:tblCellMar>
        <w:tblLook w:val="04A0" w:firstRow="1" w:lastRow="0" w:firstColumn="1" w:lastColumn="0" w:noHBand="0" w:noVBand="1"/>
      </w:tblPr>
      <w:tblGrid>
        <w:gridCol w:w="2163"/>
        <w:gridCol w:w="1137"/>
        <w:gridCol w:w="1143"/>
        <w:gridCol w:w="1143"/>
        <w:gridCol w:w="1143"/>
        <w:gridCol w:w="1143"/>
        <w:gridCol w:w="1145"/>
      </w:tblGrid>
      <w:tr w:rsidR="0033335A" w:rsidRPr="00924C52" w14:paraId="4F0142D5" w14:textId="77777777" w:rsidTr="000B2612">
        <w:trPr>
          <w:trHeight w:val="57"/>
        </w:trPr>
        <w:tc>
          <w:tcPr>
            <w:tcW w:w="1199" w:type="pct"/>
            <w:shd w:val="clear" w:color="auto" w:fill="auto"/>
          </w:tcPr>
          <w:p w14:paraId="3B0F359E" w14:textId="77777777" w:rsidR="0059604F" w:rsidRPr="00924C52" w:rsidRDefault="0059604F" w:rsidP="00924C52">
            <w:pPr>
              <w:pStyle w:val="TableText0"/>
              <w:keepLines/>
              <w:jc w:val="center"/>
              <w:rPr>
                <w:b/>
                <w:bCs w:val="0"/>
                <w:szCs w:val="20"/>
                <w:lang w:bidi="en-US"/>
              </w:rPr>
            </w:pPr>
          </w:p>
        </w:tc>
        <w:tc>
          <w:tcPr>
            <w:tcW w:w="630" w:type="pct"/>
            <w:shd w:val="clear" w:color="auto" w:fill="auto"/>
          </w:tcPr>
          <w:p w14:paraId="5188B714" w14:textId="77777777" w:rsidR="0059604F" w:rsidRPr="00924C52" w:rsidRDefault="0059604F" w:rsidP="00924C52">
            <w:pPr>
              <w:pStyle w:val="TableText0"/>
              <w:keepLines/>
              <w:jc w:val="center"/>
              <w:rPr>
                <w:b/>
                <w:bCs w:val="0"/>
                <w:szCs w:val="20"/>
                <w:lang w:bidi="en-US"/>
              </w:rPr>
            </w:pPr>
            <w:r w:rsidRPr="00924C52">
              <w:rPr>
                <w:b/>
                <w:bCs w:val="0"/>
                <w:szCs w:val="20"/>
                <w:lang w:bidi="en-US"/>
              </w:rPr>
              <w:t>Year 1</w:t>
            </w:r>
          </w:p>
        </w:tc>
        <w:tc>
          <w:tcPr>
            <w:tcW w:w="634" w:type="pct"/>
            <w:shd w:val="clear" w:color="auto" w:fill="auto"/>
          </w:tcPr>
          <w:p w14:paraId="04E45B74" w14:textId="77777777" w:rsidR="0059604F" w:rsidRPr="00924C52" w:rsidRDefault="0059604F" w:rsidP="00924C52">
            <w:pPr>
              <w:pStyle w:val="TableText0"/>
              <w:keepLines/>
              <w:jc w:val="center"/>
              <w:rPr>
                <w:b/>
                <w:bCs w:val="0"/>
                <w:szCs w:val="20"/>
                <w:lang w:bidi="en-US"/>
              </w:rPr>
            </w:pPr>
            <w:r w:rsidRPr="00924C52">
              <w:rPr>
                <w:b/>
                <w:bCs w:val="0"/>
                <w:szCs w:val="20"/>
                <w:lang w:bidi="en-US"/>
              </w:rPr>
              <w:t>Year 2</w:t>
            </w:r>
          </w:p>
        </w:tc>
        <w:tc>
          <w:tcPr>
            <w:tcW w:w="634" w:type="pct"/>
            <w:shd w:val="clear" w:color="auto" w:fill="auto"/>
          </w:tcPr>
          <w:p w14:paraId="479514CE" w14:textId="77777777" w:rsidR="0059604F" w:rsidRPr="00924C52" w:rsidRDefault="0059604F" w:rsidP="00924C52">
            <w:pPr>
              <w:pStyle w:val="TableText0"/>
              <w:keepLines/>
              <w:jc w:val="center"/>
              <w:rPr>
                <w:b/>
                <w:bCs w:val="0"/>
                <w:szCs w:val="20"/>
                <w:lang w:bidi="en-US"/>
              </w:rPr>
            </w:pPr>
            <w:r w:rsidRPr="00924C52">
              <w:rPr>
                <w:b/>
                <w:bCs w:val="0"/>
                <w:szCs w:val="20"/>
                <w:lang w:bidi="en-US"/>
              </w:rPr>
              <w:t>Year 3</w:t>
            </w:r>
          </w:p>
        </w:tc>
        <w:tc>
          <w:tcPr>
            <w:tcW w:w="634" w:type="pct"/>
            <w:shd w:val="clear" w:color="auto" w:fill="auto"/>
          </w:tcPr>
          <w:p w14:paraId="3D4C0E5C" w14:textId="77777777" w:rsidR="0059604F" w:rsidRPr="00924C52" w:rsidRDefault="0059604F" w:rsidP="00924C52">
            <w:pPr>
              <w:pStyle w:val="TableText0"/>
              <w:keepLines/>
              <w:jc w:val="center"/>
              <w:rPr>
                <w:b/>
                <w:bCs w:val="0"/>
                <w:szCs w:val="20"/>
                <w:lang w:bidi="en-US"/>
              </w:rPr>
            </w:pPr>
            <w:r w:rsidRPr="00924C52">
              <w:rPr>
                <w:b/>
                <w:bCs w:val="0"/>
                <w:szCs w:val="20"/>
                <w:lang w:bidi="en-US"/>
              </w:rPr>
              <w:t>Year 4</w:t>
            </w:r>
          </w:p>
        </w:tc>
        <w:tc>
          <w:tcPr>
            <w:tcW w:w="634" w:type="pct"/>
            <w:shd w:val="clear" w:color="auto" w:fill="auto"/>
          </w:tcPr>
          <w:p w14:paraId="29CFAC00" w14:textId="77777777" w:rsidR="0059604F" w:rsidRPr="00924C52" w:rsidRDefault="0059604F" w:rsidP="00924C52">
            <w:pPr>
              <w:pStyle w:val="TableText0"/>
              <w:keepLines/>
              <w:jc w:val="center"/>
              <w:rPr>
                <w:b/>
                <w:bCs w:val="0"/>
                <w:szCs w:val="20"/>
                <w:lang w:bidi="en-US"/>
              </w:rPr>
            </w:pPr>
            <w:r w:rsidRPr="00924C52">
              <w:rPr>
                <w:b/>
                <w:bCs w:val="0"/>
                <w:szCs w:val="20"/>
                <w:lang w:bidi="en-US"/>
              </w:rPr>
              <w:t>Year 5</w:t>
            </w:r>
          </w:p>
        </w:tc>
        <w:tc>
          <w:tcPr>
            <w:tcW w:w="633" w:type="pct"/>
            <w:shd w:val="clear" w:color="auto" w:fill="auto"/>
          </w:tcPr>
          <w:p w14:paraId="1F0647E8" w14:textId="77777777" w:rsidR="0059604F" w:rsidRPr="00924C52" w:rsidRDefault="0059604F" w:rsidP="00924C52">
            <w:pPr>
              <w:pStyle w:val="TableText0"/>
              <w:keepLines/>
              <w:jc w:val="center"/>
              <w:rPr>
                <w:b/>
                <w:bCs w:val="0"/>
                <w:szCs w:val="20"/>
                <w:lang w:bidi="en-US"/>
              </w:rPr>
            </w:pPr>
            <w:r w:rsidRPr="00924C52">
              <w:rPr>
                <w:b/>
                <w:bCs w:val="0"/>
                <w:szCs w:val="20"/>
                <w:lang w:bidi="en-US"/>
              </w:rPr>
              <w:t>Year 6</w:t>
            </w:r>
          </w:p>
        </w:tc>
      </w:tr>
      <w:tr w:rsidR="00C745DB" w:rsidRPr="00924C52" w14:paraId="531F9B15" w14:textId="77777777" w:rsidTr="000B2612">
        <w:trPr>
          <w:trHeight w:val="57"/>
        </w:trPr>
        <w:tc>
          <w:tcPr>
            <w:tcW w:w="5000" w:type="pct"/>
            <w:gridSpan w:val="7"/>
            <w:shd w:val="clear" w:color="auto" w:fill="auto"/>
            <w:vAlign w:val="center"/>
          </w:tcPr>
          <w:p w14:paraId="7E6DBE04" w14:textId="77777777" w:rsidR="0059604F" w:rsidRPr="00924C52" w:rsidRDefault="0059604F" w:rsidP="00924C52">
            <w:pPr>
              <w:pStyle w:val="TableText0"/>
              <w:keepLines/>
              <w:rPr>
                <w:b/>
                <w:szCs w:val="20"/>
                <w:lang w:bidi="en-US"/>
              </w:rPr>
            </w:pPr>
            <w:r w:rsidRPr="00924C52">
              <w:rPr>
                <w:b/>
                <w:color w:val="000000"/>
                <w:szCs w:val="20"/>
              </w:rPr>
              <w:t>Estimated extent of use</w:t>
            </w:r>
          </w:p>
        </w:tc>
      </w:tr>
      <w:tr w:rsidR="0033335A" w:rsidRPr="00924C52" w14:paraId="15D50B13" w14:textId="77777777" w:rsidTr="000B2612">
        <w:trPr>
          <w:trHeight w:val="57"/>
        </w:trPr>
        <w:tc>
          <w:tcPr>
            <w:tcW w:w="1199" w:type="pct"/>
            <w:shd w:val="clear" w:color="auto" w:fill="auto"/>
            <w:vAlign w:val="center"/>
          </w:tcPr>
          <w:p w14:paraId="7E8D69BD" w14:textId="77777777" w:rsidR="0059604F" w:rsidRPr="00924C52" w:rsidRDefault="0059604F" w:rsidP="00924C52">
            <w:pPr>
              <w:pStyle w:val="TableText0"/>
              <w:keepLines/>
              <w:rPr>
                <w:szCs w:val="20"/>
                <w:lang w:bidi="en-US"/>
              </w:rPr>
            </w:pPr>
            <w:r w:rsidRPr="00924C52">
              <w:rPr>
                <w:szCs w:val="20"/>
                <w:lang w:bidi="en-US"/>
              </w:rPr>
              <w:t>Number of scripts</w:t>
            </w:r>
            <w:r w:rsidRPr="00924C52">
              <w:rPr>
                <w:szCs w:val="20"/>
                <w:vertAlign w:val="superscript"/>
                <w:lang w:bidi="en-US"/>
              </w:rPr>
              <w:t xml:space="preserve">a </w:t>
            </w:r>
            <w:r w:rsidRPr="00924C52">
              <w:rPr>
                <w:szCs w:val="20"/>
                <w:lang w:bidi="en-US"/>
              </w:rPr>
              <w:t>dispensed</w:t>
            </w:r>
          </w:p>
        </w:tc>
        <w:tc>
          <w:tcPr>
            <w:tcW w:w="630" w:type="pct"/>
            <w:shd w:val="clear" w:color="auto" w:fill="auto"/>
            <w:vAlign w:val="center"/>
          </w:tcPr>
          <w:p w14:paraId="121E7432" w14:textId="6D1A7132" w:rsidR="0059604F" w:rsidRPr="00924C52" w:rsidRDefault="00261C3B" w:rsidP="00924C52">
            <w:pPr>
              <w:pStyle w:val="TableText0"/>
              <w:keepLines/>
              <w:jc w:val="center"/>
              <w:rPr>
                <w:szCs w:val="20"/>
                <w:vertAlign w:val="superscript"/>
                <w:lang w:bidi="en-US"/>
              </w:rPr>
            </w:pPr>
            <w:r w:rsidRPr="00261C3B">
              <w:rPr>
                <w:rFonts w:hint="eastAsia"/>
                <w:color w:val="000000"/>
                <w:w w:val="27"/>
                <w:szCs w:val="20"/>
                <w:shd w:val="solid" w:color="000000" w:fill="000000"/>
                <w:fitText w:val="120" w:id="-1171441408"/>
                <w14:textFill>
                  <w14:solidFill>
                    <w14:srgbClr w14:val="000000">
                      <w14:alpha w14:val="100000"/>
                    </w14:srgbClr>
                  </w14:solidFill>
                </w14:textFill>
              </w:rPr>
              <w:t xml:space="preserve">　</w:t>
            </w:r>
            <w:proofErr w:type="gramStart"/>
            <w:r w:rsidRPr="00261C3B">
              <w:rPr>
                <w:color w:val="000000"/>
                <w:w w:val="27"/>
                <w:szCs w:val="20"/>
                <w:shd w:val="solid" w:color="000000" w:fill="000000"/>
                <w:fitText w:val="120" w:id="-1171441408"/>
                <w14:textFill>
                  <w14:solidFill>
                    <w14:srgbClr w14:val="000000">
                      <w14:alpha w14:val="100000"/>
                    </w14:srgbClr>
                  </w14:solidFill>
                </w14:textFill>
              </w:rPr>
              <w:t>|</w:t>
            </w:r>
            <w:r w:rsidRPr="00261C3B">
              <w:rPr>
                <w:rFonts w:hint="eastAsia"/>
                <w:color w:val="000000"/>
                <w:spacing w:val="2"/>
                <w:w w:val="27"/>
                <w:szCs w:val="20"/>
                <w:shd w:val="solid" w:color="000000" w:fill="000000"/>
                <w:fitText w:val="120" w:id="-1171441408"/>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w:t>
            </w:r>
            <w:proofErr w:type="gramEnd"/>
          </w:p>
        </w:tc>
        <w:tc>
          <w:tcPr>
            <w:tcW w:w="634" w:type="pct"/>
            <w:shd w:val="clear" w:color="auto" w:fill="auto"/>
            <w:vAlign w:val="center"/>
          </w:tcPr>
          <w:p w14:paraId="355C5172" w14:textId="36793E3B" w:rsidR="0059604F" w:rsidRPr="00924C52" w:rsidRDefault="00261C3B" w:rsidP="00924C52">
            <w:pPr>
              <w:pStyle w:val="TableText0"/>
              <w:keepLines/>
              <w:jc w:val="center"/>
              <w:rPr>
                <w:szCs w:val="20"/>
                <w:lang w:bidi="en-US"/>
              </w:rPr>
            </w:pPr>
            <w:r w:rsidRPr="00261C3B">
              <w:rPr>
                <w:rFonts w:hint="eastAsia"/>
                <w:color w:val="000000"/>
                <w:w w:val="26"/>
                <w:szCs w:val="20"/>
                <w:shd w:val="solid" w:color="000000" w:fill="000000"/>
                <w:fitText w:val="119" w:id="-1171441407"/>
                <w14:textFill>
                  <w14:solidFill>
                    <w14:srgbClr w14:val="000000">
                      <w14:alpha w14:val="100000"/>
                    </w14:srgbClr>
                  </w14:solidFill>
                </w14:textFill>
              </w:rPr>
              <w:t xml:space="preserve">　</w:t>
            </w:r>
            <w:proofErr w:type="gramStart"/>
            <w:r w:rsidRPr="00261C3B">
              <w:rPr>
                <w:color w:val="000000"/>
                <w:w w:val="26"/>
                <w:szCs w:val="20"/>
                <w:shd w:val="solid" w:color="000000" w:fill="000000"/>
                <w:fitText w:val="119" w:id="-1171441407"/>
                <w14:textFill>
                  <w14:solidFill>
                    <w14:srgbClr w14:val="000000">
                      <w14:alpha w14:val="100000"/>
                    </w14:srgbClr>
                  </w14:solidFill>
                </w14:textFill>
              </w:rPr>
              <w:t>|</w:t>
            </w:r>
            <w:r w:rsidRPr="00261C3B">
              <w:rPr>
                <w:rFonts w:hint="eastAsia"/>
                <w:color w:val="000000"/>
                <w:spacing w:val="4"/>
                <w:w w:val="26"/>
                <w:szCs w:val="20"/>
                <w:shd w:val="solid" w:color="000000" w:fill="000000"/>
                <w:fitText w:val="119" w:id="-1171441407"/>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2</w:t>
            </w:r>
            <w:proofErr w:type="gramEnd"/>
          </w:p>
        </w:tc>
        <w:tc>
          <w:tcPr>
            <w:tcW w:w="634" w:type="pct"/>
            <w:shd w:val="clear" w:color="auto" w:fill="auto"/>
            <w:vAlign w:val="center"/>
          </w:tcPr>
          <w:p w14:paraId="31AD4D7E" w14:textId="397AAA40" w:rsidR="0059604F" w:rsidRPr="00924C52" w:rsidRDefault="00261C3B" w:rsidP="00924C52">
            <w:pPr>
              <w:pStyle w:val="TableText0"/>
              <w:keepLines/>
              <w:jc w:val="center"/>
              <w:rPr>
                <w:szCs w:val="20"/>
                <w:lang w:bidi="en-US"/>
              </w:rPr>
            </w:pPr>
            <w:r w:rsidRPr="00261C3B">
              <w:rPr>
                <w:rFonts w:hint="eastAsia"/>
                <w:color w:val="000000"/>
                <w:w w:val="26"/>
                <w:szCs w:val="20"/>
                <w:shd w:val="solid" w:color="000000" w:fill="000000"/>
                <w:fitText w:val="119" w:id="-1171441406"/>
                <w14:textFill>
                  <w14:solidFill>
                    <w14:srgbClr w14:val="000000">
                      <w14:alpha w14:val="100000"/>
                    </w14:srgbClr>
                  </w14:solidFill>
                </w14:textFill>
              </w:rPr>
              <w:t xml:space="preserve">　</w:t>
            </w:r>
            <w:proofErr w:type="gramStart"/>
            <w:r w:rsidRPr="00261C3B">
              <w:rPr>
                <w:color w:val="000000"/>
                <w:w w:val="26"/>
                <w:szCs w:val="20"/>
                <w:shd w:val="solid" w:color="000000" w:fill="000000"/>
                <w:fitText w:val="119" w:id="-1171441406"/>
                <w14:textFill>
                  <w14:solidFill>
                    <w14:srgbClr w14:val="000000">
                      <w14:alpha w14:val="100000"/>
                    </w14:srgbClr>
                  </w14:solidFill>
                </w14:textFill>
              </w:rPr>
              <w:t>|</w:t>
            </w:r>
            <w:r w:rsidRPr="00261C3B">
              <w:rPr>
                <w:rFonts w:hint="eastAsia"/>
                <w:color w:val="000000"/>
                <w:spacing w:val="4"/>
                <w:w w:val="26"/>
                <w:szCs w:val="20"/>
                <w:shd w:val="solid" w:color="000000" w:fill="000000"/>
                <w:fitText w:val="119" w:id="-1171441406"/>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2</w:t>
            </w:r>
            <w:proofErr w:type="gramEnd"/>
          </w:p>
        </w:tc>
        <w:tc>
          <w:tcPr>
            <w:tcW w:w="634" w:type="pct"/>
            <w:shd w:val="clear" w:color="auto" w:fill="auto"/>
            <w:vAlign w:val="center"/>
          </w:tcPr>
          <w:p w14:paraId="6082B4C3" w14:textId="2C20D6B8" w:rsidR="0059604F" w:rsidRPr="00924C52" w:rsidRDefault="00261C3B" w:rsidP="00924C52">
            <w:pPr>
              <w:pStyle w:val="TableText0"/>
              <w:keepLines/>
              <w:jc w:val="center"/>
              <w:rPr>
                <w:szCs w:val="20"/>
                <w:lang w:bidi="en-US"/>
              </w:rPr>
            </w:pPr>
            <w:r w:rsidRPr="00261C3B">
              <w:rPr>
                <w:rFonts w:hint="eastAsia"/>
                <w:color w:val="000000"/>
                <w:w w:val="27"/>
                <w:szCs w:val="20"/>
                <w:shd w:val="solid" w:color="000000" w:fill="000000"/>
                <w:fitText w:val="120" w:id="-1171441405"/>
                <w14:textFill>
                  <w14:solidFill>
                    <w14:srgbClr w14:val="000000">
                      <w14:alpha w14:val="100000"/>
                    </w14:srgbClr>
                  </w14:solidFill>
                </w14:textFill>
              </w:rPr>
              <w:t xml:space="preserve">　</w:t>
            </w:r>
            <w:proofErr w:type="gramStart"/>
            <w:r w:rsidRPr="00261C3B">
              <w:rPr>
                <w:color w:val="000000"/>
                <w:w w:val="27"/>
                <w:szCs w:val="20"/>
                <w:shd w:val="solid" w:color="000000" w:fill="000000"/>
                <w:fitText w:val="120" w:id="-1171441405"/>
                <w14:textFill>
                  <w14:solidFill>
                    <w14:srgbClr w14:val="000000">
                      <w14:alpha w14:val="100000"/>
                    </w14:srgbClr>
                  </w14:solidFill>
                </w14:textFill>
              </w:rPr>
              <w:t>|</w:t>
            </w:r>
            <w:r w:rsidRPr="00261C3B">
              <w:rPr>
                <w:rFonts w:hint="eastAsia"/>
                <w:color w:val="000000"/>
                <w:spacing w:val="2"/>
                <w:w w:val="27"/>
                <w:szCs w:val="20"/>
                <w:shd w:val="solid" w:color="000000" w:fill="000000"/>
                <w:fitText w:val="120" w:id="-1171441405"/>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3</w:t>
            </w:r>
            <w:proofErr w:type="gramEnd"/>
          </w:p>
        </w:tc>
        <w:tc>
          <w:tcPr>
            <w:tcW w:w="634" w:type="pct"/>
            <w:shd w:val="clear" w:color="auto" w:fill="auto"/>
            <w:vAlign w:val="center"/>
          </w:tcPr>
          <w:p w14:paraId="115D7C74" w14:textId="4C6F6B78" w:rsidR="0059604F" w:rsidRPr="00924C52" w:rsidRDefault="00261C3B" w:rsidP="00924C52">
            <w:pPr>
              <w:pStyle w:val="TableText0"/>
              <w:keepLines/>
              <w:jc w:val="center"/>
              <w:rPr>
                <w:szCs w:val="20"/>
                <w:lang w:bidi="en-US"/>
              </w:rPr>
            </w:pPr>
            <w:r w:rsidRPr="00261C3B">
              <w:rPr>
                <w:rFonts w:hint="eastAsia"/>
                <w:color w:val="000000"/>
                <w:w w:val="26"/>
                <w:szCs w:val="20"/>
                <w:shd w:val="solid" w:color="000000" w:fill="000000"/>
                <w:fitText w:val="119" w:id="-1171441404"/>
                <w14:textFill>
                  <w14:solidFill>
                    <w14:srgbClr w14:val="000000">
                      <w14:alpha w14:val="100000"/>
                    </w14:srgbClr>
                  </w14:solidFill>
                </w14:textFill>
              </w:rPr>
              <w:t xml:space="preserve">　</w:t>
            </w:r>
            <w:proofErr w:type="gramStart"/>
            <w:r w:rsidRPr="00261C3B">
              <w:rPr>
                <w:color w:val="000000"/>
                <w:w w:val="26"/>
                <w:szCs w:val="20"/>
                <w:shd w:val="solid" w:color="000000" w:fill="000000"/>
                <w:fitText w:val="119" w:id="-1171441404"/>
                <w14:textFill>
                  <w14:solidFill>
                    <w14:srgbClr w14:val="000000">
                      <w14:alpha w14:val="100000"/>
                    </w14:srgbClr>
                  </w14:solidFill>
                </w14:textFill>
              </w:rPr>
              <w:t>|</w:t>
            </w:r>
            <w:r w:rsidRPr="00261C3B">
              <w:rPr>
                <w:rFonts w:hint="eastAsia"/>
                <w:color w:val="000000"/>
                <w:spacing w:val="4"/>
                <w:w w:val="26"/>
                <w:szCs w:val="20"/>
                <w:shd w:val="solid" w:color="000000" w:fill="000000"/>
                <w:fitText w:val="119" w:id="-1171441404"/>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4</w:t>
            </w:r>
            <w:proofErr w:type="gramEnd"/>
          </w:p>
        </w:tc>
        <w:tc>
          <w:tcPr>
            <w:tcW w:w="633" w:type="pct"/>
            <w:shd w:val="clear" w:color="auto" w:fill="auto"/>
            <w:vAlign w:val="center"/>
          </w:tcPr>
          <w:p w14:paraId="4A7C18ED" w14:textId="3DD83095" w:rsidR="0059604F" w:rsidRPr="00924C52" w:rsidRDefault="00261C3B" w:rsidP="00924C52">
            <w:pPr>
              <w:pStyle w:val="TableText0"/>
              <w:keepLines/>
              <w:jc w:val="center"/>
              <w:rPr>
                <w:szCs w:val="20"/>
                <w:lang w:bidi="en-US"/>
              </w:rPr>
            </w:pPr>
            <w:r w:rsidRPr="00261C3B">
              <w:rPr>
                <w:rFonts w:hint="eastAsia"/>
                <w:color w:val="000000"/>
                <w:spacing w:val="9"/>
                <w:w w:val="22"/>
                <w:szCs w:val="20"/>
                <w:shd w:val="solid" w:color="000000" w:fill="000000"/>
                <w:fitText w:val="101" w:id="-1171441403"/>
                <w14:textFill>
                  <w14:solidFill>
                    <w14:srgbClr w14:val="000000">
                      <w14:alpha w14:val="100000"/>
                    </w14:srgbClr>
                  </w14:solidFill>
                </w14:textFill>
              </w:rPr>
              <w:t xml:space="preserve">　</w:t>
            </w:r>
            <w:proofErr w:type="gramStart"/>
            <w:r w:rsidRPr="00261C3B">
              <w:rPr>
                <w:color w:val="000000"/>
                <w:w w:val="22"/>
                <w:szCs w:val="20"/>
                <w:shd w:val="solid" w:color="000000" w:fill="000000"/>
                <w:fitText w:val="101" w:id="-1171441403"/>
                <w14:textFill>
                  <w14:solidFill>
                    <w14:srgbClr w14:val="000000">
                      <w14:alpha w14:val="100000"/>
                    </w14:srgbClr>
                  </w14:solidFill>
                </w14:textFill>
              </w:rPr>
              <w:t>|</w:t>
            </w:r>
            <w:r w:rsidRPr="00261C3B">
              <w:rPr>
                <w:rFonts w:hint="eastAsia"/>
                <w:color w:val="000000"/>
                <w:w w:val="22"/>
                <w:szCs w:val="20"/>
                <w:shd w:val="solid" w:color="000000" w:fill="000000"/>
                <w:fitText w:val="101" w:id="-1171441403"/>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5</w:t>
            </w:r>
            <w:proofErr w:type="gramEnd"/>
          </w:p>
        </w:tc>
      </w:tr>
      <w:tr w:rsidR="00C745DB" w:rsidRPr="00924C52" w14:paraId="6382FC2A" w14:textId="77777777" w:rsidTr="000B2612">
        <w:trPr>
          <w:trHeight w:val="57"/>
        </w:trPr>
        <w:tc>
          <w:tcPr>
            <w:tcW w:w="5000" w:type="pct"/>
            <w:gridSpan w:val="7"/>
            <w:shd w:val="clear" w:color="auto" w:fill="auto"/>
            <w:vAlign w:val="center"/>
          </w:tcPr>
          <w:p w14:paraId="29169C9D" w14:textId="77777777" w:rsidR="0059604F" w:rsidRPr="00924C52" w:rsidRDefault="0059604F" w:rsidP="00924C52">
            <w:pPr>
              <w:pStyle w:val="TableText0"/>
              <w:keepLines/>
              <w:rPr>
                <w:b/>
                <w:szCs w:val="20"/>
                <w:lang w:bidi="en-US"/>
              </w:rPr>
            </w:pPr>
            <w:r w:rsidRPr="00924C52">
              <w:rPr>
                <w:b/>
                <w:color w:val="000000"/>
                <w:szCs w:val="20"/>
              </w:rPr>
              <w:t>Estimated financial implications of UPA</w:t>
            </w:r>
          </w:p>
        </w:tc>
      </w:tr>
      <w:tr w:rsidR="0033335A" w:rsidRPr="00924C52" w14:paraId="7746B061" w14:textId="77777777" w:rsidTr="000B2612">
        <w:trPr>
          <w:trHeight w:val="57"/>
        </w:trPr>
        <w:tc>
          <w:tcPr>
            <w:tcW w:w="1199" w:type="pct"/>
            <w:shd w:val="clear" w:color="auto" w:fill="auto"/>
            <w:vAlign w:val="center"/>
          </w:tcPr>
          <w:p w14:paraId="3310BBE3" w14:textId="7C16850F" w:rsidR="0059604F" w:rsidRPr="004E0AA0" w:rsidRDefault="0059604F" w:rsidP="00924C52">
            <w:pPr>
              <w:pStyle w:val="TableText0"/>
              <w:keepLines/>
              <w:rPr>
                <w:szCs w:val="20"/>
                <w:lang w:bidi="en-US"/>
              </w:rPr>
            </w:pPr>
            <w:r w:rsidRPr="00924C52">
              <w:rPr>
                <w:szCs w:val="20"/>
              </w:rPr>
              <w:t>Net cost to PBS/</w:t>
            </w:r>
            <w:proofErr w:type="gramStart"/>
            <w:r w:rsidRPr="00924C52">
              <w:rPr>
                <w:szCs w:val="20"/>
              </w:rPr>
              <w:t>RPBS</w:t>
            </w:r>
            <w:r w:rsidRPr="00924C52">
              <w:rPr>
                <w:szCs w:val="20"/>
                <w:vertAlign w:val="superscript"/>
              </w:rPr>
              <w:t>b</w:t>
            </w:r>
            <w:r w:rsidR="004E0AA0">
              <w:rPr>
                <w:szCs w:val="20"/>
              </w:rPr>
              <w:t>(</w:t>
            </w:r>
            <w:proofErr w:type="gramEnd"/>
            <w:r w:rsidR="004E0AA0">
              <w:rPr>
                <w:szCs w:val="20"/>
              </w:rPr>
              <w:t>$)</w:t>
            </w:r>
          </w:p>
        </w:tc>
        <w:tc>
          <w:tcPr>
            <w:tcW w:w="630" w:type="pct"/>
            <w:shd w:val="clear" w:color="auto" w:fill="auto"/>
            <w:vAlign w:val="center"/>
          </w:tcPr>
          <w:p w14:paraId="2404CB22" w14:textId="16958ACD" w:rsidR="0059604F" w:rsidRPr="00924C52" w:rsidRDefault="00261C3B" w:rsidP="00924C52">
            <w:pPr>
              <w:pStyle w:val="TableText0"/>
              <w:keepLines/>
              <w:jc w:val="center"/>
              <w:rPr>
                <w:szCs w:val="20"/>
              </w:rPr>
            </w:pPr>
            <w:r w:rsidRPr="00261C3B">
              <w:rPr>
                <w:rFonts w:hint="eastAsia"/>
                <w:color w:val="000000"/>
                <w:w w:val="27"/>
                <w:szCs w:val="20"/>
                <w:shd w:val="solid" w:color="000000" w:fill="000000"/>
                <w:fitText w:val="120" w:id="-1171441402"/>
                <w:lang w:bidi="en-US"/>
                <w14:textFill>
                  <w14:solidFill>
                    <w14:srgbClr w14:val="000000">
                      <w14:alpha w14:val="100000"/>
                    </w14:srgbClr>
                  </w14:solidFill>
                </w14:textFill>
              </w:rPr>
              <w:t xml:space="preserve">　</w:t>
            </w:r>
            <w:proofErr w:type="gramStart"/>
            <w:r w:rsidRPr="00261C3B">
              <w:rPr>
                <w:color w:val="000000"/>
                <w:w w:val="27"/>
                <w:szCs w:val="20"/>
                <w:shd w:val="solid" w:color="000000" w:fill="000000"/>
                <w:fitText w:val="120" w:id="-1171441402"/>
                <w:lang w:bidi="en-US"/>
                <w14:textFill>
                  <w14:solidFill>
                    <w14:srgbClr w14:val="000000">
                      <w14:alpha w14:val="100000"/>
                    </w14:srgbClr>
                  </w14:solidFill>
                </w14:textFill>
              </w:rPr>
              <w:t>|</w:t>
            </w:r>
            <w:r w:rsidRPr="00261C3B">
              <w:rPr>
                <w:rFonts w:hint="eastAsia"/>
                <w:color w:val="000000"/>
                <w:spacing w:val="2"/>
                <w:w w:val="27"/>
                <w:szCs w:val="20"/>
                <w:shd w:val="solid" w:color="000000" w:fill="000000"/>
                <w:fitText w:val="120" w:id="-1171441402"/>
                <w:lang w:bidi="en-US"/>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6</w:t>
            </w:r>
            <w:proofErr w:type="gramEnd"/>
          </w:p>
        </w:tc>
        <w:tc>
          <w:tcPr>
            <w:tcW w:w="634" w:type="pct"/>
            <w:shd w:val="clear" w:color="auto" w:fill="auto"/>
            <w:vAlign w:val="center"/>
          </w:tcPr>
          <w:p w14:paraId="66F19EC2" w14:textId="3221B6FD" w:rsidR="0059604F" w:rsidRPr="00924C52" w:rsidRDefault="00261C3B" w:rsidP="00924C52">
            <w:pPr>
              <w:pStyle w:val="TableText0"/>
              <w:keepLines/>
              <w:jc w:val="center"/>
              <w:rPr>
                <w:szCs w:val="20"/>
              </w:rPr>
            </w:pPr>
            <w:r w:rsidRPr="00261C3B">
              <w:rPr>
                <w:rFonts w:hint="eastAsia"/>
                <w:color w:val="000000"/>
                <w:w w:val="26"/>
                <w:szCs w:val="20"/>
                <w:shd w:val="solid" w:color="000000" w:fill="000000"/>
                <w:fitText w:val="119" w:id="-1171441401"/>
                <w:lang w:bidi="en-US"/>
                <w14:textFill>
                  <w14:solidFill>
                    <w14:srgbClr w14:val="000000">
                      <w14:alpha w14:val="100000"/>
                    </w14:srgbClr>
                  </w14:solidFill>
                </w14:textFill>
              </w:rPr>
              <w:t xml:space="preserve">　</w:t>
            </w:r>
            <w:proofErr w:type="gramStart"/>
            <w:r w:rsidRPr="00261C3B">
              <w:rPr>
                <w:color w:val="000000"/>
                <w:w w:val="26"/>
                <w:szCs w:val="20"/>
                <w:shd w:val="solid" w:color="000000" w:fill="000000"/>
                <w:fitText w:val="119" w:id="-1171441401"/>
                <w:lang w:bidi="en-US"/>
                <w14:textFill>
                  <w14:solidFill>
                    <w14:srgbClr w14:val="000000">
                      <w14:alpha w14:val="100000"/>
                    </w14:srgbClr>
                  </w14:solidFill>
                </w14:textFill>
              </w:rPr>
              <w:t>|</w:t>
            </w:r>
            <w:r w:rsidRPr="00261C3B">
              <w:rPr>
                <w:rFonts w:hint="eastAsia"/>
                <w:color w:val="000000"/>
                <w:spacing w:val="4"/>
                <w:w w:val="26"/>
                <w:szCs w:val="20"/>
                <w:shd w:val="solid" w:color="000000" w:fill="000000"/>
                <w:fitText w:val="119" w:id="-1171441401"/>
                <w:lang w:bidi="en-US"/>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7</w:t>
            </w:r>
            <w:proofErr w:type="gramEnd"/>
          </w:p>
        </w:tc>
        <w:tc>
          <w:tcPr>
            <w:tcW w:w="634" w:type="pct"/>
            <w:shd w:val="clear" w:color="auto" w:fill="auto"/>
            <w:vAlign w:val="center"/>
          </w:tcPr>
          <w:p w14:paraId="5E645649" w14:textId="27ECA302" w:rsidR="0059604F" w:rsidRPr="00924C52" w:rsidRDefault="00261C3B" w:rsidP="00924C52">
            <w:pPr>
              <w:pStyle w:val="TableText0"/>
              <w:keepLines/>
              <w:jc w:val="center"/>
              <w:rPr>
                <w:szCs w:val="20"/>
              </w:rPr>
            </w:pPr>
            <w:r w:rsidRPr="00261C3B">
              <w:rPr>
                <w:rFonts w:hint="eastAsia"/>
                <w:color w:val="000000"/>
                <w:w w:val="26"/>
                <w:szCs w:val="20"/>
                <w:shd w:val="solid" w:color="000000" w:fill="000000"/>
                <w:fitText w:val="119" w:id="-1171441400"/>
                <w:lang w:bidi="en-US"/>
                <w14:textFill>
                  <w14:solidFill>
                    <w14:srgbClr w14:val="000000">
                      <w14:alpha w14:val="100000"/>
                    </w14:srgbClr>
                  </w14:solidFill>
                </w14:textFill>
              </w:rPr>
              <w:t xml:space="preserve">　</w:t>
            </w:r>
            <w:proofErr w:type="gramStart"/>
            <w:r w:rsidRPr="00261C3B">
              <w:rPr>
                <w:color w:val="000000"/>
                <w:w w:val="26"/>
                <w:szCs w:val="20"/>
                <w:shd w:val="solid" w:color="000000" w:fill="000000"/>
                <w:fitText w:val="119" w:id="-1171441400"/>
                <w:lang w:bidi="en-US"/>
                <w14:textFill>
                  <w14:solidFill>
                    <w14:srgbClr w14:val="000000">
                      <w14:alpha w14:val="100000"/>
                    </w14:srgbClr>
                  </w14:solidFill>
                </w14:textFill>
              </w:rPr>
              <w:t>|</w:t>
            </w:r>
            <w:r w:rsidRPr="00261C3B">
              <w:rPr>
                <w:rFonts w:hint="eastAsia"/>
                <w:color w:val="000000"/>
                <w:spacing w:val="4"/>
                <w:w w:val="26"/>
                <w:szCs w:val="20"/>
                <w:shd w:val="solid" w:color="000000" w:fill="000000"/>
                <w:fitText w:val="119" w:id="-1171441400"/>
                <w:lang w:bidi="en-US"/>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8</w:t>
            </w:r>
            <w:proofErr w:type="gramEnd"/>
          </w:p>
        </w:tc>
        <w:tc>
          <w:tcPr>
            <w:tcW w:w="634" w:type="pct"/>
            <w:shd w:val="clear" w:color="auto" w:fill="auto"/>
            <w:vAlign w:val="center"/>
          </w:tcPr>
          <w:p w14:paraId="4A4F183E" w14:textId="3F32C78A" w:rsidR="0059604F" w:rsidRPr="00924C52" w:rsidRDefault="00261C3B" w:rsidP="00924C52">
            <w:pPr>
              <w:pStyle w:val="TableText0"/>
              <w:keepLines/>
              <w:jc w:val="center"/>
              <w:rPr>
                <w:szCs w:val="20"/>
              </w:rPr>
            </w:pPr>
            <w:r w:rsidRPr="00261C3B">
              <w:rPr>
                <w:rFonts w:hint="eastAsia"/>
                <w:color w:val="000000"/>
                <w:w w:val="27"/>
                <w:szCs w:val="20"/>
                <w:shd w:val="solid" w:color="000000" w:fill="000000"/>
                <w:fitText w:val="120" w:id="-1171441399"/>
                <w:lang w:bidi="en-US"/>
                <w14:textFill>
                  <w14:solidFill>
                    <w14:srgbClr w14:val="000000">
                      <w14:alpha w14:val="100000"/>
                    </w14:srgbClr>
                  </w14:solidFill>
                </w14:textFill>
              </w:rPr>
              <w:t xml:space="preserve">　</w:t>
            </w:r>
            <w:proofErr w:type="gramStart"/>
            <w:r w:rsidRPr="00261C3B">
              <w:rPr>
                <w:color w:val="000000"/>
                <w:w w:val="27"/>
                <w:szCs w:val="20"/>
                <w:shd w:val="solid" w:color="000000" w:fill="000000"/>
                <w:fitText w:val="120" w:id="-1171441399"/>
                <w:lang w:bidi="en-US"/>
                <w14:textFill>
                  <w14:solidFill>
                    <w14:srgbClr w14:val="000000">
                      <w14:alpha w14:val="100000"/>
                    </w14:srgbClr>
                  </w14:solidFill>
                </w14:textFill>
              </w:rPr>
              <w:t>|</w:t>
            </w:r>
            <w:r w:rsidRPr="00261C3B">
              <w:rPr>
                <w:rFonts w:hint="eastAsia"/>
                <w:color w:val="000000"/>
                <w:spacing w:val="2"/>
                <w:w w:val="27"/>
                <w:szCs w:val="20"/>
                <w:shd w:val="solid" w:color="000000" w:fill="000000"/>
                <w:fitText w:val="120" w:id="-1171441399"/>
                <w:lang w:bidi="en-US"/>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9</w:t>
            </w:r>
            <w:proofErr w:type="gramEnd"/>
          </w:p>
        </w:tc>
        <w:tc>
          <w:tcPr>
            <w:tcW w:w="634" w:type="pct"/>
            <w:shd w:val="clear" w:color="auto" w:fill="auto"/>
            <w:vAlign w:val="center"/>
          </w:tcPr>
          <w:p w14:paraId="5761E7AD" w14:textId="10C3E99B"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398"/>
                <w:lang w:bidi="en-US"/>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398"/>
                <w:lang w:bidi="en-US"/>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398"/>
                <w:lang w:bidi="en-US"/>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10</w:t>
            </w:r>
            <w:proofErr w:type="gramEnd"/>
          </w:p>
        </w:tc>
        <w:tc>
          <w:tcPr>
            <w:tcW w:w="633" w:type="pct"/>
            <w:shd w:val="clear" w:color="auto" w:fill="auto"/>
            <w:vAlign w:val="center"/>
          </w:tcPr>
          <w:p w14:paraId="6201B9ED" w14:textId="619023CD"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397"/>
                <w:lang w:bidi="en-US"/>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397"/>
                <w:lang w:bidi="en-US"/>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397"/>
                <w:lang w:bidi="en-US"/>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11</w:t>
            </w:r>
            <w:proofErr w:type="gramEnd"/>
          </w:p>
        </w:tc>
      </w:tr>
      <w:tr w:rsidR="00C745DB" w:rsidRPr="00924C52" w14:paraId="31E1AA6B" w14:textId="77777777" w:rsidTr="000B2612">
        <w:trPr>
          <w:trHeight w:val="57"/>
        </w:trPr>
        <w:tc>
          <w:tcPr>
            <w:tcW w:w="5000" w:type="pct"/>
            <w:gridSpan w:val="7"/>
            <w:shd w:val="clear" w:color="auto" w:fill="auto"/>
            <w:vAlign w:val="center"/>
          </w:tcPr>
          <w:p w14:paraId="6DE98008" w14:textId="57801C2B" w:rsidR="0059604F" w:rsidRPr="00924C52" w:rsidRDefault="0059604F" w:rsidP="00924C52">
            <w:pPr>
              <w:pStyle w:val="TableText0"/>
              <w:keepLines/>
              <w:rPr>
                <w:b/>
                <w:szCs w:val="20"/>
                <w:lang w:bidi="en-US"/>
              </w:rPr>
            </w:pPr>
            <w:r w:rsidRPr="00924C52">
              <w:rPr>
                <w:b/>
                <w:color w:val="000000"/>
                <w:szCs w:val="20"/>
              </w:rPr>
              <w:t>Estimated financial implications for ADA, IFX, UST and VDZ</w:t>
            </w:r>
          </w:p>
        </w:tc>
      </w:tr>
      <w:tr w:rsidR="0033335A" w:rsidRPr="00924C52" w14:paraId="644091D7" w14:textId="77777777" w:rsidTr="000B2612">
        <w:trPr>
          <w:trHeight w:val="57"/>
        </w:trPr>
        <w:tc>
          <w:tcPr>
            <w:tcW w:w="1199" w:type="pct"/>
            <w:shd w:val="clear" w:color="auto" w:fill="auto"/>
            <w:vAlign w:val="center"/>
          </w:tcPr>
          <w:p w14:paraId="395399EC" w14:textId="2C89CB3D" w:rsidR="0059604F" w:rsidRPr="004E0AA0" w:rsidRDefault="0059604F" w:rsidP="00924C52">
            <w:pPr>
              <w:pStyle w:val="TableText0"/>
              <w:keepLines/>
              <w:rPr>
                <w:szCs w:val="20"/>
                <w:lang w:bidi="en-US"/>
              </w:rPr>
            </w:pPr>
            <w:r w:rsidRPr="00924C52">
              <w:rPr>
                <w:szCs w:val="20"/>
              </w:rPr>
              <w:t>Net cost PBS/</w:t>
            </w:r>
            <w:proofErr w:type="gramStart"/>
            <w:r w:rsidRPr="00924C52">
              <w:rPr>
                <w:szCs w:val="20"/>
              </w:rPr>
              <w:t>RPBS</w:t>
            </w:r>
            <w:r w:rsidRPr="00924C52">
              <w:rPr>
                <w:szCs w:val="20"/>
                <w:vertAlign w:val="superscript"/>
              </w:rPr>
              <w:t>c</w:t>
            </w:r>
            <w:r w:rsidR="004E0AA0">
              <w:rPr>
                <w:szCs w:val="20"/>
              </w:rPr>
              <w:t>(</w:t>
            </w:r>
            <w:proofErr w:type="gramEnd"/>
            <w:r w:rsidR="004E0AA0">
              <w:rPr>
                <w:szCs w:val="20"/>
              </w:rPr>
              <w:t>$)</w:t>
            </w:r>
          </w:p>
        </w:tc>
        <w:tc>
          <w:tcPr>
            <w:tcW w:w="630" w:type="pct"/>
            <w:shd w:val="clear" w:color="auto" w:fill="auto"/>
            <w:vAlign w:val="center"/>
          </w:tcPr>
          <w:p w14:paraId="5744BE69" w14:textId="0F3C2940"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396"/>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396"/>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396"/>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4" w:type="pct"/>
            <w:shd w:val="clear" w:color="auto" w:fill="auto"/>
            <w:vAlign w:val="center"/>
          </w:tcPr>
          <w:p w14:paraId="0349AD85" w14:textId="44A4BC6F"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395"/>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395"/>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395"/>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4" w:type="pct"/>
            <w:shd w:val="clear" w:color="auto" w:fill="auto"/>
            <w:vAlign w:val="center"/>
          </w:tcPr>
          <w:p w14:paraId="3C9285F5" w14:textId="0ADC9E83"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394"/>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394"/>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394"/>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4" w:type="pct"/>
            <w:shd w:val="clear" w:color="auto" w:fill="auto"/>
            <w:vAlign w:val="center"/>
          </w:tcPr>
          <w:p w14:paraId="5C29DC26" w14:textId="6D32411A"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393"/>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393"/>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393"/>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4" w:type="pct"/>
            <w:shd w:val="clear" w:color="auto" w:fill="auto"/>
            <w:vAlign w:val="center"/>
          </w:tcPr>
          <w:p w14:paraId="4CEF8DF9" w14:textId="448E96A6"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392"/>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392"/>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392"/>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3" w:type="pct"/>
            <w:shd w:val="clear" w:color="auto" w:fill="auto"/>
            <w:vAlign w:val="center"/>
          </w:tcPr>
          <w:p w14:paraId="1D266014" w14:textId="3975293A"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408"/>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408"/>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408"/>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r>
      <w:tr w:rsidR="00C745DB" w:rsidRPr="00924C52" w14:paraId="3F53135E" w14:textId="77777777" w:rsidTr="000B2612">
        <w:trPr>
          <w:trHeight w:val="57"/>
        </w:trPr>
        <w:tc>
          <w:tcPr>
            <w:tcW w:w="5000" w:type="pct"/>
            <w:gridSpan w:val="7"/>
            <w:shd w:val="clear" w:color="auto" w:fill="auto"/>
            <w:vAlign w:val="center"/>
          </w:tcPr>
          <w:p w14:paraId="1C27D640" w14:textId="77777777" w:rsidR="0059604F" w:rsidRPr="00924C52" w:rsidRDefault="0059604F" w:rsidP="00924C52">
            <w:pPr>
              <w:pStyle w:val="TableText0"/>
              <w:keepLines/>
              <w:rPr>
                <w:b/>
                <w:szCs w:val="20"/>
                <w:lang w:bidi="en-US"/>
              </w:rPr>
            </w:pPr>
            <w:r w:rsidRPr="00924C52">
              <w:rPr>
                <w:b/>
                <w:szCs w:val="20"/>
              </w:rPr>
              <w:t>Net financial implications</w:t>
            </w:r>
          </w:p>
        </w:tc>
      </w:tr>
      <w:tr w:rsidR="0033335A" w:rsidRPr="00924C52" w14:paraId="2B37EB9A" w14:textId="77777777" w:rsidTr="000B2612">
        <w:trPr>
          <w:trHeight w:val="57"/>
        </w:trPr>
        <w:tc>
          <w:tcPr>
            <w:tcW w:w="1199" w:type="pct"/>
            <w:shd w:val="clear" w:color="auto" w:fill="auto"/>
            <w:vAlign w:val="center"/>
          </w:tcPr>
          <w:p w14:paraId="711AC6E0" w14:textId="71450FCD" w:rsidR="0059604F" w:rsidRPr="00924C52" w:rsidRDefault="0059604F" w:rsidP="00924C52">
            <w:pPr>
              <w:pStyle w:val="TableText0"/>
              <w:keepLines/>
              <w:rPr>
                <w:szCs w:val="20"/>
                <w:lang w:bidi="en-US"/>
              </w:rPr>
            </w:pPr>
            <w:r w:rsidRPr="00924C52">
              <w:rPr>
                <w:szCs w:val="20"/>
                <w:lang w:bidi="en-US"/>
              </w:rPr>
              <w:t xml:space="preserve">Net cost to PBS/RPBS (published </w:t>
            </w:r>
            <w:proofErr w:type="gramStart"/>
            <w:r w:rsidRPr="00924C52">
              <w:rPr>
                <w:szCs w:val="20"/>
                <w:lang w:bidi="en-US"/>
              </w:rPr>
              <w:t>DPMQ)</w:t>
            </w:r>
            <w:r w:rsidR="004E0AA0">
              <w:rPr>
                <w:szCs w:val="20"/>
                <w:lang w:bidi="en-US"/>
              </w:rPr>
              <w:t>(</w:t>
            </w:r>
            <w:proofErr w:type="gramEnd"/>
            <w:r w:rsidR="004E0AA0">
              <w:rPr>
                <w:szCs w:val="20"/>
                <w:lang w:bidi="en-US"/>
              </w:rPr>
              <w:t>$)</w:t>
            </w:r>
          </w:p>
        </w:tc>
        <w:tc>
          <w:tcPr>
            <w:tcW w:w="630" w:type="pct"/>
            <w:shd w:val="clear" w:color="auto" w:fill="auto"/>
            <w:vAlign w:val="center"/>
          </w:tcPr>
          <w:p w14:paraId="2B4C7563" w14:textId="58247320"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52"/>
                <w:lang w:bidi="en-US"/>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52"/>
                <w:lang w:bidi="en-US"/>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52"/>
                <w:lang w:bidi="en-US"/>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4" w:type="pct"/>
            <w:shd w:val="clear" w:color="auto" w:fill="auto"/>
            <w:vAlign w:val="center"/>
          </w:tcPr>
          <w:p w14:paraId="2F40341A" w14:textId="41323E7E"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51"/>
                <w:lang w:bidi="en-US"/>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51"/>
                <w:lang w:bidi="en-US"/>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51"/>
                <w:lang w:bidi="en-US"/>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4" w:type="pct"/>
            <w:shd w:val="clear" w:color="auto" w:fill="auto"/>
            <w:vAlign w:val="center"/>
          </w:tcPr>
          <w:p w14:paraId="4D1B9AD1" w14:textId="57DE010D"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50"/>
                <w:lang w:bidi="en-US"/>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50"/>
                <w:lang w:bidi="en-US"/>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50"/>
                <w:lang w:bidi="en-US"/>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4" w:type="pct"/>
            <w:shd w:val="clear" w:color="auto" w:fill="auto"/>
            <w:vAlign w:val="center"/>
          </w:tcPr>
          <w:p w14:paraId="370F27CE" w14:textId="5B16E286"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49"/>
                <w:lang w:bidi="en-US"/>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49"/>
                <w:lang w:bidi="en-US"/>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49"/>
                <w:lang w:bidi="en-US"/>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4" w:type="pct"/>
            <w:shd w:val="clear" w:color="auto" w:fill="auto"/>
            <w:vAlign w:val="center"/>
          </w:tcPr>
          <w:p w14:paraId="5B76E88B" w14:textId="5A2C917B"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48"/>
                <w:lang w:bidi="en-US"/>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48"/>
                <w:lang w:bidi="en-US"/>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48"/>
                <w:lang w:bidi="en-US"/>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3" w:type="pct"/>
            <w:shd w:val="clear" w:color="auto" w:fill="auto"/>
            <w:vAlign w:val="center"/>
          </w:tcPr>
          <w:p w14:paraId="7BC40D1C" w14:textId="58390DB7"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47"/>
                <w:lang w:bidi="en-US"/>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47"/>
                <w:lang w:bidi="en-US"/>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47"/>
                <w:lang w:bidi="en-US"/>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r>
      <w:tr w:rsidR="0033335A" w:rsidRPr="00924C52" w14:paraId="0A50F742" w14:textId="77777777" w:rsidTr="000B2612">
        <w:trPr>
          <w:trHeight w:val="57"/>
        </w:trPr>
        <w:tc>
          <w:tcPr>
            <w:tcW w:w="1199" w:type="pct"/>
            <w:shd w:val="clear" w:color="auto" w:fill="auto"/>
            <w:vAlign w:val="center"/>
          </w:tcPr>
          <w:p w14:paraId="1D9A7393" w14:textId="3C328FA4" w:rsidR="0059604F" w:rsidRPr="004E0AA0" w:rsidRDefault="0059604F" w:rsidP="00924C52">
            <w:pPr>
              <w:pStyle w:val="TableText0"/>
              <w:keepLines/>
              <w:rPr>
                <w:szCs w:val="20"/>
                <w:lang w:bidi="en-US"/>
              </w:rPr>
            </w:pPr>
            <w:r w:rsidRPr="00924C52">
              <w:rPr>
                <w:szCs w:val="20"/>
                <w:lang w:bidi="en-US"/>
              </w:rPr>
              <w:t>Net cost to MBS</w:t>
            </w:r>
            <w:r w:rsidR="00E6773F" w:rsidRPr="00924C52">
              <w:rPr>
                <w:szCs w:val="20"/>
                <w:lang w:bidi="en-US"/>
              </w:rPr>
              <w:t xml:space="preserve"> (MBS items 23, 116 and </w:t>
            </w:r>
            <w:proofErr w:type="gramStart"/>
            <w:r w:rsidR="00E6773F" w:rsidRPr="00924C52">
              <w:rPr>
                <w:szCs w:val="20"/>
                <w:lang w:bidi="en-US"/>
              </w:rPr>
              <w:t>14245)</w:t>
            </w:r>
            <w:r w:rsidR="00605B0D" w:rsidRPr="00924C52">
              <w:rPr>
                <w:szCs w:val="20"/>
                <w:vertAlign w:val="superscript"/>
                <w:lang w:bidi="en-US"/>
              </w:rPr>
              <w:t>d</w:t>
            </w:r>
            <w:proofErr w:type="gramEnd"/>
            <w:r w:rsidR="004E0AA0">
              <w:rPr>
                <w:szCs w:val="20"/>
                <w:lang w:bidi="en-US"/>
              </w:rPr>
              <w:t xml:space="preserve"> ($)</w:t>
            </w:r>
          </w:p>
        </w:tc>
        <w:tc>
          <w:tcPr>
            <w:tcW w:w="630" w:type="pct"/>
            <w:shd w:val="clear" w:color="auto" w:fill="auto"/>
            <w:vAlign w:val="center"/>
          </w:tcPr>
          <w:p w14:paraId="4950992E" w14:textId="42E9F971"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46"/>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46"/>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46"/>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4" w:type="pct"/>
            <w:shd w:val="clear" w:color="auto" w:fill="auto"/>
            <w:vAlign w:val="center"/>
          </w:tcPr>
          <w:p w14:paraId="34115E31" w14:textId="43391B8C"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45"/>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45"/>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45"/>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4" w:type="pct"/>
            <w:shd w:val="clear" w:color="auto" w:fill="auto"/>
            <w:vAlign w:val="center"/>
          </w:tcPr>
          <w:p w14:paraId="19574788" w14:textId="44939A07"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44"/>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44"/>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44"/>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4" w:type="pct"/>
            <w:shd w:val="clear" w:color="auto" w:fill="auto"/>
            <w:vAlign w:val="center"/>
          </w:tcPr>
          <w:p w14:paraId="445FFC0E" w14:textId="7EF58F23"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43"/>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43"/>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43"/>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4" w:type="pct"/>
            <w:shd w:val="clear" w:color="auto" w:fill="auto"/>
            <w:vAlign w:val="center"/>
          </w:tcPr>
          <w:p w14:paraId="31558226" w14:textId="717AC372"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42"/>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42"/>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42"/>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3" w:type="pct"/>
            <w:shd w:val="clear" w:color="auto" w:fill="auto"/>
            <w:vAlign w:val="center"/>
          </w:tcPr>
          <w:p w14:paraId="386EB636" w14:textId="657762F9" w:rsidR="0059604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41"/>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41"/>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41"/>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r>
      <w:tr w:rsidR="006970AE" w:rsidRPr="00924C52" w14:paraId="26E53B09" w14:textId="77777777" w:rsidTr="000B2612">
        <w:trPr>
          <w:trHeight w:val="57"/>
        </w:trPr>
        <w:tc>
          <w:tcPr>
            <w:tcW w:w="1199" w:type="pct"/>
            <w:shd w:val="clear" w:color="auto" w:fill="auto"/>
            <w:vAlign w:val="center"/>
          </w:tcPr>
          <w:p w14:paraId="7AAB0374" w14:textId="41CFCB29" w:rsidR="00BE032F" w:rsidRPr="00924C52" w:rsidRDefault="00BE032F" w:rsidP="00924C52">
            <w:pPr>
              <w:pStyle w:val="TableText0"/>
              <w:keepLines/>
              <w:rPr>
                <w:szCs w:val="20"/>
                <w:lang w:bidi="en-US"/>
              </w:rPr>
            </w:pPr>
            <w:r w:rsidRPr="00924C52">
              <w:rPr>
                <w:szCs w:val="20"/>
                <w:lang w:bidi="en-US"/>
              </w:rPr>
              <w:t xml:space="preserve">Net cost to MBS excluding MBS item </w:t>
            </w:r>
            <w:r w:rsidR="00E6773F" w:rsidRPr="00924C52">
              <w:rPr>
                <w:szCs w:val="20"/>
                <w:lang w:bidi="en-US"/>
              </w:rPr>
              <w:t>23</w:t>
            </w:r>
            <w:r w:rsidR="004E0AA0">
              <w:rPr>
                <w:szCs w:val="20"/>
                <w:lang w:bidi="en-US"/>
              </w:rPr>
              <w:t xml:space="preserve"> ($)</w:t>
            </w:r>
          </w:p>
        </w:tc>
        <w:tc>
          <w:tcPr>
            <w:tcW w:w="630" w:type="pct"/>
            <w:shd w:val="clear" w:color="auto" w:fill="auto"/>
            <w:vAlign w:val="center"/>
          </w:tcPr>
          <w:p w14:paraId="0DB06F62" w14:textId="1005430A" w:rsidR="00BE032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40"/>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40"/>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40"/>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4" w:type="pct"/>
            <w:shd w:val="clear" w:color="auto" w:fill="auto"/>
            <w:vAlign w:val="center"/>
          </w:tcPr>
          <w:p w14:paraId="44ADA7FE" w14:textId="5F1C917F" w:rsidR="00BE032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39"/>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39"/>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39"/>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4" w:type="pct"/>
            <w:shd w:val="clear" w:color="auto" w:fill="auto"/>
            <w:vAlign w:val="center"/>
          </w:tcPr>
          <w:p w14:paraId="55128740" w14:textId="3EA39472" w:rsidR="00BE032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38"/>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38"/>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38"/>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4" w:type="pct"/>
            <w:shd w:val="clear" w:color="auto" w:fill="auto"/>
            <w:vAlign w:val="center"/>
          </w:tcPr>
          <w:p w14:paraId="42DB8322" w14:textId="47C911C1" w:rsidR="00BE032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37"/>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37"/>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37"/>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4" w:type="pct"/>
            <w:shd w:val="clear" w:color="auto" w:fill="auto"/>
            <w:vAlign w:val="center"/>
          </w:tcPr>
          <w:p w14:paraId="7A4283DE" w14:textId="40DF7BF0" w:rsidR="00BE032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36"/>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36"/>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36"/>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c>
          <w:tcPr>
            <w:tcW w:w="633" w:type="pct"/>
            <w:shd w:val="clear" w:color="auto" w:fill="auto"/>
            <w:vAlign w:val="center"/>
          </w:tcPr>
          <w:p w14:paraId="64C9D7A7" w14:textId="19316170" w:rsidR="00BE032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52"/>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52"/>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52"/>
                <w14:textFill>
                  <w14:solidFill>
                    <w14:srgbClr w14:val="000000">
                      <w14:alpha w14:val="100000"/>
                    </w14:srgbClr>
                  </w14:solidFill>
                </w14:textFill>
              </w:rPr>
              <w:t xml:space="preserve">　</w:t>
            </w:r>
            <w:r w:rsidR="003F7519" w:rsidRPr="00924C52">
              <w:rPr>
                <w:szCs w:val="20"/>
              </w:rPr>
              <w:t xml:space="preserve"> </w:t>
            </w:r>
            <w:r w:rsidR="003F7519" w:rsidRPr="00924C52">
              <w:rPr>
                <w:szCs w:val="20"/>
                <w:vertAlign w:val="superscript"/>
              </w:rPr>
              <w:t>12</w:t>
            </w:r>
            <w:proofErr w:type="gramEnd"/>
          </w:p>
        </w:tc>
      </w:tr>
      <w:tr w:rsidR="006970AE" w:rsidRPr="00924C52" w14:paraId="5CF12BDA" w14:textId="77777777" w:rsidTr="000B2612">
        <w:trPr>
          <w:trHeight w:val="57"/>
        </w:trPr>
        <w:tc>
          <w:tcPr>
            <w:tcW w:w="1199" w:type="pct"/>
            <w:shd w:val="clear" w:color="auto" w:fill="auto"/>
            <w:vAlign w:val="center"/>
          </w:tcPr>
          <w:p w14:paraId="311EB40B" w14:textId="00067786" w:rsidR="00E6773F" w:rsidRPr="00924C52" w:rsidRDefault="00E6773F" w:rsidP="00924C52">
            <w:pPr>
              <w:pStyle w:val="TableText0"/>
              <w:keepLines/>
              <w:rPr>
                <w:szCs w:val="20"/>
                <w:lang w:bidi="en-US"/>
              </w:rPr>
            </w:pPr>
            <w:r w:rsidRPr="00924C52">
              <w:rPr>
                <w:szCs w:val="20"/>
                <w:lang w:bidi="en-US"/>
              </w:rPr>
              <w:t>Net cost savings to MBS due to the inclusion of MBS item 23</w:t>
            </w:r>
            <w:r w:rsidR="004E0AA0">
              <w:rPr>
                <w:szCs w:val="20"/>
                <w:lang w:bidi="en-US"/>
              </w:rPr>
              <w:t xml:space="preserve"> ($)</w:t>
            </w:r>
          </w:p>
        </w:tc>
        <w:tc>
          <w:tcPr>
            <w:tcW w:w="630" w:type="pct"/>
            <w:shd w:val="clear" w:color="auto" w:fill="auto"/>
            <w:vAlign w:val="center"/>
          </w:tcPr>
          <w:p w14:paraId="01EDC7D1" w14:textId="03C9B95D" w:rsidR="00E6773F" w:rsidRPr="00924C52" w:rsidRDefault="00261C3B" w:rsidP="00924C52">
            <w:pPr>
              <w:pStyle w:val="TableText0"/>
              <w:keepLines/>
              <w:jc w:val="center"/>
              <w:rPr>
                <w:szCs w:val="20"/>
                <w:vertAlign w:val="superscript"/>
              </w:rPr>
            </w:pPr>
            <w:r w:rsidRPr="00261C3B">
              <w:rPr>
                <w:rFonts w:hint="eastAsia"/>
                <w:color w:val="000000"/>
                <w:w w:val="33"/>
                <w:szCs w:val="20"/>
                <w:shd w:val="solid" w:color="000000" w:fill="000000"/>
                <w:fitText w:val="147" w:id="-1171441151"/>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51"/>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51"/>
                <w14:textFill>
                  <w14:solidFill>
                    <w14:srgbClr w14:val="000000">
                      <w14:alpha w14:val="100000"/>
                    </w14:srgbClr>
                  </w14:solidFill>
                </w14:textFill>
              </w:rPr>
              <w:t xml:space="preserve">　</w:t>
            </w:r>
            <w:r w:rsidR="004F7E33" w:rsidRPr="00924C52">
              <w:rPr>
                <w:szCs w:val="20"/>
              </w:rPr>
              <w:t xml:space="preserve"> </w:t>
            </w:r>
            <w:r w:rsidR="004F7E33" w:rsidRPr="00924C52">
              <w:rPr>
                <w:szCs w:val="20"/>
                <w:vertAlign w:val="superscript"/>
              </w:rPr>
              <w:t>13</w:t>
            </w:r>
            <w:proofErr w:type="gramEnd"/>
          </w:p>
        </w:tc>
        <w:tc>
          <w:tcPr>
            <w:tcW w:w="634" w:type="pct"/>
            <w:shd w:val="clear" w:color="auto" w:fill="auto"/>
            <w:vAlign w:val="center"/>
          </w:tcPr>
          <w:p w14:paraId="1A174AC9" w14:textId="7162E651" w:rsidR="00E6773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50"/>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50"/>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50"/>
                <w14:textFill>
                  <w14:solidFill>
                    <w14:srgbClr w14:val="000000">
                      <w14:alpha w14:val="100000"/>
                    </w14:srgbClr>
                  </w14:solidFill>
                </w14:textFill>
              </w:rPr>
              <w:t xml:space="preserve">　</w:t>
            </w:r>
            <w:r w:rsidR="004F7E33" w:rsidRPr="00924C52">
              <w:rPr>
                <w:szCs w:val="20"/>
              </w:rPr>
              <w:t xml:space="preserve"> </w:t>
            </w:r>
            <w:r w:rsidR="004F7E33" w:rsidRPr="00924C52">
              <w:rPr>
                <w:szCs w:val="20"/>
                <w:vertAlign w:val="superscript"/>
              </w:rPr>
              <w:t>13</w:t>
            </w:r>
            <w:proofErr w:type="gramEnd"/>
          </w:p>
        </w:tc>
        <w:tc>
          <w:tcPr>
            <w:tcW w:w="634" w:type="pct"/>
            <w:shd w:val="clear" w:color="auto" w:fill="auto"/>
            <w:vAlign w:val="center"/>
          </w:tcPr>
          <w:p w14:paraId="0A9CBACC" w14:textId="59666072" w:rsidR="00E6773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49"/>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49"/>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49"/>
                <w14:textFill>
                  <w14:solidFill>
                    <w14:srgbClr w14:val="000000">
                      <w14:alpha w14:val="100000"/>
                    </w14:srgbClr>
                  </w14:solidFill>
                </w14:textFill>
              </w:rPr>
              <w:t xml:space="preserve">　</w:t>
            </w:r>
            <w:r w:rsidR="004F7E33" w:rsidRPr="00924C52">
              <w:rPr>
                <w:szCs w:val="20"/>
              </w:rPr>
              <w:t xml:space="preserve"> </w:t>
            </w:r>
            <w:r w:rsidR="004F7E33" w:rsidRPr="00924C52">
              <w:rPr>
                <w:szCs w:val="20"/>
                <w:vertAlign w:val="superscript"/>
              </w:rPr>
              <w:t>13</w:t>
            </w:r>
            <w:proofErr w:type="gramEnd"/>
          </w:p>
        </w:tc>
        <w:tc>
          <w:tcPr>
            <w:tcW w:w="634" w:type="pct"/>
            <w:shd w:val="clear" w:color="auto" w:fill="auto"/>
            <w:vAlign w:val="center"/>
          </w:tcPr>
          <w:p w14:paraId="39B6C9F3" w14:textId="4DD2F41F" w:rsidR="00E6773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48"/>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48"/>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48"/>
                <w14:textFill>
                  <w14:solidFill>
                    <w14:srgbClr w14:val="000000">
                      <w14:alpha w14:val="100000"/>
                    </w14:srgbClr>
                  </w14:solidFill>
                </w14:textFill>
              </w:rPr>
              <w:t xml:space="preserve">　</w:t>
            </w:r>
            <w:r w:rsidR="004F7E33" w:rsidRPr="00924C52">
              <w:rPr>
                <w:szCs w:val="20"/>
              </w:rPr>
              <w:t xml:space="preserve"> </w:t>
            </w:r>
            <w:r w:rsidR="004F7E33" w:rsidRPr="00924C52">
              <w:rPr>
                <w:szCs w:val="20"/>
                <w:vertAlign w:val="superscript"/>
              </w:rPr>
              <w:t>13</w:t>
            </w:r>
            <w:proofErr w:type="gramEnd"/>
          </w:p>
        </w:tc>
        <w:tc>
          <w:tcPr>
            <w:tcW w:w="634" w:type="pct"/>
            <w:shd w:val="clear" w:color="auto" w:fill="auto"/>
            <w:vAlign w:val="center"/>
          </w:tcPr>
          <w:p w14:paraId="346E3EB4" w14:textId="6C7C5176" w:rsidR="00E6773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47"/>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47"/>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47"/>
                <w14:textFill>
                  <w14:solidFill>
                    <w14:srgbClr w14:val="000000">
                      <w14:alpha w14:val="100000"/>
                    </w14:srgbClr>
                  </w14:solidFill>
                </w14:textFill>
              </w:rPr>
              <w:t xml:space="preserve">　</w:t>
            </w:r>
            <w:r w:rsidR="004F7E33" w:rsidRPr="00924C52">
              <w:rPr>
                <w:szCs w:val="20"/>
              </w:rPr>
              <w:t xml:space="preserve"> </w:t>
            </w:r>
            <w:r w:rsidR="004F7E33" w:rsidRPr="00924C52">
              <w:rPr>
                <w:szCs w:val="20"/>
                <w:vertAlign w:val="superscript"/>
              </w:rPr>
              <w:t>13</w:t>
            </w:r>
            <w:proofErr w:type="gramEnd"/>
          </w:p>
        </w:tc>
        <w:tc>
          <w:tcPr>
            <w:tcW w:w="633" w:type="pct"/>
            <w:shd w:val="clear" w:color="auto" w:fill="auto"/>
            <w:vAlign w:val="center"/>
          </w:tcPr>
          <w:p w14:paraId="0468478D" w14:textId="3B237A3F" w:rsidR="00E6773F" w:rsidRPr="00924C52" w:rsidRDefault="00261C3B" w:rsidP="00924C52">
            <w:pPr>
              <w:pStyle w:val="TableText0"/>
              <w:keepLines/>
              <w:jc w:val="center"/>
              <w:rPr>
                <w:szCs w:val="20"/>
              </w:rPr>
            </w:pPr>
            <w:r w:rsidRPr="00261C3B">
              <w:rPr>
                <w:rFonts w:hint="eastAsia"/>
                <w:color w:val="000000"/>
                <w:w w:val="33"/>
                <w:szCs w:val="20"/>
                <w:shd w:val="solid" w:color="000000" w:fill="000000"/>
                <w:fitText w:val="147" w:id="-1171441146"/>
                <w14:textFill>
                  <w14:solidFill>
                    <w14:srgbClr w14:val="000000">
                      <w14:alpha w14:val="100000"/>
                    </w14:srgbClr>
                  </w14:solidFill>
                </w14:textFill>
              </w:rPr>
              <w:t xml:space="preserve">　</w:t>
            </w:r>
            <w:proofErr w:type="gramStart"/>
            <w:r w:rsidRPr="00261C3B">
              <w:rPr>
                <w:color w:val="000000"/>
                <w:w w:val="33"/>
                <w:szCs w:val="20"/>
                <w:shd w:val="solid" w:color="000000" w:fill="000000"/>
                <w:fitText w:val="147" w:id="-1171441146"/>
                <w14:textFill>
                  <w14:solidFill>
                    <w14:srgbClr w14:val="000000">
                      <w14:alpha w14:val="100000"/>
                    </w14:srgbClr>
                  </w14:solidFill>
                </w14:textFill>
              </w:rPr>
              <w:t>|</w:t>
            </w:r>
            <w:r w:rsidRPr="00261C3B">
              <w:rPr>
                <w:rFonts w:hint="eastAsia"/>
                <w:color w:val="000000"/>
                <w:spacing w:val="1"/>
                <w:w w:val="33"/>
                <w:szCs w:val="20"/>
                <w:shd w:val="solid" w:color="000000" w:fill="000000"/>
                <w:fitText w:val="147" w:id="-1171441146"/>
                <w14:textFill>
                  <w14:solidFill>
                    <w14:srgbClr w14:val="000000">
                      <w14:alpha w14:val="100000"/>
                    </w14:srgbClr>
                  </w14:solidFill>
                </w14:textFill>
              </w:rPr>
              <w:t xml:space="preserve">　</w:t>
            </w:r>
            <w:r w:rsidR="004F7E33" w:rsidRPr="00924C52">
              <w:rPr>
                <w:szCs w:val="20"/>
              </w:rPr>
              <w:t xml:space="preserve"> </w:t>
            </w:r>
            <w:r w:rsidR="004F7E33" w:rsidRPr="00924C52">
              <w:rPr>
                <w:szCs w:val="20"/>
                <w:vertAlign w:val="superscript"/>
              </w:rPr>
              <w:t>13</w:t>
            </w:r>
            <w:proofErr w:type="gramEnd"/>
          </w:p>
        </w:tc>
      </w:tr>
    </w:tbl>
    <w:p w14:paraId="5F2A56F2" w14:textId="269D3BF0" w:rsidR="0059604F" w:rsidRPr="00A8625B" w:rsidRDefault="0059604F" w:rsidP="003F7519">
      <w:pPr>
        <w:pStyle w:val="TableFigureFooter"/>
        <w:keepNext/>
        <w:keepLines/>
        <w:rPr>
          <w:rFonts w:eastAsia="Calibri"/>
          <w:i/>
          <w:iCs/>
          <w:lang w:eastAsia="en-US"/>
        </w:rPr>
      </w:pPr>
      <w:r w:rsidRPr="009A126C">
        <w:t>Source:</w:t>
      </w:r>
      <w:r>
        <w:t xml:space="preserve"> </w:t>
      </w:r>
      <w:r w:rsidRPr="00287CEF">
        <w:t xml:space="preserve">Compiled during the evaluation based on </w:t>
      </w:r>
      <w:r w:rsidRPr="00287CEF">
        <w:rPr>
          <w:rFonts w:eastAsia="Calibri"/>
          <w:lang w:eastAsia="en-US"/>
        </w:rPr>
        <w:t>Tables 4-19-4-20, 4-22, 4-23,</w:t>
      </w:r>
      <w:r w:rsidRPr="00287CEF">
        <w:t xml:space="preserve"> </w:t>
      </w:r>
      <w:r w:rsidRPr="00287CEF">
        <w:rPr>
          <w:rFonts w:eastAsia="Calibri"/>
          <w:lang w:eastAsia="en-US"/>
        </w:rPr>
        <w:t>pp186-188 of the submission and Section 3 Workbook</w:t>
      </w:r>
      <w:r w:rsidR="00AF2103" w:rsidRPr="00287CEF">
        <w:rPr>
          <w:rFonts w:eastAsia="Calibri"/>
          <w:lang w:eastAsia="en-US"/>
        </w:rPr>
        <w:t xml:space="preserve">; </w:t>
      </w:r>
      <w:r w:rsidR="00AF2103" w:rsidRPr="00287CEF">
        <w:rPr>
          <w:rFonts w:eastAsia="SimSun"/>
        </w:rPr>
        <w:t>Table 4-24, p189 of the submission and Sheet 7. Net changes - MBS, Section 4 Workbook.</w:t>
      </w:r>
    </w:p>
    <w:p w14:paraId="7656760D" w14:textId="7512DE97" w:rsidR="0059604F" w:rsidRDefault="0059604F" w:rsidP="003F7519">
      <w:pPr>
        <w:pStyle w:val="TableFigureFooter"/>
        <w:keepNext/>
        <w:keepLines/>
      </w:pPr>
      <w:r>
        <w:rPr>
          <w:rFonts w:eastAsia="SimSun"/>
        </w:rPr>
        <w:t>ADA</w:t>
      </w:r>
      <w:r w:rsidR="008B1228">
        <w:rPr>
          <w:rFonts w:eastAsia="SimSun"/>
        </w:rPr>
        <w:t xml:space="preserve">= </w:t>
      </w:r>
      <w:r>
        <w:rPr>
          <w:rFonts w:eastAsia="SimSun"/>
        </w:rPr>
        <w:t>adalimumab;</w:t>
      </w:r>
      <w:r w:rsidR="00B517CE">
        <w:rPr>
          <w:rFonts w:eastAsia="SimSun"/>
        </w:rPr>
        <w:t xml:space="preserve"> CMA=cost-minimisation analysis;</w:t>
      </w:r>
      <w:r>
        <w:rPr>
          <w:rFonts w:eastAsia="SimSun"/>
        </w:rPr>
        <w:t xml:space="preserve"> IFX</w:t>
      </w:r>
      <w:r w:rsidR="008B1228">
        <w:rPr>
          <w:rFonts w:eastAsia="SimSun"/>
        </w:rPr>
        <w:t xml:space="preserve">= </w:t>
      </w:r>
      <w:r>
        <w:rPr>
          <w:rFonts w:eastAsia="SimSun"/>
        </w:rPr>
        <w:t>infliximab;</w:t>
      </w:r>
      <w:r w:rsidRPr="000313EF">
        <w:t xml:space="preserve"> PBS</w:t>
      </w:r>
      <w:r w:rsidR="008B1228">
        <w:t xml:space="preserve">= </w:t>
      </w:r>
      <w:r w:rsidRPr="000313EF">
        <w:t>Pharmaceutical Benefits Scheme; RPBS</w:t>
      </w:r>
      <w:r w:rsidR="008B1228">
        <w:t xml:space="preserve">= </w:t>
      </w:r>
      <w:r w:rsidRPr="000313EF">
        <w:t>Repatriations Pharmaceutical Benefits Scheme</w:t>
      </w:r>
      <w:r>
        <w:t>; UPA</w:t>
      </w:r>
      <w:r w:rsidR="008B1228">
        <w:t xml:space="preserve">= </w:t>
      </w:r>
      <w:r>
        <w:t xml:space="preserve">upadacitinib; </w:t>
      </w:r>
      <w:r>
        <w:rPr>
          <w:rFonts w:eastAsia="SimSun"/>
        </w:rPr>
        <w:t>UST</w:t>
      </w:r>
      <w:r w:rsidR="008B1228">
        <w:rPr>
          <w:rFonts w:eastAsia="SimSun"/>
        </w:rPr>
        <w:t xml:space="preserve">= </w:t>
      </w:r>
      <w:r>
        <w:rPr>
          <w:rFonts w:eastAsia="SimSun"/>
        </w:rPr>
        <w:t>ustekinumab; VDZ</w:t>
      </w:r>
      <w:r w:rsidR="008B1228">
        <w:rPr>
          <w:rFonts w:eastAsia="SimSun"/>
        </w:rPr>
        <w:t xml:space="preserve">= </w:t>
      </w:r>
      <w:r>
        <w:rPr>
          <w:rFonts w:eastAsia="SimSun"/>
        </w:rPr>
        <w:t>vedolizumab</w:t>
      </w:r>
    </w:p>
    <w:p w14:paraId="6DFBBF64" w14:textId="780AF3E1" w:rsidR="0059604F" w:rsidRDefault="0059604F" w:rsidP="003F7519">
      <w:pPr>
        <w:pStyle w:val="TableFigureFooter"/>
        <w:keepNext/>
        <w:keepLines/>
      </w:pPr>
      <w:r>
        <w:rPr>
          <w:vertAlign w:val="superscript"/>
        </w:rPr>
        <w:t xml:space="preserve">a </w:t>
      </w:r>
      <w:r>
        <w:t>Includes scripts for upadacitinib 45mg, initiation, upadacitinib 30mg, balance of supply, upadacitinib 15</w:t>
      </w:r>
      <w:r w:rsidR="000B2612">
        <w:t> </w:t>
      </w:r>
      <w:r>
        <w:t>mg, balance of supply, upadacitinib 30</w:t>
      </w:r>
      <w:r w:rsidR="000B2612">
        <w:t> </w:t>
      </w:r>
      <w:r>
        <w:t>mg, continuing and upadacitinib 15</w:t>
      </w:r>
      <w:r w:rsidR="000B2612">
        <w:t> </w:t>
      </w:r>
      <w:r>
        <w:t>mg, continuing</w:t>
      </w:r>
      <w:r w:rsidR="000B2612">
        <w:t>.</w:t>
      </w:r>
    </w:p>
    <w:p w14:paraId="6DEA441B" w14:textId="77777777" w:rsidR="0059604F" w:rsidRDefault="0059604F" w:rsidP="003F7519">
      <w:pPr>
        <w:pStyle w:val="TableFigureFooter"/>
        <w:keepNext/>
        <w:keepLines/>
      </w:pPr>
      <w:r w:rsidRPr="00BB79E5">
        <w:rPr>
          <w:vertAlign w:val="superscript"/>
        </w:rPr>
        <w:t>b</w:t>
      </w:r>
      <w:r>
        <w:t xml:space="preserve"> Cost to PBS – less co-payments</w:t>
      </w:r>
    </w:p>
    <w:p w14:paraId="4F43A57C" w14:textId="6C82245A" w:rsidR="0059604F" w:rsidRPr="00287CEF" w:rsidRDefault="0059604F" w:rsidP="003F7519">
      <w:pPr>
        <w:pStyle w:val="TableFigureFooter"/>
        <w:keepNext/>
        <w:keepLines/>
      </w:pPr>
      <w:r w:rsidRPr="00424E65">
        <w:rPr>
          <w:vertAlign w:val="superscript"/>
        </w:rPr>
        <w:t>c</w:t>
      </w:r>
      <w:r w:rsidRPr="00424E65">
        <w:t xml:space="preserve"> </w:t>
      </w:r>
      <w:r w:rsidRPr="00287CEF">
        <w:t>There were errors in Table 4-22, p187 of the submission. They were corrected in the table above based on the source cited in the submission (Sheet 4b. Impact – affected (pub), Section 4 Workbook).</w:t>
      </w:r>
      <w:r w:rsidR="00AF2103" w:rsidRPr="00287CEF">
        <w:t xml:space="preserve"> The cost-savings were largely driven by ustekinumab. Cost-savings due to ustekinumab alone ranged between 65% in year 1 and 73% in year 6 (based on calculations done in sheet 4b. Impact – affected (pub), Section 4 Workbook).</w:t>
      </w:r>
      <w:r w:rsidR="000C52FF">
        <w:t xml:space="preserve"> </w:t>
      </w:r>
    </w:p>
    <w:p w14:paraId="6AA9F8CE" w14:textId="12E795AB" w:rsidR="0059604F" w:rsidRDefault="00605B0D" w:rsidP="004F7E33">
      <w:pPr>
        <w:pStyle w:val="TableFigureFooter"/>
        <w:spacing w:after="0"/>
      </w:pPr>
      <w:r w:rsidRPr="00287CEF">
        <w:rPr>
          <w:vertAlign w:val="superscript"/>
        </w:rPr>
        <w:t>d</w:t>
      </w:r>
      <w:r w:rsidR="0059604F" w:rsidRPr="00287CEF">
        <w:rPr>
          <w:vertAlign w:val="superscript"/>
        </w:rPr>
        <w:t xml:space="preserve"> </w:t>
      </w:r>
      <w:proofErr w:type="gramStart"/>
      <w:r w:rsidR="0059604F" w:rsidRPr="00287CEF">
        <w:t>As</w:t>
      </w:r>
      <w:proofErr w:type="gramEnd"/>
      <w:r w:rsidR="0059604F" w:rsidRPr="00287CEF">
        <w:t xml:space="preserve"> presented in the submission, which included MBS items 23, 116 and 14245. Excluding MBS item 23 would result in 9% less MBS savings in all years.</w:t>
      </w:r>
    </w:p>
    <w:p w14:paraId="5D21BB04" w14:textId="77777777" w:rsidR="004F7E33" w:rsidRPr="009A6D58" w:rsidRDefault="004F7E33" w:rsidP="004F7E33">
      <w:pPr>
        <w:rPr>
          <w:rFonts w:ascii="Arial Narrow" w:hAnsi="Arial Narrow"/>
          <w:i/>
          <w:sz w:val="18"/>
          <w:szCs w:val="18"/>
        </w:rPr>
      </w:pPr>
      <w:r w:rsidRPr="009A6D58">
        <w:rPr>
          <w:rFonts w:ascii="Arial Narrow" w:hAnsi="Arial Narrow"/>
          <w:i/>
          <w:sz w:val="18"/>
          <w:szCs w:val="18"/>
        </w:rPr>
        <w:lastRenderedPageBreak/>
        <w:t xml:space="preserve">The redacted values correspond to the following ranges: </w:t>
      </w:r>
    </w:p>
    <w:p w14:paraId="7210782B" w14:textId="774C3DBB" w:rsidR="004F7E33" w:rsidRPr="009A6D58" w:rsidRDefault="004F7E33" w:rsidP="004F7E33">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4F7E33">
        <w:rPr>
          <w:rFonts w:ascii="Arial Narrow" w:hAnsi="Arial Narrow"/>
          <w:i/>
          <w:sz w:val="18"/>
          <w:szCs w:val="18"/>
        </w:rPr>
        <w:t>5,000 to &lt; 10,000</w:t>
      </w:r>
    </w:p>
    <w:p w14:paraId="7CDF0327" w14:textId="7ACBB4DF" w:rsidR="004F7E33" w:rsidRPr="009A6D58" w:rsidRDefault="004F7E33" w:rsidP="004F7E33">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4F7E33">
        <w:rPr>
          <w:rFonts w:ascii="Arial Narrow" w:hAnsi="Arial Narrow"/>
          <w:i/>
          <w:sz w:val="18"/>
          <w:szCs w:val="18"/>
        </w:rPr>
        <w:t>10,000 to &lt; 20,000</w:t>
      </w:r>
    </w:p>
    <w:p w14:paraId="1288E0FD" w14:textId="164E7609" w:rsidR="004F7E33" w:rsidRDefault="004F7E33" w:rsidP="004F7E33">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4F7E33">
        <w:rPr>
          <w:rFonts w:ascii="Arial Narrow" w:hAnsi="Arial Narrow"/>
          <w:i/>
          <w:sz w:val="18"/>
          <w:szCs w:val="18"/>
        </w:rPr>
        <w:t>20,000 to &lt; 30,000</w:t>
      </w:r>
    </w:p>
    <w:p w14:paraId="282BFA17" w14:textId="18056D6F" w:rsidR="004F7E33" w:rsidRDefault="004F7E33" w:rsidP="004F7E33">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3</w:t>
      </w:r>
      <w:r w:rsidRPr="004F7E33">
        <w:rPr>
          <w:rFonts w:ascii="Arial Narrow" w:hAnsi="Arial Narrow"/>
          <w:i/>
          <w:sz w:val="18"/>
          <w:szCs w:val="18"/>
        </w:rPr>
        <w:t>0,000 to &lt; </w:t>
      </w:r>
      <w:r>
        <w:rPr>
          <w:rFonts w:ascii="Arial Narrow" w:hAnsi="Arial Narrow"/>
          <w:i/>
          <w:sz w:val="18"/>
          <w:szCs w:val="18"/>
        </w:rPr>
        <w:t>4</w:t>
      </w:r>
      <w:r w:rsidRPr="004F7E33">
        <w:rPr>
          <w:rFonts w:ascii="Arial Narrow" w:hAnsi="Arial Narrow"/>
          <w:i/>
          <w:sz w:val="18"/>
          <w:szCs w:val="18"/>
        </w:rPr>
        <w:t>0,000</w:t>
      </w:r>
    </w:p>
    <w:p w14:paraId="3A261654" w14:textId="5A08D520" w:rsidR="004F7E33" w:rsidRDefault="004F7E33" w:rsidP="004F7E33">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4</w:t>
      </w:r>
      <w:r w:rsidRPr="004F7E33">
        <w:rPr>
          <w:rFonts w:ascii="Arial Narrow" w:hAnsi="Arial Narrow"/>
          <w:i/>
          <w:sz w:val="18"/>
          <w:szCs w:val="18"/>
        </w:rPr>
        <w:t>0,000 to &lt; </w:t>
      </w:r>
      <w:r>
        <w:rPr>
          <w:rFonts w:ascii="Arial Narrow" w:hAnsi="Arial Narrow"/>
          <w:i/>
          <w:sz w:val="18"/>
          <w:szCs w:val="18"/>
        </w:rPr>
        <w:t>5</w:t>
      </w:r>
      <w:r w:rsidRPr="004F7E33">
        <w:rPr>
          <w:rFonts w:ascii="Arial Narrow" w:hAnsi="Arial Narrow"/>
          <w:i/>
          <w:sz w:val="18"/>
          <w:szCs w:val="18"/>
        </w:rPr>
        <w:t>0,000</w:t>
      </w:r>
    </w:p>
    <w:p w14:paraId="6233636A" w14:textId="438CBF05" w:rsidR="004F7E33" w:rsidRDefault="004F7E33" w:rsidP="004F7E33">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4F7E33">
        <w:rPr>
          <w:rFonts w:ascii="Arial Narrow" w:hAnsi="Arial Narrow"/>
          <w:i/>
          <w:sz w:val="18"/>
          <w:szCs w:val="18"/>
        </w:rPr>
        <w:t>$10 million to &lt; $20 million</w:t>
      </w:r>
    </w:p>
    <w:p w14:paraId="1775D6B4" w14:textId="2989E091" w:rsidR="004F7E33" w:rsidRPr="009A6D58" w:rsidRDefault="004F7E33" w:rsidP="004F7E33">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4F7E33">
        <w:rPr>
          <w:rFonts w:ascii="Arial Narrow" w:hAnsi="Arial Narrow"/>
          <w:i/>
          <w:sz w:val="18"/>
          <w:szCs w:val="18"/>
        </w:rPr>
        <w:t>$20 million to &lt; $30 millio</w:t>
      </w:r>
      <w:r>
        <w:rPr>
          <w:rFonts w:ascii="Arial Narrow" w:hAnsi="Arial Narrow"/>
          <w:i/>
          <w:sz w:val="18"/>
          <w:szCs w:val="18"/>
        </w:rPr>
        <w:t>n</w:t>
      </w:r>
    </w:p>
    <w:p w14:paraId="1EBA7CC7" w14:textId="52B6D594" w:rsidR="004F7E33" w:rsidRPr="009A6D58" w:rsidRDefault="004F7E33" w:rsidP="004F7E33">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4F7E33">
        <w:rPr>
          <w:rFonts w:ascii="Arial Narrow" w:hAnsi="Arial Narrow"/>
          <w:i/>
          <w:sz w:val="18"/>
          <w:szCs w:val="18"/>
        </w:rPr>
        <w:t>$30 million to &lt; $40 million</w:t>
      </w:r>
    </w:p>
    <w:p w14:paraId="73519969" w14:textId="7333C4B2" w:rsidR="004F7E33" w:rsidRDefault="004F7E33" w:rsidP="004F7E33">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Pr="004F7E33">
        <w:rPr>
          <w:rFonts w:ascii="Arial Narrow" w:hAnsi="Arial Narrow"/>
          <w:i/>
          <w:sz w:val="18"/>
          <w:szCs w:val="18"/>
        </w:rPr>
        <w:t>$40 million to &lt; $50 million</w:t>
      </w:r>
    </w:p>
    <w:p w14:paraId="1C77370D" w14:textId="683338CC" w:rsidR="004F7E33" w:rsidRDefault="004F7E33" w:rsidP="004F7E33">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Pr="004F7E33">
        <w:rPr>
          <w:rFonts w:ascii="Arial Narrow" w:hAnsi="Arial Narrow"/>
          <w:i/>
          <w:sz w:val="18"/>
          <w:szCs w:val="18"/>
        </w:rPr>
        <w:t>$50 million to &lt; $60 million</w:t>
      </w:r>
    </w:p>
    <w:p w14:paraId="2487A266" w14:textId="351BE735" w:rsidR="004F7E33" w:rsidRDefault="004F7E33" w:rsidP="004F7E33">
      <w:pPr>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004E35DA" w:rsidRPr="004E35DA">
        <w:rPr>
          <w:rFonts w:ascii="Arial Narrow" w:hAnsi="Arial Narrow"/>
          <w:i/>
          <w:sz w:val="18"/>
          <w:szCs w:val="18"/>
        </w:rPr>
        <w:t>$60 million to &lt; $70 million</w:t>
      </w:r>
    </w:p>
    <w:p w14:paraId="026DF122" w14:textId="0CE58D20" w:rsidR="004F7E33" w:rsidRDefault="004F7E33" w:rsidP="004F7E33">
      <w:pPr>
        <w:rPr>
          <w:rFonts w:ascii="Arial Narrow" w:hAnsi="Arial Narrow"/>
          <w:i/>
          <w:sz w:val="18"/>
          <w:szCs w:val="18"/>
        </w:rPr>
      </w:pPr>
      <w:r>
        <w:rPr>
          <w:rFonts w:ascii="Arial Narrow" w:hAnsi="Arial Narrow"/>
          <w:i/>
          <w:sz w:val="18"/>
          <w:szCs w:val="18"/>
          <w:vertAlign w:val="superscript"/>
        </w:rPr>
        <w:t>12</w:t>
      </w:r>
      <w:r>
        <w:rPr>
          <w:rFonts w:ascii="Arial Narrow" w:hAnsi="Arial Narrow"/>
          <w:i/>
          <w:sz w:val="18"/>
          <w:szCs w:val="18"/>
        </w:rPr>
        <w:t xml:space="preserve"> </w:t>
      </w:r>
      <w:r w:rsidR="004E35DA" w:rsidRPr="004E35DA">
        <w:rPr>
          <w:rFonts w:ascii="Arial Narrow" w:hAnsi="Arial Narrow"/>
          <w:i/>
          <w:sz w:val="18"/>
          <w:szCs w:val="18"/>
        </w:rPr>
        <w:t>net cost saving</w:t>
      </w:r>
    </w:p>
    <w:p w14:paraId="59657665" w14:textId="53CE02B5" w:rsidR="004F7E33" w:rsidRPr="004F7E33" w:rsidRDefault="004F7E33" w:rsidP="004F7E33">
      <w:pPr>
        <w:spacing w:after="120"/>
        <w:rPr>
          <w:rFonts w:ascii="Arial Narrow" w:hAnsi="Arial Narrow"/>
          <w:i/>
          <w:sz w:val="18"/>
          <w:szCs w:val="18"/>
        </w:rPr>
      </w:pPr>
      <w:r>
        <w:rPr>
          <w:rFonts w:ascii="Arial Narrow" w:hAnsi="Arial Narrow"/>
          <w:i/>
          <w:sz w:val="18"/>
          <w:szCs w:val="18"/>
          <w:vertAlign w:val="superscript"/>
        </w:rPr>
        <w:t>1</w:t>
      </w:r>
      <w:r w:rsidRPr="009A6D58">
        <w:rPr>
          <w:rFonts w:ascii="Arial Narrow" w:hAnsi="Arial Narrow"/>
          <w:i/>
          <w:sz w:val="18"/>
          <w:szCs w:val="18"/>
          <w:vertAlign w:val="superscript"/>
        </w:rPr>
        <w:t>3</w:t>
      </w:r>
      <w:r>
        <w:rPr>
          <w:rFonts w:ascii="Arial Narrow" w:hAnsi="Arial Narrow"/>
          <w:i/>
          <w:sz w:val="18"/>
          <w:szCs w:val="18"/>
        </w:rPr>
        <w:t xml:space="preserve"> </w:t>
      </w:r>
      <w:r w:rsidR="004E35DA" w:rsidRPr="004E35DA">
        <w:rPr>
          <w:rFonts w:ascii="Arial Narrow" w:hAnsi="Arial Narrow"/>
          <w:i/>
          <w:sz w:val="18"/>
          <w:szCs w:val="18"/>
        </w:rPr>
        <w:t>$0 to &lt; $10 million</w:t>
      </w:r>
    </w:p>
    <w:p w14:paraId="34DD7A3E" w14:textId="46723B07" w:rsidR="00B517CE" w:rsidRPr="00E50289" w:rsidRDefault="00B517CE" w:rsidP="0093794D">
      <w:pPr>
        <w:pStyle w:val="3-BodyText"/>
      </w:pPr>
      <w:bookmarkStart w:id="106" w:name="_Hlk121724917"/>
      <w:r w:rsidRPr="00E50289">
        <w:t xml:space="preserve">The total cost to the PBS/RPBS of listing upadacitinib was estimated to be </w:t>
      </w:r>
      <w:r w:rsidR="007C0C59" w:rsidRPr="007C0C59">
        <w:rPr>
          <w:iCs/>
        </w:rPr>
        <w:t>$60 million to &lt; $70 million</w:t>
      </w:r>
      <w:r w:rsidR="007C0C59" w:rsidRPr="007C0C59" w:rsidDel="007C0C59">
        <w:t xml:space="preserve"> </w:t>
      </w:r>
      <w:r w:rsidRPr="00E50289">
        <w:t xml:space="preserve">in Year 6, and a total of </w:t>
      </w:r>
      <w:r w:rsidR="007C0C59" w:rsidRPr="007C0C59">
        <w:t>$200 million to &lt; $300 million</w:t>
      </w:r>
      <w:r w:rsidR="007C0C59" w:rsidRPr="007C0C59" w:rsidDel="007C0C59">
        <w:t xml:space="preserve"> </w:t>
      </w:r>
      <w:r w:rsidRPr="00E50289">
        <w:t xml:space="preserve">in the first 6 years of listing based on the </w:t>
      </w:r>
      <w:r w:rsidR="00FE5C4E" w:rsidRPr="00E50289">
        <w:t xml:space="preserve">published </w:t>
      </w:r>
      <w:r w:rsidRPr="00E50289">
        <w:t>DPMQ</w:t>
      </w:r>
      <w:r w:rsidR="00371C3B" w:rsidRPr="00E50289">
        <w:t xml:space="preserve">, however after accounting for the </w:t>
      </w:r>
      <w:r w:rsidR="00FD3ED4" w:rsidRPr="00E50289">
        <w:t>replacement</w:t>
      </w:r>
      <w:r w:rsidR="00371C3B" w:rsidRPr="00E50289">
        <w:t xml:space="preserve"> of other medicines, the submission estimated a net save to the PBS</w:t>
      </w:r>
      <w:r w:rsidRPr="00E50289">
        <w:rPr>
          <w:color w:val="000000" w:themeColor="text1"/>
        </w:rPr>
        <w:t>.</w:t>
      </w:r>
      <w:r w:rsidRPr="00E50289">
        <w:rPr>
          <w:color w:val="3366FF"/>
        </w:rPr>
        <w:t xml:space="preserve"> </w:t>
      </w:r>
    </w:p>
    <w:p w14:paraId="070E9E5D" w14:textId="497A883E" w:rsidR="00D40C6F" w:rsidRPr="00E50289" w:rsidRDefault="00D40C6F" w:rsidP="0093794D">
      <w:pPr>
        <w:pStyle w:val="3-BodyText"/>
      </w:pPr>
      <w:r w:rsidRPr="00E50289">
        <w:rPr>
          <w:snapToGrid/>
          <w:color w:val="000000" w:themeColor="text1"/>
        </w:rPr>
        <w:t xml:space="preserve">The results should be considered with caution </w:t>
      </w:r>
      <w:r w:rsidR="004979AF" w:rsidRPr="00E50289">
        <w:rPr>
          <w:snapToGrid/>
          <w:color w:val="000000" w:themeColor="text1"/>
        </w:rPr>
        <w:t>be</w:t>
      </w:r>
      <w:r w:rsidR="005B49DE" w:rsidRPr="00E50289">
        <w:rPr>
          <w:snapToGrid/>
          <w:color w:val="000000" w:themeColor="text1"/>
        </w:rPr>
        <w:t>ca</w:t>
      </w:r>
      <w:r w:rsidR="004979AF" w:rsidRPr="00E50289">
        <w:rPr>
          <w:snapToGrid/>
          <w:color w:val="000000" w:themeColor="text1"/>
        </w:rPr>
        <w:t>use</w:t>
      </w:r>
      <w:r w:rsidRPr="00E50289">
        <w:rPr>
          <w:snapToGrid/>
          <w:color w:val="000000" w:themeColor="text1"/>
        </w:rPr>
        <w:t>:</w:t>
      </w:r>
    </w:p>
    <w:p w14:paraId="47007BAB" w14:textId="274F51CA" w:rsidR="00D40C6F" w:rsidRPr="00E50289" w:rsidRDefault="00D40C6F" w:rsidP="00E50289">
      <w:pPr>
        <w:pStyle w:val="3-BodyText"/>
        <w:numPr>
          <w:ilvl w:val="1"/>
          <w:numId w:val="32"/>
        </w:numPr>
        <w:ind w:left="1134"/>
      </w:pPr>
      <w:r w:rsidRPr="00E50289">
        <w:rPr>
          <w:snapToGrid/>
          <w:color w:val="000000" w:themeColor="text1"/>
        </w:rPr>
        <w:t xml:space="preserve">The substitution rates were unsupported and are uncertain. Upadacitinib may </w:t>
      </w:r>
      <w:r w:rsidR="000A7A0D" w:rsidRPr="00E50289">
        <w:rPr>
          <w:snapToGrid/>
          <w:color w:val="000000" w:themeColor="text1"/>
        </w:rPr>
        <w:t>replace the alternatives at a higher rate</w:t>
      </w:r>
      <w:r w:rsidRPr="00E50289">
        <w:rPr>
          <w:snapToGrid/>
          <w:color w:val="000000" w:themeColor="text1"/>
        </w:rPr>
        <w:t>, given it will be the only oral medicine available to treat severe Crohn disease if listed.</w:t>
      </w:r>
      <w:bookmarkStart w:id="107" w:name="_Hlk121725108"/>
      <w:r w:rsidR="006250F1" w:rsidRPr="00E50289">
        <w:rPr>
          <w:snapToGrid/>
          <w:color w:val="000000" w:themeColor="text1"/>
        </w:rPr>
        <w:t xml:space="preserve"> It may also grow the market </w:t>
      </w:r>
      <w:r w:rsidR="005B49DE" w:rsidRPr="00E50289">
        <w:rPr>
          <w:snapToGrid/>
          <w:color w:val="000000" w:themeColor="text1"/>
        </w:rPr>
        <w:t>due to</w:t>
      </w:r>
      <w:r w:rsidR="006250F1" w:rsidRPr="00E50289">
        <w:rPr>
          <w:snapToGrid/>
          <w:color w:val="000000" w:themeColor="text1"/>
        </w:rPr>
        <w:t xml:space="preserve"> patients who are refractory or intolerant to currently listed biologics returning for treatment.</w:t>
      </w:r>
      <w:bookmarkEnd w:id="107"/>
      <w:r w:rsidR="00242852" w:rsidRPr="00E50289">
        <w:rPr>
          <w:snapToGrid/>
          <w:color w:val="000000" w:themeColor="text1"/>
        </w:rPr>
        <w:t xml:space="preserve"> The ESC considered additional </w:t>
      </w:r>
      <w:r w:rsidR="00DA6A96" w:rsidRPr="00E50289">
        <w:rPr>
          <w:snapToGrid/>
          <w:color w:val="000000" w:themeColor="text1"/>
        </w:rPr>
        <w:t xml:space="preserve">market </w:t>
      </w:r>
      <w:r w:rsidR="00242852" w:rsidRPr="00E50289">
        <w:rPr>
          <w:snapToGrid/>
          <w:color w:val="000000" w:themeColor="text1"/>
        </w:rPr>
        <w:t>growth</w:t>
      </w:r>
      <w:r w:rsidR="00DA6A96" w:rsidRPr="00E50289">
        <w:rPr>
          <w:snapToGrid/>
          <w:color w:val="000000" w:themeColor="text1"/>
        </w:rPr>
        <w:t xml:space="preserve"> is likely</w:t>
      </w:r>
      <w:r w:rsidR="00242852" w:rsidRPr="00E50289">
        <w:rPr>
          <w:snapToGrid/>
          <w:color w:val="000000" w:themeColor="text1"/>
        </w:rPr>
        <w:t xml:space="preserve"> and noted this was acknowledged by the PSCR. </w:t>
      </w:r>
    </w:p>
    <w:bookmarkEnd w:id="106"/>
    <w:p w14:paraId="30B6C4C5" w14:textId="0433CADC" w:rsidR="0059604F" w:rsidRPr="00E50289" w:rsidRDefault="0059604F" w:rsidP="00E50289">
      <w:pPr>
        <w:pStyle w:val="3-BodyText"/>
        <w:numPr>
          <w:ilvl w:val="1"/>
          <w:numId w:val="32"/>
        </w:numPr>
        <w:ind w:left="1134"/>
      </w:pPr>
      <w:r w:rsidRPr="00E50289">
        <w:t xml:space="preserve">The submission identified MBS items 23 (category 1- professional attendance), 14245 (immunomodulating agent, administration of, by intravenous infusion for at least two hours duration) and 116 (professional attendance by a general practitioner at consulting rooms other than a service to which other items would apply, lasting less than 20 minutes). </w:t>
      </w:r>
      <w:r w:rsidR="00122F9C" w:rsidRPr="00E50289">
        <w:t>The inclusion of MBS items 14245 and 116 was considered appropriate in previous submissions</w:t>
      </w:r>
      <w:r w:rsidRPr="00E50289">
        <w:t xml:space="preserve"> (Paragraph 6.46</w:t>
      </w:r>
      <w:r w:rsidR="008A2B5F">
        <w:t xml:space="preserve"> and 6.54</w:t>
      </w:r>
      <w:r w:rsidRPr="00E50289">
        <w:t xml:space="preserve">, Vedolizumab, </w:t>
      </w:r>
      <w:r w:rsidR="00507D16">
        <w:t>PSD</w:t>
      </w:r>
      <w:r w:rsidRPr="00E50289">
        <w:t>, November 2020 PBAC meeting;). However, the inclusion of MBS item 23 (professional attendance by a general practitioner</w:t>
      </w:r>
      <w:r w:rsidR="00797165" w:rsidRPr="00E50289">
        <w:t xml:space="preserve">; cost: $39.75 with 10% of patients assumed to require </w:t>
      </w:r>
      <w:r w:rsidR="00BE032F" w:rsidRPr="00E50289">
        <w:t>such attendance</w:t>
      </w:r>
      <w:r w:rsidRPr="00E50289">
        <w:t xml:space="preserve">) </w:t>
      </w:r>
      <w:proofErr w:type="gramStart"/>
      <w:r w:rsidR="00736449">
        <w:t>is</w:t>
      </w:r>
      <w:r w:rsidR="00736449" w:rsidRPr="00E50289">
        <w:t xml:space="preserve"> </w:t>
      </w:r>
      <w:r w:rsidRPr="00E50289">
        <w:t>not be</w:t>
      </w:r>
      <w:proofErr w:type="gramEnd"/>
      <w:r w:rsidRPr="00E50289">
        <w:t xml:space="preserve"> appropriate and would overestimate the net reduction to MBS-funded procedures due to the listing of upadacitinib. </w:t>
      </w:r>
      <w:r w:rsidR="00E7252E" w:rsidRPr="00E50289">
        <w:t>T</w:t>
      </w:r>
      <w:r w:rsidRPr="00E50289">
        <w:t xml:space="preserve">he ESC </w:t>
      </w:r>
      <w:r w:rsidR="00E7252E" w:rsidRPr="00E50289">
        <w:t xml:space="preserve">previously </w:t>
      </w:r>
      <w:r w:rsidRPr="00E50289">
        <w:t xml:space="preserve">noted that MBS items for general practice should not be included in the estimated financial implications as these costs/savings to Government will not be realised in clinical practice (Paragraph 6.63, Cabotegravir/Cabotegravir and Rilpivirine, </w:t>
      </w:r>
      <w:r w:rsidR="00507D16">
        <w:t>PSD</w:t>
      </w:r>
      <w:r w:rsidRPr="00E50289">
        <w:t>, November 2021 PBAC meeting). Overall,</w:t>
      </w:r>
      <w:r w:rsidR="009A61CB" w:rsidRPr="00E50289">
        <w:t xml:space="preserve"> it </w:t>
      </w:r>
      <w:r w:rsidRPr="00E50289">
        <w:t>would have a minimal financial impact, with an overestimated MBS savings of around 9% in all years.</w:t>
      </w:r>
    </w:p>
    <w:p w14:paraId="2A4DF6CE" w14:textId="290EC123" w:rsidR="0059604F" w:rsidRPr="00E50289" w:rsidRDefault="0059604F" w:rsidP="0093794D">
      <w:pPr>
        <w:pStyle w:val="3-BodyText"/>
        <w:rPr>
          <w:rFonts w:eastAsia="SimSun"/>
        </w:rPr>
      </w:pPr>
      <w:r w:rsidRPr="00E50289">
        <w:t>The submission did not present sensitivity analyses on the financial implication estimates. The sensitivity analyses indicated that the net financial impacts are most sensitive to the substitution rates of upadacitinib and substitution rates with adalimumab relative to other comparator treatments.</w:t>
      </w:r>
      <w:r w:rsidR="00B039ED" w:rsidRPr="00E50289">
        <w:t xml:space="preserve"> However, if listed on a cost </w:t>
      </w:r>
      <w:r w:rsidR="00B039ED" w:rsidRPr="00E50289">
        <w:lastRenderedPageBreak/>
        <w:t>minimisation basis with the least costly alternative, UPA will only substitute for medicines that are the same or less costly.</w:t>
      </w:r>
    </w:p>
    <w:p w14:paraId="0C0203CC" w14:textId="77777777" w:rsidR="0059604F" w:rsidRPr="00C9624D" w:rsidRDefault="0059604F" w:rsidP="00097C1E">
      <w:pPr>
        <w:pStyle w:val="4-SubsectionHeading"/>
      </w:pPr>
      <w:bookmarkStart w:id="108" w:name="_Toc22897648"/>
      <w:bookmarkStart w:id="109" w:name="_Toc103776031"/>
      <w:bookmarkStart w:id="110" w:name="_Toc124863509"/>
      <w:r w:rsidRPr="00C9624D">
        <w:t>Quality Use of Medicines</w:t>
      </w:r>
      <w:bookmarkEnd w:id="108"/>
      <w:bookmarkEnd w:id="109"/>
      <w:bookmarkEnd w:id="110"/>
    </w:p>
    <w:p w14:paraId="44585D1C" w14:textId="4BCCC2FF" w:rsidR="0059604F" w:rsidRDefault="0059604F" w:rsidP="00097C1E">
      <w:pPr>
        <w:pStyle w:val="3-BodyText"/>
      </w:pPr>
      <w:r w:rsidRPr="0018238E">
        <w:t xml:space="preserve">The submission noted that the sponsor has a risk management plan, including an Australian-specific annex submitted to the TGA as part of the regulatory dossier. A patient support program was proposed to </w:t>
      </w:r>
      <w:r w:rsidR="00F276B4">
        <w:t>support</w:t>
      </w:r>
      <w:r w:rsidRPr="0018238E">
        <w:t xml:space="preserve"> prescribers and patients </w:t>
      </w:r>
      <w:r w:rsidR="00FB1B99">
        <w:t>regarding</w:t>
      </w:r>
      <w:r w:rsidRPr="0018238E">
        <w:t xml:space="preserve"> </w:t>
      </w:r>
      <w:r w:rsidR="00F276B4">
        <w:t>using</w:t>
      </w:r>
      <w:r w:rsidRPr="0018238E">
        <w:t xml:space="preserve"> upadacitinib. No post-marketing surveillance study was proposed in the submission.</w:t>
      </w:r>
    </w:p>
    <w:p w14:paraId="4166E1E2" w14:textId="77777777" w:rsidR="0059604F" w:rsidRPr="00C9624D" w:rsidRDefault="0059604F" w:rsidP="00097C1E">
      <w:pPr>
        <w:pStyle w:val="4-SubsectionHeading"/>
      </w:pPr>
      <w:bookmarkStart w:id="111" w:name="_Toc22897649"/>
      <w:bookmarkStart w:id="112" w:name="_Toc103776032"/>
      <w:bookmarkStart w:id="113" w:name="_Toc124863510"/>
      <w:r w:rsidRPr="00C9624D">
        <w:t>Financial Management – Risk Sharing Arrangements</w:t>
      </w:r>
      <w:bookmarkEnd w:id="111"/>
      <w:bookmarkEnd w:id="112"/>
      <w:bookmarkEnd w:id="113"/>
    </w:p>
    <w:p w14:paraId="6356FB04" w14:textId="02D9D9A3" w:rsidR="00882FC6" w:rsidRPr="00720169" w:rsidRDefault="0059604F" w:rsidP="00720169">
      <w:pPr>
        <w:pStyle w:val="3-BodyText"/>
        <w:rPr>
          <w:rFonts w:eastAsia="SimSun"/>
        </w:rPr>
      </w:pPr>
      <w:r w:rsidRPr="0085212D">
        <w:t xml:space="preserve">The submission did not identify any risk of usage beyond the restriction, and no risk-sharing arrangements were proposed. There are no risk-sharing arrangements in place for the comparator treatments for severe CD. </w:t>
      </w:r>
      <w:r w:rsidRPr="00287CEF">
        <w:t>There is a potential risk of upadacitinib leakage to less severe patients given a non-inferior clinical claim and that it will be the only oral medicine available to treat severe CD if listed, while all its comparators involve IV infusions and/or subcutaneous injections.</w:t>
      </w:r>
      <w:r w:rsidR="00E50289">
        <w:t xml:space="preserve"> </w:t>
      </w:r>
    </w:p>
    <w:p w14:paraId="2E67BFC4" w14:textId="77777777" w:rsidR="00E50289" w:rsidRPr="00C33D30" w:rsidRDefault="00E50289" w:rsidP="00E50289">
      <w:pPr>
        <w:ind w:firstLine="709"/>
        <w:rPr>
          <w:rFonts w:asciiTheme="minorHAnsi" w:hAnsiTheme="minorHAnsi"/>
          <w:i/>
        </w:rPr>
      </w:pPr>
      <w:r w:rsidRPr="00C33D30">
        <w:rPr>
          <w:rFonts w:asciiTheme="minorHAnsi" w:hAnsiTheme="minorHAnsi"/>
          <w:i/>
        </w:rPr>
        <w:t>For more detail on PBAC’s view, see section 7 PBAC outcome.</w:t>
      </w:r>
    </w:p>
    <w:p w14:paraId="5181DAF4" w14:textId="77777777" w:rsidR="00E50289" w:rsidRPr="0090150D" w:rsidRDefault="00E50289" w:rsidP="005B09D1">
      <w:pPr>
        <w:pStyle w:val="2-SectionHeading"/>
      </w:pPr>
      <w:bookmarkStart w:id="114" w:name="_Hlk76381249"/>
      <w:bookmarkStart w:id="115" w:name="_Hlk76377955"/>
      <w:bookmarkStart w:id="116" w:name="_Hlk103934877"/>
      <w:bookmarkStart w:id="117" w:name="_Toc103776034"/>
      <w:r w:rsidRPr="0090150D">
        <w:t>PBAC Outcome</w:t>
      </w:r>
    </w:p>
    <w:p w14:paraId="3048E712" w14:textId="3E042597" w:rsidR="004D2EE7" w:rsidRDefault="004D2EE7" w:rsidP="004D2EE7">
      <w:pPr>
        <w:pStyle w:val="3-BodyText"/>
        <w:rPr>
          <w:lang w:val="en-GB"/>
        </w:rPr>
      </w:pPr>
      <w:bookmarkStart w:id="118" w:name="_Hlk111543188"/>
      <w:r w:rsidRPr="004D2EE7">
        <w:rPr>
          <w:lang w:val="en-GB"/>
        </w:rPr>
        <w:t xml:space="preserve">The PBAC recommended the General Schedule listing of </w:t>
      </w:r>
      <w:r w:rsidR="003416DF">
        <w:rPr>
          <w:lang w:val="en-GB"/>
        </w:rPr>
        <w:t>up</w:t>
      </w:r>
      <w:r w:rsidR="00864042">
        <w:rPr>
          <w:lang w:val="en-GB"/>
        </w:rPr>
        <w:t>a</w:t>
      </w:r>
      <w:r w:rsidR="003416DF">
        <w:rPr>
          <w:lang w:val="en-GB"/>
        </w:rPr>
        <w:t>dacitinib</w:t>
      </w:r>
      <w:r w:rsidRPr="004D2EE7">
        <w:rPr>
          <w:lang w:val="en-GB"/>
        </w:rPr>
        <w:t xml:space="preserve"> for the treatment of</w:t>
      </w:r>
      <w:r w:rsidR="0094122B">
        <w:rPr>
          <w:lang w:val="en-GB"/>
        </w:rPr>
        <w:t xml:space="preserve"> severe</w:t>
      </w:r>
      <w:r w:rsidRPr="004D2EE7">
        <w:rPr>
          <w:lang w:val="en-GB"/>
        </w:rPr>
        <w:t xml:space="preserve"> </w:t>
      </w:r>
      <w:r w:rsidR="003416DF">
        <w:rPr>
          <w:lang w:val="en-GB"/>
        </w:rPr>
        <w:t xml:space="preserve">Crohn’s </w:t>
      </w:r>
      <w:r w:rsidR="00864042">
        <w:rPr>
          <w:lang w:val="en-GB"/>
        </w:rPr>
        <w:t>d</w:t>
      </w:r>
      <w:r w:rsidR="003416DF">
        <w:rPr>
          <w:lang w:val="en-GB"/>
        </w:rPr>
        <w:t>isease</w:t>
      </w:r>
      <w:r w:rsidR="0094122B">
        <w:rPr>
          <w:lang w:val="en-GB"/>
        </w:rPr>
        <w:t xml:space="preserve"> (CD)</w:t>
      </w:r>
      <w:r w:rsidRPr="004D2EE7">
        <w:rPr>
          <w:lang w:val="en-GB"/>
        </w:rPr>
        <w:t xml:space="preserve">. The PBAC’s recommendation was based on, among other matters, its assessment the cost-effectiveness of </w:t>
      </w:r>
      <w:r w:rsidR="003416DF">
        <w:rPr>
          <w:lang w:val="en-GB"/>
        </w:rPr>
        <w:t>upadacitinib</w:t>
      </w:r>
      <w:r w:rsidRPr="004D2EE7">
        <w:rPr>
          <w:lang w:val="en-GB"/>
        </w:rPr>
        <w:t xml:space="preserve"> would be acceptable if it were cost minimised to the least costly alternative therapy of </w:t>
      </w:r>
      <w:r w:rsidR="003416DF" w:rsidRPr="003416DF">
        <w:rPr>
          <w:lang w:val="en-GB"/>
        </w:rPr>
        <w:t>adalimumab, infliximab, vedolizumab, ustekinumab</w:t>
      </w:r>
      <w:r w:rsidR="00864042">
        <w:rPr>
          <w:lang w:val="en-GB"/>
        </w:rPr>
        <w:t xml:space="preserve">. The </w:t>
      </w:r>
      <w:r w:rsidR="00523D7B">
        <w:rPr>
          <w:lang w:val="en-GB"/>
        </w:rPr>
        <w:t xml:space="preserve">Committee </w:t>
      </w:r>
      <w:r w:rsidR="00864042">
        <w:rPr>
          <w:lang w:val="en-GB"/>
        </w:rPr>
        <w:t xml:space="preserve">noted risankizumab </w:t>
      </w:r>
      <w:proofErr w:type="gramStart"/>
      <w:r w:rsidR="00864042">
        <w:rPr>
          <w:lang w:val="en-GB"/>
        </w:rPr>
        <w:t>was recommended</w:t>
      </w:r>
      <w:proofErr w:type="gramEnd"/>
      <w:r w:rsidR="00864042">
        <w:rPr>
          <w:lang w:val="en-GB"/>
        </w:rPr>
        <w:t xml:space="preserve"> for listing at its November 2022 meeting</w:t>
      </w:r>
      <w:r w:rsidR="0067320A">
        <w:rPr>
          <w:lang w:val="en-GB"/>
        </w:rPr>
        <w:t xml:space="preserve"> but</w:t>
      </w:r>
      <w:r w:rsidR="00864042">
        <w:rPr>
          <w:lang w:val="en-GB"/>
        </w:rPr>
        <w:t xml:space="preserve"> was not yet listed on the PBS</w:t>
      </w:r>
      <w:r w:rsidR="00101A5F">
        <w:rPr>
          <w:lang w:val="en-GB"/>
        </w:rPr>
        <w:t>, however considered risankizumab was also an alternative therapy</w:t>
      </w:r>
      <w:r w:rsidR="00864042">
        <w:rPr>
          <w:lang w:val="en-GB"/>
        </w:rPr>
        <w:t>.</w:t>
      </w:r>
    </w:p>
    <w:p w14:paraId="7CA5D275" w14:textId="49C69A26" w:rsidR="00864042" w:rsidRPr="004D2EE7" w:rsidRDefault="00864042" w:rsidP="004D2EE7">
      <w:pPr>
        <w:pStyle w:val="3-BodyText"/>
        <w:rPr>
          <w:lang w:val="en-GB"/>
        </w:rPr>
      </w:pPr>
      <w:bookmarkStart w:id="119" w:name="_Ref140585804"/>
      <w:r>
        <w:rPr>
          <w:lang w:val="en-GB"/>
        </w:rPr>
        <w:t xml:space="preserve">The Committee considered the equi-effective doses of upadacitinib and the alternative therapies could be derived </w:t>
      </w:r>
      <w:r w:rsidR="0094122B">
        <w:rPr>
          <w:lang w:val="en-GB"/>
        </w:rPr>
        <w:t xml:space="preserve">with reference to the therapeutic relativity sheets and relevant Product Information documents, noting the equi-effective dose component includes treatment with upadacitinib </w:t>
      </w:r>
      <w:r w:rsidR="00793A55">
        <w:rPr>
          <w:lang w:val="en-GB"/>
        </w:rPr>
        <w:t>45 </w:t>
      </w:r>
      <w:r w:rsidR="0094122B">
        <w:rPr>
          <w:lang w:val="en-GB"/>
        </w:rPr>
        <w:t>mg once daily for 12</w:t>
      </w:r>
      <w:r w:rsidR="00793A55">
        <w:rPr>
          <w:lang w:val="en-GB"/>
        </w:rPr>
        <w:t> </w:t>
      </w:r>
      <w:r w:rsidR="0094122B">
        <w:rPr>
          <w:lang w:val="en-GB"/>
        </w:rPr>
        <w:t>weeks in induction therapy, followed by either 15</w:t>
      </w:r>
      <w:r w:rsidR="00793A55">
        <w:rPr>
          <w:lang w:val="en-GB"/>
        </w:rPr>
        <w:t> </w:t>
      </w:r>
      <w:r w:rsidR="0094122B">
        <w:rPr>
          <w:lang w:val="en-GB"/>
        </w:rPr>
        <w:t>mg or 30</w:t>
      </w:r>
      <w:r w:rsidR="00793A55">
        <w:rPr>
          <w:lang w:val="en-GB"/>
        </w:rPr>
        <w:t> </w:t>
      </w:r>
      <w:r w:rsidR="0094122B">
        <w:rPr>
          <w:lang w:val="en-GB"/>
        </w:rPr>
        <w:t>mg once daily thereafter for maintenance therap</w:t>
      </w:r>
      <w:r w:rsidR="00101A5F">
        <w:rPr>
          <w:lang w:val="en-GB"/>
        </w:rPr>
        <w:t>y and a split of 70% use of 15</w:t>
      </w:r>
      <w:r w:rsidR="00793A55">
        <w:rPr>
          <w:lang w:val="en-GB"/>
        </w:rPr>
        <w:t> </w:t>
      </w:r>
      <w:r w:rsidR="00101A5F">
        <w:rPr>
          <w:lang w:val="en-GB"/>
        </w:rPr>
        <w:t>mg and 30% use of 30</w:t>
      </w:r>
      <w:r w:rsidR="00793A55">
        <w:rPr>
          <w:lang w:val="en-GB"/>
        </w:rPr>
        <w:t> </w:t>
      </w:r>
      <w:r w:rsidR="00101A5F">
        <w:rPr>
          <w:lang w:val="en-GB"/>
        </w:rPr>
        <w:t>mg (per Table</w:t>
      </w:r>
      <w:r w:rsidR="00793A55">
        <w:rPr>
          <w:lang w:val="en-GB"/>
        </w:rPr>
        <w:t> </w:t>
      </w:r>
      <w:r w:rsidR="00101A5F">
        <w:rPr>
          <w:lang w:val="en-GB"/>
        </w:rPr>
        <w:t>12) was likely to be reasonable</w:t>
      </w:r>
      <w:r w:rsidR="0094122B">
        <w:rPr>
          <w:lang w:val="en-GB"/>
        </w:rPr>
        <w:t>.</w:t>
      </w:r>
      <w:bookmarkEnd w:id="119"/>
    </w:p>
    <w:p w14:paraId="53E42F50" w14:textId="015CDDF1" w:rsidR="004D2EE7" w:rsidRPr="004D2EE7" w:rsidRDefault="004D2EE7" w:rsidP="004D2EE7">
      <w:pPr>
        <w:pStyle w:val="3-BodyText"/>
        <w:rPr>
          <w:lang w:val="en-GB"/>
        </w:rPr>
      </w:pPr>
      <w:r w:rsidRPr="004D2EE7">
        <w:rPr>
          <w:lang w:val="en-GB"/>
        </w:rPr>
        <w:t xml:space="preserve">The PBAC considered it was reasonable for the listing of </w:t>
      </w:r>
      <w:r w:rsidR="0094122B">
        <w:rPr>
          <w:lang w:val="en-GB"/>
        </w:rPr>
        <w:t>upadacitinib</w:t>
      </w:r>
      <w:r w:rsidRPr="004D2EE7">
        <w:rPr>
          <w:lang w:val="en-GB"/>
        </w:rPr>
        <w:t xml:space="preserve"> to be consistent with other biologic or targeted synthetic disease modifying anti-rheumatic drugs (bDMARDs/tsDMARDs), with prescribing limited to eligible medical practitioners, an </w:t>
      </w:r>
      <w:r w:rsidR="009707D5">
        <w:rPr>
          <w:lang w:val="en-GB"/>
        </w:rPr>
        <w:t>induction</w:t>
      </w:r>
      <w:r w:rsidRPr="004D2EE7">
        <w:rPr>
          <w:lang w:val="en-GB"/>
        </w:rPr>
        <w:t xml:space="preserve"> treatment period of 1</w:t>
      </w:r>
      <w:r w:rsidR="009707D5">
        <w:rPr>
          <w:lang w:val="en-GB"/>
        </w:rPr>
        <w:t>2</w:t>
      </w:r>
      <w:r w:rsidRPr="004D2EE7">
        <w:rPr>
          <w:lang w:val="en-GB"/>
        </w:rPr>
        <w:t xml:space="preserve"> weeks, followed by maintenance therapy</w:t>
      </w:r>
      <w:r w:rsidR="009707D5">
        <w:rPr>
          <w:lang w:val="en-GB"/>
        </w:rPr>
        <w:t xml:space="preserve"> </w:t>
      </w:r>
      <w:r w:rsidRPr="004D2EE7">
        <w:rPr>
          <w:lang w:val="en-GB"/>
        </w:rPr>
        <w:t>with re-assessment at 24-week interval</w:t>
      </w:r>
      <w:r w:rsidR="0094122B">
        <w:rPr>
          <w:lang w:val="en-GB"/>
        </w:rPr>
        <w:t>s.</w:t>
      </w:r>
      <w:r w:rsidR="00D12A02" w:rsidRPr="004D2EE7">
        <w:rPr>
          <w:lang w:val="en-GB"/>
        </w:rPr>
        <w:t xml:space="preserve"> </w:t>
      </w:r>
      <w:r w:rsidRPr="004D2EE7">
        <w:rPr>
          <w:lang w:val="en-GB"/>
        </w:rPr>
        <w:t xml:space="preserve">The Committee noted the flow-on changes to other </w:t>
      </w:r>
      <w:r w:rsidR="009707D5">
        <w:rPr>
          <w:lang w:val="en-GB"/>
        </w:rPr>
        <w:t>CD</w:t>
      </w:r>
      <w:r w:rsidRPr="004D2EE7">
        <w:rPr>
          <w:lang w:val="en-GB"/>
        </w:rPr>
        <w:t xml:space="preserve"> listings to include </w:t>
      </w:r>
      <w:r w:rsidR="009707D5">
        <w:rPr>
          <w:lang w:val="en-GB"/>
        </w:rPr>
        <w:t>upadacitinib</w:t>
      </w:r>
      <w:r w:rsidRPr="004D2EE7">
        <w:rPr>
          <w:lang w:val="en-GB"/>
        </w:rPr>
        <w:t xml:space="preserve"> in the list of eligible therapies.</w:t>
      </w:r>
    </w:p>
    <w:p w14:paraId="4D941D99" w14:textId="62BB1E72" w:rsidR="004D2EE7" w:rsidRDefault="00D730A4" w:rsidP="00D730A4">
      <w:pPr>
        <w:pStyle w:val="3-BodyText"/>
        <w:rPr>
          <w:lang w:val="en-GB"/>
        </w:rPr>
      </w:pPr>
      <w:r w:rsidRPr="00D730A4">
        <w:rPr>
          <w:lang w:val="en-GB"/>
        </w:rPr>
        <w:lastRenderedPageBreak/>
        <w:t xml:space="preserve">The submission nominated all currently listed </w:t>
      </w:r>
      <w:r w:rsidR="00DE0631">
        <w:rPr>
          <w:lang w:val="en-GB"/>
        </w:rPr>
        <w:t xml:space="preserve">(or recommended) </w:t>
      </w:r>
      <w:r w:rsidRPr="00D730A4">
        <w:rPr>
          <w:lang w:val="en-GB"/>
        </w:rPr>
        <w:t xml:space="preserve">bDMARDs for Crohn’s disease as comparators, including adalimumab, infliximab, vedolizumab, ustekinumab and </w:t>
      </w:r>
      <w:r w:rsidR="00B22FD9">
        <w:rPr>
          <w:lang w:val="en-GB"/>
        </w:rPr>
        <w:t>r</w:t>
      </w:r>
      <w:r w:rsidRPr="00D730A4">
        <w:rPr>
          <w:lang w:val="en-GB"/>
        </w:rPr>
        <w:t xml:space="preserve">isankizumab. </w:t>
      </w:r>
      <w:r w:rsidR="00B22FD9">
        <w:rPr>
          <w:lang w:val="en-GB"/>
        </w:rPr>
        <w:t>The PBAC considered the nominated comparators</w:t>
      </w:r>
      <w:r>
        <w:rPr>
          <w:lang w:val="en-GB"/>
        </w:rPr>
        <w:t xml:space="preserve"> </w:t>
      </w:r>
      <w:r w:rsidR="00B22FD9">
        <w:rPr>
          <w:lang w:val="en-GB"/>
        </w:rPr>
        <w:t xml:space="preserve">were reasonable, however noted the submission also argued adalimumab should be the primary comparator as upadacitinib would similarly be </w:t>
      </w:r>
      <w:proofErr w:type="gramStart"/>
      <w:r w:rsidR="00B22FD9">
        <w:rPr>
          <w:lang w:val="en-GB"/>
        </w:rPr>
        <w:t>predominantly used</w:t>
      </w:r>
      <w:proofErr w:type="gramEnd"/>
      <w:r w:rsidR="00B22FD9">
        <w:rPr>
          <w:lang w:val="en-GB"/>
        </w:rPr>
        <w:t xml:space="preserve"> in the community setting. The PBAC considered upadacitinib </w:t>
      </w:r>
      <w:r w:rsidR="00930C1D">
        <w:rPr>
          <w:lang w:val="en-GB"/>
        </w:rPr>
        <w:t>would</w:t>
      </w:r>
      <w:r w:rsidR="00B22FD9">
        <w:rPr>
          <w:lang w:val="en-GB"/>
        </w:rPr>
        <w:t xml:space="preserve"> replace </w:t>
      </w:r>
      <w:r w:rsidR="00930C1D">
        <w:rPr>
          <w:lang w:val="en-GB"/>
        </w:rPr>
        <w:t>all</w:t>
      </w:r>
      <w:r w:rsidR="00B22FD9">
        <w:rPr>
          <w:lang w:val="en-GB"/>
        </w:rPr>
        <w:t xml:space="preserve"> the alternative therapies in practice. </w:t>
      </w:r>
    </w:p>
    <w:p w14:paraId="3ED7212C" w14:textId="7C3D7DE9" w:rsidR="00D730A4" w:rsidRPr="003439BA" w:rsidRDefault="00B22FD9" w:rsidP="003439BA">
      <w:pPr>
        <w:pStyle w:val="3-BodyText"/>
        <w:rPr>
          <w:lang w:val="en-GB"/>
        </w:rPr>
      </w:pPr>
      <w:r>
        <w:rPr>
          <w:lang w:val="en-GB"/>
        </w:rPr>
        <w:t>The PBAC noted no direct trials comparing upadacitinib to the alternatives were presented and the submission relied on indirect treatment comparisons (ITCs) supported by</w:t>
      </w:r>
      <w:r w:rsidR="00D730A4" w:rsidRPr="00D730A4">
        <w:rPr>
          <w:lang w:val="en-GB"/>
        </w:rPr>
        <w:t xml:space="preserve"> </w:t>
      </w:r>
      <w:proofErr w:type="gramStart"/>
      <w:r w:rsidR="00D730A4" w:rsidRPr="00D730A4">
        <w:rPr>
          <w:lang w:val="en-GB"/>
        </w:rPr>
        <w:t>3</w:t>
      </w:r>
      <w:proofErr w:type="gramEnd"/>
      <w:r w:rsidR="00D730A4" w:rsidRPr="00D730A4">
        <w:rPr>
          <w:lang w:val="en-GB"/>
        </w:rPr>
        <w:t xml:space="preserve"> upadacitinib trials (2 induction, 1 maintenance) and 18 comparator </w:t>
      </w:r>
      <w:r>
        <w:rPr>
          <w:lang w:val="en-GB"/>
        </w:rPr>
        <w:t>trials</w:t>
      </w:r>
      <w:r w:rsidR="00D730A4" w:rsidRPr="00D730A4">
        <w:rPr>
          <w:lang w:val="en-GB"/>
        </w:rPr>
        <w:t>.</w:t>
      </w:r>
      <w:r w:rsidR="00930C1D">
        <w:rPr>
          <w:lang w:val="en-GB"/>
        </w:rPr>
        <w:t xml:space="preserve"> </w:t>
      </w:r>
      <w:r w:rsidR="003439BA">
        <w:rPr>
          <w:lang w:val="en-GB"/>
        </w:rPr>
        <w:t>The Committee also</w:t>
      </w:r>
      <w:r w:rsidR="00930C1D" w:rsidRPr="003439BA">
        <w:rPr>
          <w:lang w:val="en-GB"/>
        </w:rPr>
        <w:t xml:space="preserve"> noted th</w:t>
      </w:r>
      <w:r w:rsidR="003439BA">
        <w:rPr>
          <w:lang w:val="en-GB"/>
        </w:rPr>
        <w:t>e</w:t>
      </w:r>
      <w:r w:rsidR="00930C1D" w:rsidRPr="003439BA">
        <w:rPr>
          <w:lang w:val="en-GB"/>
        </w:rPr>
        <w:t xml:space="preserve"> results</w:t>
      </w:r>
      <w:r w:rsidR="003439BA">
        <w:rPr>
          <w:lang w:val="en-GB"/>
        </w:rPr>
        <w:t xml:space="preserve"> of the trials</w:t>
      </w:r>
      <w:r w:rsidR="00930C1D" w:rsidRPr="003439BA">
        <w:rPr>
          <w:lang w:val="en-GB"/>
        </w:rPr>
        <w:t xml:space="preserve"> showed upadacitinib achieved statistically significantly higher rates of response and remission in induction and maintenance therapy over placebo. With respect to the ITCs, the PBAC noted some inconsistency with the results, with some analyses showing statistically significant differences</w:t>
      </w:r>
      <w:r w:rsidR="00101A5F" w:rsidRPr="003439BA">
        <w:rPr>
          <w:lang w:val="en-GB"/>
        </w:rPr>
        <w:t xml:space="preserve"> selectively based on odds ratio, relative </w:t>
      </w:r>
      <w:proofErr w:type="gramStart"/>
      <w:r w:rsidR="00101A5F" w:rsidRPr="003439BA">
        <w:rPr>
          <w:lang w:val="en-GB"/>
        </w:rPr>
        <w:t>risk</w:t>
      </w:r>
      <w:proofErr w:type="gramEnd"/>
      <w:r w:rsidR="00101A5F" w:rsidRPr="003439BA">
        <w:rPr>
          <w:lang w:val="en-GB"/>
        </w:rPr>
        <w:t xml:space="preserve"> or risk difference</w:t>
      </w:r>
      <w:r w:rsidR="00930C1D" w:rsidRPr="003439BA">
        <w:rPr>
          <w:lang w:val="en-GB"/>
        </w:rPr>
        <w:t>, with some favouring upadacitinib and others a comparator drug. The PBAC further considered there were transitivity issues which impacted interpretation of the ITCs and considered it was appropriate to consider the totality of the available evidence.</w:t>
      </w:r>
      <w:r w:rsidR="00D730A4" w:rsidRPr="003439BA">
        <w:rPr>
          <w:lang w:val="en-GB"/>
        </w:rPr>
        <w:t xml:space="preserve"> </w:t>
      </w:r>
      <w:r w:rsidR="00930C1D" w:rsidRPr="003439BA">
        <w:rPr>
          <w:lang w:val="en-GB"/>
        </w:rPr>
        <w:t>O</w:t>
      </w:r>
      <w:r w:rsidR="00D730A4" w:rsidRPr="003439BA">
        <w:rPr>
          <w:lang w:val="en-GB"/>
        </w:rPr>
        <w:t>verall</w:t>
      </w:r>
      <w:r w:rsidR="00930C1D" w:rsidRPr="003439BA">
        <w:rPr>
          <w:lang w:val="en-GB"/>
        </w:rPr>
        <w:t>, the PBAC considered there was</w:t>
      </w:r>
      <w:r w:rsidR="00D730A4" w:rsidRPr="003439BA">
        <w:rPr>
          <w:lang w:val="en-GB"/>
        </w:rPr>
        <w:t xml:space="preserve"> no clear directionality with results</w:t>
      </w:r>
      <w:r w:rsidR="00930C1D" w:rsidRPr="003439BA">
        <w:rPr>
          <w:lang w:val="en-GB"/>
        </w:rPr>
        <w:t xml:space="preserve"> of the ITCs</w:t>
      </w:r>
      <w:r w:rsidR="00D730A4" w:rsidRPr="003439BA">
        <w:rPr>
          <w:lang w:val="en-GB"/>
        </w:rPr>
        <w:t xml:space="preserve"> and no</w:t>
      </w:r>
      <w:r w:rsidR="00930C1D" w:rsidRPr="003439BA">
        <w:rPr>
          <w:lang w:val="en-GB"/>
        </w:rPr>
        <w:t xml:space="preserve"> clear</w:t>
      </w:r>
      <w:r w:rsidR="00D730A4" w:rsidRPr="003439BA">
        <w:rPr>
          <w:lang w:val="en-GB"/>
        </w:rPr>
        <w:t xml:space="preserve"> indication of a difference in effectiveness between upadacitinib and</w:t>
      </w:r>
      <w:r w:rsidR="00930C1D" w:rsidRPr="003439BA">
        <w:rPr>
          <w:lang w:val="en-GB"/>
        </w:rPr>
        <w:t xml:space="preserve"> any of</w:t>
      </w:r>
      <w:r w:rsidR="00D730A4" w:rsidRPr="003439BA">
        <w:rPr>
          <w:lang w:val="en-GB"/>
        </w:rPr>
        <w:t xml:space="preserve"> the comparators</w:t>
      </w:r>
      <w:r w:rsidR="00930C1D" w:rsidRPr="003439BA">
        <w:rPr>
          <w:lang w:val="en-GB"/>
        </w:rPr>
        <w:t>, in either induction or maintenance therapy</w:t>
      </w:r>
      <w:r w:rsidR="006C4556" w:rsidRPr="003439BA">
        <w:rPr>
          <w:lang w:val="en-GB"/>
        </w:rPr>
        <w:t xml:space="preserve"> and considered that the claim of non-inferior comparative effectiveness to the </w:t>
      </w:r>
      <w:r w:rsidR="00DE0631">
        <w:rPr>
          <w:lang w:val="en-GB"/>
        </w:rPr>
        <w:t xml:space="preserve">nominated comparators </w:t>
      </w:r>
      <w:r w:rsidR="006C4556" w:rsidRPr="003439BA">
        <w:rPr>
          <w:lang w:val="en-GB"/>
        </w:rPr>
        <w:t xml:space="preserve">was, on balance, likely to </w:t>
      </w:r>
      <w:proofErr w:type="gramStart"/>
      <w:r w:rsidR="006C4556" w:rsidRPr="003439BA">
        <w:rPr>
          <w:lang w:val="en-GB"/>
        </w:rPr>
        <w:t>be supported</w:t>
      </w:r>
      <w:proofErr w:type="gramEnd"/>
      <w:r w:rsidR="00D730A4" w:rsidRPr="003439BA">
        <w:rPr>
          <w:lang w:val="en-GB"/>
        </w:rPr>
        <w:t xml:space="preserve">. </w:t>
      </w:r>
    </w:p>
    <w:p w14:paraId="146E8C91" w14:textId="4B9F8C10" w:rsidR="00D730A4" w:rsidRDefault="00D730A4" w:rsidP="00D730A4">
      <w:pPr>
        <w:pStyle w:val="3-BodyText"/>
        <w:rPr>
          <w:lang w:val="en-GB"/>
        </w:rPr>
      </w:pPr>
      <w:r w:rsidRPr="00D730A4">
        <w:rPr>
          <w:lang w:val="en-GB"/>
        </w:rPr>
        <w:t xml:space="preserve">The submission presented </w:t>
      </w:r>
      <w:r w:rsidR="006C4556" w:rsidRPr="00D730A4">
        <w:rPr>
          <w:lang w:val="en-GB"/>
        </w:rPr>
        <w:t>many</w:t>
      </w:r>
      <w:r w:rsidRPr="00D730A4">
        <w:rPr>
          <w:lang w:val="en-GB"/>
        </w:rPr>
        <w:t xml:space="preserve"> </w:t>
      </w:r>
      <w:r w:rsidR="006C4556">
        <w:rPr>
          <w:lang w:val="en-GB"/>
        </w:rPr>
        <w:t>ITCs</w:t>
      </w:r>
      <w:r w:rsidRPr="00D730A4">
        <w:rPr>
          <w:lang w:val="en-GB"/>
        </w:rPr>
        <w:t xml:space="preserve"> for adverse events, serious adverse events, serious </w:t>
      </w:r>
      <w:proofErr w:type="gramStart"/>
      <w:r w:rsidRPr="00D730A4">
        <w:rPr>
          <w:lang w:val="en-GB"/>
        </w:rPr>
        <w:t>infections</w:t>
      </w:r>
      <w:proofErr w:type="gramEnd"/>
      <w:r w:rsidRPr="00D730A4">
        <w:rPr>
          <w:lang w:val="en-GB"/>
        </w:rPr>
        <w:t xml:space="preserve"> and adverse events leading to discontinuation. </w:t>
      </w:r>
      <w:r>
        <w:rPr>
          <w:lang w:val="en-GB"/>
        </w:rPr>
        <w:t>The PBAC noted, f</w:t>
      </w:r>
      <w:r w:rsidRPr="00D730A4">
        <w:rPr>
          <w:lang w:val="en-GB"/>
        </w:rPr>
        <w:t xml:space="preserve">or induction therapy, upadacitinib </w:t>
      </w:r>
      <w:r w:rsidR="006C4556">
        <w:rPr>
          <w:lang w:val="en-GB"/>
        </w:rPr>
        <w:t>was associated with</w:t>
      </w:r>
      <w:r w:rsidRPr="00D730A4">
        <w:rPr>
          <w:lang w:val="en-GB"/>
        </w:rPr>
        <w:t xml:space="preserve"> statistically significantly </w:t>
      </w:r>
      <w:r w:rsidR="006C4556">
        <w:rPr>
          <w:lang w:val="en-GB"/>
        </w:rPr>
        <w:t>worse results versus</w:t>
      </w:r>
      <w:r w:rsidRPr="00D730A4">
        <w:rPr>
          <w:lang w:val="en-GB"/>
        </w:rPr>
        <w:t xml:space="preserve"> risankizumab for </w:t>
      </w:r>
      <w:proofErr w:type="gramStart"/>
      <w:r w:rsidRPr="00D730A4">
        <w:rPr>
          <w:lang w:val="en-GB"/>
        </w:rPr>
        <w:t>most of</w:t>
      </w:r>
      <w:proofErr w:type="gramEnd"/>
      <w:r w:rsidRPr="00D730A4">
        <w:rPr>
          <w:lang w:val="en-GB"/>
        </w:rPr>
        <w:t xml:space="preserve"> these outcomes, with inconsistent results versus other comparators</w:t>
      </w:r>
      <w:r w:rsidR="006C4556">
        <w:rPr>
          <w:lang w:val="en-GB"/>
        </w:rPr>
        <w:t xml:space="preserve"> but most not reaching statistical significance</w:t>
      </w:r>
      <w:r>
        <w:rPr>
          <w:lang w:val="en-GB"/>
        </w:rPr>
        <w:t>. The PBAC noted f</w:t>
      </w:r>
      <w:r w:rsidRPr="00D730A4">
        <w:rPr>
          <w:lang w:val="en-GB"/>
        </w:rPr>
        <w:t xml:space="preserve">or maintenance therapy the results were </w:t>
      </w:r>
      <w:proofErr w:type="gramStart"/>
      <w:r w:rsidRPr="00D730A4">
        <w:rPr>
          <w:lang w:val="en-GB"/>
        </w:rPr>
        <w:t>generally similar</w:t>
      </w:r>
      <w:proofErr w:type="gramEnd"/>
      <w:r w:rsidR="006C4556">
        <w:rPr>
          <w:lang w:val="en-GB"/>
        </w:rPr>
        <w:t xml:space="preserve"> with inconsistent results but most not reaching statistical significance. </w:t>
      </w:r>
      <w:r>
        <w:rPr>
          <w:lang w:val="en-GB"/>
        </w:rPr>
        <w:t xml:space="preserve">The PBAC </w:t>
      </w:r>
      <w:r w:rsidR="00DE0631">
        <w:rPr>
          <w:lang w:val="en-GB"/>
        </w:rPr>
        <w:t xml:space="preserve">considered </w:t>
      </w:r>
      <w:r>
        <w:rPr>
          <w:lang w:val="en-GB"/>
        </w:rPr>
        <w:t>that o</w:t>
      </w:r>
      <w:r w:rsidRPr="00D730A4">
        <w:rPr>
          <w:lang w:val="en-GB"/>
        </w:rPr>
        <w:t xml:space="preserve">verall, the safety profile of upadacitinib in Crohn’s disease appears to be consistent with </w:t>
      </w:r>
      <w:r w:rsidR="006C4556">
        <w:rPr>
          <w:lang w:val="en-GB"/>
        </w:rPr>
        <w:t>its known safety</w:t>
      </w:r>
      <w:r w:rsidRPr="00D730A4">
        <w:rPr>
          <w:lang w:val="en-GB"/>
        </w:rPr>
        <w:t xml:space="preserve"> profile in other indications</w:t>
      </w:r>
      <w:r w:rsidR="006C4556">
        <w:rPr>
          <w:lang w:val="en-GB"/>
        </w:rPr>
        <w:t xml:space="preserve"> and that a claim of non-inferior comparative safety to the </w:t>
      </w:r>
      <w:r w:rsidR="00DE0631">
        <w:rPr>
          <w:lang w:val="en-GB"/>
        </w:rPr>
        <w:t xml:space="preserve">nominated comparators </w:t>
      </w:r>
      <w:r w:rsidR="006C4556">
        <w:rPr>
          <w:lang w:val="en-GB"/>
        </w:rPr>
        <w:t>was, on balance, likely to be reasonable.</w:t>
      </w:r>
    </w:p>
    <w:p w14:paraId="704C1EED" w14:textId="63148B0E" w:rsidR="00492EA5" w:rsidRPr="00D730A4" w:rsidRDefault="00492EA5" w:rsidP="00D730A4">
      <w:pPr>
        <w:pStyle w:val="3-BodyText"/>
        <w:rPr>
          <w:lang w:val="en-GB"/>
        </w:rPr>
      </w:pPr>
      <w:r>
        <w:rPr>
          <w:lang w:val="en-GB"/>
        </w:rPr>
        <w:t>The PBAC considered that a listing based on a cost minimisation approach, with costs over two years, consistent with the approach previously used for bDMARDs/tsDMARDs,</w:t>
      </w:r>
      <w:r w:rsidR="006C4556">
        <w:rPr>
          <w:lang w:val="en-GB"/>
        </w:rPr>
        <w:t xml:space="preserve"> was appropriate to determine the cost minimised price of upadacitinib. The PBAC considered the cost of upadacitinib should be no greater than the alternative therapies</w:t>
      </w:r>
      <w:r w:rsidR="00101A5F">
        <w:rPr>
          <w:lang w:val="en-GB"/>
        </w:rPr>
        <w:t>, accounting for the proportional split of 70% use of 15</w:t>
      </w:r>
      <w:r w:rsidR="00793A55">
        <w:rPr>
          <w:lang w:val="en-GB"/>
        </w:rPr>
        <w:t> </w:t>
      </w:r>
      <w:r w:rsidR="00101A5F">
        <w:rPr>
          <w:lang w:val="en-GB"/>
        </w:rPr>
        <w:t xml:space="preserve">mg and 30% use of 30 mg in maintenance therapy (see Table 12 and paragraph </w:t>
      </w:r>
      <w:r w:rsidR="00101A5F">
        <w:rPr>
          <w:lang w:val="en-GB"/>
        </w:rPr>
        <w:fldChar w:fldCharType="begin" w:fldLock="1"/>
      </w:r>
      <w:r w:rsidR="00101A5F">
        <w:rPr>
          <w:lang w:val="en-GB"/>
        </w:rPr>
        <w:instrText xml:space="preserve"> REF _Ref140585804 \r \h </w:instrText>
      </w:r>
      <w:r w:rsidR="00101A5F">
        <w:rPr>
          <w:lang w:val="en-GB"/>
        </w:rPr>
      </w:r>
      <w:r w:rsidR="00101A5F">
        <w:rPr>
          <w:lang w:val="en-GB"/>
        </w:rPr>
        <w:fldChar w:fldCharType="separate"/>
      </w:r>
      <w:r w:rsidR="00101A5F">
        <w:rPr>
          <w:lang w:val="en-GB"/>
        </w:rPr>
        <w:t>7.2</w:t>
      </w:r>
      <w:r w:rsidR="00101A5F">
        <w:rPr>
          <w:lang w:val="en-GB"/>
        </w:rPr>
        <w:fldChar w:fldCharType="end"/>
      </w:r>
      <w:r w:rsidR="00101A5F">
        <w:rPr>
          <w:lang w:val="en-GB"/>
        </w:rPr>
        <w:t>)</w:t>
      </w:r>
      <w:r w:rsidR="006C4556">
        <w:rPr>
          <w:lang w:val="en-GB"/>
        </w:rPr>
        <w:t xml:space="preserve">. </w:t>
      </w:r>
    </w:p>
    <w:p w14:paraId="14DBD6B1" w14:textId="08DA502E" w:rsidR="00676B48" w:rsidRDefault="004D2EE7" w:rsidP="00676B48">
      <w:pPr>
        <w:pStyle w:val="3-BodyText"/>
        <w:rPr>
          <w:lang w:val="en-GB"/>
        </w:rPr>
      </w:pPr>
      <w:r w:rsidRPr="004D2EE7">
        <w:rPr>
          <w:lang w:val="en-GB"/>
        </w:rPr>
        <w:t>The PBAC noted the utilisation and financial estimate</w:t>
      </w:r>
      <w:r w:rsidR="00676B48">
        <w:rPr>
          <w:lang w:val="en-GB"/>
        </w:rPr>
        <w:t xml:space="preserve">d </w:t>
      </w:r>
      <w:r w:rsidR="00676B48" w:rsidRPr="00676B48">
        <w:rPr>
          <w:lang w:val="en-GB"/>
        </w:rPr>
        <w:t>a net save to the PBS/RPBS over 6 years</w:t>
      </w:r>
      <w:r w:rsidR="00676B48">
        <w:rPr>
          <w:lang w:val="en-GB"/>
        </w:rPr>
        <w:t xml:space="preserve">. The PBAC </w:t>
      </w:r>
      <w:r w:rsidR="00492EA5">
        <w:rPr>
          <w:lang w:val="en-GB"/>
        </w:rPr>
        <w:t>considered</w:t>
      </w:r>
      <w:r w:rsidR="00676B48">
        <w:rPr>
          <w:lang w:val="en-GB"/>
        </w:rPr>
        <w:t xml:space="preserve"> t</w:t>
      </w:r>
      <w:r w:rsidR="00676B48" w:rsidRPr="00676B48">
        <w:rPr>
          <w:lang w:val="en-GB"/>
        </w:rPr>
        <w:t>he</w:t>
      </w:r>
      <w:r w:rsidR="00492EA5">
        <w:rPr>
          <w:lang w:val="en-GB"/>
        </w:rPr>
        <w:t xml:space="preserve"> </w:t>
      </w:r>
      <w:proofErr w:type="gramStart"/>
      <w:r w:rsidR="00492EA5">
        <w:rPr>
          <w:lang w:val="en-GB"/>
        </w:rPr>
        <w:t>large</w:t>
      </w:r>
      <w:r w:rsidR="00676B48" w:rsidRPr="00676B48">
        <w:rPr>
          <w:lang w:val="en-GB"/>
        </w:rPr>
        <w:t xml:space="preserve"> estimated</w:t>
      </w:r>
      <w:proofErr w:type="gramEnd"/>
      <w:r w:rsidR="00676B48" w:rsidRPr="00676B48">
        <w:rPr>
          <w:lang w:val="en-GB"/>
        </w:rPr>
        <w:t xml:space="preserve"> net save </w:t>
      </w:r>
      <w:r w:rsidR="00492EA5">
        <w:rPr>
          <w:lang w:val="en-GB"/>
        </w:rPr>
        <w:t>was</w:t>
      </w:r>
      <w:r w:rsidR="00676B48" w:rsidRPr="00676B48">
        <w:rPr>
          <w:lang w:val="en-GB"/>
        </w:rPr>
        <w:t xml:space="preserve"> driven</w:t>
      </w:r>
      <w:r w:rsidR="00492EA5">
        <w:rPr>
          <w:lang w:val="en-GB"/>
        </w:rPr>
        <w:t xml:space="preserve"> by</w:t>
      </w:r>
      <w:r w:rsidR="00676B48" w:rsidRPr="00676B48">
        <w:rPr>
          <w:lang w:val="en-GB"/>
        </w:rPr>
        <w:t xml:space="preserve"> </w:t>
      </w:r>
      <w:r w:rsidR="00492EA5" w:rsidRPr="00676B48">
        <w:rPr>
          <w:lang w:val="en-GB"/>
        </w:rPr>
        <w:t>using</w:t>
      </w:r>
      <w:r w:rsidR="00676B48" w:rsidRPr="00676B48">
        <w:rPr>
          <w:lang w:val="en-GB"/>
        </w:rPr>
        <w:t xml:space="preserve"> published prices for some bDMARDs</w:t>
      </w:r>
      <w:r w:rsidR="00492EA5">
        <w:rPr>
          <w:lang w:val="en-GB"/>
        </w:rPr>
        <w:t>/tsDMARDs</w:t>
      </w:r>
      <w:r w:rsidR="00676B48" w:rsidRPr="00676B48">
        <w:rPr>
          <w:lang w:val="en-GB"/>
        </w:rPr>
        <w:t xml:space="preserve">, while the requested price </w:t>
      </w:r>
      <w:r w:rsidR="00492EA5">
        <w:rPr>
          <w:lang w:val="en-GB"/>
        </w:rPr>
        <w:t>was</w:t>
      </w:r>
      <w:r w:rsidR="00676B48" w:rsidRPr="00676B48">
        <w:rPr>
          <w:lang w:val="en-GB"/>
        </w:rPr>
        <w:t xml:space="preserve"> based </w:t>
      </w:r>
      <w:r w:rsidR="00676B48" w:rsidRPr="00676B48">
        <w:rPr>
          <w:lang w:val="en-GB"/>
        </w:rPr>
        <w:lastRenderedPageBreak/>
        <w:t>on adalimumab which is in the F2 formulary and is less costly</w:t>
      </w:r>
      <w:r w:rsidR="00676B48">
        <w:rPr>
          <w:lang w:val="en-GB"/>
        </w:rPr>
        <w:t xml:space="preserve">. </w:t>
      </w:r>
      <w:r w:rsidR="00930C1D">
        <w:rPr>
          <w:lang w:val="en-GB"/>
        </w:rPr>
        <w:t>The PBAC considered g</w:t>
      </w:r>
      <w:r w:rsidR="00930C1D" w:rsidRPr="00676B48">
        <w:rPr>
          <w:lang w:val="en-GB"/>
        </w:rPr>
        <w:t xml:space="preserve">iven the use of published prices in the utilisation and financial estimates, the projected save will not </w:t>
      </w:r>
      <w:proofErr w:type="gramStart"/>
      <w:r w:rsidR="00930C1D" w:rsidRPr="00676B48">
        <w:rPr>
          <w:lang w:val="en-GB"/>
        </w:rPr>
        <w:t>be realised</w:t>
      </w:r>
      <w:proofErr w:type="gramEnd"/>
      <w:r w:rsidR="00930C1D" w:rsidRPr="00676B48">
        <w:rPr>
          <w:lang w:val="en-GB"/>
        </w:rPr>
        <w:t>.</w:t>
      </w:r>
      <w:r w:rsidR="00930C1D">
        <w:rPr>
          <w:lang w:val="en-GB"/>
        </w:rPr>
        <w:t xml:space="preserve"> Furthermore, the PBAC considered a</w:t>
      </w:r>
      <w:r w:rsidR="00930C1D" w:rsidRPr="00676B48">
        <w:rPr>
          <w:lang w:val="en-GB"/>
        </w:rPr>
        <w:t>s a first oral agent there is a risk upadacitinib will grow the market</w:t>
      </w:r>
      <w:r w:rsidR="00930C1D">
        <w:rPr>
          <w:lang w:val="en-GB"/>
        </w:rPr>
        <w:t>,</w:t>
      </w:r>
      <w:r w:rsidR="00930C1D" w:rsidRPr="00676B48">
        <w:rPr>
          <w:lang w:val="en-GB"/>
        </w:rPr>
        <w:t xml:space="preserve"> but</w:t>
      </w:r>
      <w:r w:rsidR="00930C1D">
        <w:rPr>
          <w:lang w:val="en-GB"/>
        </w:rPr>
        <w:t xml:space="preserve"> the extent of which</w:t>
      </w:r>
      <w:r w:rsidR="00930C1D" w:rsidRPr="00676B48">
        <w:rPr>
          <w:lang w:val="en-GB"/>
        </w:rPr>
        <w:t xml:space="preserve"> </w:t>
      </w:r>
      <w:r w:rsidR="00930C1D">
        <w:rPr>
          <w:lang w:val="en-GB"/>
        </w:rPr>
        <w:t xml:space="preserve">would be </w:t>
      </w:r>
      <w:r w:rsidR="00930C1D" w:rsidRPr="00676B48">
        <w:rPr>
          <w:lang w:val="en-GB"/>
        </w:rPr>
        <w:t>difficult to predict</w:t>
      </w:r>
      <w:r w:rsidR="00930C1D">
        <w:rPr>
          <w:lang w:val="en-GB"/>
        </w:rPr>
        <w:t>.</w:t>
      </w:r>
      <w:r w:rsidR="00492EA5">
        <w:rPr>
          <w:lang w:val="en-GB"/>
        </w:rPr>
        <w:t xml:space="preserve"> Overall,</w:t>
      </w:r>
      <w:r w:rsidR="000C52FF">
        <w:rPr>
          <w:lang w:val="en-GB"/>
        </w:rPr>
        <w:t xml:space="preserve"> </w:t>
      </w:r>
      <w:r w:rsidR="00492EA5">
        <w:rPr>
          <w:lang w:val="en-GB"/>
        </w:rPr>
        <w:t>g</w:t>
      </w:r>
      <w:r w:rsidR="00930C1D">
        <w:rPr>
          <w:lang w:val="en-GB"/>
        </w:rPr>
        <w:t xml:space="preserve">iven its recommendation was on a cost minimisation basis to the least costly alternative bDMARD/tsDMARD, the PBAC considered the listing of upadacitinib </w:t>
      </w:r>
      <w:r w:rsidR="00CE664F">
        <w:rPr>
          <w:lang w:val="en-GB"/>
        </w:rPr>
        <w:t>is,</w:t>
      </w:r>
      <w:r w:rsidR="00930C1D">
        <w:rPr>
          <w:lang w:val="en-GB"/>
        </w:rPr>
        <w:t xml:space="preserve"> as it will replace therapies that are either of equivalent cost or more expensive</w:t>
      </w:r>
      <w:r w:rsidR="00930C1D" w:rsidRPr="00676B48">
        <w:rPr>
          <w:lang w:val="en-GB"/>
        </w:rPr>
        <w:t>.</w:t>
      </w:r>
    </w:p>
    <w:p w14:paraId="1D32B6C5" w14:textId="73819732" w:rsidR="004D2EE7" w:rsidRPr="004D2EE7" w:rsidRDefault="004D2EE7" w:rsidP="004D2EE7">
      <w:pPr>
        <w:pStyle w:val="3-BodyText"/>
        <w:rPr>
          <w:lang w:val="en-GB"/>
        </w:rPr>
      </w:pPr>
      <w:r w:rsidRPr="004D2EE7">
        <w:rPr>
          <w:lang w:val="en-GB"/>
        </w:rPr>
        <w:t xml:space="preserve">The PBAC noted that its recommendation was on a cost-minimisation basis and advised that, because </w:t>
      </w:r>
      <w:r w:rsidR="00676B48">
        <w:rPr>
          <w:lang w:val="en-GB"/>
        </w:rPr>
        <w:t>upadacitinib</w:t>
      </w:r>
      <w:r w:rsidRPr="004D2EE7">
        <w:rPr>
          <w:lang w:val="en-GB"/>
        </w:rPr>
        <w:t xml:space="preserve"> is not expected to provide a substantial and clinically relevant improvement in efficacy, or reduction of toxicity, over the alternative therapies, or not expected to address a high and urgent unmet clinical need given the presence of an alternative therapy, the criteria prescribed by the </w:t>
      </w:r>
      <w:r w:rsidRPr="00793A55">
        <w:rPr>
          <w:i/>
          <w:iCs/>
          <w:lang w:val="en-GB"/>
        </w:rPr>
        <w:t>National Health (Pharmaceuticals and Vaccines – Cost Recovery) Regulations 2022</w:t>
      </w:r>
      <w:r w:rsidRPr="004D2EE7">
        <w:rPr>
          <w:lang w:val="en-GB"/>
        </w:rPr>
        <w:t xml:space="preserve"> for Pricing Pathway A were not met.</w:t>
      </w:r>
    </w:p>
    <w:p w14:paraId="3D9A6AF9" w14:textId="77777777" w:rsidR="004D2EE7" w:rsidRPr="004D2EE7" w:rsidRDefault="004D2EE7" w:rsidP="004D2EE7">
      <w:pPr>
        <w:pStyle w:val="3-BodyText"/>
        <w:rPr>
          <w:lang w:val="en-GB"/>
        </w:rPr>
      </w:pPr>
      <w:r w:rsidRPr="004D2EE7">
        <w:rPr>
          <w:lang w:val="en-GB"/>
        </w:rPr>
        <w:t xml:space="preserve">The PBAC noted that this submission is not eligible for an Independent Review as it received a positive recommendation. </w:t>
      </w:r>
    </w:p>
    <w:p w14:paraId="6806B044" w14:textId="77777777" w:rsidR="004D2EE7" w:rsidRPr="00882FC6" w:rsidRDefault="004D2EE7" w:rsidP="00882FC6">
      <w:pPr>
        <w:pStyle w:val="3-BodyText"/>
        <w:numPr>
          <w:ilvl w:val="0"/>
          <w:numId w:val="0"/>
        </w:numPr>
        <w:rPr>
          <w:b/>
          <w:bCs/>
          <w:lang w:val="en-GB"/>
        </w:rPr>
      </w:pPr>
      <w:r w:rsidRPr="00882FC6">
        <w:rPr>
          <w:b/>
          <w:bCs/>
          <w:lang w:val="en-GB"/>
        </w:rPr>
        <w:t>Outcome:</w:t>
      </w:r>
    </w:p>
    <w:p w14:paraId="63A50A6D" w14:textId="77777777" w:rsidR="004D2EE7" w:rsidRPr="004D2EE7" w:rsidRDefault="004D2EE7" w:rsidP="00882FC6">
      <w:pPr>
        <w:pStyle w:val="3-BodyText"/>
        <w:numPr>
          <w:ilvl w:val="0"/>
          <w:numId w:val="0"/>
        </w:numPr>
        <w:ind w:left="720" w:hanging="720"/>
        <w:rPr>
          <w:lang w:val="en-GB"/>
        </w:rPr>
      </w:pPr>
      <w:r w:rsidRPr="004D2EE7">
        <w:rPr>
          <w:lang w:val="en-GB"/>
        </w:rPr>
        <w:t xml:space="preserve">Recommended </w:t>
      </w:r>
    </w:p>
    <w:bookmarkEnd w:id="118"/>
    <w:bookmarkEnd w:id="114"/>
    <w:p w14:paraId="4117706D" w14:textId="77777777" w:rsidR="00E50289" w:rsidRPr="005B09D1" w:rsidRDefault="00E50289" w:rsidP="005B09D1">
      <w:pPr>
        <w:pStyle w:val="2-SectionHeading"/>
      </w:pPr>
      <w:r w:rsidRPr="005B09D1">
        <w:t xml:space="preserve">Recommended </w:t>
      </w:r>
      <w:proofErr w:type="gramStart"/>
      <w:r w:rsidRPr="005B09D1">
        <w:t>listing</w:t>
      </w:r>
      <w:proofErr w:type="gramEnd"/>
    </w:p>
    <w:p w14:paraId="7314D860" w14:textId="3E95F0D8" w:rsidR="004E5B84" w:rsidRPr="00D42558" w:rsidRDefault="004E5B84" w:rsidP="00D42558">
      <w:pPr>
        <w:pStyle w:val="3-BodyText"/>
        <w:rPr>
          <w:bCs/>
        </w:rPr>
      </w:pPr>
      <w:r w:rsidRPr="00D42558">
        <w:t xml:space="preserve">Add indication as follows, subject to alignment with final TGA approved Product Information dosing directions for severe active Crohn disease (expected late July 2023): </w:t>
      </w:r>
    </w:p>
    <w:tbl>
      <w:tblPr>
        <w:tblStyle w:val="TableGrid"/>
        <w:tblW w:w="9209" w:type="dxa"/>
        <w:tblLayout w:type="fixed"/>
        <w:tblLook w:val="0000" w:firstRow="0" w:lastRow="0" w:firstColumn="0" w:lastColumn="0" w:noHBand="0" w:noVBand="0"/>
      </w:tblPr>
      <w:tblGrid>
        <w:gridCol w:w="421"/>
        <w:gridCol w:w="708"/>
        <w:gridCol w:w="2127"/>
        <w:gridCol w:w="1559"/>
        <w:gridCol w:w="1417"/>
        <w:gridCol w:w="1134"/>
        <w:gridCol w:w="851"/>
        <w:gridCol w:w="992"/>
      </w:tblGrid>
      <w:tr w:rsidR="004E5B84" w:rsidRPr="00793A55" w14:paraId="64490884" w14:textId="77777777" w:rsidTr="00793A55">
        <w:trPr>
          <w:cantSplit/>
          <w:trHeight w:val="20"/>
        </w:trPr>
        <w:tc>
          <w:tcPr>
            <w:tcW w:w="9209" w:type="dxa"/>
            <w:gridSpan w:val="8"/>
          </w:tcPr>
          <w:p w14:paraId="77AA88A5" w14:textId="0C73AA97" w:rsidR="004E5B84" w:rsidRPr="00962CCF" w:rsidRDefault="004E5B84" w:rsidP="00B43184">
            <w:pPr>
              <w:keepNext/>
              <w:ind w:left="-57"/>
              <w:rPr>
                <w:rFonts w:ascii="Arial Narrow" w:hAnsi="Arial Narrow"/>
                <w:b/>
                <w:sz w:val="18"/>
                <w:szCs w:val="18"/>
              </w:rPr>
            </w:pPr>
            <w:bookmarkStart w:id="120" w:name="_Hlk122449228"/>
            <w:bookmarkStart w:id="121" w:name="_Hlk140158532"/>
            <w:r w:rsidRPr="00962CCF">
              <w:rPr>
                <w:rFonts w:ascii="Arial Narrow" w:hAnsi="Arial Narrow"/>
                <w:b/>
                <w:sz w:val="18"/>
                <w:szCs w:val="18"/>
              </w:rPr>
              <w:t>Category / Program:</w:t>
            </w:r>
            <w:r w:rsidR="000C52FF" w:rsidRPr="00962CCF">
              <w:rPr>
                <w:rFonts w:ascii="Arial Narrow" w:hAnsi="Arial Narrow"/>
                <w:b/>
                <w:sz w:val="18"/>
                <w:szCs w:val="18"/>
              </w:rPr>
              <w:t xml:space="preserve"> </w:t>
            </w:r>
            <w:r w:rsidRPr="00962CCF">
              <w:rPr>
                <w:rFonts w:ascii="Arial Narrow" w:hAnsi="Arial Narrow"/>
                <w:b/>
                <w:sz w:val="18"/>
                <w:szCs w:val="18"/>
              </w:rPr>
              <w:t xml:space="preserve"> </w:t>
            </w:r>
            <w:r w:rsidRPr="00962CCF">
              <w:rPr>
                <w:rFonts w:ascii="Arial Narrow" w:hAnsi="Arial Narrow"/>
                <w:sz w:val="18"/>
                <w:szCs w:val="18"/>
              </w:rPr>
              <w:t>GENERAL – General Schedule (Code GE)</w:t>
            </w:r>
          </w:p>
        </w:tc>
      </w:tr>
      <w:tr w:rsidR="004E5B84" w:rsidRPr="00793A55" w14:paraId="5B90F6DB" w14:textId="77777777" w:rsidTr="00793A55">
        <w:trPr>
          <w:cantSplit/>
          <w:trHeight w:val="20"/>
        </w:trPr>
        <w:tc>
          <w:tcPr>
            <w:tcW w:w="3256" w:type="dxa"/>
            <w:gridSpan w:val="3"/>
          </w:tcPr>
          <w:p w14:paraId="60D8A36A" w14:textId="77777777" w:rsidR="004E5B84" w:rsidRPr="00962CCF" w:rsidRDefault="004E5B84" w:rsidP="00B43184">
            <w:pPr>
              <w:keepNext/>
              <w:ind w:left="-57"/>
              <w:rPr>
                <w:rFonts w:ascii="Arial Narrow" w:hAnsi="Arial Narrow"/>
                <w:b/>
                <w:bCs/>
                <w:sz w:val="18"/>
                <w:szCs w:val="18"/>
              </w:rPr>
            </w:pPr>
            <w:r w:rsidRPr="00962CCF">
              <w:rPr>
                <w:rFonts w:ascii="Arial Narrow" w:hAnsi="Arial Narrow"/>
                <w:b/>
                <w:bCs/>
                <w:sz w:val="18"/>
                <w:szCs w:val="18"/>
              </w:rPr>
              <w:t>MEDICINAL PRODUCT</w:t>
            </w:r>
          </w:p>
          <w:p w14:paraId="72021630" w14:textId="77777777" w:rsidR="004E5B84" w:rsidRPr="00962CCF" w:rsidRDefault="004E5B84" w:rsidP="00B43184">
            <w:pPr>
              <w:keepNext/>
              <w:ind w:left="-57"/>
              <w:rPr>
                <w:rFonts w:ascii="Arial Narrow" w:hAnsi="Arial Narrow"/>
                <w:b/>
                <w:sz w:val="18"/>
                <w:szCs w:val="18"/>
              </w:rPr>
            </w:pPr>
            <w:r w:rsidRPr="00962CCF">
              <w:rPr>
                <w:rFonts w:ascii="Arial Narrow" w:hAnsi="Arial Narrow"/>
                <w:b/>
                <w:bCs/>
                <w:sz w:val="18"/>
                <w:szCs w:val="18"/>
              </w:rPr>
              <w:t>medicinal product pack</w:t>
            </w:r>
          </w:p>
        </w:tc>
        <w:tc>
          <w:tcPr>
            <w:tcW w:w="1559" w:type="dxa"/>
          </w:tcPr>
          <w:p w14:paraId="551A12DE" w14:textId="77777777" w:rsidR="004E5B84" w:rsidRPr="00962CCF" w:rsidRDefault="004E5B84" w:rsidP="00B43184">
            <w:pPr>
              <w:keepNext/>
              <w:ind w:left="-108"/>
              <w:jc w:val="center"/>
              <w:rPr>
                <w:rFonts w:ascii="Arial Narrow" w:hAnsi="Arial Narrow"/>
                <w:b/>
                <w:sz w:val="18"/>
                <w:szCs w:val="18"/>
              </w:rPr>
            </w:pPr>
            <w:r w:rsidRPr="00962CCF">
              <w:rPr>
                <w:rFonts w:ascii="Arial Narrow" w:hAnsi="Arial Narrow"/>
                <w:b/>
                <w:sz w:val="18"/>
                <w:szCs w:val="18"/>
              </w:rPr>
              <w:t>PBS item code</w:t>
            </w:r>
          </w:p>
        </w:tc>
        <w:tc>
          <w:tcPr>
            <w:tcW w:w="1417" w:type="dxa"/>
          </w:tcPr>
          <w:p w14:paraId="6452A9FC" w14:textId="77777777" w:rsidR="004E5B84" w:rsidRPr="00962CCF" w:rsidRDefault="004E5B84" w:rsidP="00B43184">
            <w:pPr>
              <w:keepNext/>
              <w:ind w:left="-108"/>
              <w:jc w:val="center"/>
              <w:rPr>
                <w:rFonts w:ascii="Arial Narrow" w:hAnsi="Arial Narrow"/>
                <w:b/>
                <w:sz w:val="18"/>
                <w:szCs w:val="18"/>
              </w:rPr>
            </w:pPr>
            <w:r w:rsidRPr="00962CCF">
              <w:rPr>
                <w:rFonts w:ascii="Arial Narrow" w:hAnsi="Arial Narrow"/>
                <w:b/>
                <w:sz w:val="18"/>
                <w:szCs w:val="18"/>
              </w:rPr>
              <w:t>Max. qty packs</w:t>
            </w:r>
          </w:p>
        </w:tc>
        <w:tc>
          <w:tcPr>
            <w:tcW w:w="1134" w:type="dxa"/>
          </w:tcPr>
          <w:p w14:paraId="5250127F" w14:textId="77777777" w:rsidR="004E5B84" w:rsidRPr="00962CCF" w:rsidRDefault="004E5B84" w:rsidP="00B43184">
            <w:pPr>
              <w:keepNext/>
              <w:ind w:left="-108"/>
              <w:jc w:val="center"/>
              <w:rPr>
                <w:rFonts w:ascii="Arial Narrow" w:hAnsi="Arial Narrow"/>
                <w:b/>
                <w:sz w:val="18"/>
                <w:szCs w:val="18"/>
              </w:rPr>
            </w:pPr>
            <w:r w:rsidRPr="00962CCF">
              <w:rPr>
                <w:rFonts w:ascii="Arial Narrow" w:hAnsi="Arial Narrow"/>
                <w:b/>
                <w:sz w:val="18"/>
                <w:szCs w:val="18"/>
              </w:rPr>
              <w:t>Max. qty units</w:t>
            </w:r>
          </w:p>
        </w:tc>
        <w:tc>
          <w:tcPr>
            <w:tcW w:w="851" w:type="dxa"/>
          </w:tcPr>
          <w:p w14:paraId="64E265D4" w14:textId="77777777" w:rsidR="004E5B84" w:rsidRPr="00962CCF" w:rsidRDefault="004E5B84" w:rsidP="00B43184">
            <w:pPr>
              <w:keepNext/>
              <w:ind w:left="-108"/>
              <w:jc w:val="center"/>
              <w:rPr>
                <w:rFonts w:ascii="Arial Narrow" w:hAnsi="Arial Narrow"/>
                <w:b/>
                <w:sz w:val="18"/>
                <w:szCs w:val="18"/>
              </w:rPr>
            </w:pPr>
            <w:proofErr w:type="gramStart"/>
            <w:r w:rsidRPr="00962CCF">
              <w:rPr>
                <w:rFonts w:ascii="Arial Narrow" w:hAnsi="Arial Narrow"/>
                <w:b/>
                <w:sz w:val="18"/>
                <w:szCs w:val="18"/>
              </w:rPr>
              <w:t>№.of</w:t>
            </w:r>
            <w:proofErr w:type="gramEnd"/>
          </w:p>
          <w:p w14:paraId="5C697218" w14:textId="77777777" w:rsidR="004E5B84" w:rsidRPr="00962CCF" w:rsidRDefault="004E5B84" w:rsidP="00B43184">
            <w:pPr>
              <w:keepNext/>
              <w:ind w:left="-108"/>
              <w:jc w:val="center"/>
              <w:rPr>
                <w:rFonts w:ascii="Arial Narrow" w:hAnsi="Arial Narrow"/>
                <w:b/>
                <w:sz w:val="18"/>
                <w:szCs w:val="18"/>
              </w:rPr>
            </w:pPr>
            <w:r w:rsidRPr="00962CCF">
              <w:rPr>
                <w:rFonts w:ascii="Arial Narrow" w:hAnsi="Arial Narrow"/>
                <w:b/>
                <w:sz w:val="18"/>
                <w:szCs w:val="18"/>
              </w:rPr>
              <w:t>Rpts</w:t>
            </w:r>
          </w:p>
        </w:tc>
        <w:tc>
          <w:tcPr>
            <w:tcW w:w="992" w:type="dxa"/>
          </w:tcPr>
          <w:p w14:paraId="544AFB21" w14:textId="77777777" w:rsidR="004E5B84" w:rsidRPr="00962CCF" w:rsidRDefault="004E5B84" w:rsidP="00B43184">
            <w:pPr>
              <w:keepNext/>
              <w:rPr>
                <w:rFonts w:ascii="Arial Narrow" w:hAnsi="Arial Narrow"/>
                <w:b/>
                <w:sz w:val="18"/>
                <w:szCs w:val="18"/>
                <w:lang w:val="fr-FR"/>
              </w:rPr>
            </w:pPr>
            <w:r w:rsidRPr="00962CCF">
              <w:rPr>
                <w:rFonts w:ascii="Arial Narrow" w:hAnsi="Arial Narrow"/>
                <w:b/>
                <w:sz w:val="18"/>
                <w:szCs w:val="18"/>
              </w:rPr>
              <w:t>Available brands</w:t>
            </w:r>
          </w:p>
        </w:tc>
      </w:tr>
      <w:tr w:rsidR="004E5B84" w:rsidRPr="00793A55" w14:paraId="3770151F" w14:textId="77777777" w:rsidTr="00793A55">
        <w:trPr>
          <w:cantSplit/>
          <w:trHeight w:val="20"/>
        </w:trPr>
        <w:tc>
          <w:tcPr>
            <w:tcW w:w="9209" w:type="dxa"/>
            <w:gridSpan w:val="8"/>
          </w:tcPr>
          <w:p w14:paraId="635B0F8A" w14:textId="27D8C772" w:rsidR="004E5B84" w:rsidRPr="00962CCF" w:rsidRDefault="004E5B84" w:rsidP="00B43184">
            <w:pPr>
              <w:keepNext/>
              <w:ind w:left="-57"/>
              <w:rPr>
                <w:rFonts w:ascii="Arial Narrow" w:hAnsi="Arial Narrow"/>
                <w:sz w:val="18"/>
                <w:szCs w:val="18"/>
              </w:rPr>
            </w:pPr>
            <w:r w:rsidRPr="00962CCF">
              <w:rPr>
                <w:rFonts w:ascii="Arial Narrow" w:hAnsi="Arial Narrow"/>
                <w:sz w:val="18"/>
                <w:szCs w:val="18"/>
              </w:rPr>
              <w:t>UPADACITINIB</w:t>
            </w:r>
            <w:r w:rsidR="000C52FF" w:rsidRPr="00962CCF">
              <w:rPr>
                <w:rFonts w:ascii="Arial Narrow" w:hAnsi="Arial Narrow"/>
                <w:sz w:val="18"/>
                <w:szCs w:val="18"/>
              </w:rPr>
              <w:t xml:space="preserve"> </w:t>
            </w:r>
          </w:p>
        </w:tc>
      </w:tr>
      <w:tr w:rsidR="004E5B84" w:rsidRPr="00793A55" w14:paraId="6F5D2209" w14:textId="77777777" w:rsidTr="00793A55">
        <w:trPr>
          <w:cantSplit/>
          <w:trHeight w:val="20"/>
        </w:trPr>
        <w:tc>
          <w:tcPr>
            <w:tcW w:w="3256" w:type="dxa"/>
            <w:gridSpan w:val="3"/>
          </w:tcPr>
          <w:p w14:paraId="61E726FE" w14:textId="77777777" w:rsidR="004E5B84" w:rsidRPr="00962CCF" w:rsidRDefault="004E5B84" w:rsidP="00B43184">
            <w:pPr>
              <w:keepNext/>
              <w:ind w:left="-57"/>
              <w:rPr>
                <w:rFonts w:ascii="Arial Narrow" w:hAnsi="Arial Narrow"/>
                <w:sz w:val="18"/>
                <w:szCs w:val="18"/>
              </w:rPr>
            </w:pPr>
            <w:r w:rsidRPr="00962CCF">
              <w:rPr>
                <w:rFonts w:ascii="Arial Narrow" w:hAnsi="Arial Narrow"/>
                <w:sz w:val="18"/>
                <w:szCs w:val="18"/>
              </w:rPr>
              <w:t xml:space="preserve">upadactinib 45 mg modified release tablet, 28 </w:t>
            </w:r>
          </w:p>
        </w:tc>
        <w:tc>
          <w:tcPr>
            <w:tcW w:w="1559" w:type="dxa"/>
          </w:tcPr>
          <w:p w14:paraId="7BCFCB37" w14:textId="77777777" w:rsidR="004E5B84" w:rsidRPr="00962CCF" w:rsidRDefault="004E5B84" w:rsidP="00B43184">
            <w:pPr>
              <w:keepNext/>
              <w:jc w:val="center"/>
              <w:rPr>
                <w:rFonts w:ascii="Arial Narrow" w:hAnsi="Arial Narrow"/>
                <w:sz w:val="18"/>
                <w:szCs w:val="18"/>
              </w:rPr>
            </w:pPr>
            <w:r w:rsidRPr="00962CCF">
              <w:rPr>
                <w:rFonts w:ascii="Arial Narrow" w:hAnsi="Arial Narrow"/>
                <w:sz w:val="18"/>
                <w:szCs w:val="18"/>
              </w:rPr>
              <w:t>NEW 1</w:t>
            </w:r>
          </w:p>
          <w:p w14:paraId="6DB4013A" w14:textId="77777777" w:rsidR="004E5B84" w:rsidRPr="00962CCF" w:rsidRDefault="004E5B84" w:rsidP="00B43184">
            <w:pPr>
              <w:keepNext/>
              <w:jc w:val="center"/>
              <w:rPr>
                <w:rFonts w:ascii="Arial Narrow" w:hAnsi="Arial Narrow"/>
                <w:sz w:val="18"/>
                <w:szCs w:val="18"/>
                <w:vertAlign w:val="subscript"/>
              </w:rPr>
            </w:pPr>
            <w:r w:rsidRPr="00962CCF">
              <w:rPr>
                <w:rFonts w:ascii="Arial Narrow" w:hAnsi="Arial Narrow"/>
                <w:sz w:val="18"/>
                <w:szCs w:val="18"/>
                <w:vertAlign w:val="subscript"/>
              </w:rPr>
              <w:t>MP</w:t>
            </w:r>
          </w:p>
        </w:tc>
        <w:tc>
          <w:tcPr>
            <w:tcW w:w="1417" w:type="dxa"/>
          </w:tcPr>
          <w:p w14:paraId="2D9FFED7" w14:textId="77777777" w:rsidR="004E5B84" w:rsidRPr="00962CCF" w:rsidRDefault="004E5B84" w:rsidP="00B43184">
            <w:pPr>
              <w:keepNext/>
              <w:jc w:val="center"/>
              <w:rPr>
                <w:rFonts w:ascii="Arial Narrow" w:hAnsi="Arial Narrow"/>
                <w:sz w:val="18"/>
                <w:szCs w:val="18"/>
              </w:rPr>
            </w:pPr>
            <w:r w:rsidRPr="00962CCF">
              <w:rPr>
                <w:rFonts w:ascii="Arial Narrow" w:hAnsi="Arial Narrow"/>
                <w:sz w:val="18"/>
                <w:szCs w:val="18"/>
              </w:rPr>
              <w:t>1</w:t>
            </w:r>
          </w:p>
        </w:tc>
        <w:tc>
          <w:tcPr>
            <w:tcW w:w="1134" w:type="dxa"/>
          </w:tcPr>
          <w:p w14:paraId="6E003FD1" w14:textId="77777777" w:rsidR="004E5B84" w:rsidRPr="00962CCF" w:rsidRDefault="004E5B84" w:rsidP="00B43184">
            <w:pPr>
              <w:keepNext/>
              <w:jc w:val="center"/>
              <w:rPr>
                <w:rFonts w:ascii="Arial Narrow" w:hAnsi="Arial Narrow"/>
                <w:sz w:val="18"/>
                <w:szCs w:val="18"/>
              </w:rPr>
            </w:pPr>
            <w:r w:rsidRPr="00962CCF">
              <w:rPr>
                <w:rFonts w:ascii="Arial Narrow" w:hAnsi="Arial Narrow"/>
                <w:sz w:val="18"/>
                <w:szCs w:val="18"/>
              </w:rPr>
              <w:t>28</w:t>
            </w:r>
          </w:p>
        </w:tc>
        <w:tc>
          <w:tcPr>
            <w:tcW w:w="851" w:type="dxa"/>
          </w:tcPr>
          <w:p w14:paraId="1A9D1A3B" w14:textId="77777777" w:rsidR="004E5B84" w:rsidRPr="00962CCF" w:rsidRDefault="004E5B84" w:rsidP="00B43184">
            <w:pPr>
              <w:keepNext/>
              <w:jc w:val="center"/>
              <w:rPr>
                <w:rFonts w:ascii="Arial Narrow" w:hAnsi="Arial Narrow"/>
                <w:sz w:val="18"/>
                <w:szCs w:val="18"/>
              </w:rPr>
            </w:pPr>
            <w:r w:rsidRPr="00962CCF">
              <w:rPr>
                <w:rFonts w:ascii="Arial Narrow" w:hAnsi="Arial Narrow"/>
                <w:sz w:val="18"/>
                <w:szCs w:val="18"/>
              </w:rPr>
              <w:t>2</w:t>
            </w:r>
          </w:p>
        </w:tc>
        <w:tc>
          <w:tcPr>
            <w:tcW w:w="992" w:type="dxa"/>
          </w:tcPr>
          <w:p w14:paraId="18041317" w14:textId="77777777" w:rsidR="004E5B84" w:rsidRPr="00962CCF" w:rsidRDefault="004E5B84" w:rsidP="00B43184">
            <w:pPr>
              <w:keepNext/>
              <w:rPr>
                <w:rFonts w:ascii="Arial Narrow" w:hAnsi="Arial Narrow"/>
                <w:sz w:val="18"/>
                <w:szCs w:val="18"/>
              </w:rPr>
            </w:pPr>
            <w:r w:rsidRPr="00962CCF">
              <w:rPr>
                <w:rFonts w:ascii="Arial Narrow" w:hAnsi="Arial Narrow"/>
                <w:sz w:val="18"/>
                <w:szCs w:val="18"/>
              </w:rPr>
              <w:t xml:space="preserve">Rinvoq </w:t>
            </w:r>
          </w:p>
        </w:tc>
      </w:tr>
      <w:tr w:rsidR="004E5B84" w:rsidRPr="00793A55" w14:paraId="1C1EF03F" w14:textId="77777777" w:rsidTr="00793A55">
        <w:trPr>
          <w:cantSplit/>
          <w:trHeight w:val="20"/>
        </w:trPr>
        <w:tc>
          <w:tcPr>
            <w:tcW w:w="9209" w:type="dxa"/>
            <w:gridSpan w:val="8"/>
          </w:tcPr>
          <w:p w14:paraId="62EF9473" w14:textId="77777777" w:rsidR="004E5B84" w:rsidRPr="00962CCF" w:rsidRDefault="004E5B84" w:rsidP="00B43184">
            <w:pPr>
              <w:keepNext/>
              <w:jc w:val="right"/>
              <w:rPr>
                <w:rFonts w:ascii="Arial Narrow" w:hAnsi="Arial Narrow"/>
                <w:sz w:val="18"/>
                <w:szCs w:val="18"/>
              </w:rPr>
            </w:pPr>
            <w:r w:rsidRPr="00962CCF">
              <w:rPr>
                <w:rFonts w:ascii="Arial Narrow" w:hAnsi="Arial Narrow"/>
                <w:sz w:val="18"/>
                <w:szCs w:val="18"/>
              </w:rPr>
              <w:t>Safety Net Rule Penalty Applies? Yes</w:t>
            </w:r>
          </w:p>
        </w:tc>
      </w:tr>
      <w:bookmarkEnd w:id="120"/>
      <w:tr w:rsidR="004E5B84" w:rsidRPr="00793A55" w14:paraId="3AA9FAE9" w14:textId="77777777" w:rsidTr="00793A55">
        <w:trPr>
          <w:cantSplit/>
          <w:trHeight w:val="20"/>
        </w:trPr>
        <w:tc>
          <w:tcPr>
            <w:tcW w:w="9209" w:type="dxa"/>
            <w:gridSpan w:val="8"/>
          </w:tcPr>
          <w:p w14:paraId="69F36D03" w14:textId="77777777" w:rsidR="004E5B84" w:rsidRPr="00962CCF" w:rsidRDefault="004E5B84" w:rsidP="00B43184">
            <w:pPr>
              <w:rPr>
                <w:rFonts w:ascii="Arial Narrow" w:hAnsi="Arial Narrow"/>
                <w:sz w:val="18"/>
                <w:szCs w:val="18"/>
              </w:rPr>
            </w:pPr>
          </w:p>
        </w:tc>
      </w:tr>
      <w:tr w:rsidR="004E5B84" w:rsidRPr="00793A55" w14:paraId="571DC838" w14:textId="77777777" w:rsidTr="00793A55">
        <w:trPr>
          <w:cantSplit/>
          <w:trHeight w:val="20"/>
        </w:trPr>
        <w:tc>
          <w:tcPr>
            <w:tcW w:w="421" w:type="dxa"/>
            <w:vMerge w:val="restart"/>
            <w:textDirection w:val="btLr"/>
          </w:tcPr>
          <w:p w14:paraId="260B88EC" w14:textId="77777777" w:rsidR="004E5B84" w:rsidRPr="00793A55" w:rsidRDefault="004E5B84" w:rsidP="00B43184">
            <w:pPr>
              <w:ind w:left="113" w:right="113"/>
              <w:jc w:val="center"/>
              <w:rPr>
                <w:rFonts w:ascii="Arial Narrow" w:hAnsi="Arial Narrow"/>
                <w:sz w:val="20"/>
                <w:szCs w:val="20"/>
              </w:rPr>
            </w:pPr>
            <w:bookmarkStart w:id="122" w:name="_Hlk122515466"/>
            <w:r w:rsidRPr="00793A55">
              <w:rPr>
                <w:rFonts w:ascii="Arial Narrow" w:hAnsi="Arial Narrow"/>
                <w:sz w:val="20"/>
                <w:szCs w:val="20"/>
              </w:rPr>
              <w:t>Prescribing rule level</w:t>
            </w:r>
          </w:p>
        </w:tc>
        <w:tc>
          <w:tcPr>
            <w:tcW w:w="708" w:type="dxa"/>
          </w:tcPr>
          <w:p w14:paraId="23909C21" w14:textId="3A42AF01" w:rsidR="004E5B84" w:rsidRPr="00793A55" w:rsidRDefault="004E5B84" w:rsidP="00B43184">
            <w:pPr>
              <w:jc w:val="center"/>
              <w:rPr>
                <w:rFonts w:ascii="Arial Narrow" w:hAnsi="Arial Narrow"/>
                <w:color w:val="333333"/>
                <w:sz w:val="20"/>
                <w:szCs w:val="20"/>
              </w:rPr>
            </w:pPr>
          </w:p>
        </w:tc>
        <w:tc>
          <w:tcPr>
            <w:tcW w:w="8080" w:type="dxa"/>
            <w:gridSpan w:val="6"/>
          </w:tcPr>
          <w:p w14:paraId="7DC26205" w14:textId="77777777" w:rsidR="004E5B84" w:rsidRPr="00962CCF" w:rsidRDefault="004E5B84" w:rsidP="00B43184">
            <w:pPr>
              <w:ind w:left="-57"/>
              <w:rPr>
                <w:rFonts w:ascii="Arial Narrow" w:hAnsi="Arial Narrow"/>
                <w:sz w:val="18"/>
                <w:szCs w:val="18"/>
              </w:rPr>
            </w:pPr>
            <w:r w:rsidRPr="00962CCF">
              <w:rPr>
                <w:rFonts w:ascii="Arial Narrow" w:hAnsi="Arial Narrow"/>
                <w:b/>
                <w:bCs/>
                <w:sz w:val="18"/>
                <w:szCs w:val="18"/>
              </w:rPr>
              <w:t>Administrative Advice:</w:t>
            </w:r>
          </w:p>
          <w:p w14:paraId="25375753" w14:textId="2B409F58" w:rsidR="004E5B84" w:rsidRPr="00962CCF" w:rsidRDefault="004E5B84" w:rsidP="00B43184">
            <w:pPr>
              <w:ind w:left="-57"/>
              <w:rPr>
                <w:rFonts w:ascii="Arial Narrow" w:hAnsi="Arial Narrow"/>
                <w:i/>
                <w:iCs/>
                <w:sz w:val="18"/>
                <w:szCs w:val="18"/>
              </w:rPr>
            </w:pPr>
            <w:r w:rsidRPr="00962CCF">
              <w:rPr>
                <w:rFonts w:ascii="Arial Narrow" w:hAnsi="Arial Narrow"/>
                <w:i/>
                <w:iCs/>
                <w:sz w:val="18"/>
                <w:szCs w:val="18"/>
              </w:rPr>
              <w:t>insert updated long administrative ‘NOTE’ here (shown at the end of the restrictions)</w:t>
            </w:r>
          </w:p>
        </w:tc>
      </w:tr>
      <w:tr w:rsidR="004E5B84" w:rsidRPr="00793A55" w14:paraId="445B665F" w14:textId="77777777" w:rsidTr="00793A55">
        <w:trPr>
          <w:cantSplit/>
          <w:trHeight w:val="20"/>
        </w:trPr>
        <w:tc>
          <w:tcPr>
            <w:tcW w:w="421" w:type="dxa"/>
            <w:vMerge/>
          </w:tcPr>
          <w:p w14:paraId="2C96E79C" w14:textId="77777777" w:rsidR="004E5B84" w:rsidRPr="00793A55" w:rsidRDefault="004E5B84" w:rsidP="00B43184">
            <w:pPr>
              <w:rPr>
                <w:rFonts w:ascii="Arial Narrow" w:hAnsi="Arial Narrow"/>
                <w:sz w:val="20"/>
                <w:szCs w:val="20"/>
              </w:rPr>
            </w:pPr>
          </w:p>
        </w:tc>
        <w:tc>
          <w:tcPr>
            <w:tcW w:w="708" w:type="dxa"/>
          </w:tcPr>
          <w:p w14:paraId="3440084A" w14:textId="692DAE9C" w:rsidR="004E5B84" w:rsidRPr="00793A55" w:rsidRDefault="004E5B84" w:rsidP="00B43184">
            <w:pPr>
              <w:jc w:val="center"/>
              <w:rPr>
                <w:rFonts w:ascii="Arial Narrow" w:hAnsi="Arial Narrow"/>
                <w:color w:val="333333"/>
                <w:sz w:val="20"/>
                <w:szCs w:val="20"/>
              </w:rPr>
            </w:pPr>
          </w:p>
        </w:tc>
        <w:tc>
          <w:tcPr>
            <w:tcW w:w="8080" w:type="dxa"/>
            <w:gridSpan w:val="6"/>
          </w:tcPr>
          <w:p w14:paraId="178AD6B4" w14:textId="77777777" w:rsidR="004E5B84" w:rsidRPr="00962CCF" w:rsidRDefault="004E5B84" w:rsidP="00B43184">
            <w:pPr>
              <w:ind w:left="-57"/>
              <w:rPr>
                <w:rFonts w:ascii="Arial Narrow" w:hAnsi="Arial Narrow"/>
                <w:b/>
                <w:bCs/>
                <w:sz w:val="18"/>
                <w:szCs w:val="18"/>
              </w:rPr>
            </w:pPr>
            <w:r w:rsidRPr="00962CCF">
              <w:rPr>
                <w:rFonts w:ascii="Arial Narrow" w:hAnsi="Arial Narrow"/>
                <w:b/>
                <w:bCs/>
                <w:sz w:val="18"/>
                <w:szCs w:val="18"/>
              </w:rPr>
              <w:t xml:space="preserve">Administrative Advice: </w:t>
            </w:r>
            <w:r w:rsidRPr="00962CCF">
              <w:rPr>
                <w:rFonts w:ascii="Arial Narrow" w:hAnsi="Arial Narrow"/>
                <w:bCs/>
                <w:sz w:val="18"/>
                <w:szCs w:val="18"/>
              </w:rPr>
              <w:t>No increase in the maximum quantity or number of units may be authorised.</w:t>
            </w:r>
          </w:p>
        </w:tc>
      </w:tr>
      <w:tr w:rsidR="004E5B84" w:rsidRPr="00793A55" w14:paraId="44037144" w14:textId="77777777" w:rsidTr="00793A55">
        <w:trPr>
          <w:cantSplit/>
          <w:trHeight w:val="20"/>
        </w:trPr>
        <w:tc>
          <w:tcPr>
            <w:tcW w:w="421" w:type="dxa"/>
            <w:vMerge/>
          </w:tcPr>
          <w:p w14:paraId="01732015" w14:textId="77777777" w:rsidR="004E5B84" w:rsidRPr="00793A55" w:rsidRDefault="004E5B84" w:rsidP="00B43184">
            <w:pPr>
              <w:rPr>
                <w:rFonts w:ascii="Arial Narrow" w:hAnsi="Arial Narrow"/>
                <w:sz w:val="20"/>
                <w:szCs w:val="20"/>
              </w:rPr>
            </w:pPr>
          </w:p>
        </w:tc>
        <w:tc>
          <w:tcPr>
            <w:tcW w:w="708" w:type="dxa"/>
          </w:tcPr>
          <w:p w14:paraId="38A289BD" w14:textId="189086FE" w:rsidR="004E5B84" w:rsidRPr="00793A55" w:rsidRDefault="004E5B84" w:rsidP="00B43184">
            <w:pPr>
              <w:jc w:val="center"/>
              <w:rPr>
                <w:rFonts w:ascii="Arial Narrow" w:hAnsi="Arial Narrow"/>
                <w:color w:val="333333"/>
                <w:sz w:val="20"/>
                <w:szCs w:val="20"/>
              </w:rPr>
            </w:pPr>
          </w:p>
        </w:tc>
        <w:tc>
          <w:tcPr>
            <w:tcW w:w="8080" w:type="dxa"/>
            <w:gridSpan w:val="6"/>
          </w:tcPr>
          <w:p w14:paraId="4E8AF5C5" w14:textId="77777777" w:rsidR="004E5B84" w:rsidRPr="00962CCF" w:rsidRDefault="004E5B84" w:rsidP="00B43184">
            <w:pPr>
              <w:ind w:left="-57"/>
              <w:rPr>
                <w:rFonts w:ascii="Arial Narrow" w:hAnsi="Arial Narrow"/>
                <w:b/>
                <w:bCs/>
                <w:color w:val="333333"/>
                <w:sz w:val="18"/>
                <w:szCs w:val="18"/>
              </w:rPr>
            </w:pPr>
            <w:r w:rsidRPr="00962CCF">
              <w:rPr>
                <w:rFonts w:ascii="Arial Narrow" w:hAnsi="Arial Narrow"/>
                <w:b/>
                <w:bCs/>
                <w:sz w:val="18"/>
                <w:szCs w:val="18"/>
              </w:rPr>
              <w:t xml:space="preserve">Administrative Advice: </w:t>
            </w:r>
            <w:r w:rsidRPr="00962CCF">
              <w:rPr>
                <w:rFonts w:ascii="Arial Narrow" w:hAnsi="Arial Narrow"/>
                <w:bCs/>
                <w:sz w:val="18"/>
                <w:szCs w:val="18"/>
              </w:rPr>
              <w:t>No increase in the maximum number of repeats may be authorised.</w:t>
            </w:r>
          </w:p>
        </w:tc>
      </w:tr>
      <w:tr w:rsidR="004E5B84" w:rsidRPr="00793A55" w14:paraId="53A4347E" w14:textId="77777777" w:rsidTr="00793A55">
        <w:trPr>
          <w:cantSplit/>
          <w:trHeight w:val="20"/>
        </w:trPr>
        <w:tc>
          <w:tcPr>
            <w:tcW w:w="421" w:type="dxa"/>
            <w:vMerge/>
          </w:tcPr>
          <w:p w14:paraId="531D0A5B" w14:textId="77777777" w:rsidR="004E5B84" w:rsidRPr="00793A55" w:rsidRDefault="004E5B84" w:rsidP="00B43184">
            <w:pPr>
              <w:rPr>
                <w:rFonts w:ascii="Arial Narrow" w:hAnsi="Arial Narrow"/>
                <w:sz w:val="20"/>
                <w:szCs w:val="20"/>
              </w:rPr>
            </w:pPr>
          </w:p>
        </w:tc>
        <w:tc>
          <w:tcPr>
            <w:tcW w:w="708" w:type="dxa"/>
          </w:tcPr>
          <w:p w14:paraId="31C0D528" w14:textId="7D8EB1ED" w:rsidR="004E5B84" w:rsidRPr="00793A55" w:rsidRDefault="004E5B84" w:rsidP="00B43184">
            <w:pPr>
              <w:jc w:val="center"/>
              <w:rPr>
                <w:rFonts w:ascii="Arial Narrow" w:hAnsi="Arial Narrow"/>
                <w:bCs/>
                <w:sz w:val="20"/>
                <w:szCs w:val="20"/>
              </w:rPr>
            </w:pPr>
          </w:p>
        </w:tc>
        <w:tc>
          <w:tcPr>
            <w:tcW w:w="8080" w:type="dxa"/>
            <w:gridSpan w:val="6"/>
          </w:tcPr>
          <w:p w14:paraId="4DBE29A3"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Administrative Advice:</w:t>
            </w:r>
          </w:p>
          <w:p w14:paraId="13501E58"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Any queries concerning the arrangements to prescribe may be directed to Services Australia on 1800 700 270 (hours of operation 8 a.m. to 5 p.m. Monday to Friday).</w:t>
            </w:r>
          </w:p>
          <w:p w14:paraId="03A8DE6E" w14:textId="77777777" w:rsidR="004E5B84" w:rsidRPr="00962CCF" w:rsidRDefault="004E5B84" w:rsidP="00B43184">
            <w:pPr>
              <w:ind w:left="-57"/>
              <w:textAlignment w:val="baseline"/>
              <w:rPr>
                <w:rFonts w:ascii="Arial Narrow" w:hAnsi="Arial Narrow" w:cs="Open Sans"/>
                <w:color w:val="333333"/>
                <w:sz w:val="18"/>
                <w:szCs w:val="18"/>
              </w:rPr>
            </w:pPr>
          </w:p>
          <w:p w14:paraId="0069C7E1" w14:textId="77777777" w:rsidR="004E5B84" w:rsidRPr="00962CCF" w:rsidRDefault="004E5B84" w:rsidP="00B43184">
            <w:pPr>
              <w:ind w:left="-57"/>
              <w:textAlignment w:val="baseline"/>
              <w:rPr>
                <w:rStyle w:val="Hyperlink"/>
                <w:rFonts w:ascii="Arial Narrow" w:hAnsi="Arial Narrow" w:cs="Open Sans"/>
                <w:sz w:val="18"/>
                <w:szCs w:val="18"/>
              </w:rPr>
            </w:pPr>
            <w:r w:rsidRPr="00962CCF">
              <w:rPr>
                <w:rFonts w:ascii="Arial Narrow" w:hAnsi="Arial Narrow" w:cs="Open Sans"/>
                <w:color w:val="333333"/>
                <w:sz w:val="18"/>
                <w:szCs w:val="18"/>
              </w:rPr>
              <w:t xml:space="preserve">Prescribing information (including Authority Application forms and other relevant documentation as applicable) is available on the Services Australia website at </w:t>
            </w:r>
            <w:hyperlink r:id="rId9" w:history="1">
              <w:r w:rsidRPr="00962CCF">
                <w:rPr>
                  <w:rStyle w:val="Hyperlink"/>
                  <w:rFonts w:ascii="Arial Narrow" w:hAnsi="Arial Narrow" w:cs="Open Sans"/>
                  <w:sz w:val="18"/>
                  <w:szCs w:val="18"/>
                </w:rPr>
                <w:t>www.servicesaustralia.gov.au</w:t>
              </w:r>
            </w:hyperlink>
          </w:p>
          <w:p w14:paraId="7525B2C4" w14:textId="77777777" w:rsidR="004E5B84" w:rsidRPr="00962CCF" w:rsidRDefault="004E5B84" w:rsidP="00B43184">
            <w:pPr>
              <w:ind w:left="-57"/>
              <w:textAlignment w:val="baseline"/>
              <w:rPr>
                <w:rFonts w:ascii="Arial Narrow" w:hAnsi="Arial Narrow" w:cs="Open Sans"/>
                <w:color w:val="333333"/>
                <w:sz w:val="18"/>
                <w:szCs w:val="18"/>
              </w:rPr>
            </w:pPr>
          </w:p>
          <w:p w14:paraId="4247F39A"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 xml:space="preserve">Applications for authority to prescribe should be submitted online using the form upload facility in Health Professional Online Services (HPOS) at </w:t>
            </w:r>
            <w:proofErr w:type="gramStart"/>
            <w:r w:rsidRPr="00962CCF">
              <w:rPr>
                <w:rFonts w:ascii="Arial Narrow" w:hAnsi="Arial Narrow" w:cs="Open Sans"/>
                <w:color w:val="333333"/>
                <w:sz w:val="18"/>
                <w:szCs w:val="18"/>
              </w:rPr>
              <w:t>www.servicesaustralia.gov.au/hpos</w:t>
            </w:r>
            <w:proofErr w:type="gramEnd"/>
          </w:p>
          <w:p w14:paraId="5D594079"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Or mailed to:</w:t>
            </w:r>
          </w:p>
          <w:p w14:paraId="440B4084"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Services Australia</w:t>
            </w:r>
          </w:p>
          <w:p w14:paraId="7EB6EAA1"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Complex Drugs</w:t>
            </w:r>
          </w:p>
          <w:p w14:paraId="4A542B28"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Reply Paid 9826</w:t>
            </w:r>
          </w:p>
          <w:p w14:paraId="1A08835D" w14:textId="77777777" w:rsidR="004E5B84" w:rsidRPr="00962CCF" w:rsidRDefault="004E5B84" w:rsidP="00B43184">
            <w:pPr>
              <w:ind w:left="-57"/>
              <w:rPr>
                <w:rFonts w:ascii="Arial Narrow" w:hAnsi="Arial Narrow"/>
                <w:b/>
                <w:bCs/>
                <w:sz w:val="18"/>
                <w:szCs w:val="18"/>
              </w:rPr>
            </w:pPr>
            <w:r w:rsidRPr="00962CCF">
              <w:rPr>
                <w:rFonts w:ascii="Arial Narrow" w:hAnsi="Arial Narrow" w:cs="Open Sans"/>
                <w:color w:val="333333"/>
                <w:sz w:val="18"/>
                <w:szCs w:val="18"/>
              </w:rPr>
              <w:t>HOBART TAS 7001</w:t>
            </w:r>
          </w:p>
        </w:tc>
      </w:tr>
      <w:bookmarkEnd w:id="122"/>
      <w:tr w:rsidR="004E5B84" w:rsidRPr="00793A55" w14:paraId="69CA1CA2" w14:textId="77777777" w:rsidTr="00793A55">
        <w:trPr>
          <w:cantSplit/>
          <w:trHeight w:val="20"/>
        </w:trPr>
        <w:tc>
          <w:tcPr>
            <w:tcW w:w="421" w:type="dxa"/>
          </w:tcPr>
          <w:p w14:paraId="5D7E97F8" w14:textId="77777777" w:rsidR="004E5B84" w:rsidRPr="00793A55" w:rsidRDefault="004E5B84" w:rsidP="00B43184">
            <w:pPr>
              <w:rPr>
                <w:rFonts w:ascii="Arial Narrow" w:hAnsi="Arial Narrow"/>
                <w:sz w:val="20"/>
                <w:szCs w:val="20"/>
              </w:rPr>
            </w:pPr>
          </w:p>
        </w:tc>
        <w:tc>
          <w:tcPr>
            <w:tcW w:w="708" w:type="dxa"/>
          </w:tcPr>
          <w:p w14:paraId="712B974B"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30580CFC" w14:textId="77777777" w:rsidR="004E5B84" w:rsidRPr="00962CCF" w:rsidRDefault="004E5B84" w:rsidP="00B43184">
            <w:pPr>
              <w:ind w:left="-57"/>
              <w:rPr>
                <w:rFonts w:ascii="Arial Narrow" w:hAnsi="Arial Narrow"/>
                <w:sz w:val="18"/>
                <w:szCs w:val="18"/>
              </w:rPr>
            </w:pPr>
            <w:r w:rsidRPr="00962CCF">
              <w:rPr>
                <w:rFonts w:ascii="Arial Narrow" w:hAnsi="Arial Narrow"/>
                <w:b/>
                <w:bCs/>
                <w:sz w:val="18"/>
                <w:szCs w:val="18"/>
              </w:rPr>
              <w:t>Administrative Advice:</w:t>
            </w:r>
          </w:p>
          <w:p w14:paraId="3CF6F963" w14:textId="77777777" w:rsidR="004E5B84" w:rsidRPr="00962CCF" w:rsidRDefault="004E5B84" w:rsidP="00B43184">
            <w:pPr>
              <w:ind w:left="-57"/>
              <w:textAlignment w:val="baseline"/>
              <w:rPr>
                <w:rFonts w:ascii="Arial Narrow" w:hAnsi="Arial Narrow" w:cs="Open Sans"/>
                <w:color w:val="333333"/>
                <w:sz w:val="18"/>
                <w:szCs w:val="18"/>
                <w:bdr w:val="none" w:sz="0" w:space="0" w:color="auto" w:frame="1"/>
              </w:rPr>
            </w:pPr>
            <w:r w:rsidRPr="00962CCF">
              <w:rPr>
                <w:rFonts w:ascii="Arial Narrow" w:hAnsi="Arial Narrow" w:cs="Open Sans"/>
                <w:color w:val="333333"/>
                <w:sz w:val="18"/>
                <w:szCs w:val="18"/>
                <w:bdr w:val="none" w:sz="0" w:space="0" w:color="auto" w:frame="1"/>
              </w:rPr>
              <w:t>The prescriber completing this authority application must be a specialist medical practitioner of the type specified in the restriction.</w:t>
            </w:r>
          </w:p>
        </w:tc>
      </w:tr>
      <w:tr w:rsidR="004E5B84" w:rsidRPr="00793A55" w14:paraId="2A6E7289" w14:textId="77777777" w:rsidTr="00793A55">
        <w:trPr>
          <w:cantSplit/>
          <w:trHeight w:val="20"/>
        </w:trPr>
        <w:tc>
          <w:tcPr>
            <w:tcW w:w="9209" w:type="dxa"/>
            <w:gridSpan w:val="8"/>
          </w:tcPr>
          <w:p w14:paraId="09B9729C" w14:textId="77777777" w:rsidR="004E5B84" w:rsidRPr="00962CCF" w:rsidRDefault="004E5B84" w:rsidP="00B43184">
            <w:pPr>
              <w:rPr>
                <w:rFonts w:ascii="Arial Narrow" w:hAnsi="Arial Narrow"/>
                <w:b/>
                <w:bCs/>
                <w:color w:val="333333"/>
                <w:sz w:val="18"/>
                <w:szCs w:val="18"/>
              </w:rPr>
            </w:pPr>
          </w:p>
        </w:tc>
      </w:tr>
      <w:tr w:rsidR="004E5B84" w:rsidRPr="00793A55" w14:paraId="3F00D2EA" w14:textId="77777777" w:rsidTr="00793A55">
        <w:tblPrEx>
          <w:tblLook w:val="04A0" w:firstRow="1" w:lastRow="0" w:firstColumn="1" w:lastColumn="0" w:noHBand="0" w:noVBand="1"/>
        </w:tblPrEx>
        <w:trPr>
          <w:cantSplit/>
          <w:trHeight w:val="20"/>
        </w:trPr>
        <w:tc>
          <w:tcPr>
            <w:tcW w:w="9209" w:type="dxa"/>
            <w:gridSpan w:val="8"/>
            <w:tcBorders>
              <w:top w:val="single" w:sz="4" w:space="0" w:color="auto"/>
              <w:left w:val="single" w:sz="4" w:space="0" w:color="auto"/>
              <w:right w:val="single" w:sz="4" w:space="0" w:color="auto"/>
            </w:tcBorders>
          </w:tcPr>
          <w:p w14:paraId="6A2CBD85" w14:textId="163F7496" w:rsidR="004E5B84" w:rsidRPr="00962CCF" w:rsidRDefault="004E5B84" w:rsidP="00B43184">
            <w:pPr>
              <w:ind w:left="-57"/>
              <w:rPr>
                <w:rFonts w:ascii="Arial Narrow" w:hAnsi="Arial Narrow"/>
                <w:b/>
                <w:sz w:val="18"/>
                <w:szCs w:val="18"/>
              </w:rPr>
            </w:pPr>
            <w:r w:rsidRPr="00962CCF">
              <w:rPr>
                <w:rFonts w:ascii="Arial Narrow" w:hAnsi="Arial Narrow"/>
                <w:b/>
                <w:sz w:val="18"/>
                <w:szCs w:val="18"/>
              </w:rPr>
              <w:t xml:space="preserve">Restriction </w:t>
            </w:r>
            <w:proofErr w:type="gramStart"/>
            <w:r w:rsidRPr="00962CCF">
              <w:rPr>
                <w:rFonts w:ascii="Arial Narrow" w:hAnsi="Arial Narrow"/>
                <w:b/>
                <w:sz w:val="18"/>
                <w:szCs w:val="18"/>
              </w:rPr>
              <w:t>Summary  /</w:t>
            </w:r>
            <w:proofErr w:type="gramEnd"/>
            <w:r w:rsidRPr="00962CCF">
              <w:rPr>
                <w:rFonts w:ascii="Arial Narrow" w:hAnsi="Arial Narrow"/>
                <w:b/>
                <w:sz w:val="18"/>
                <w:szCs w:val="18"/>
              </w:rPr>
              <w:t xml:space="preserve"> Treatment of Concept:: Authority Required</w:t>
            </w:r>
            <w:r w:rsidRPr="00962CCF">
              <w:rPr>
                <w:rFonts w:ascii="Arial Narrow" w:hAnsi="Arial Narrow"/>
                <w:bCs/>
                <w:sz w:val="18"/>
                <w:szCs w:val="18"/>
              </w:rPr>
              <w:t xml:space="preserve"> </w:t>
            </w:r>
          </w:p>
          <w:p w14:paraId="516F89A8"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6349E204" w14:textId="77777777" w:rsidTr="00793A55">
        <w:tblPrEx>
          <w:tblLook w:val="04A0" w:firstRow="1" w:lastRow="0" w:firstColumn="1" w:lastColumn="0" w:noHBand="0" w:noVBand="1"/>
        </w:tblPrEx>
        <w:trPr>
          <w:cantSplit/>
          <w:trHeight w:val="20"/>
        </w:trPr>
        <w:tc>
          <w:tcPr>
            <w:tcW w:w="1129" w:type="dxa"/>
            <w:gridSpan w:val="2"/>
            <w:hideMark/>
          </w:tcPr>
          <w:p w14:paraId="1DA82F88" w14:textId="1B686E12" w:rsidR="004E5B84" w:rsidRPr="00793A55" w:rsidRDefault="004E5B84" w:rsidP="00B43184">
            <w:pPr>
              <w:jc w:val="center"/>
              <w:textAlignment w:val="baseline"/>
              <w:rPr>
                <w:rFonts w:ascii="Arial Narrow" w:hAnsi="Arial Narrow" w:cs="Open Sans"/>
                <w:color w:val="333333"/>
                <w:sz w:val="20"/>
                <w:szCs w:val="20"/>
              </w:rPr>
            </w:pPr>
            <w:bookmarkStart w:id="123" w:name="_Hlk122535468"/>
            <w:bookmarkStart w:id="124" w:name="_Hlk122535381"/>
          </w:p>
        </w:tc>
        <w:tc>
          <w:tcPr>
            <w:tcW w:w="8080" w:type="dxa"/>
            <w:gridSpan w:val="6"/>
            <w:hideMark/>
          </w:tcPr>
          <w:p w14:paraId="583423AF"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 xml:space="preserve">Indication: </w:t>
            </w:r>
            <w:r w:rsidRPr="00962CCF">
              <w:rPr>
                <w:rFonts w:ascii="Arial Narrow" w:hAnsi="Arial Narrow" w:cs="Open Sans"/>
                <w:color w:val="333333"/>
                <w:sz w:val="18"/>
                <w:szCs w:val="18"/>
              </w:rPr>
              <w:t>Severe Crohn disease</w:t>
            </w:r>
          </w:p>
        </w:tc>
      </w:tr>
      <w:tr w:rsidR="004E5B84" w:rsidRPr="00793A55" w14:paraId="4905AF8B" w14:textId="77777777" w:rsidTr="00793A55">
        <w:tblPrEx>
          <w:tblLook w:val="04A0" w:firstRow="1" w:lastRow="0" w:firstColumn="1" w:lastColumn="0" w:noHBand="0" w:noVBand="1"/>
        </w:tblPrEx>
        <w:trPr>
          <w:cantSplit/>
          <w:trHeight w:val="20"/>
        </w:trPr>
        <w:tc>
          <w:tcPr>
            <w:tcW w:w="1129" w:type="dxa"/>
            <w:gridSpan w:val="2"/>
          </w:tcPr>
          <w:p w14:paraId="24708D72"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0CEF07AA"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66185D53" w14:textId="77777777" w:rsidTr="00793A55">
        <w:tblPrEx>
          <w:tblLook w:val="04A0" w:firstRow="1" w:lastRow="0" w:firstColumn="1" w:lastColumn="0" w:noHBand="0" w:noVBand="1"/>
        </w:tblPrEx>
        <w:trPr>
          <w:cantSplit/>
          <w:trHeight w:val="20"/>
        </w:trPr>
        <w:tc>
          <w:tcPr>
            <w:tcW w:w="1129" w:type="dxa"/>
            <w:gridSpan w:val="2"/>
            <w:hideMark/>
          </w:tcPr>
          <w:p w14:paraId="7A2C3678" w14:textId="77777777" w:rsidR="004E5B84" w:rsidRPr="00793A55" w:rsidRDefault="004E5B84" w:rsidP="00B43184">
            <w:pPr>
              <w:jc w:val="center"/>
              <w:rPr>
                <w:rFonts w:ascii="Arial Narrow" w:hAnsi="Arial Narrow" w:cs="Open Sans"/>
                <w:color w:val="333333"/>
                <w:sz w:val="20"/>
                <w:szCs w:val="20"/>
              </w:rPr>
            </w:pPr>
          </w:p>
        </w:tc>
        <w:tc>
          <w:tcPr>
            <w:tcW w:w="8080" w:type="dxa"/>
            <w:gridSpan w:val="6"/>
            <w:hideMark/>
          </w:tcPr>
          <w:p w14:paraId="0D3284AB"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 xml:space="preserve">Treatment Phase: </w:t>
            </w:r>
            <w:r w:rsidRPr="00962CCF">
              <w:rPr>
                <w:rFonts w:ascii="Arial Narrow" w:hAnsi="Arial Narrow" w:cs="Open Sans"/>
                <w:color w:val="333333"/>
                <w:sz w:val="18"/>
                <w:szCs w:val="18"/>
              </w:rPr>
              <w:t>Initial 1 (induction treatment covering the first 12 weeks in a patient untreated with biological medicine)</w:t>
            </w:r>
          </w:p>
        </w:tc>
      </w:tr>
      <w:tr w:rsidR="004E5B84" w:rsidRPr="00793A55" w14:paraId="38240464" w14:textId="77777777" w:rsidTr="00793A55">
        <w:tblPrEx>
          <w:tblLook w:val="04A0" w:firstRow="1" w:lastRow="0" w:firstColumn="1" w:lastColumn="0" w:noHBand="0" w:noVBand="1"/>
        </w:tblPrEx>
        <w:trPr>
          <w:cantSplit/>
          <w:trHeight w:val="20"/>
        </w:trPr>
        <w:tc>
          <w:tcPr>
            <w:tcW w:w="1129" w:type="dxa"/>
            <w:gridSpan w:val="2"/>
          </w:tcPr>
          <w:p w14:paraId="4FC124C0" w14:textId="77777777" w:rsidR="004E5B84" w:rsidRPr="00793A55" w:rsidRDefault="004E5B84" w:rsidP="00B43184">
            <w:pPr>
              <w:jc w:val="center"/>
              <w:rPr>
                <w:rFonts w:ascii="Arial Narrow" w:hAnsi="Arial Narrow" w:cs="Open Sans"/>
                <w:color w:val="333333"/>
                <w:sz w:val="20"/>
                <w:szCs w:val="20"/>
              </w:rPr>
            </w:pPr>
          </w:p>
        </w:tc>
        <w:tc>
          <w:tcPr>
            <w:tcW w:w="8080" w:type="dxa"/>
            <w:gridSpan w:val="6"/>
          </w:tcPr>
          <w:p w14:paraId="3FABAD4C"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6A5D02FA" w14:textId="77777777" w:rsidTr="00793A55">
        <w:tblPrEx>
          <w:tblLook w:val="04A0" w:firstRow="1" w:lastRow="0" w:firstColumn="1" w:lastColumn="0" w:noHBand="0" w:noVBand="1"/>
        </w:tblPrEx>
        <w:trPr>
          <w:cantSplit/>
          <w:trHeight w:val="20"/>
        </w:trPr>
        <w:tc>
          <w:tcPr>
            <w:tcW w:w="1129" w:type="dxa"/>
            <w:gridSpan w:val="2"/>
          </w:tcPr>
          <w:p w14:paraId="58C94A9E" w14:textId="10535846"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3D406484"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Treatment criteria:</w:t>
            </w:r>
          </w:p>
        </w:tc>
      </w:tr>
      <w:tr w:rsidR="004E5B84" w:rsidRPr="00793A55" w14:paraId="68CCC440" w14:textId="77777777" w:rsidTr="00793A55">
        <w:tblPrEx>
          <w:tblLook w:val="04A0" w:firstRow="1" w:lastRow="0" w:firstColumn="1" w:lastColumn="0" w:noHBand="0" w:noVBand="1"/>
        </w:tblPrEx>
        <w:trPr>
          <w:cantSplit/>
          <w:trHeight w:val="20"/>
        </w:trPr>
        <w:tc>
          <w:tcPr>
            <w:tcW w:w="1129" w:type="dxa"/>
            <w:gridSpan w:val="2"/>
          </w:tcPr>
          <w:p w14:paraId="0D4827A9" w14:textId="686E1D9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4263505"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gastroenterologist (code 87); or</w:t>
            </w:r>
          </w:p>
        </w:tc>
      </w:tr>
      <w:tr w:rsidR="004E5B84" w:rsidRPr="00793A55" w14:paraId="2B571441" w14:textId="77777777" w:rsidTr="00793A55">
        <w:tblPrEx>
          <w:tblLook w:val="04A0" w:firstRow="1" w:lastRow="0" w:firstColumn="1" w:lastColumn="0" w:noHBand="0" w:noVBand="1"/>
        </w:tblPrEx>
        <w:trPr>
          <w:cantSplit/>
          <w:trHeight w:val="20"/>
        </w:trPr>
        <w:tc>
          <w:tcPr>
            <w:tcW w:w="1129" w:type="dxa"/>
            <w:gridSpan w:val="2"/>
          </w:tcPr>
          <w:p w14:paraId="1291B760" w14:textId="6372117B"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7B349578"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[internal medicine specialising in gastroenterology (code 81)]; or</w:t>
            </w:r>
          </w:p>
        </w:tc>
      </w:tr>
      <w:tr w:rsidR="004E5B84" w:rsidRPr="00793A55" w14:paraId="7FCEDE5B" w14:textId="77777777" w:rsidTr="00793A55">
        <w:tblPrEx>
          <w:tblLook w:val="04A0" w:firstRow="1" w:lastRow="0" w:firstColumn="1" w:lastColumn="0" w:noHBand="0" w:noVBand="1"/>
        </w:tblPrEx>
        <w:trPr>
          <w:cantSplit/>
          <w:trHeight w:val="20"/>
        </w:trPr>
        <w:tc>
          <w:tcPr>
            <w:tcW w:w="1129" w:type="dxa"/>
            <w:gridSpan w:val="2"/>
          </w:tcPr>
          <w:p w14:paraId="46B0DE99" w14:textId="2A157D8B"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0A587D62"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[general medicine specialising in gastroenterology (code 82)]</w:t>
            </w:r>
          </w:p>
        </w:tc>
      </w:tr>
      <w:tr w:rsidR="004E5B84" w:rsidRPr="00793A55" w14:paraId="2DE50935" w14:textId="77777777" w:rsidTr="00793A55">
        <w:tblPrEx>
          <w:tblLook w:val="04A0" w:firstRow="1" w:lastRow="0" w:firstColumn="1" w:lastColumn="0" w:noHBand="0" w:noVBand="1"/>
        </w:tblPrEx>
        <w:trPr>
          <w:cantSplit/>
          <w:trHeight w:val="20"/>
        </w:trPr>
        <w:tc>
          <w:tcPr>
            <w:tcW w:w="1129" w:type="dxa"/>
            <w:gridSpan w:val="2"/>
          </w:tcPr>
          <w:p w14:paraId="3E354D62"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1DE67A0D" w14:textId="77777777" w:rsidR="004E5B84" w:rsidRPr="00962CCF" w:rsidRDefault="004E5B84" w:rsidP="00B43184">
            <w:pPr>
              <w:ind w:left="-57"/>
              <w:rPr>
                <w:rFonts w:ascii="Arial Narrow" w:hAnsi="Arial Narrow" w:cs="Open Sans"/>
                <w:color w:val="333333"/>
                <w:sz w:val="18"/>
                <w:szCs w:val="18"/>
              </w:rPr>
            </w:pPr>
          </w:p>
        </w:tc>
      </w:tr>
      <w:tr w:rsidR="004E5B84" w:rsidRPr="00793A55" w14:paraId="00420AA1" w14:textId="77777777" w:rsidTr="00793A55">
        <w:tblPrEx>
          <w:tblLook w:val="04A0" w:firstRow="1" w:lastRow="0" w:firstColumn="1" w:lastColumn="0" w:noHBand="0" w:noVBand="1"/>
        </w:tblPrEx>
        <w:trPr>
          <w:cantSplit/>
          <w:trHeight w:val="20"/>
        </w:trPr>
        <w:tc>
          <w:tcPr>
            <w:tcW w:w="1129" w:type="dxa"/>
            <w:gridSpan w:val="2"/>
          </w:tcPr>
          <w:p w14:paraId="469F10D8" w14:textId="157DF984"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5F55F919"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Population criteria:</w:t>
            </w:r>
          </w:p>
        </w:tc>
      </w:tr>
      <w:tr w:rsidR="004E5B84" w:rsidRPr="00793A55" w14:paraId="6ABE26A9" w14:textId="77777777" w:rsidTr="00793A55">
        <w:tblPrEx>
          <w:tblLook w:val="04A0" w:firstRow="1" w:lastRow="0" w:firstColumn="1" w:lastColumn="0" w:noHBand="0" w:noVBand="1"/>
        </w:tblPrEx>
        <w:trPr>
          <w:cantSplit/>
          <w:trHeight w:val="20"/>
        </w:trPr>
        <w:tc>
          <w:tcPr>
            <w:tcW w:w="1129" w:type="dxa"/>
            <w:gridSpan w:val="2"/>
          </w:tcPr>
          <w:p w14:paraId="009E6E1A" w14:textId="1CDA0363"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58F283FB"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be at least 18 years of age</w:t>
            </w:r>
          </w:p>
        </w:tc>
      </w:tr>
      <w:tr w:rsidR="004E5B84" w:rsidRPr="00793A55" w14:paraId="5A930CFD" w14:textId="77777777" w:rsidTr="00793A55">
        <w:tblPrEx>
          <w:tblLook w:val="04A0" w:firstRow="1" w:lastRow="0" w:firstColumn="1" w:lastColumn="0" w:noHBand="0" w:noVBand="1"/>
        </w:tblPrEx>
        <w:trPr>
          <w:cantSplit/>
          <w:trHeight w:val="20"/>
        </w:trPr>
        <w:tc>
          <w:tcPr>
            <w:tcW w:w="1129" w:type="dxa"/>
            <w:gridSpan w:val="2"/>
          </w:tcPr>
          <w:p w14:paraId="1BDE04D4"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2F6BEDEB" w14:textId="77777777" w:rsidR="004E5B84" w:rsidRPr="00962CCF" w:rsidRDefault="004E5B84" w:rsidP="00B43184">
            <w:pPr>
              <w:ind w:left="-57"/>
              <w:rPr>
                <w:rFonts w:ascii="Arial Narrow" w:hAnsi="Arial Narrow" w:cs="Open Sans"/>
                <w:color w:val="333333"/>
                <w:sz w:val="18"/>
                <w:szCs w:val="18"/>
              </w:rPr>
            </w:pPr>
          </w:p>
        </w:tc>
      </w:tr>
      <w:tr w:rsidR="004E5B84" w:rsidRPr="00793A55" w14:paraId="60470F93" w14:textId="77777777" w:rsidTr="00793A55">
        <w:tblPrEx>
          <w:tblLook w:val="04A0" w:firstRow="1" w:lastRow="0" w:firstColumn="1" w:lastColumn="0" w:noHBand="0" w:noVBand="1"/>
        </w:tblPrEx>
        <w:trPr>
          <w:cantSplit/>
          <w:trHeight w:val="20"/>
        </w:trPr>
        <w:tc>
          <w:tcPr>
            <w:tcW w:w="1129" w:type="dxa"/>
            <w:gridSpan w:val="2"/>
          </w:tcPr>
          <w:p w14:paraId="56661DBA" w14:textId="72C0BCE9"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68F3DEA"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0AEF4B49" w14:textId="77777777" w:rsidTr="00793A55">
        <w:tblPrEx>
          <w:tblLook w:val="04A0" w:firstRow="1" w:lastRow="0" w:firstColumn="1" w:lastColumn="0" w:noHBand="0" w:noVBand="1"/>
        </w:tblPrEx>
        <w:trPr>
          <w:cantSplit/>
          <w:trHeight w:val="20"/>
        </w:trPr>
        <w:tc>
          <w:tcPr>
            <w:tcW w:w="1129" w:type="dxa"/>
            <w:gridSpan w:val="2"/>
          </w:tcPr>
          <w:p w14:paraId="212D64E1" w14:textId="671C2F94"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583C37C"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confirmed severe Crohn disease, defined by standard clinical, endoscopic and/or imaging features, including histological evidence, with the diagnosis confirmed by a gastroenterologist or a consultant physician</w:t>
            </w:r>
          </w:p>
        </w:tc>
      </w:tr>
      <w:tr w:rsidR="004E5B84" w:rsidRPr="00793A55" w14:paraId="27027FA2" w14:textId="77777777" w:rsidTr="00793A55">
        <w:tblPrEx>
          <w:tblLook w:val="04A0" w:firstRow="1" w:lastRow="0" w:firstColumn="1" w:lastColumn="0" w:noHBand="0" w:noVBand="1"/>
        </w:tblPrEx>
        <w:trPr>
          <w:cantSplit/>
          <w:trHeight w:val="20"/>
        </w:trPr>
        <w:tc>
          <w:tcPr>
            <w:tcW w:w="1129" w:type="dxa"/>
            <w:gridSpan w:val="2"/>
          </w:tcPr>
          <w:p w14:paraId="1927DDD4" w14:textId="77777777" w:rsidR="004E5B84" w:rsidRPr="00793A55" w:rsidRDefault="004E5B84" w:rsidP="00B43184">
            <w:pPr>
              <w:jc w:val="center"/>
              <w:rPr>
                <w:rFonts w:ascii="Arial Narrow" w:hAnsi="Arial Narrow" w:cs="Open Sans"/>
                <w:color w:val="333333"/>
                <w:sz w:val="20"/>
                <w:szCs w:val="20"/>
              </w:rPr>
            </w:pPr>
          </w:p>
        </w:tc>
        <w:tc>
          <w:tcPr>
            <w:tcW w:w="8080" w:type="dxa"/>
            <w:gridSpan w:val="6"/>
            <w:hideMark/>
          </w:tcPr>
          <w:p w14:paraId="2975CB3C"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AND</w:t>
            </w:r>
          </w:p>
        </w:tc>
      </w:tr>
      <w:tr w:rsidR="004E5B84" w:rsidRPr="00793A55" w14:paraId="76BE5688" w14:textId="77777777" w:rsidTr="00793A55">
        <w:tblPrEx>
          <w:tblLook w:val="04A0" w:firstRow="1" w:lastRow="0" w:firstColumn="1" w:lastColumn="0" w:noHBand="0" w:noVBand="1"/>
        </w:tblPrEx>
        <w:trPr>
          <w:cantSplit/>
          <w:trHeight w:val="20"/>
        </w:trPr>
        <w:tc>
          <w:tcPr>
            <w:tcW w:w="1129" w:type="dxa"/>
            <w:gridSpan w:val="2"/>
          </w:tcPr>
          <w:p w14:paraId="25E74497" w14:textId="3F5A2133"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343F2D6C"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2244BED3" w14:textId="77777777" w:rsidTr="00793A55">
        <w:tblPrEx>
          <w:tblLook w:val="04A0" w:firstRow="1" w:lastRow="0" w:firstColumn="1" w:lastColumn="0" w:noHBand="0" w:noVBand="1"/>
        </w:tblPrEx>
        <w:trPr>
          <w:cantSplit/>
          <w:trHeight w:val="20"/>
        </w:trPr>
        <w:tc>
          <w:tcPr>
            <w:tcW w:w="1129" w:type="dxa"/>
            <w:gridSpan w:val="2"/>
          </w:tcPr>
          <w:p w14:paraId="7F0A987D" w14:textId="7FB87299"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5488E1A1"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 xml:space="preserve">Patient must have failed to achieve an adequate response to prior systemic therapy with a tapered course of steroids, starting at a dose of at least 40 mg prednisolone (or equivalent), over a </w:t>
            </w:r>
            <w:proofErr w:type="gramStart"/>
            <w:r w:rsidRPr="00962CCF">
              <w:rPr>
                <w:rFonts w:ascii="Arial Narrow" w:hAnsi="Arial Narrow" w:cs="Open Sans"/>
                <w:color w:val="333333"/>
                <w:sz w:val="18"/>
                <w:szCs w:val="18"/>
              </w:rPr>
              <w:t>6 week</w:t>
            </w:r>
            <w:proofErr w:type="gramEnd"/>
            <w:r w:rsidRPr="00962CCF">
              <w:rPr>
                <w:rFonts w:ascii="Arial Narrow" w:hAnsi="Arial Narrow" w:cs="Open Sans"/>
                <w:color w:val="333333"/>
                <w:sz w:val="18"/>
                <w:szCs w:val="18"/>
              </w:rPr>
              <w:t xml:space="preserve"> period</w:t>
            </w:r>
          </w:p>
        </w:tc>
      </w:tr>
      <w:tr w:rsidR="004E5B84" w:rsidRPr="00793A55" w14:paraId="04C9C485" w14:textId="77777777" w:rsidTr="00793A55">
        <w:tblPrEx>
          <w:tblLook w:val="04A0" w:firstRow="1" w:lastRow="0" w:firstColumn="1" w:lastColumn="0" w:noHBand="0" w:noVBand="1"/>
        </w:tblPrEx>
        <w:trPr>
          <w:cantSplit/>
          <w:trHeight w:val="20"/>
        </w:trPr>
        <w:tc>
          <w:tcPr>
            <w:tcW w:w="1129" w:type="dxa"/>
            <w:gridSpan w:val="2"/>
          </w:tcPr>
          <w:p w14:paraId="42595641" w14:textId="77777777" w:rsidR="004E5B84" w:rsidRPr="00793A55" w:rsidRDefault="004E5B84" w:rsidP="00B43184">
            <w:pPr>
              <w:jc w:val="center"/>
              <w:rPr>
                <w:rFonts w:ascii="Arial Narrow" w:hAnsi="Arial Narrow" w:cs="Open Sans"/>
                <w:color w:val="333333"/>
                <w:sz w:val="20"/>
                <w:szCs w:val="20"/>
              </w:rPr>
            </w:pPr>
          </w:p>
        </w:tc>
        <w:tc>
          <w:tcPr>
            <w:tcW w:w="8080" w:type="dxa"/>
            <w:gridSpan w:val="6"/>
            <w:hideMark/>
          </w:tcPr>
          <w:p w14:paraId="784EDEE4"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AND</w:t>
            </w:r>
          </w:p>
        </w:tc>
      </w:tr>
      <w:tr w:rsidR="004E5B84" w:rsidRPr="00793A55" w14:paraId="1C3C3EE6" w14:textId="77777777" w:rsidTr="00793A55">
        <w:tblPrEx>
          <w:tblLook w:val="04A0" w:firstRow="1" w:lastRow="0" w:firstColumn="1" w:lastColumn="0" w:noHBand="0" w:noVBand="1"/>
        </w:tblPrEx>
        <w:trPr>
          <w:cantSplit/>
          <w:trHeight w:val="20"/>
        </w:trPr>
        <w:tc>
          <w:tcPr>
            <w:tcW w:w="1129" w:type="dxa"/>
            <w:gridSpan w:val="2"/>
          </w:tcPr>
          <w:p w14:paraId="4B84E72D" w14:textId="621145F3"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44A5806A"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4BFD983B" w14:textId="77777777" w:rsidTr="00793A55">
        <w:tblPrEx>
          <w:tblLook w:val="04A0" w:firstRow="1" w:lastRow="0" w:firstColumn="1" w:lastColumn="0" w:noHBand="0" w:noVBand="1"/>
        </w:tblPrEx>
        <w:trPr>
          <w:cantSplit/>
          <w:trHeight w:val="20"/>
        </w:trPr>
        <w:tc>
          <w:tcPr>
            <w:tcW w:w="1129" w:type="dxa"/>
            <w:gridSpan w:val="2"/>
          </w:tcPr>
          <w:p w14:paraId="4E45AF9B" w14:textId="4BB56A8C"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26EB409"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failed to achieve adequate response to prior systemic immunosuppressive therapy with azathioprine at a dose of at least 2 mg per kg daily for 3 or more consecutive months; or</w:t>
            </w:r>
          </w:p>
        </w:tc>
      </w:tr>
      <w:tr w:rsidR="004E5B84" w:rsidRPr="00793A55" w14:paraId="7DBBC22F" w14:textId="77777777" w:rsidTr="00793A55">
        <w:tblPrEx>
          <w:tblLook w:val="04A0" w:firstRow="1" w:lastRow="0" w:firstColumn="1" w:lastColumn="0" w:noHBand="0" w:noVBand="1"/>
        </w:tblPrEx>
        <w:trPr>
          <w:cantSplit/>
          <w:trHeight w:val="20"/>
        </w:trPr>
        <w:tc>
          <w:tcPr>
            <w:tcW w:w="1129" w:type="dxa"/>
            <w:gridSpan w:val="2"/>
          </w:tcPr>
          <w:p w14:paraId="5AC5FCE7" w14:textId="09C54C96"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78841237"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failed to achieve adequate response to prior systemic immunosuppressive therapy with 6-mercaptopurine at a dose of at least 1 mg per kg daily for 3 or more consecutive months; or</w:t>
            </w:r>
          </w:p>
        </w:tc>
      </w:tr>
      <w:tr w:rsidR="004E5B84" w:rsidRPr="00793A55" w14:paraId="186A1610" w14:textId="77777777" w:rsidTr="00793A55">
        <w:tblPrEx>
          <w:tblLook w:val="04A0" w:firstRow="1" w:lastRow="0" w:firstColumn="1" w:lastColumn="0" w:noHBand="0" w:noVBand="1"/>
        </w:tblPrEx>
        <w:trPr>
          <w:cantSplit/>
          <w:trHeight w:val="20"/>
        </w:trPr>
        <w:tc>
          <w:tcPr>
            <w:tcW w:w="1129" w:type="dxa"/>
            <w:gridSpan w:val="2"/>
          </w:tcPr>
          <w:p w14:paraId="27158F2B" w14:textId="7117D428"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01223579"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failed to achieve adequate response to prior systemic immunosuppressive therapy with methotrexate at a dose of at least 15 mg weekly for 3 or more consecutive months</w:t>
            </w:r>
          </w:p>
        </w:tc>
      </w:tr>
      <w:tr w:rsidR="004E5B84" w:rsidRPr="00793A55" w14:paraId="547F0EDD" w14:textId="77777777" w:rsidTr="00793A55">
        <w:tblPrEx>
          <w:tblLook w:val="04A0" w:firstRow="1" w:lastRow="0" w:firstColumn="1" w:lastColumn="0" w:noHBand="0" w:noVBand="1"/>
        </w:tblPrEx>
        <w:trPr>
          <w:cantSplit/>
          <w:trHeight w:val="20"/>
        </w:trPr>
        <w:tc>
          <w:tcPr>
            <w:tcW w:w="1129" w:type="dxa"/>
            <w:gridSpan w:val="2"/>
          </w:tcPr>
          <w:p w14:paraId="38DD12A5" w14:textId="77777777" w:rsidR="004E5B84" w:rsidRPr="00793A55" w:rsidRDefault="004E5B84" w:rsidP="00B43184">
            <w:pPr>
              <w:jc w:val="center"/>
              <w:rPr>
                <w:rFonts w:ascii="Arial Narrow" w:hAnsi="Arial Narrow" w:cs="Open Sans"/>
                <w:color w:val="333333"/>
                <w:sz w:val="20"/>
                <w:szCs w:val="20"/>
              </w:rPr>
            </w:pPr>
          </w:p>
        </w:tc>
        <w:tc>
          <w:tcPr>
            <w:tcW w:w="8080" w:type="dxa"/>
            <w:gridSpan w:val="6"/>
            <w:hideMark/>
          </w:tcPr>
          <w:p w14:paraId="14211714"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AND</w:t>
            </w:r>
          </w:p>
        </w:tc>
      </w:tr>
      <w:tr w:rsidR="004E5B84" w:rsidRPr="00793A55" w14:paraId="2C77A35B" w14:textId="77777777" w:rsidTr="00793A55">
        <w:tblPrEx>
          <w:tblLook w:val="04A0" w:firstRow="1" w:lastRow="0" w:firstColumn="1" w:lastColumn="0" w:noHBand="0" w:noVBand="1"/>
        </w:tblPrEx>
        <w:trPr>
          <w:cantSplit/>
          <w:trHeight w:val="20"/>
        </w:trPr>
        <w:tc>
          <w:tcPr>
            <w:tcW w:w="1129" w:type="dxa"/>
            <w:gridSpan w:val="2"/>
          </w:tcPr>
          <w:p w14:paraId="296A21C2" w14:textId="3A32EF2E"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79DD169"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6953021D" w14:textId="77777777" w:rsidTr="00793A55">
        <w:tblPrEx>
          <w:tblLook w:val="04A0" w:firstRow="1" w:lastRow="0" w:firstColumn="1" w:lastColumn="0" w:noHBand="0" w:noVBand="1"/>
        </w:tblPrEx>
        <w:trPr>
          <w:cantSplit/>
          <w:trHeight w:val="20"/>
        </w:trPr>
        <w:tc>
          <w:tcPr>
            <w:tcW w:w="1129" w:type="dxa"/>
            <w:gridSpan w:val="2"/>
          </w:tcPr>
          <w:p w14:paraId="04C2975B" w14:textId="4F0E79DF"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38352180"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a Crohn Disease Activity Index (CDAI) Score greater than or equal to 300 as evidence of failure to achieve an adequate response to prior systemic therapy; or</w:t>
            </w:r>
          </w:p>
        </w:tc>
      </w:tr>
      <w:tr w:rsidR="004E5B84" w:rsidRPr="00793A55" w14:paraId="659D7EEE" w14:textId="77777777" w:rsidTr="00793A55">
        <w:tblPrEx>
          <w:tblLook w:val="04A0" w:firstRow="1" w:lastRow="0" w:firstColumn="1" w:lastColumn="0" w:noHBand="0" w:noVBand="1"/>
        </w:tblPrEx>
        <w:trPr>
          <w:cantSplit/>
          <w:trHeight w:val="20"/>
        </w:trPr>
        <w:tc>
          <w:tcPr>
            <w:tcW w:w="1129" w:type="dxa"/>
            <w:gridSpan w:val="2"/>
          </w:tcPr>
          <w:p w14:paraId="7C0A2FE1" w14:textId="796648C2"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DDBD595"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p>
        </w:tc>
      </w:tr>
      <w:tr w:rsidR="004E5B84" w:rsidRPr="00793A55" w14:paraId="0B07C634" w14:textId="77777777" w:rsidTr="00793A55">
        <w:tblPrEx>
          <w:tblLook w:val="04A0" w:firstRow="1" w:lastRow="0" w:firstColumn="1" w:lastColumn="0" w:noHBand="0" w:noVBand="1"/>
        </w:tblPrEx>
        <w:trPr>
          <w:cantSplit/>
          <w:trHeight w:val="20"/>
        </w:trPr>
        <w:tc>
          <w:tcPr>
            <w:tcW w:w="1129" w:type="dxa"/>
            <w:gridSpan w:val="2"/>
          </w:tcPr>
          <w:p w14:paraId="454260FE" w14:textId="64023821"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1E8FBB0E"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p>
        </w:tc>
      </w:tr>
      <w:tr w:rsidR="004E5B84" w:rsidRPr="00793A55" w14:paraId="43E0E235" w14:textId="77777777" w:rsidTr="00793A55">
        <w:tblPrEx>
          <w:tblLook w:val="04A0" w:firstRow="1" w:lastRow="0" w:firstColumn="1" w:lastColumn="0" w:noHBand="0" w:noVBand="1"/>
        </w:tblPrEx>
        <w:trPr>
          <w:cantSplit/>
          <w:trHeight w:val="20"/>
        </w:trPr>
        <w:tc>
          <w:tcPr>
            <w:tcW w:w="1129" w:type="dxa"/>
            <w:gridSpan w:val="2"/>
          </w:tcPr>
          <w:p w14:paraId="444B829F"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1FDEDD6A" w14:textId="77777777" w:rsidR="004E5B84" w:rsidRPr="00962CCF" w:rsidRDefault="004E5B84" w:rsidP="00B43184">
            <w:pPr>
              <w:ind w:left="-57"/>
              <w:rPr>
                <w:rFonts w:ascii="Arial Narrow" w:hAnsi="Arial Narrow" w:cs="Open Sans"/>
                <w:color w:val="333333"/>
                <w:sz w:val="18"/>
                <w:szCs w:val="18"/>
              </w:rPr>
            </w:pPr>
          </w:p>
        </w:tc>
      </w:tr>
      <w:tr w:rsidR="004E5B84" w:rsidRPr="00793A55" w14:paraId="1A174872" w14:textId="77777777" w:rsidTr="00793A55">
        <w:tblPrEx>
          <w:tblLook w:val="04A0" w:firstRow="1" w:lastRow="0" w:firstColumn="1" w:lastColumn="0" w:noHBand="0" w:noVBand="1"/>
        </w:tblPrEx>
        <w:trPr>
          <w:cantSplit/>
          <w:trHeight w:val="20"/>
        </w:trPr>
        <w:tc>
          <w:tcPr>
            <w:tcW w:w="1129" w:type="dxa"/>
            <w:gridSpan w:val="2"/>
          </w:tcPr>
          <w:p w14:paraId="1F25EB60" w14:textId="0961E515" w:rsidR="004E5B84" w:rsidRPr="00793A55" w:rsidRDefault="004E5B84" w:rsidP="00B43184">
            <w:pPr>
              <w:jc w:val="center"/>
              <w:rPr>
                <w:rFonts w:ascii="Arial Narrow" w:hAnsi="Arial Narrow"/>
                <w:sz w:val="20"/>
                <w:szCs w:val="20"/>
              </w:rPr>
            </w:pPr>
          </w:p>
        </w:tc>
        <w:tc>
          <w:tcPr>
            <w:tcW w:w="8080" w:type="dxa"/>
            <w:gridSpan w:val="6"/>
          </w:tcPr>
          <w:p w14:paraId="0CC3913A" w14:textId="77777777" w:rsidR="004E5B84" w:rsidRPr="00962CCF" w:rsidRDefault="004E5B84" w:rsidP="00B43184">
            <w:pPr>
              <w:ind w:left="-57"/>
              <w:rPr>
                <w:rFonts w:ascii="Arial Narrow" w:hAnsi="Arial Narrow" w:cs="Arial Narrow"/>
                <w:b/>
                <w:iCs/>
                <w:sz w:val="18"/>
                <w:szCs w:val="18"/>
              </w:rPr>
            </w:pPr>
            <w:r w:rsidRPr="00962CCF">
              <w:rPr>
                <w:rFonts w:ascii="Arial Narrow" w:hAnsi="Arial Narrow" w:cs="Arial Narrow"/>
                <w:b/>
                <w:iCs/>
                <w:sz w:val="18"/>
                <w:szCs w:val="18"/>
              </w:rPr>
              <w:t>Prescribing Instructions:</w:t>
            </w:r>
          </w:p>
          <w:p w14:paraId="45A71F42" w14:textId="77777777" w:rsidR="004E5B84" w:rsidRPr="00962CCF" w:rsidRDefault="004E5B84" w:rsidP="00B43184">
            <w:pPr>
              <w:ind w:left="-57"/>
              <w:rPr>
                <w:rFonts w:ascii="Arial Narrow" w:hAnsi="Arial Narrow"/>
                <w:sz w:val="18"/>
                <w:szCs w:val="18"/>
              </w:rPr>
            </w:pPr>
            <w:r w:rsidRPr="00962CCF">
              <w:rPr>
                <w:rFonts w:ascii="Arial Narrow" w:hAnsi="Arial Narrow"/>
                <w:sz w:val="18"/>
                <w:szCs w:val="18"/>
              </w:rPr>
              <w:t>The authority application must be made in writing and must include:</w:t>
            </w:r>
          </w:p>
          <w:p w14:paraId="376701DE" w14:textId="77777777" w:rsidR="004E5B84" w:rsidRPr="00962CCF" w:rsidRDefault="004E5B84" w:rsidP="00B43184">
            <w:pPr>
              <w:ind w:left="-57"/>
              <w:rPr>
                <w:rFonts w:ascii="Arial Narrow" w:hAnsi="Arial Narrow"/>
                <w:sz w:val="18"/>
                <w:szCs w:val="18"/>
              </w:rPr>
            </w:pPr>
            <w:r w:rsidRPr="00962CCF">
              <w:rPr>
                <w:rFonts w:ascii="Arial Narrow" w:hAnsi="Arial Narrow"/>
                <w:sz w:val="18"/>
                <w:szCs w:val="18"/>
              </w:rPr>
              <w:t>(1) a completed authority prescription form; and</w:t>
            </w:r>
          </w:p>
          <w:p w14:paraId="05BF61CA"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sz w:val="18"/>
                <w:szCs w:val="18"/>
              </w:rPr>
              <w:t>(2) a completed authority application form relevant to the indication and treatment phase (the latest version is located on the website specified in the Administrative Advice).</w:t>
            </w:r>
          </w:p>
        </w:tc>
      </w:tr>
      <w:tr w:rsidR="004E5B84" w:rsidRPr="00793A55" w14:paraId="63980472" w14:textId="77777777" w:rsidTr="00793A55">
        <w:tblPrEx>
          <w:tblLook w:val="04A0" w:firstRow="1" w:lastRow="0" w:firstColumn="1" w:lastColumn="0" w:noHBand="0" w:noVBand="1"/>
        </w:tblPrEx>
        <w:trPr>
          <w:cantSplit/>
          <w:trHeight w:val="20"/>
        </w:trPr>
        <w:tc>
          <w:tcPr>
            <w:tcW w:w="1129" w:type="dxa"/>
            <w:gridSpan w:val="2"/>
          </w:tcPr>
          <w:p w14:paraId="1B403130" w14:textId="4A71EE69"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08ABC121"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401CB56D"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Evidence of failure to achieve an adequate response to prior therapy must include at least one of the following:</w:t>
            </w:r>
          </w:p>
          <w:p w14:paraId="2868F768"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 xml:space="preserve">(a) patient must have evidence of intestinal </w:t>
            </w:r>
            <w:proofErr w:type="gramStart"/>
            <w:r w:rsidRPr="00962CCF">
              <w:rPr>
                <w:rFonts w:ascii="Arial Narrow" w:hAnsi="Arial Narrow" w:cs="Open Sans"/>
                <w:color w:val="333333"/>
                <w:sz w:val="18"/>
                <w:szCs w:val="18"/>
              </w:rPr>
              <w:t>inflammation;</w:t>
            </w:r>
            <w:proofErr w:type="gramEnd"/>
          </w:p>
          <w:p w14:paraId="5DE81E55"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 xml:space="preserve">(b) patient must be assessed clinically as being in a high faecal output </w:t>
            </w:r>
            <w:proofErr w:type="gramStart"/>
            <w:r w:rsidRPr="00962CCF">
              <w:rPr>
                <w:rFonts w:ascii="Arial Narrow" w:hAnsi="Arial Narrow" w:cs="Open Sans"/>
                <w:color w:val="333333"/>
                <w:sz w:val="18"/>
                <w:szCs w:val="18"/>
              </w:rPr>
              <w:t>state;</w:t>
            </w:r>
            <w:proofErr w:type="gramEnd"/>
          </w:p>
          <w:p w14:paraId="2CE07CA5"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(c) patient must be assessed clinically as requiring surgery or total parenteral nutrition (TPN) as the next therapeutic option, in the absence of this drug, if affected by short gut syndrome, extensive small intestine disease or is an ostomy patient.</w:t>
            </w:r>
          </w:p>
          <w:p w14:paraId="3B1A90A5" w14:textId="77777777" w:rsidR="004E5B84" w:rsidRPr="00962CCF" w:rsidRDefault="004E5B84" w:rsidP="00B43184">
            <w:pPr>
              <w:ind w:left="-57"/>
              <w:textAlignment w:val="baseline"/>
              <w:rPr>
                <w:rFonts w:ascii="Arial Narrow" w:hAnsi="Arial Narrow" w:cs="Open Sans"/>
                <w:color w:val="333333"/>
                <w:sz w:val="18"/>
                <w:szCs w:val="18"/>
              </w:rPr>
            </w:pPr>
          </w:p>
          <w:p w14:paraId="052BE775"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Evidence of intestinal inflammation includes:</w:t>
            </w:r>
          </w:p>
          <w:p w14:paraId="005B1AFF"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 xml:space="preserve">(i) blood: higher than normal platelet count, </w:t>
            </w:r>
            <w:proofErr w:type="gramStart"/>
            <w:r w:rsidRPr="00962CCF">
              <w:rPr>
                <w:rFonts w:ascii="Arial Narrow" w:hAnsi="Arial Narrow" w:cs="Open Sans"/>
                <w:color w:val="333333"/>
                <w:sz w:val="18"/>
                <w:szCs w:val="18"/>
              </w:rPr>
              <w:t>or,</w:t>
            </w:r>
            <w:proofErr w:type="gramEnd"/>
            <w:r w:rsidRPr="00962CCF">
              <w:rPr>
                <w:rFonts w:ascii="Arial Narrow" w:hAnsi="Arial Narrow" w:cs="Open Sans"/>
                <w:color w:val="333333"/>
                <w:sz w:val="18"/>
                <w:szCs w:val="18"/>
              </w:rPr>
              <w:t xml:space="preserve"> an elevated erythrocyte sedimentation rate (ESR) greater than 25 mm per hour, or, a C-reactive protein (CRP) level greater than 15 mg per L; or</w:t>
            </w:r>
          </w:p>
          <w:p w14:paraId="4227518C"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(ii) faeces: higher than normal lactoferrin or calprotectin level; or</w:t>
            </w:r>
          </w:p>
          <w:p w14:paraId="79704871"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(iii) diagnostic imaging: demonstration of increased uptake of intravenous contrast with thickening of the bowel wall or mesenteric lymphadenopathy or fat streaking in the mesentery.</w:t>
            </w:r>
          </w:p>
        </w:tc>
      </w:tr>
      <w:tr w:rsidR="004E5B84" w:rsidRPr="00793A55" w14:paraId="2BFEB6D3" w14:textId="77777777" w:rsidTr="00793A55">
        <w:tblPrEx>
          <w:tblLook w:val="04A0" w:firstRow="1" w:lastRow="0" w:firstColumn="1" w:lastColumn="0" w:noHBand="0" w:noVBand="1"/>
        </w:tblPrEx>
        <w:trPr>
          <w:cantSplit/>
          <w:trHeight w:val="20"/>
        </w:trPr>
        <w:tc>
          <w:tcPr>
            <w:tcW w:w="1129" w:type="dxa"/>
            <w:gridSpan w:val="2"/>
          </w:tcPr>
          <w:p w14:paraId="1510D4FA"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41C74826"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15279EAB"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All assessments, pathology tests and diagnostic imaging studies must be made within 4 weeks of the date of application and should be performed preferably whilst still on conventional treatment, but no longer than 4 weeks following cessation of the most recent prior treatment.</w:t>
            </w:r>
          </w:p>
        </w:tc>
      </w:tr>
      <w:tr w:rsidR="004E5B84" w:rsidRPr="00793A55" w14:paraId="30B357FC" w14:textId="77777777" w:rsidTr="00793A55">
        <w:tblPrEx>
          <w:tblLook w:val="04A0" w:firstRow="1" w:lastRow="0" w:firstColumn="1" w:lastColumn="0" w:noHBand="0" w:noVBand="1"/>
        </w:tblPrEx>
        <w:trPr>
          <w:cantSplit/>
          <w:trHeight w:val="20"/>
        </w:trPr>
        <w:tc>
          <w:tcPr>
            <w:tcW w:w="1129" w:type="dxa"/>
            <w:gridSpan w:val="2"/>
          </w:tcPr>
          <w:p w14:paraId="75D3ED0C" w14:textId="763A7872"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5E39CC16"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6A574307"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If treatment with any of the specified prior conventional drugs is contraindicated according to the relevant TGA-approved Product Information, please provide details at the time of application.</w:t>
            </w:r>
          </w:p>
        </w:tc>
      </w:tr>
      <w:tr w:rsidR="004E5B84" w:rsidRPr="00793A55" w14:paraId="14CA8885" w14:textId="77777777" w:rsidTr="00793A55">
        <w:tblPrEx>
          <w:tblLook w:val="04A0" w:firstRow="1" w:lastRow="0" w:firstColumn="1" w:lastColumn="0" w:noHBand="0" w:noVBand="1"/>
        </w:tblPrEx>
        <w:trPr>
          <w:cantSplit/>
          <w:trHeight w:val="20"/>
        </w:trPr>
        <w:tc>
          <w:tcPr>
            <w:tcW w:w="1129" w:type="dxa"/>
            <w:gridSpan w:val="2"/>
          </w:tcPr>
          <w:p w14:paraId="08A3F002" w14:textId="7132096B"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143B3680"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3EA681B3"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If intolerance to treatment develops during the relevant period of use, which is of a severity necessitating permanent treatment withdrawal, details of this toxicity must be provided at the time of application.</w:t>
            </w:r>
          </w:p>
        </w:tc>
      </w:tr>
      <w:tr w:rsidR="004E5B84" w:rsidRPr="00793A55" w14:paraId="55CFEB36" w14:textId="77777777" w:rsidTr="00793A55">
        <w:tblPrEx>
          <w:tblLook w:val="04A0" w:firstRow="1" w:lastRow="0" w:firstColumn="1" w:lastColumn="0" w:noHBand="0" w:noVBand="1"/>
        </w:tblPrEx>
        <w:trPr>
          <w:cantSplit/>
          <w:trHeight w:val="20"/>
        </w:trPr>
        <w:tc>
          <w:tcPr>
            <w:tcW w:w="1129" w:type="dxa"/>
            <w:gridSpan w:val="2"/>
          </w:tcPr>
          <w:p w14:paraId="22524026"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4873B949"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1A980A4D"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Details of the accepted toxicities including severity can be found on the Services Australia website.</w:t>
            </w:r>
          </w:p>
        </w:tc>
      </w:tr>
      <w:tr w:rsidR="004E5B84" w:rsidRPr="00793A55" w14:paraId="292622BA" w14:textId="77777777" w:rsidTr="00793A55">
        <w:tblPrEx>
          <w:tblLook w:val="04A0" w:firstRow="1" w:lastRow="0" w:firstColumn="1" w:lastColumn="0" w:noHBand="0" w:noVBand="1"/>
        </w:tblPrEx>
        <w:trPr>
          <w:cantSplit/>
          <w:trHeight w:val="20"/>
        </w:trPr>
        <w:tc>
          <w:tcPr>
            <w:tcW w:w="1129" w:type="dxa"/>
            <w:gridSpan w:val="2"/>
          </w:tcPr>
          <w:p w14:paraId="7F64A0AD" w14:textId="49CC38A6"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52751584"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70C74EC7"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tc>
      </w:tr>
      <w:bookmarkEnd w:id="123"/>
      <w:tr w:rsidR="004E5B84" w:rsidRPr="00793A55" w14:paraId="26D4F240" w14:textId="77777777" w:rsidTr="00793A55">
        <w:tblPrEx>
          <w:tblLook w:val="04A0" w:firstRow="1" w:lastRow="0" w:firstColumn="1" w:lastColumn="0" w:noHBand="0" w:noVBand="1"/>
        </w:tblPrEx>
        <w:trPr>
          <w:cantSplit/>
          <w:trHeight w:val="20"/>
        </w:trPr>
        <w:tc>
          <w:tcPr>
            <w:tcW w:w="9209" w:type="dxa"/>
            <w:gridSpan w:val="8"/>
          </w:tcPr>
          <w:p w14:paraId="574901BF"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7AFDE690" w14:textId="77777777" w:rsidTr="00793A55">
        <w:tblPrEx>
          <w:tblLook w:val="04A0" w:firstRow="1" w:lastRow="0" w:firstColumn="1" w:lastColumn="0" w:noHBand="0" w:noVBand="1"/>
        </w:tblPrEx>
        <w:trPr>
          <w:cantSplit/>
          <w:trHeight w:val="20"/>
        </w:trPr>
        <w:tc>
          <w:tcPr>
            <w:tcW w:w="9209" w:type="dxa"/>
            <w:gridSpan w:val="8"/>
            <w:tcBorders>
              <w:top w:val="single" w:sz="4" w:space="0" w:color="auto"/>
              <w:left w:val="single" w:sz="4" w:space="0" w:color="auto"/>
              <w:right w:val="single" w:sz="4" w:space="0" w:color="auto"/>
            </w:tcBorders>
          </w:tcPr>
          <w:p w14:paraId="525E5060" w14:textId="115D783E" w:rsidR="004E5B84" w:rsidRPr="00962CCF" w:rsidRDefault="004E5B84" w:rsidP="00B43184">
            <w:pPr>
              <w:ind w:left="-57"/>
              <w:rPr>
                <w:rFonts w:ascii="Arial Narrow" w:hAnsi="Arial Narrow"/>
                <w:b/>
                <w:sz w:val="18"/>
                <w:szCs w:val="18"/>
              </w:rPr>
            </w:pPr>
            <w:r w:rsidRPr="00962CCF">
              <w:rPr>
                <w:rFonts w:ascii="Arial Narrow" w:hAnsi="Arial Narrow"/>
                <w:b/>
                <w:sz w:val="18"/>
                <w:szCs w:val="18"/>
              </w:rPr>
              <w:t>Restriction Summary / Treatment of Concept: Authority Required</w:t>
            </w:r>
            <w:r w:rsidRPr="00962CCF">
              <w:rPr>
                <w:rFonts w:ascii="Arial Narrow" w:hAnsi="Arial Narrow"/>
                <w:bCs/>
                <w:sz w:val="18"/>
                <w:szCs w:val="18"/>
              </w:rPr>
              <w:t xml:space="preserve"> </w:t>
            </w:r>
          </w:p>
          <w:p w14:paraId="073E4586"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3920AD9F" w14:textId="77777777" w:rsidTr="00793A55">
        <w:tblPrEx>
          <w:tblLook w:val="04A0" w:firstRow="1" w:lastRow="0" w:firstColumn="1" w:lastColumn="0" w:noHBand="0" w:noVBand="1"/>
        </w:tblPrEx>
        <w:trPr>
          <w:cantSplit/>
          <w:trHeight w:val="20"/>
        </w:trPr>
        <w:tc>
          <w:tcPr>
            <w:tcW w:w="1129" w:type="dxa"/>
            <w:gridSpan w:val="2"/>
          </w:tcPr>
          <w:p w14:paraId="79832E0D" w14:textId="49DAAE5A"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388A9FC9"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 xml:space="preserve">Indication: </w:t>
            </w:r>
            <w:r w:rsidRPr="00962CCF">
              <w:rPr>
                <w:rFonts w:ascii="Arial Narrow" w:hAnsi="Arial Narrow" w:cs="Open Sans"/>
                <w:color w:val="333333"/>
                <w:sz w:val="18"/>
                <w:szCs w:val="18"/>
              </w:rPr>
              <w:t>Severe Crohn disease</w:t>
            </w:r>
          </w:p>
        </w:tc>
      </w:tr>
      <w:tr w:rsidR="004E5B84" w:rsidRPr="00793A55" w14:paraId="3A45405F" w14:textId="77777777" w:rsidTr="00793A55">
        <w:tblPrEx>
          <w:tblLook w:val="04A0" w:firstRow="1" w:lastRow="0" w:firstColumn="1" w:lastColumn="0" w:noHBand="0" w:noVBand="1"/>
        </w:tblPrEx>
        <w:trPr>
          <w:cantSplit/>
          <w:trHeight w:val="20"/>
        </w:trPr>
        <w:tc>
          <w:tcPr>
            <w:tcW w:w="1129" w:type="dxa"/>
            <w:gridSpan w:val="2"/>
          </w:tcPr>
          <w:p w14:paraId="35B1912B"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781AE161"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1E8EC379" w14:textId="77777777" w:rsidTr="00793A55">
        <w:tblPrEx>
          <w:tblLook w:val="04A0" w:firstRow="1" w:lastRow="0" w:firstColumn="1" w:lastColumn="0" w:noHBand="0" w:noVBand="1"/>
        </w:tblPrEx>
        <w:trPr>
          <w:cantSplit/>
          <w:trHeight w:val="20"/>
        </w:trPr>
        <w:tc>
          <w:tcPr>
            <w:tcW w:w="1129" w:type="dxa"/>
            <w:gridSpan w:val="2"/>
          </w:tcPr>
          <w:p w14:paraId="0DC3595A" w14:textId="77777777" w:rsidR="004E5B84" w:rsidRPr="00793A55" w:rsidRDefault="004E5B84" w:rsidP="00B43184">
            <w:pPr>
              <w:jc w:val="center"/>
              <w:rPr>
                <w:rFonts w:ascii="Arial Narrow" w:hAnsi="Arial Narrow" w:cs="Open Sans"/>
                <w:color w:val="333333"/>
                <w:sz w:val="20"/>
                <w:szCs w:val="20"/>
              </w:rPr>
            </w:pPr>
          </w:p>
        </w:tc>
        <w:tc>
          <w:tcPr>
            <w:tcW w:w="8080" w:type="dxa"/>
            <w:gridSpan w:val="6"/>
            <w:hideMark/>
          </w:tcPr>
          <w:p w14:paraId="1A478732"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Treatment Phase:</w:t>
            </w:r>
          </w:p>
          <w:p w14:paraId="451A572A"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Initial treatment – Initial 2 (change or recommencement of treatment after a break in biological medicine of less than 5 years)</w:t>
            </w:r>
          </w:p>
        </w:tc>
      </w:tr>
      <w:tr w:rsidR="004E5B84" w:rsidRPr="00793A55" w14:paraId="0A0F9D37" w14:textId="77777777" w:rsidTr="00793A55">
        <w:tblPrEx>
          <w:tblLook w:val="04A0" w:firstRow="1" w:lastRow="0" w:firstColumn="1" w:lastColumn="0" w:noHBand="0" w:noVBand="1"/>
        </w:tblPrEx>
        <w:trPr>
          <w:cantSplit/>
          <w:trHeight w:val="20"/>
        </w:trPr>
        <w:tc>
          <w:tcPr>
            <w:tcW w:w="1129" w:type="dxa"/>
            <w:gridSpan w:val="2"/>
          </w:tcPr>
          <w:p w14:paraId="65EDAAEF" w14:textId="77777777" w:rsidR="004E5B84" w:rsidRPr="00793A55" w:rsidRDefault="004E5B84" w:rsidP="00B43184">
            <w:pPr>
              <w:jc w:val="center"/>
              <w:rPr>
                <w:rFonts w:ascii="Arial Narrow" w:hAnsi="Arial Narrow" w:cs="Open Sans"/>
                <w:color w:val="333333"/>
                <w:sz w:val="20"/>
                <w:szCs w:val="20"/>
              </w:rPr>
            </w:pPr>
          </w:p>
        </w:tc>
        <w:tc>
          <w:tcPr>
            <w:tcW w:w="8080" w:type="dxa"/>
            <w:gridSpan w:val="6"/>
          </w:tcPr>
          <w:p w14:paraId="69C37295"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7F7AE1A2" w14:textId="77777777" w:rsidTr="00793A55">
        <w:tblPrEx>
          <w:tblLook w:val="04A0" w:firstRow="1" w:lastRow="0" w:firstColumn="1" w:lastColumn="0" w:noHBand="0" w:noVBand="1"/>
        </w:tblPrEx>
        <w:trPr>
          <w:cantSplit/>
          <w:trHeight w:val="20"/>
        </w:trPr>
        <w:tc>
          <w:tcPr>
            <w:tcW w:w="1129" w:type="dxa"/>
            <w:gridSpan w:val="2"/>
          </w:tcPr>
          <w:p w14:paraId="140F0DB7" w14:textId="655F85A4"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08DEAF1"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Treatment criteria:</w:t>
            </w:r>
          </w:p>
        </w:tc>
      </w:tr>
      <w:tr w:rsidR="004E5B84" w:rsidRPr="00793A55" w14:paraId="0E59CA26" w14:textId="77777777" w:rsidTr="00793A55">
        <w:tblPrEx>
          <w:tblLook w:val="04A0" w:firstRow="1" w:lastRow="0" w:firstColumn="1" w:lastColumn="0" w:noHBand="0" w:noVBand="1"/>
        </w:tblPrEx>
        <w:trPr>
          <w:cantSplit/>
          <w:trHeight w:val="20"/>
        </w:trPr>
        <w:tc>
          <w:tcPr>
            <w:tcW w:w="1129" w:type="dxa"/>
            <w:gridSpan w:val="2"/>
          </w:tcPr>
          <w:p w14:paraId="282F0C00" w14:textId="1C96C158"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FEC1120"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gastroenterologist (code 87); or</w:t>
            </w:r>
          </w:p>
        </w:tc>
      </w:tr>
      <w:tr w:rsidR="004E5B84" w:rsidRPr="00793A55" w14:paraId="6859896A" w14:textId="77777777" w:rsidTr="00793A55">
        <w:tblPrEx>
          <w:tblLook w:val="04A0" w:firstRow="1" w:lastRow="0" w:firstColumn="1" w:lastColumn="0" w:noHBand="0" w:noVBand="1"/>
        </w:tblPrEx>
        <w:trPr>
          <w:cantSplit/>
          <w:trHeight w:val="20"/>
        </w:trPr>
        <w:tc>
          <w:tcPr>
            <w:tcW w:w="1129" w:type="dxa"/>
            <w:gridSpan w:val="2"/>
          </w:tcPr>
          <w:p w14:paraId="25ACDF42" w14:textId="5E83FB7F"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73FDBD71"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[internal medicine specialising in gastroenterology (code 81)]; or</w:t>
            </w:r>
          </w:p>
        </w:tc>
      </w:tr>
      <w:tr w:rsidR="004E5B84" w:rsidRPr="00793A55" w14:paraId="49B35E9D" w14:textId="77777777" w:rsidTr="00793A55">
        <w:tblPrEx>
          <w:tblLook w:val="04A0" w:firstRow="1" w:lastRow="0" w:firstColumn="1" w:lastColumn="0" w:noHBand="0" w:noVBand="1"/>
        </w:tblPrEx>
        <w:trPr>
          <w:cantSplit/>
          <w:trHeight w:val="20"/>
        </w:trPr>
        <w:tc>
          <w:tcPr>
            <w:tcW w:w="1129" w:type="dxa"/>
            <w:gridSpan w:val="2"/>
          </w:tcPr>
          <w:p w14:paraId="4DF9A0F7" w14:textId="08542FA0"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7CA10E6D"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[general medicine specialising in gastroenterology (code 82)]</w:t>
            </w:r>
          </w:p>
        </w:tc>
      </w:tr>
      <w:tr w:rsidR="004E5B84" w:rsidRPr="00793A55" w14:paraId="12ACC4D0" w14:textId="77777777" w:rsidTr="00793A55">
        <w:tblPrEx>
          <w:tblLook w:val="04A0" w:firstRow="1" w:lastRow="0" w:firstColumn="1" w:lastColumn="0" w:noHBand="0" w:noVBand="1"/>
        </w:tblPrEx>
        <w:trPr>
          <w:cantSplit/>
          <w:trHeight w:val="20"/>
        </w:trPr>
        <w:tc>
          <w:tcPr>
            <w:tcW w:w="1129" w:type="dxa"/>
            <w:gridSpan w:val="2"/>
          </w:tcPr>
          <w:p w14:paraId="01417FFC"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48D79CF2" w14:textId="77777777" w:rsidR="004E5B84" w:rsidRPr="00962CCF" w:rsidRDefault="004E5B84" w:rsidP="00B43184">
            <w:pPr>
              <w:ind w:left="-57"/>
              <w:rPr>
                <w:rFonts w:ascii="Arial Narrow" w:hAnsi="Arial Narrow" w:cs="Open Sans"/>
                <w:color w:val="333333"/>
                <w:sz w:val="18"/>
                <w:szCs w:val="18"/>
              </w:rPr>
            </w:pPr>
          </w:p>
        </w:tc>
      </w:tr>
      <w:tr w:rsidR="004E5B84" w:rsidRPr="00793A55" w14:paraId="15A79043" w14:textId="77777777" w:rsidTr="00793A55">
        <w:tblPrEx>
          <w:tblLook w:val="04A0" w:firstRow="1" w:lastRow="0" w:firstColumn="1" w:lastColumn="0" w:noHBand="0" w:noVBand="1"/>
        </w:tblPrEx>
        <w:trPr>
          <w:cantSplit/>
          <w:trHeight w:val="20"/>
        </w:trPr>
        <w:tc>
          <w:tcPr>
            <w:tcW w:w="1129" w:type="dxa"/>
            <w:gridSpan w:val="2"/>
          </w:tcPr>
          <w:p w14:paraId="090716CA" w14:textId="20B3C39A"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7001F1D6"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77EF6879" w14:textId="77777777" w:rsidTr="00793A55">
        <w:tblPrEx>
          <w:tblLook w:val="04A0" w:firstRow="1" w:lastRow="0" w:firstColumn="1" w:lastColumn="0" w:noHBand="0" w:noVBand="1"/>
        </w:tblPrEx>
        <w:trPr>
          <w:cantSplit/>
          <w:trHeight w:val="20"/>
        </w:trPr>
        <w:tc>
          <w:tcPr>
            <w:tcW w:w="1129" w:type="dxa"/>
            <w:gridSpan w:val="2"/>
          </w:tcPr>
          <w:p w14:paraId="58561502" w14:textId="2B63A072"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7970D02E"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received prior PBS-subsidised treatment with a biological medicine for this condition in this treatment cycle</w:t>
            </w:r>
          </w:p>
        </w:tc>
      </w:tr>
      <w:tr w:rsidR="004E5B84" w:rsidRPr="00793A55" w14:paraId="60DC9C45" w14:textId="77777777" w:rsidTr="00793A55">
        <w:tblPrEx>
          <w:tblLook w:val="04A0" w:firstRow="1" w:lastRow="0" w:firstColumn="1" w:lastColumn="0" w:noHBand="0" w:noVBand="1"/>
        </w:tblPrEx>
        <w:trPr>
          <w:cantSplit/>
          <w:trHeight w:val="20"/>
        </w:trPr>
        <w:tc>
          <w:tcPr>
            <w:tcW w:w="1129" w:type="dxa"/>
            <w:gridSpan w:val="2"/>
          </w:tcPr>
          <w:p w14:paraId="3687DC39"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151850B3" w14:textId="77777777" w:rsidR="004E5B84" w:rsidRPr="00962CCF" w:rsidRDefault="004E5B84" w:rsidP="00B43184">
            <w:pPr>
              <w:ind w:left="-57"/>
              <w:rPr>
                <w:rFonts w:ascii="Arial Narrow" w:hAnsi="Arial Narrow" w:cs="Open Sans"/>
                <w:b/>
                <w:bCs/>
                <w:color w:val="333333"/>
                <w:sz w:val="18"/>
                <w:szCs w:val="18"/>
              </w:rPr>
            </w:pPr>
            <w:r w:rsidRPr="00962CCF">
              <w:rPr>
                <w:rFonts w:ascii="Arial Narrow" w:hAnsi="Arial Narrow" w:cs="Open Sans"/>
                <w:b/>
                <w:bCs/>
                <w:color w:val="333333"/>
                <w:sz w:val="18"/>
                <w:szCs w:val="18"/>
              </w:rPr>
              <w:t>AND</w:t>
            </w:r>
          </w:p>
        </w:tc>
      </w:tr>
      <w:bookmarkEnd w:id="124"/>
      <w:tr w:rsidR="004E5B84" w:rsidRPr="00793A55" w14:paraId="265813BC" w14:textId="77777777" w:rsidTr="00793A55">
        <w:tblPrEx>
          <w:tblLook w:val="04A0" w:firstRow="1" w:lastRow="0" w:firstColumn="1" w:lastColumn="0" w:noHBand="0" w:noVBand="1"/>
        </w:tblPrEx>
        <w:trPr>
          <w:cantSplit/>
          <w:trHeight w:val="20"/>
        </w:trPr>
        <w:tc>
          <w:tcPr>
            <w:tcW w:w="1129" w:type="dxa"/>
            <w:gridSpan w:val="2"/>
          </w:tcPr>
          <w:p w14:paraId="0A63FA95" w14:textId="77DCCFD4"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3890CEBE"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5DE956BC" w14:textId="77777777" w:rsidTr="00793A55">
        <w:tblPrEx>
          <w:tblLook w:val="04A0" w:firstRow="1" w:lastRow="0" w:firstColumn="1" w:lastColumn="0" w:noHBand="0" w:noVBand="1"/>
        </w:tblPrEx>
        <w:trPr>
          <w:cantSplit/>
          <w:trHeight w:val="20"/>
        </w:trPr>
        <w:tc>
          <w:tcPr>
            <w:tcW w:w="1129" w:type="dxa"/>
            <w:gridSpan w:val="2"/>
          </w:tcPr>
          <w:p w14:paraId="1BF9DC6E" w14:textId="6D1DFD9C"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5B8A263A"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The treatment must not have on a previous occasion failed to provide the patient with an adequate response during the current treatment cycle</w:t>
            </w:r>
          </w:p>
        </w:tc>
      </w:tr>
      <w:tr w:rsidR="004E5B84" w:rsidRPr="00793A55" w14:paraId="4D97EA45" w14:textId="77777777" w:rsidTr="00793A55">
        <w:tblPrEx>
          <w:tblLook w:val="04A0" w:firstRow="1" w:lastRow="0" w:firstColumn="1" w:lastColumn="0" w:noHBand="0" w:noVBand="1"/>
        </w:tblPrEx>
        <w:trPr>
          <w:cantSplit/>
          <w:trHeight w:val="20"/>
        </w:trPr>
        <w:tc>
          <w:tcPr>
            <w:tcW w:w="1129" w:type="dxa"/>
            <w:gridSpan w:val="2"/>
          </w:tcPr>
          <w:p w14:paraId="5BB15811"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3D8C61FD" w14:textId="77777777" w:rsidR="004E5B84" w:rsidRPr="00962CCF" w:rsidRDefault="004E5B84" w:rsidP="00B43184">
            <w:pPr>
              <w:ind w:left="-57"/>
              <w:rPr>
                <w:rFonts w:ascii="Arial Narrow" w:hAnsi="Arial Narrow" w:cs="Open Sans"/>
                <w:color w:val="333333"/>
                <w:sz w:val="18"/>
                <w:szCs w:val="18"/>
              </w:rPr>
            </w:pPr>
          </w:p>
        </w:tc>
      </w:tr>
      <w:tr w:rsidR="004E5B84" w:rsidRPr="00793A55" w14:paraId="5B8D4285" w14:textId="77777777" w:rsidTr="00793A55">
        <w:tblPrEx>
          <w:tblLook w:val="04A0" w:firstRow="1" w:lastRow="0" w:firstColumn="1" w:lastColumn="0" w:noHBand="0" w:noVBand="1"/>
        </w:tblPrEx>
        <w:trPr>
          <w:cantSplit/>
          <w:trHeight w:val="20"/>
        </w:trPr>
        <w:tc>
          <w:tcPr>
            <w:tcW w:w="1129" w:type="dxa"/>
            <w:gridSpan w:val="2"/>
          </w:tcPr>
          <w:p w14:paraId="58033E38" w14:textId="329744C8"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0F76CC6E"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Population criteria:</w:t>
            </w:r>
          </w:p>
        </w:tc>
      </w:tr>
      <w:tr w:rsidR="004E5B84" w:rsidRPr="00793A55" w14:paraId="67B5ECA8" w14:textId="77777777" w:rsidTr="00793A55">
        <w:tblPrEx>
          <w:tblLook w:val="04A0" w:firstRow="1" w:lastRow="0" w:firstColumn="1" w:lastColumn="0" w:noHBand="0" w:noVBand="1"/>
        </w:tblPrEx>
        <w:trPr>
          <w:cantSplit/>
          <w:trHeight w:val="20"/>
        </w:trPr>
        <w:tc>
          <w:tcPr>
            <w:tcW w:w="1129" w:type="dxa"/>
            <w:gridSpan w:val="2"/>
          </w:tcPr>
          <w:p w14:paraId="553DC8C0" w14:textId="703670EA"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3E4B3ED3"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be at least 18 years of age</w:t>
            </w:r>
          </w:p>
        </w:tc>
      </w:tr>
      <w:tr w:rsidR="004E5B84" w:rsidRPr="00793A55" w14:paraId="247513CE" w14:textId="77777777" w:rsidTr="00793A55">
        <w:tblPrEx>
          <w:tblLook w:val="04A0" w:firstRow="1" w:lastRow="0" w:firstColumn="1" w:lastColumn="0" w:noHBand="0" w:noVBand="1"/>
        </w:tblPrEx>
        <w:trPr>
          <w:cantSplit/>
          <w:trHeight w:val="20"/>
        </w:trPr>
        <w:tc>
          <w:tcPr>
            <w:tcW w:w="1129" w:type="dxa"/>
            <w:gridSpan w:val="2"/>
          </w:tcPr>
          <w:p w14:paraId="4944D839"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7127F1D3" w14:textId="77777777" w:rsidR="004E5B84" w:rsidRPr="00962CCF" w:rsidRDefault="004E5B84" w:rsidP="00B43184">
            <w:pPr>
              <w:ind w:left="-57"/>
              <w:rPr>
                <w:rFonts w:ascii="Arial Narrow" w:hAnsi="Arial Narrow" w:cs="Open Sans"/>
                <w:color w:val="333333"/>
                <w:sz w:val="18"/>
                <w:szCs w:val="18"/>
              </w:rPr>
            </w:pPr>
          </w:p>
        </w:tc>
      </w:tr>
      <w:tr w:rsidR="004E5B84" w:rsidRPr="00793A55" w14:paraId="51290D78" w14:textId="77777777" w:rsidTr="00793A55">
        <w:tblPrEx>
          <w:tblLook w:val="04A0" w:firstRow="1" w:lastRow="0" w:firstColumn="1" w:lastColumn="0" w:noHBand="0" w:noVBand="1"/>
        </w:tblPrEx>
        <w:trPr>
          <w:cantSplit/>
          <w:trHeight w:val="20"/>
        </w:trPr>
        <w:tc>
          <w:tcPr>
            <w:tcW w:w="1129" w:type="dxa"/>
            <w:gridSpan w:val="2"/>
          </w:tcPr>
          <w:p w14:paraId="306CCC73" w14:textId="7679C939"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58EC2C85" w14:textId="77777777" w:rsidR="004E5B84" w:rsidRPr="00962CCF" w:rsidRDefault="004E5B84" w:rsidP="00B43184">
            <w:pPr>
              <w:ind w:left="-57"/>
              <w:rPr>
                <w:rFonts w:ascii="Arial Narrow" w:hAnsi="Arial Narrow" w:cs="Arial Narrow"/>
                <w:b/>
                <w:iCs/>
                <w:sz w:val="18"/>
                <w:szCs w:val="18"/>
              </w:rPr>
            </w:pPr>
            <w:r w:rsidRPr="00962CCF">
              <w:rPr>
                <w:rFonts w:ascii="Arial Narrow" w:hAnsi="Arial Narrow" w:cs="Arial Narrow"/>
                <w:b/>
                <w:iCs/>
                <w:sz w:val="18"/>
                <w:szCs w:val="18"/>
              </w:rPr>
              <w:t>Prescribing Instructions:</w:t>
            </w:r>
          </w:p>
          <w:p w14:paraId="7774D4DD" w14:textId="77777777" w:rsidR="004E5B84" w:rsidRPr="00962CCF" w:rsidRDefault="004E5B84" w:rsidP="00B43184">
            <w:pPr>
              <w:ind w:left="-57"/>
              <w:rPr>
                <w:rFonts w:ascii="Arial Narrow" w:hAnsi="Arial Narrow"/>
                <w:sz w:val="18"/>
                <w:szCs w:val="18"/>
              </w:rPr>
            </w:pPr>
            <w:r w:rsidRPr="00962CCF">
              <w:rPr>
                <w:rFonts w:ascii="Arial Narrow" w:hAnsi="Arial Narrow"/>
                <w:sz w:val="18"/>
                <w:szCs w:val="18"/>
              </w:rPr>
              <w:t>The authority application must be made in writing and must include:</w:t>
            </w:r>
          </w:p>
          <w:p w14:paraId="5817075D" w14:textId="77777777" w:rsidR="004E5B84" w:rsidRPr="00962CCF" w:rsidRDefault="004E5B84" w:rsidP="00B43184">
            <w:pPr>
              <w:ind w:left="-57"/>
              <w:rPr>
                <w:rFonts w:ascii="Arial Narrow" w:hAnsi="Arial Narrow"/>
                <w:sz w:val="18"/>
                <w:szCs w:val="18"/>
              </w:rPr>
            </w:pPr>
            <w:r w:rsidRPr="00962CCF">
              <w:rPr>
                <w:rFonts w:ascii="Arial Narrow" w:hAnsi="Arial Narrow"/>
                <w:sz w:val="18"/>
                <w:szCs w:val="18"/>
              </w:rPr>
              <w:t>(1) a completed authority prescription form; and</w:t>
            </w:r>
          </w:p>
          <w:p w14:paraId="068255FA" w14:textId="77777777" w:rsidR="004E5B84" w:rsidRPr="00962CCF" w:rsidRDefault="004E5B84" w:rsidP="00B43184">
            <w:pPr>
              <w:ind w:left="-57"/>
              <w:rPr>
                <w:rFonts w:ascii="Arial Narrow" w:hAnsi="Arial Narrow"/>
                <w:sz w:val="18"/>
                <w:szCs w:val="18"/>
              </w:rPr>
            </w:pPr>
            <w:r w:rsidRPr="00962CCF">
              <w:rPr>
                <w:rFonts w:ascii="Arial Narrow" w:hAnsi="Arial Narrow"/>
                <w:sz w:val="18"/>
                <w:szCs w:val="18"/>
              </w:rPr>
              <w:t>(2) a completed authority application form relevant to the indication and treatment phase (the latest version is located on the website specified in the Administrative Advice).</w:t>
            </w:r>
          </w:p>
        </w:tc>
      </w:tr>
      <w:tr w:rsidR="004E5B84" w:rsidRPr="00793A55" w14:paraId="1F082293" w14:textId="77777777" w:rsidTr="00793A55">
        <w:tblPrEx>
          <w:tblLook w:val="04A0" w:firstRow="1" w:lastRow="0" w:firstColumn="1" w:lastColumn="0" w:noHBand="0" w:noVBand="1"/>
        </w:tblPrEx>
        <w:trPr>
          <w:cantSplit/>
          <w:trHeight w:val="20"/>
        </w:trPr>
        <w:tc>
          <w:tcPr>
            <w:tcW w:w="1129" w:type="dxa"/>
            <w:gridSpan w:val="2"/>
          </w:tcPr>
          <w:p w14:paraId="3C16E9F7" w14:textId="39299980"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561A8172"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51E4CEA6"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In relation to the biological medicine prescribed immediately before this one, provide at least one of the following which is not more than 4 weeks from the last administered dose:</w:t>
            </w:r>
          </w:p>
          <w:p w14:paraId="51D8A725"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 the Crohn Disease Activity Index (CDAI) score, including the date the score was calculated on; or</w:t>
            </w:r>
          </w:p>
          <w:p w14:paraId="7F912568"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(ii) the unique serial/identifying number and date(s) of pathology or diagnostic imaging test(s) used to assess response to therapy for patients with short gut syndrome, extensive small intestine disease or an ostomy, if relevant; or</w:t>
            </w:r>
          </w:p>
          <w:p w14:paraId="7E55075B"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(iii) confirmation that a severe intolerance occurred that resulted in the cessation of treatment.</w:t>
            </w:r>
          </w:p>
        </w:tc>
      </w:tr>
      <w:tr w:rsidR="004E5B84" w:rsidRPr="00793A55" w14:paraId="0679052C" w14:textId="77777777" w:rsidTr="00793A55">
        <w:tblPrEx>
          <w:tblLook w:val="04A0" w:firstRow="1" w:lastRow="0" w:firstColumn="1" w:lastColumn="0" w:noHBand="0" w:noVBand="1"/>
        </w:tblPrEx>
        <w:trPr>
          <w:cantSplit/>
          <w:trHeight w:val="20"/>
        </w:trPr>
        <w:tc>
          <w:tcPr>
            <w:tcW w:w="9209" w:type="dxa"/>
            <w:gridSpan w:val="8"/>
          </w:tcPr>
          <w:p w14:paraId="5D7FAF68"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0DC627AE" w14:textId="77777777" w:rsidTr="00793A55">
        <w:tblPrEx>
          <w:tblLook w:val="04A0" w:firstRow="1" w:lastRow="0" w:firstColumn="1" w:lastColumn="0" w:noHBand="0" w:noVBand="1"/>
        </w:tblPrEx>
        <w:trPr>
          <w:cantSplit/>
          <w:trHeight w:val="20"/>
        </w:trPr>
        <w:tc>
          <w:tcPr>
            <w:tcW w:w="9209" w:type="dxa"/>
            <w:gridSpan w:val="8"/>
            <w:tcBorders>
              <w:top w:val="single" w:sz="4" w:space="0" w:color="auto"/>
              <w:left w:val="single" w:sz="4" w:space="0" w:color="auto"/>
              <w:right w:val="single" w:sz="4" w:space="0" w:color="auto"/>
            </w:tcBorders>
          </w:tcPr>
          <w:p w14:paraId="6BC81B09" w14:textId="75C461B0" w:rsidR="004E5B84" w:rsidRPr="00962CCF" w:rsidRDefault="004E5B84" w:rsidP="00B43184">
            <w:pPr>
              <w:ind w:left="-57"/>
              <w:rPr>
                <w:rFonts w:ascii="Arial Narrow" w:hAnsi="Arial Narrow"/>
                <w:b/>
                <w:sz w:val="18"/>
                <w:szCs w:val="18"/>
              </w:rPr>
            </w:pPr>
            <w:r w:rsidRPr="00962CCF">
              <w:rPr>
                <w:rFonts w:ascii="Arial Narrow" w:hAnsi="Arial Narrow"/>
                <w:b/>
                <w:sz w:val="18"/>
                <w:szCs w:val="18"/>
              </w:rPr>
              <w:t>Restriction Summary / Treatment of Concept: Authority Required</w:t>
            </w:r>
            <w:r w:rsidRPr="00962CCF">
              <w:rPr>
                <w:rFonts w:ascii="Arial Narrow" w:hAnsi="Arial Narrow"/>
                <w:bCs/>
                <w:sz w:val="18"/>
                <w:szCs w:val="18"/>
              </w:rPr>
              <w:t xml:space="preserve"> </w:t>
            </w:r>
          </w:p>
          <w:p w14:paraId="76C20EFE"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7AB4B91D" w14:textId="77777777" w:rsidTr="00793A55">
        <w:tblPrEx>
          <w:tblLook w:val="04A0" w:firstRow="1" w:lastRow="0" w:firstColumn="1" w:lastColumn="0" w:noHBand="0" w:noVBand="1"/>
        </w:tblPrEx>
        <w:trPr>
          <w:cantSplit/>
          <w:trHeight w:val="20"/>
        </w:trPr>
        <w:tc>
          <w:tcPr>
            <w:tcW w:w="1129" w:type="dxa"/>
            <w:gridSpan w:val="2"/>
          </w:tcPr>
          <w:p w14:paraId="05ECE600" w14:textId="09E49700"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C4052C8"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 xml:space="preserve">Indication: </w:t>
            </w:r>
            <w:r w:rsidRPr="00962CCF">
              <w:rPr>
                <w:rFonts w:ascii="Arial Narrow" w:hAnsi="Arial Narrow" w:cs="Open Sans"/>
                <w:color w:val="333333"/>
                <w:sz w:val="18"/>
                <w:szCs w:val="18"/>
              </w:rPr>
              <w:t>Severe Crohn disease</w:t>
            </w:r>
          </w:p>
        </w:tc>
      </w:tr>
      <w:tr w:rsidR="004E5B84" w:rsidRPr="00793A55" w14:paraId="20CD794E" w14:textId="77777777" w:rsidTr="00793A55">
        <w:tblPrEx>
          <w:tblLook w:val="04A0" w:firstRow="1" w:lastRow="0" w:firstColumn="1" w:lastColumn="0" w:noHBand="0" w:noVBand="1"/>
        </w:tblPrEx>
        <w:trPr>
          <w:cantSplit/>
          <w:trHeight w:val="20"/>
        </w:trPr>
        <w:tc>
          <w:tcPr>
            <w:tcW w:w="1129" w:type="dxa"/>
            <w:gridSpan w:val="2"/>
          </w:tcPr>
          <w:p w14:paraId="022E947C"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500311C4"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1F07525D" w14:textId="77777777" w:rsidTr="00793A55">
        <w:tblPrEx>
          <w:tblLook w:val="04A0" w:firstRow="1" w:lastRow="0" w:firstColumn="1" w:lastColumn="0" w:noHBand="0" w:noVBand="1"/>
        </w:tblPrEx>
        <w:trPr>
          <w:cantSplit/>
          <w:trHeight w:val="20"/>
        </w:trPr>
        <w:tc>
          <w:tcPr>
            <w:tcW w:w="1129" w:type="dxa"/>
            <w:gridSpan w:val="2"/>
          </w:tcPr>
          <w:p w14:paraId="05B35B70" w14:textId="77777777" w:rsidR="004E5B84" w:rsidRPr="00793A55" w:rsidRDefault="004E5B84" w:rsidP="00B43184">
            <w:pPr>
              <w:jc w:val="center"/>
              <w:rPr>
                <w:rFonts w:ascii="Arial Narrow" w:hAnsi="Arial Narrow" w:cs="Open Sans"/>
                <w:color w:val="333333"/>
                <w:sz w:val="20"/>
                <w:szCs w:val="20"/>
              </w:rPr>
            </w:pPr>
          </w:p>
        </w:tc>
        <w:tc>
          <w:tcPr>
            <w:tcW w:w="8080" w:type="dxa"/>
            <w:gridSpan w:val="6"/>
            <w:hideMark/>
          </w:tcPr>
          <w:p w14:paraId="4CC790B5"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 xml:space="preserve">Treatment Phase: </w:t>
            </w:r>
            <w:r w:rsidRPr="00962CCF">
              <w:rPr>
                <w:rFonts w:ascii="Arial Narrow" w:hAnsi="Arial Narrow" w:cs="Open Sans"/>
                <w:color w:val="333333"/>
                <w:sz w:val="18"/>
                <w:szCs w:val="18"/>
              </w:rPr>
              <w:t>Initial treatment - Initial 3 (recommencement of treatment after a break in biological medicine of more than 5 years)</w:t>
            </w:r>
          </w:p>
        </w:tc>
      </w:tr>
      <w:tr w:rsidR="004E5B84" w:rsidRPr="00793A55" w14:paraId="6CF91371" w14:textId="77777777" w:rsidTr="00793A55">
        <w:tblPrEx>
          <w:tblLook w:val="04A0" w:firstRow="1" w:lastRow="0" w:firstColumn="1" w:lastColumn="0" w:noHBand="0" w:noVBand="1"/>
        </w:tblPrEx>
        <w:trPr>
          <w:cantSplit/>
          <w:trHeight w:val="20"/>
        </w:trPr>
        <w:tc>
          <w:tcPr>
            <w:tcW w:w="1129" w:type="dxa"/>
            <w:gridSpan w:val="2"/>
          </w:tcPr>
          <w:p w14:paraId="76EF6EC2" w14:textId="77777777" w:rsidR="004E5B84" w:rsidRPr="00793A55" w:rsidRDefault="004E5B84" w:rsidP="00B43184">
            <w:pPr>
              <w:jc w:val="center"/>
              <w:rPr>
                <w:rFonts w:ascii="Arial Narrow" w:hAnsi="Arial Narrow" w:cs="Open Sans"/>
                <w:color w:val="333333"/>
                <w:sz w:val="20"/>
                <w:szCs w:val="20"/>
              </w:rPr>
            </w:pPr>
          </w:p>
        </w:tc>
        <w:tc>
          <w:tcPr>
            <w:tcW w:w="8080" w:type="dxa"/>
            <w:gridSpan w:val="6"/>
          </w:tcPr>
          <w:p w14:paraId="5A78F26D"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4266EA4F" w14:textId="77777777" w:rsidTr="00793A55">
        <w:tblPrEx>
          <w:tblLook w:val="04A0" w:firstRow="1" w:lastRow="0" w:firstColumn="1" w:lastColumn="0" w:noHBand="0" w:noVBand="1"/>
        </w:tblPrEx>
        <w:trPr>
          <w:cantSplit/>
          <w:trHeight w:val="20"/>
        </w:trPr>
        <w:tc>
          <w:tcPr>
            <w:tcW w:w="1129" w:type="dxa"/>
            <w:gridSpan w:val="2"/>
          </w:tcPr>
          <w:p w14:paraId="2A6BB9B5" w14:textId="21818A6F"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01C01EB6"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Treatment criteria:</w:t>
            </w:r>
          </w:p>
        </w:tc>
      </w:tr>
      <w:tr w:rsidR="004E5B84" w:rsidRPr="00793A55" w14:paraId="46399EDD" w14:textId="77777777" w:rsidTr="00793A55">
        <w:tblPrEx>
          <w:tblLook w:val="04A0" w:firstRow="1" w:lastRow="0" w:firstColumn="1" w:lastColumn="0" w:noHBand="0" w:noVBand="1"/>
        </w:tblPrEx>
        <w:trPr>
          <w:cantSplit/>
          <w:trHeight w:val="20"/>
        </w:trPr>
        <w:tc>
          <w:tcPr>
            <w:tcW w:w="1129" w:type="dxa"/>
            <w:gridSpan w:val="2"/>
          </w:tcPr>
          <w:p w14:paraId="0137A967" w14:textId="01A876FB"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4F6A9096"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gastroenterologist (code 87); or</w:t>
            </w:r>
          </w:p>
        </w:tc>
      </w:tr>
      <w:tr w:rsidR="004E5B84" w:rsidRPr="00793A55" w14:paraId="231143BB" w14:textId="77777777" w:rsidTr="00793A55">
        <w:tblPrEx>
          <w:tblLook w:val="04A0" w:firstRow="1" w:lastRow="0" w:firstColumn="1" w:lastColumn="0" w:noHBand="0" w:noVBand="1"/>
        </w:tblPrEx>
        <w:trPr>
          <w:cantSplit/>
          <w:trHeight w:val="20"/>
        </w:trPr>
        <w:tc>
          <w:tcPr>
            <w:tcW w:w="1129" w:type="dxa"/>
            <w:gridSpan w:val="2"/>
          </w:tcPr>
          <w:p w14:paraId="2B905775" w14:textId="36E92691"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5B77EECE"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[internal medicine specialising in gastroenterology (code 81)]; or</w:t>
            </w:r>
          </w:p>
        </w:tc>
      </w:tr>
      <w:tr w:rsidR="004E5B84" w:rsidRPr="00793A55" w14:paraId="255555F5" w14:textId="77777777" w:rsidTr="00793A55">
        <w:tblPrEx>
          <w:tblLook w:val="04A0" w:firstRow="1" w:lastRow="0" w:firstColumn="1" w:lastColumn="0" w:noHBand="0" w:noVBand="1"/>
        </w:tblPrEx>
        <w:trPr>
          <w:cantSplit/>
          <w:trHeight w:val="20"/>
        </w:trPr>
        <w:tc>
          <w:tcPr>
            <w:tcW w:w="1129" w:type="dxa"/>
            <w:gridSpan w:val="2"/>
          </w:tcPr>
          <w:p w14:paraId="6860302D" w14:textId="29796909"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4D2526FB"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[general medicine specialising in gastroenterology (code 82)]</w:t>
            </w:r>
          </w:p>
        </w:tc>
      </w:tr>
      <w:tr w:rsidR="004E5B84" w:rsidRPr="00793A55" w14:paraId="4415128B" w14:textId="77777777" w:rsidTr="00793A55">
        <w:tblPrEx>
          <w:tblLook w:val="04A0" w:firstRow="1" w:lastRow="0" w:firstColumn="1" w:lastColumn="0" w:noHBand="0" w:noVBand="1"/>
        </w:tblPrEx>
        <w:trPr>
          <w:cantSplit/>
          <w:trHeight w:val="20"/>
        </w:trPr>
        <w:tc>
          <w:tcPr>
            <w:tcW w:w="1129" w:type="dxa"/>
            <w:gridSpan w:val="2"/>
          </w:tcPr>
          <w:p w14:paraId="55CF6B9F"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1160A7E1" w14:textId="77777777" w:rsidR="004E5B84" w:rsidRPr="00962CCF" w:rsidRDefault="004E5B84" w:rsidP="00B43184">
            <w:pPr>
              <w:ind w:left="-57"/>
              <w:rPr>
                <w:rFonts w:ascii="Arial Narrow" w:hAnsi="Arial Narrow" w:cs="Open Sans"/>
                <w:color w:val="333333"/>
                <w:sz w:val="18"/>
                <w:szCs w:val="18"/>
              </w:rPr>
            </w:pPr>
          </w:p>
        </w:tc>
      </w:tr>
      <w:tr w:rsidR="004E5B84" w:rsidRPr="00793A55" w14:paraId="65AB48BD" w14:textId="77777777" w:rsidTr="00793A55">
        <w:tblPrEx>
          <w:tblLook w:val="04A0" w:firstRow="1" w:lastRow="0" w:firstColumn="1" w:lastColumn="0" w:noHBand="0" w:noVBand="1"/>
        </w:tblPrEx>
        <w:trPr>
          <w:cantSplit/>
          <w:trHeight w:val="20"/>
        </w:trPr>
        <w:tc>
          <w:tcPr>
            <w:tcW w:w="1129" w:type="dxa"/>
            <w:gridSpan w:val="2"/>
          </w:tcPr>
          <w:p w14:paraId="777533FC" w14:textId="31BF53D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658546A"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43891C20" w14:textId="77777777" w:rsidTr="00793A55">
        <w:tblPrEx>
          <w:tblLook w:val="04A0" w:firstRow="1" w:lastRow="0" w:firstColumn="1" w:lastColumn="0" w:noHBand="0" w:noVBand="1"/>
        </w:tblPrEx>
        <w:trPr>
          <w:cantSplit/>
          <w:trHeight w:val="20"/>
        </w:trPr>
        <w:tc>
          <w:tcPr>
            <w:tcW w:w="1129" w:type="dxa"/>
            <w:gridSpan w:val="2"/>
          </w:tcPr>
          <w:p w14:paraId="77125984" w14:textId="14002338"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16011B83"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received prior PBS-subsidised treatment with a biological medicine for this condition</w:t>
            </w:r>
          </w:p>
        </w:tc>
      </w:tr>
      <w:tr w:rsidR="004E5B84" w:rsidRPr="00793A55" w14:paraId="74720283" w14:textId="77777777" w:rsidTr="00793A55">
        <w:tblPrEx>
          <w:tblLook w:val="04A0" w:firstRow="1" w:lastRow="0" w:firstColumn="1" w:lastColumn="0" w:noHBand="0" w:noVBand="1"/>
        </w:tblPrEx>
        <w:trPr>
          <w:cantSplit/>
          <w:trHeight w:val="20"/>
        </w:trPr>
        <w:tc>
          <w:tcPr>
            <w:tcW w:w="1129" w:type="dxa"/>
            <w:gridSpan w:val="2"/>
          </w:tcPr>
          <w:p w14:paraId="7E08BF8D" w14:textId="77777777" w:rsidR="004E5B84" w:rsidRPr="00793A55" w:rsidRDefault="004E5B84" w:rsidP="00B43184">
            <w:pPr>
              <w:jc w:val="center"/>
              <w:rPr>
                <w:rFonts w:ascii="Arial Narrow" w:hAnsi="Arial Narrow" w:cs="Open Sans"/>
                <w:color w:val="333333"/>
                <w:sz w:val="20"/>
                <w:szCs w:val="20"/>
              </w:rPr>
            </w:pPr>
          </w:p>
        </w:tc>
        <w:tc>
          <w:tcPr>
            <w:tcW w:w="8080" w:type="dxa"/>
            <w:gridSpan w:val="6"/>
            <w:hideMark/>
          </w:tcPr>
          <w:p w14:paraId="30A992D0"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AND</w:t>
            </w:r>
          </w:p>
        </w:tc>
      </w:tr>
      <w:tr w:rsidR="004E5B84" w:rsidRPr="00793A55" w14:paraId="0714DD7B" w14:textId="77777777" w:rsidTr="00793A55">
        <w:tblPrEx>
          <w:tblLook w:val="04A0" w:firstRow="1" w:lastRow="0" w:firstColumn="1" w:lastColumn="0" w:noHBand="0" w:noVBand="1"/>
        </w:tblPrEx>
        <w:trPr>
          <w:cantSplit/>
          <w:trHeight w:val="20"/>
        </w:trPr>
        <w:tc>
          <w:tcPr>
            <w:tcW w:w="1129" w:type="dxa"/>
            <w:gridSpan w:val="2"/>
          </w:tcPr>
          <w:p w14:paraId="54D74A55" w14:textId="6453D31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24B8AB3"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274DCD7A" w14:textId="77777777" w:rsidTr="00793A55">
        <w:tblPrEx>
          <w:tblLook w:val="04A0" w:firstRow="1" w:lastRow="0" w:firstColumn="1" w:lastColumn="0" w:noHBand="0" w:noVBand="1"/>
        </w:tblPrEx>
        <w:trPr>
          <w:cantSplit/>
          <w:trHeight w:val="20"/>
        </w:trPr>
        <w:tc>
          <w:tcPr>
            <w:tcW w:w="1129" w:type="dxa"/>
            <w:gridSpan w:val="2"/>
          </w:tcPr>
          <w:p w14:paraId="4681731A" w14:textId="7ED5F896"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F2987DB"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had a break in treatment of 5 years or more from the most recently approved PBS-subsidised biological medicine for this condition</w:t>
            </w:r>
          </w:p>
        </w:tc>
      </w:tr>
      <w:tr w:rsidR="004E5B84" w:rsidRPr="00793A55" w14:paraId="555A6415" w14:textId="77777777" w:rsidTr="00793A55">
        <w:tblPrEx>
          <w:tblLook w:val="04A0" w:firstRow="1" w:lastRow="0" w:firstColumn="1" w:lastColumn="0" w:noHBand="0" w:noVBand="1"/>
        </w:tblPrEx>
        <w:trPr>
          <w:cantSplit/>
          <w:trHeight w:val="20"/>
        </w:trPr>
        <w:tc>
          <w:tcPr>
            <w:tcW w:w="1129" w:type="dxa"/>
            <w:gridSpan w:val="2"/>
          </w:tcPr>
          <w:p w14:paraId="6ED090F7" w14:textId="77777777" w:rsidR="004E5B84" w:rsidRPr="00793A55" w:rsidRDefault="004E5B84" w:rsidP="00B43184">
            <w:pPr>
              <w:jc w:val="center"/>
              <w:rPr>
                <w:rFonts w:ascii="Arial Narrow" w:hAnsi="Arial Narrow" w:cs="Open Sans"/>
                <w:color w:val="333333"/>
                <w:sz w:val="20"/>
                <w:szCs w:val="20"/>
              </w:rPr>
            </w:pPr>
          </w:p>
        </w:tc>
        <w:tc>
          <w:tcPr>
            <w:tcW w:w="8080" w:type="dxa"/>
            <w:gridSpan w:val="6"/>
            <w:hideMark/>
          </w:tcPr>
          <w:p w14:paraId="52565727"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AND</w:t>
            </w:r>
          </w:p>
        </w:tc>
      </w:tr>
      <w:tr w:rsidR="004E5B84" w:rsidRPr="00793A55" w14:paraId="1590CB18" w14:textId="77777777" w:rsidTr="00793A55">
        <w:tblPrEx>
          <w:tblLook w:val="04A0" w:firstRow="1" w:lastRow="0" w:firstColumn="1" w:lastColumn="0" w:noHBand="0" w:noVBand="1"/>
        </w:tblPrEx>
        <w:trPr>
          <w:cantSplit/>
          <w:trHeight w:val="20"/>
        </w:trPr>
        <w:tc>
          <w:tcPr>
            <w:tcW w:w="1129" w:type="dxa"/>
            <w:gridSpan w:val="2"/>
          </w:tcPr>
          <w:p w14:paraId="07BE6F92" w14:textId="71AE8D86"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FCAE3C5"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0F375D2B" w14:textId="77777777" w:rsidTr="00793A55">
        <w:tblPrEx>
          <w:tblLook w:val="04A0" w:firstRow="1" w:lastRow="0" w:firstColumn="1" w:lastColumn="0" w:noHBand="0" w:noVBand="1"/>
        </w:tblPrEx>
        <w:trPr>
          <w:cantSplit/>
          <w:trHeight w:val="20"/>
        </w:trPr>
        <w:tc>
          <w:tcPr>
            <w:tcW w:w="1129" w:type="dxa"/>
            <w:gridSpan w:val="2"/>
          </w:tcPr>
          <w:p w14:paraId="6ECC18FB" w14:textId="50783169"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6E7370B"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confirmed severe Crohn disease, defined by standard clinical, endoscopic and/or imaging features, including histological evidence, with the diagnosis confirmed by a gastroenterologist or a consultant physician</w:t>
            </w:r>
          </w:p>
        </w:tc>
      </w:tr>
      <w:tr w:rsidR="004E5B84" w:rsidRPr="00793A55" w14:paraId="268FC17C" w14:textId="77777777" w:rsidTr="00793A55">
        <w:tblPrEx>
          <w:tblLook w:val="04A0" w:firstRow="1" w:lastRow="0" w:firstColumn="1" w:lastColumn="0" w:noHBand="0" w:noVBand="1"/>
        </w:tblPrEx>
        <w:trPr>
          <w:cantSplit/>
          <w:trHeight w:val="20"/>
        </w:trPr>
        <w:tc>
          <w:tcPr>
            <w:tcW w:w="1129" w:type="dxa"/>
            <w:gridSpan w:val="2"/>
          </w:tcPr>
          <w:p w14:paraId="59FDE8A0" w14:textId="77777777" w:rsidR="004E5B84" w:rsidRPr="00793A55" w:rsidRDefault="004E5B84" w:rsidP="00B43184">
            <w:pPr>
              <w:jc w:val="center"/>
              <w:rPr>
                <w:rFonts w:ascii="Arial Narrow" w:hAnsi="Arial Narrow" w:cs="Open Sans"/>
                <w:color w:val="333333"/>
                <w:sz w:val="20"/>
                <w:szCs w:val="20"/>
              </w:rPr>
            </w:pPr>
          </w:p>
        </w:tc>
        <w:tc>
          <w:tcPr>
            <w:tcW w:w="8080" w:type="dxa"/>
            <w:gridSpan w:val="6"/>
            <w:hideMark/>
          </w:tcPr>
          <w:p w14:paraId="7CD23031"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AND</w:t>
            </w:r>
          </w:p>
        </w:tc>
      </w:tr>
      <w:tr w:rsidR="004E5B84" w:rsidRPr="00793A55" w14:paraId="3120AA21" w14:textId="77777777" w:rsidTr="00793A55">
        <w:tblPrEx>
          <w:tblLook w:val="04A0" w:firstRow="1" w:lastRow="0" w:firstColumn="1" w:lastColumn="0" w:noHBand="0" w:noVBand="1"/>
        </w:tblPrEx>
        <w:trPr>
          <w:cantSplit/>
          <w:trHeight w:val="20"/>
        </w:trPr>
        <w:tc>
          <w:tcPr>
            <w:tcW w:w="1129" w:type="dxa"/>
            <w:gridSpan w:val="2"/>
          </w:tcPr>
          <w:p w14:paraId="73FE8B49" w14:textId="2E0C59FE"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0732562D"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296EB350" w14:textId="77777777" w:rsidTr="00793A55">
        <w:tblPrEx>
          <w:tblLook w:val="04A0" w:firstRow="1" w:lastRow="0" w:firstColumn="1" w:lastColumn="0" w:noHBand="0" w:noVBand="1"/>
        </w:tblPrEx>
        <w:trPr>
          <w:cantSplit/>
          <w:trHeight w:val="20"/>
        </w:trPr>
        <w:tc>
          <w:tcPr>
            <w:tcW w:w="1129" w:type="dxa"/>
            <w:gridSpan w:val="2"/>
          </w:tcPr>
          <w:p w14:paraId="4D2B8D27" w14:textId="2AE53EBD"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1AD2F0DB"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a Crohn Disease Activity Index (CDAI) Score of greater than or equal to 300 that is no more than 4 weeks old at the time of application; or</w:t>
            </w:r>
          </w:p>
        </w:tc>
      </w:tr>
      <w:tr w:rsidR="004E5B84" w:rsidRPr="00793A55" w14:paraId="7955981C" w14:textId="77777777" w:rsidTr="00793A55">
        <w:tblPrEx>
          <w:tblLook w:val="04A0" w:firstRow="1" w:lastRow="0" w:firstColumn="1" w:lastColumn="0" w:noHBand="0" w:noVBand="1"/>
        </w:tblPrEx>
        <w:trPr>
          <w:cantSplit/>
          <w:trHeight w:val="20"/>
        </w:trPr>
        <w:tc>
          <w:tcPr>
            <w:tcW w:w="1129" w:type="dxa"/>
            <w:gridSpan w:val="2"/>
          </w:tcPr>
          <w:p w14:paraId="16E1CEEB" w14:textId="37A4ADDB"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FCBD274"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a documented history of intestinal inflammation and have diagnostic imaging or surgical evidence of short gut syndrome if affected by the syndrome or has an ileostomy or colostomy; or</w:t>
            </w:r>
          </w:p>
        </w:tc>
      </w:tr>
      <w:tr w:rsidR="004E5B84" w:rsidRPr="00793A55" w14:paraId="128CFF02" w14:textId="77777777" w:rsidTr="00793A55">
        <w:tblPrEx>
          <w:tblLook w:val="04A0" w:firstRow="1" w:lastRow="0" w:firstColumn="1" w:lastColumn="0" w:noHBand="0" w:noVBand="1"/>
        </w:tblPrEx>
        <w:trPr>
          <w:cantSplit/>
          <w:trHeight w:val="20"/>
        </w:trPr>
        <w:tc>
          <w:tcPr>
            <w:tcW w:w="1129" w:type="dxa"/>
            <w:gridSpan w:val="2"/>
          </w:tcPr>
          <w:p w14:paraId="59BD076F" w14:textId="43AE7231"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43D30C55"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w:t>
            </w:r>
          </w:p>
        </w:tc>
      </w:tr>
      <w:tr w:rsidR="004E5B84" w:rsidRPr="00793A55" w14:paraId="1B191A73" w14:textId="77777777" w:rsidTr="00793A55">
        <w:tblPrEx>
          <w:tblLook w:val="04A0" w:firstRow="1" w:lastRow="0" w:firstColumn="1" w:lastColumn="0" w:noHBand="0" w:noVBand="1"/>
        </w:tblPrEx>
        <w:trPr>
          <w:cantSplit/>
          <w:trHeight w:val="20"/>
        </w:trPr>
        <w:tc>
          <w:tcPr>
            <w:tcW w:w="1129" w:type="dxa"/>
            <w:gridSpan w:val="2"/>
          </w:tcPr>
          <w:p w14:paraId="461FB94E" w14:textId="77777777" w:rsidR="004E5B84" w:rsidRPr="00793A55" w:rsidRDefault="004E5B84" w:rsidP="00B43184">
            <w:pPr>
              <w:jc w:val="center"/>
              <w:rPr>
                <w:rFonts w:ascii="Arial Narrow" w:hAnsi="Arial Narrow" w:cs="Open Sans"/>
                <w:color w:val="333333"/>
                <w:sz w:val="20"/>
                <w:szCs w:val="20"/>
              </w:rPr>
            </w:pPr>
          </w:p>
        </w:tc>
        <w:tc>
          <w:tcPr>
            <w:tcW w:w="8080" w:type="dxa"/>
            <w:gridSpan w:val="6"/>
            <w:hideMark/>
          </w:tcPr>
          <w:p w14:paraId="4A14CD69"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AND</w:t>
            </w:r>
          </w:p>
        </w:tc>
      </w:tr>
      <w:tr w:rsidR="004E5B84" w:rsidRPr="00793A55" w14:paraId="13AF558C" w14:textId="77777777" w:rsidTr="00793A55">
        <w:tblPrEx>
          <w:tblLook w:val="04A0" w:firstRow="1" w:lastRow="0" w:firstColumn="1" w:lastColumn="0" w:noHBand="0" w:noVBand="1"/>
        </w:tblPrEx>
        <w:trPr>
          <w:cantSplit/>
          <w:trHeight w:val="20"/>
        </w:trPr>
        <w:tc>
          <w:tcPr>
            <w:tcW w:w="1129" w:type="dxa"/>
            <w:gridSpan w:val="2"/>
          </w:tcPr>
          <w:p w14:paraId="2D18776F" w14:textId="165F8E28"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1EAAA602"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55C5167C" w14:textId="77777777" w:rsidTr="00793A55">
        <w:tblPrEx>
          <w:tblLook w:val="04A0" w:firstRow="1" w:lastRow="0" w:firstColumn="1" w:lastColumn="0" w:noHBand="0" w:noVBand="1"/>
        </w:tblPrEx>
        <w:trPr>
          <w:cantSplit/>
          <w:trHeight w:val="20"/>
        </w:trPr>
        <w:tc>
          <w:tcPr>
            <w:tcW w:w="1129" w:type="dxa"/>
            <w:gridSpan w:val="2"/>
          </w:tcPr>
          <w:p w14:paraId="4871A5E3" w14:textId="6ADD4B8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4AF5E0FD"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evidence of intestinal inflammation; or</w:t>
            </w:r>
          </w:p>
        </w:tc>
      </w:tr>
      <w:tr w:rsidR="004E5B84" w:rsidRPr="00793A55" w14:paraId="36717A76" w14:textId="77777777" w:rsidTr="00793A55">
        <w:tblPrEx>
          <w:tblLook w:val="04A0" w:firstRow="1" w:lastRow="0" w:firstColumn="1" w:lastColumn="0" w:noHBand="0" w:noVBand="1"/>
        </w:tblPrEx>
        <w:trPr>
          <w:cantSplit/>
          <w:trHeight w:val="20"/>
        </w:trPr>
        <w:tc>
          <w:tcPr>
            <w:tcW w:w="1129" w:type="dxa"/>
            <w:gridSpan w:val="2"/>
          </w:tcPr>
          <w:p w14:paraId="04FC8551" w14:textId="46A76052"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69327F9"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be assessed clinically as being in a high faecal output state; or</w:t>
            </w:r>
          </w:p>
        </w:tc>
      </w:tr>
      <w:tr w:rsidR="004E5B84" w:rsidRPr="00793A55" w14:paraId="3286AAA8" w14:textId="77777777" w:rsidTr="00793A55">
        <w:tblPrEx>
          <w:tblLook w:val="04A0" w:firstRow="1" w:lastRow="0" w:firstColumn="1" w:lastColumn="0" w:noHBand="0" w:noVBand="1"/>
        </w:tblPrEx>
        <w:trPr>
          <w:cantSplit/>
          <w:trHeight w:val="20"/>
        </w:trPr>
        <w:tc>
          <w:tcPr>
            <w:tcW w:w="1129" w:type="dxa"/>
            <w:gridSpan w:val="2"/>
          </w:tcPr>
          <w:p w14:paraId="3A73D623" w14:textId="1E270162"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08EACB51"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be assessed clinically as requiring surgery or total parenteral nutrition (TPN) as the next therapeutic option, in the absence of this drug, if affected by short gut syndrome, extensive small intestine disease or is an ostomy patient</w:t>
            </w:r>
          </w:p>
        </w:tc>
      </w:tr>
      <w:tr w:rsidR="004E5B84" w:rsidRPr="00793A55" w14:paraId="6AE2696D" w14:textId="77777777" w:rsidTr="00793A55">
        <w:tblPrEx>
          <w:tblLook w:val="04A0" w:firstRow="1" w:lastRow="0" w:firstColumn="1" w:lastColumn="0" w:noHBand="0" w:noVBand="1"/>
        </w:tblPrEx>
        <w:trPr>
          <w:cantSplit/>
          <w:trHeight w:val="20"/>
        </w:trPr>
        <w:tc>
          <w:tcPr>
            <w:tcW w:w="1129" w:type="dxa"/>
            <w:gridSpan w:val="2"/>
          </w:tcPr>
          <w:p w14:paraId="734DCCC4"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0AB55DF6" w14:textId="77777777" w:rsidR="004E5B84" w:rsidRPr="00962CCF" w:rsidRDefault="004E5B84" w:rsidP="00B43184">
            <w:pPr>
              <w:ind w:left="-57"/>
              <w:rPr>
                <w:rFonts w:ascii="Arial Narrow" w:hAnsi="Arial Narrow" w:cs="Open Sans"/>
                <w:color w:val="333333"/>
                <w:sz w:val="18"/>
                <w:szCs w:val="18"/>
              </w:rPr>
            </w:pPr>
          </w:p>
        </w:tc>
      </w:tr>
      <w:tr w:rsidR="004E5B84" w:rsidRPr="00793A55" w14:paraId="1DD8A6BD" w14:textId="77777777" w:rsidTr="00793A55">
        <w:tblPrEx>
          <w:tblLook w:val="04A0" w:firstRow="1" w:lastRow="0" w:firstColumn="1" w:lastColumn="0" w:noHBand="0" w:noVBand="1"/>
        </w:tblPrEx>
        <w:trPr>
          <w:cantSplit/>
          <w:trHeight w:val="20"/>
        </w:trPr>
        <w:tc>
          <w:tcPr>
            <w:tcW w:w="1129" w:type="dxa"/>
            <w:gridSpan w:val="2"/>
          </w:tcPr>
          <w:p w14:paraId="0AF36A3F" w14:textId="596CCD0A"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373F98E0"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Population criteria:</w:t>
            </w:r>
          </w:p>
        </w:tc>
      </w:tr>
      <w:tr w:rsidR="004E5B84" w:rsidRPr="00793A55" w14:paraId="60431D34" w14:textId="77777777" w:rsidTr="00793A55">
        <w:tblPrEx>
          <w:tblLook w:val="04A0" w:firstRow="1" w:lastRow="0" w:firstColumn="1" w:lastColumn="0" w:noHBand="0" w:noVBand="1"/>
        </w:tblPrEx>
        <w:trPr>
          <w:cantSplit/>
          <w:trHeight w:val="20"/>
        </w:trPr>
        <w:tc>
          <w:tcPr>
            <w:tcW w:w="1129" w:type="dxa"/>
            <w:gridSpan w:val="2"/>
          </w:tcPr>
          <w:p w14:paraId="1B816094" w14:textId="3E02DA91"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4D62BEEB"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be at least 18 years of age</w:t>
            </w:r>
          </w:p>
        </w:tc>
      </w:tr>
      <w:tr w:rsidR="004E5B84" w:rsidRPr="00793A55" w14:paraId="52F9EFE0" w14:textId="77777777" w:rsidTr="00793A55">
        <w:tblPrEx>
          <w:tblLook w:val="04A0" w:firstRow="1" w:lastRow="0" w:firstColumn="1" w:lastColumn="0" w:noHBand="0" w:noVBand="1"/>
        </w:tblPrEx>
        <w:trPr>
          <w:cantSplit/>
          <w:trHeight w:val="20"/>
        </w:trPr>
        <w:tc>
          <w:tcPr>
            <w:tcW w:w="1129" w:type="dxa"/>
            <w:gridSpan w:val="2"/>
          </w:tcPr>
          <w:p w14:paraId="09C439F2"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47EFBB86" w14:textId="77777777" w:rsidR="004E5B84" w:rsidRPr="00962CCF" w:rsidRDefault="004E5B84" w:rsidP="00B43184">
            <w:pPr>
              <w:ind w:left="-57"/>
              <w:rPr>
                <w:rFonts w:ascii="Arial Narrow" w:hAnsi="Arial Narrow" w:cs="Open Sans"/>
                <w:color w:val="333333"/>
                <w:sz w:val="18"/>
                <w:szCs w:val="18"/>
              </w:rPr>
            </w:pPr>
          </w:p>
        </w:tc>
      </w:tr>
      <w:tr w:rsidR="004E5B84" w:rsidRPr="00793A55" w14:paraId="24782718" w14:textId="77777777" w:rsidTr="00793A55">
        <w:tblPrEx>
          <w:tblLook w:val="04A0" w:firstRow="1" w:lastRow="0" w:firstColumn="1" w:lastColumn="0" w:noHBand="0" w:noVBand="1"/>
        </w:tblPrEx>
        <w:trPr>
          <w:cantSplit/>
          <w:trHeight w:val="20"/>
        </w:trPr>
        <w:tc>
          <w:tcPr>
            <w:tcW w:w="1129" w:type="dxa"/>
            <w:gridSpan w:val="2"/>
          </w:tcPr>
          <w:p w14:paraId="2980C8AF" w14:textId="066ACF13"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4C9FBD36" w14:textId="77777777" w:rsidR="004E5B84" w:rsidRPr="00962CCF" w:rsidRDefault="004E5B84" w:rsidP="00B43184">
            <w:pPr>
              <w:ind w:left="-57"/>
              <w:rPr>
                <w:rFonts w:ascii="Arial Narrow" w:hAnsi="Arial Narrow" w:cs="Arial Narrow"/>
                <w:b/>
                <w:iCs/>
                <w:sz w:val="18"/>
                <w:szCs w:val="18"/>
              </w:rPr>
            </w:pPr>
            <w:r w:rsidRPr="00962CCF">
              <w:rPr>
                <w:rFonts w:ascii="Arial Narrow" w:hAnsi="Arial Narrow" w:cs="Arial Narrow"/>
                <w:b/>
                <w:iCs/>
                <w:sz w:val="18"/>
                <w:szCs w:val="18"/>
              </w:rPr>
              <w:t>Prescribing Instructions:</w:t>
            </w:r>
          </w:p>
          <w:p w14:paraId="272AA014" w14:textId="77777777" w:rsidR="004E5B84" w:rsidRPr="00962CCF" w:rsidRDefault="004E5B84" w:rsidP="00B43184">
            <w:pPr>
              <w:ind w:left="-57"/>
              <w:rPr>
                <w:rFonts w:ascii="Arial Narrow" w:hAnsi="Arial Narrow"/>
                <w:sz w:val="18"/>
                <w:szCs w:val="18"/>
              </w:rPr>
            </w:pPr>
            <w:r w:rsidRPr="00962CCF">
              <w:rPr>
                <w:rFonts w:ascii="Arial Narrow" w:hAnsi="Arial Narrow"/>
                <w:sz w:val="18"/>
                <w:szCs w:val="18"/>
              </w:rPr>
              <w:t>The authority application must be made in writing and must include:</w:t>
            </w:r>
          </w:p>
          <w:p w14:paraId="294BE27A" w14:textId="77777777" w:rsidR="004E5B84" w:rsidRPr="00962CCF" w:rsidRDefault="004E5B84" w:rsidP="00B43184">
            <w:pPr>
              <w:ind w:left="-57"/>
              <w:rPr>
                <w:rFonts w:ascii="Arial Narrow" w:hAnsi="Arial Narrow"/>
                <w:sz w:val="18"/>
                <w:szCs w:val="18"/>
              </w:rPr>
            </w:pPr>
            <w:r w:rsidRPr="00962CCF">
              <w:rPr>
                <w:rFonts w:ascii="Arial Narrow" w:hAnsi="Arial Narrow"/>
                <w:sz w:val="18"/>
                <w:szCs w:val="18"/>
              </w:rPr>
              <w:t>(1) a completed authority prescription form; and</w:t>
            </w:r>
          </w:p>
          <w:p w14:paraId="5F3C3989"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sz w:val="18"/>
                <w:szCs w:val="18"/>
              </w:rPr>
              <w:t>(2) a completed authority application form relevant to the indication and treatment phase (the latest version is located on the website specified in the Administrative Advice).</w:t>
            </w:r>
          </w:p>
        </w:tc>
      </w:tr>
      <w:tr w:rsidR="004E5B84" w:rsidRPr="00793A55" w14:paraId="48382FBC" w14:textId="77777777" w:rsidTr="00793A55">
        <w:tblPrEx>
          <w:tblLook w:val="04A0" w:firstRow="1" w:lastRow="0" w:firstColumn="1" w:lastColumn="0" w:noHBand="0" w:noVBand="1"/>
        </w:tblPrEx>
        <w:trPr>
          <w:cantSplit/>
          <w:trHeight w:val="20"/>
        </w:trPr>
        <w:tc>
          <w:tcPr>
            <w:tcW w:w="1129" w:type="dxa"/>
            <w:gridSpan w:val="2"/>
          </w:tcPr>
          <w:p w14:paraId="26587942" w14:textId="4A96B5DD"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B309D3D"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030CF2D9"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Provide at least one of the following:</w:t>
            </w:r>
          </w:p>
          <w:p w14:paraId="22CD1F76"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 xml:space="preserve">(i) the current Crohn Disease Activity Index (CDAI) score, including the date this score was calculated </w:t>
            </w:r>
            <w:proofErr w:type="gramStart"/>
            <w:r w:rsidRPr="00962CCF">
              <w:rPr>
                <w:rFonts w:ascii="Arial Narrow" w:hAnsi="Arial Narrow" w:cs="Open Sans"/>
                <w:color w:val="333333"/>
                <w:sz w:val="18"/>
                <w:szCs w:val="18"/>
              </w:rPr>
              <w:t>on;</w:t>
            </w:r>
            <w:proofErr w:type="gramEnd"/>
          </w:p>
          <w:p w14:paraId="323CC74A"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 xml:space="preserve">(ii) confirmation that there is a documented history of intestinal inflammation plus diagnostic imaging/surgical evidence of at least one of: (a) short gut syndrome, (b) ileostomy, (c) </w:t>
            </w:r>
            <w:proofErr w:type="gramStart"/>
            <w:r w:rsidRPr="00962CCF">
              <w:rPr>
                <w:rFonts w:ascii="Arial Narrow" w:hAnsi="Arial Narrow" w:cs="Open Sans"/>
                <w:color w:val="333333"/>
                <w:sz w:val="18"/>
                <w:szCs w:val="18"/>
              </w:rPr>
              <w:t>colostomy;</w:t>
            </w:r>
            <w:proofErr w:type="gramEnd"/>
            <w:r w:rsidRPr="00962CCF">
              <w:rPr>
                <w:rFonts w:ascii="Arial Narrow" w:hAnsi="Arial Narrow" w:cs="Open Sans"/>
                <w:color w:val="333333"/>
                <w:sz w:val="18"/>
                <w:szCs w:val="18"/>
              </w:rPr>
              <w:t xml:space="preserve"> </w:t>
            </w:r>
          </w:p>
          <w:p w14:paraId="60B62F0F" w14:textId="3B9EB538"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(iii)</w:t>
            </w:r>
            <w:r w:rsidR="000C52FF" w:rsidRPr="00962CCF">
              <w:rPr>
                <w:rFonts w:ascii="Arial Narrow" w:hAnsi="Arial Narrow" w:cs="Open Sans"/>
                <w:color w:val="333333"/>
                <w:sz w:val="18"/>
                <w:szCs w:val="18"/>
              </w:rPr>
              <w:t xml:space="preserve"> </w:t>
            </w:r>
            <w:r w:rsidRPr="00962CCF">
              <w:rPr>
                <w:rFonts w:ascii="Arial Narrow" w:hAnsi="Arial Narrow" w:cs="Open Sans"/>
                <w:color w:val="333333"/>
                <w:sz w:val="18"/>
                <w:szCs w:val="18"/>
              </w:rPr>
              <w:t>confirmation that there is a documented history and radiological evidence of intestinal inflammation from extensive small intestinal disease affecting more than 50 cm of the small intestine where the CDAI score is at least 220, but below 300</w:t>
            </w:r>
          </w:p>
        </w:tc>
      </w:tr>
      <w:tr w:rsidR="004E5B84" w:rsidRPr="00793A55" w14:paraId="676E8566" w14:textId="77777777" w:rsidTr="00793A55">
        <w:tblPrEx>
          <w:tblLook w:val="04A0" w:firstRow="1" w:lastRow="0" w:firstColumn="1" w:lastColumn="0" w:noHBand="0" w:noVBand="1"/>
        </w:tblPrEx>
        <w:trPr>
          <w:cantSplit/>
          <w:trHeight w:val="20"/>
        </w:trPr>
        <w:tc>
          <w:tcPr>
            <w:tcW w:w="1129" w:type="dxa"/>
            <w:gridSpan w:val="2"/>
          </w:tcPr>
          <w:p w14:paraId="7F28F015" w14:textId="2AEBE4EC"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08F5335"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75780293"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Evidence of intestinal inflammation includes:</w:t>
            </w:r>
          </w:p>
          <w:p w14:paraId="1807B7F1"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 xml:space="preserve">(i) blood: higher than normal platelet count, </w:t>
            </w:r>
            <w:proofErr w:type="gramStart"/>
            <w:r w:rsidRPr="00962CCF">
              <w:rPr>
                <w:rFonts w:ascii="Arial Narrow" w:hAnsi="Arial Narrow" w:cs="Open Sans"/>
                <w:color w:val="333333"/>
                <w:sz w:val="18"/>
                <w:szCs w:val="18"/>
              </w:rPr>
              <w:t>or,</w:t>
            </w:r>
            <w:proofErr w:type="gramEnd"/>
            <w:r w:rsidRPr="00962CCF">
              <w:rPr>
                <w:rFonts w:ascii="Arial Narrow" w:hAnsi="Arial Narrow" w:cs="Open Sans"/>
                <w:color w:val="333333"/>
                <w:sz w:val="18"/>
                <w:szCs w:val="18"/>
              </w:rPr>
              <w:t xml:space="preserve"> an elevated erythrocyte sedimentation rate (ESR) greater than 25 mm per hour, or, a C-reactive protein (CRP) level greater than 15 mg per L; or</w:t>
            </w:r>
          </w:p>
          <w:p w14:paraId="7B2859CF"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(ii) faeces: higher than normal lactoferrin or calprotectin level; or</w:t>
            </w:r>
          </w:p>
          <w:p w14:paraId="560A626B"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(iii) diagnostic imaging: demonstration of increased uptake of intravenous contrast with thickening of the bowel wall or mesenteric lymphadenopathy or fat streaking in the mesentery.</w:t>
            </w:r>
          </w:p>
        </w:tc>
      </w:tr>
      <w:tr w:rsidR="004E5B84" w:rsidRPr="00793A55" w14:paraId="0A4562B9" w14:textId="77777777" w:rsidTr="00793A55">
        <w:tblPrEx>
          <w:tblLook w:val="04A0" w:firstRow="1" w:lastRow="0" w:firstColumn="1" w:lastColumn="0" w:noHBand="0" w:noVBand="1"/>
        </w:tblPrEx>
        <w:trPr>
          <w:cantSplit/>
          <w:trHeight w:val="20"/>
        </w:trPr>
        <w:tc>
          <w:tcPr>
            <w:tcW w:w="1129" w:type="dxa"/>
            <w:gridSpan w:val="2"/>
          </w:tcPr>
          <w:p w14:paraId="2F58D117" w14:textId="36B9F6BF"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7D5A32AC"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0856F017"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tc>
      </w:tr>
      <w:tr w:rsidR="004E5B84" w:rsidRPr="00793A55" w14:paraId="266B33A3" w14:textId="77777777" w:rsidTr="00793A55">
        <w:tblPrEx>
          <w:tblLook w:val="04A0" w:firstRow="1" w:lastRow="0" w:firstColumn="1" w:lastColumn="0" w:noHBand="0" w:noVBand="1"/>
        </w:tblPrEx>
        <w:trPr>
          <w:cantSplit/>
          <w:trHeight w:val="20"/>
        </w:trPr>
        <w:tc>
          <w:tcPr>
            <w:tcW w:w="9209" w:type="dxa"/>
            <w:gridSpan w:val="8"/>
          </w:tcPr>
          <w:p w14:paraId="60DD574E"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07EF94C4" w14:textId="77777777" w:rsidTr="00793A55">
        <w:tblPrEx>
          <w:tblLook w:val="04A0" w:firstRow="1" w:lastRow="0" w:firstColumn="1" w:lastColumn="0" w:noHBand="0" w:noVBand="1"/>
        </w:tblPrEx>
        <w:trPr>
          <w:cantSplit/>
          <w:trHeight w:val="20"/>
        </w:trPr>
        <w:tc>
          <w:tcPr>
            <w:tcW w:w="9209" w:type="dxa"/>
            <w:gridSpan w:val="8"/>
          </w:tcPr>
          <w:p w14:paraId="79A8C80E" w14:textId="7A160620"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bookmarkStart w:id="125" w:name="_Hlk122536934"/>
            <w:r w:rsidRPr="00962CCF">
              <w:rPr>
                <w:rFonts w:ascii="Arial Narrow" w:hAnsi="Arial Narrow" w:cs="Open Sans"/>
                <w:b/>
                <w:bCs/>
                <w:color w:val="333333"/>
                <w:sz w:val="18"/>
                <w:szCs w:val="18"/>
                <w:bdr w:val="none" w:sz="0" w:space="0" w:color="auto" w:frame="1"/>
              </w:rPr>
              <w:t xml:space="preserve">Restriction Summary / Treatment of </w:t>
            </w:r>
            <w:proofErr w:type="gramStart"/>
            <w:r w:rsidRPr="00962CCF">
              <w:rPr>
                <w:rFonts w:ascii="Arial Narrow" w:hAnsi="Arial Narrow" w:cs="Open Sans"/>
                <w:b/>
                <w:bCs/>
                <w:color w:val="333333"/>
                <w:sz w:val="18"/>
                <w:szCs w:val="18"/>
                <w:bdr w:val="none" w:sz="0" w:space="0" w:color="auto" w:frame="1"/>
              </w:rPr>
              <w:t>Concept::</w:t>
            </w:r>
            <w:proofErr w:type="gramEnd"/>
            <w:r w:rsidRPr="00962CCF">
              <w:rPr>
                <w:rFonts w:ascii="Arial Narrow" w:hAnsi="Arial Narrow" w:cs="Open Sans"/>
                <w:b/>
                <w:bCs/>
                <w:color w:val="333333"/>
                <w:sz w:val="18"/>
                <w:szCs w:val="18"/>
                <w:bdr w:val="none" w:sz="0" w:space="0" w:color="auto" w:frame="1"/>
              </w:rPr>
              <w:t xml:space="preserve"> Authority Required</w:t>
            </w:r>
            <w:r w:rsidRPr="00962CCF">
              <w:rPr>
                <w:rFonts w:ascii="Arial Narrow" w:hAnsi="Arial Narrow" w:cs="Open Sans"/>
                <w:i/>
                <w:iCs/>
                <w:color w:val="333333"/>
                <w:sz w:val="18"/>
                <w:szCs w:val="18"/>
                <w:bdr w:val="none" w:sz="0" w:space="0" w:color="auto" w:frame="1"/>
              </w:rPr>
              <w:t xml:space="preserve"> </w:t>
            </w:r>
          </w:p>
          <w:p w14:paraId="5B0FCB1A"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781CB7DA" w14:textId="77777777" w:rsidTr="00793A55">
        <w:tblPrEx>
          <w:tblLook w:val="04A0" w:firstRow="1" w:lastRow="0" w:firstColumn="1" w:lastColumn="0" w:noHBand="0" w:noVBand="1"/>
        </w:tblPrEx>
        <w:trPr>
          <w:cantSplit/>
          <w:trHeight w:val="20"/>
        </w:trPr>
        <w:tc>
          <w:tcPr>
            <w:tcW w:w="1129" w:type="dxa"/>
            <w:gridSpan w:val="2"/>
          </w:tcPr>
          <w:p w14:paraId="0D2AE166" w14:textId="39F5F81B"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4115B064"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 xml:space="preserve">Indication: </w:t>
            </w:r>
            <w:r w:rsidRPr="00962CCF">
              <w:rPr>
                <w:rFonts w:ascii="Arial Narrow" w:hAnsi="Arial Narrow" w:cs="Open Sans"/>
                <w:color w:val="333333"/>
                <w:sz w:val="18"/>
                <w:szCs w:val="18"/>
              </w:rPr>
              <w:t>Severe Crohn disease</w:t>
            </w:r>
          </w:p>
        </w:tc>
      </w:tr>
      <w:tr w:rsidR="004E5B84" w:rsidRPr="00793A55" w14:paraId="0D12BB96" w14:textId="77777777" w:rsidTr="00793A55">
        <w:tblPrEx>
          <w:tblLook w:val="04A0" w:firstRow="1" w:lastRow="0" w:firstColumn="1" w:lastColumn="0" w:noHBand="0" w:noVBand="1"/>
        </w:tblPrEx>
        <w:trPr>
          <w:cantSplit/>
          <w:trHeight w:val="20"/>
        </w:trPr>
        <w:tc>
          <w:tcPr>
            <w:tcW w:w="1129" w:type="dxa"/>
            <w:gridSpan w:val="2"/>
          </w:tcPr>
          <w:p w14:paraId="00C62A00"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4D45E298"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1A371596" w14:textId="77777777" w:rsidTr="00793A55">
        <w:tblPrEx>
          <w:tblLook w:val="04A0" w:firstRow="1" w:lastRow="0" w:firstColumn="1" w:lastColumn="0" w:noHBand="0" w:noVBand="1"/>
        </w:tblPrEx>
        <w:trPr>
          <w:cantSplit/>
          <w:trHeight w:val="20"/>
        </w:trPr>
        <w:tc>
          <w:tcPr>
            <w:tcW w:w="1129" w:type="dxa"/>
            <w:gridSpan w:val="2"/>
          </w:tcPr>
          <w:p w14:paraId="22B32AAF" w14:textId="77777777" w:rsidR="004E5B84" w:rsidRPr="00793A55" w:rsidRDefault="004E5B84" w:rsidP="00B43184">
            <w:pPr>
              <w:jc w:val="center"/>
              <w:rPr>
                <w:rFonts w:ascii="Arial Narrow" w:hAnsi="Arial Narrow" w:cs="Open Sans"/>
                <w:color w:val="333333"/>
                <w:sz w:val="20"/>
                <w:szCs w:val="20"/>
              </w:rPr>
            </w:pPr>
          </w:p>
        </w:tc>
        <w:tc>
          <w:tcPr>
            <w:tcW w:w="8080" w:type="dxa"/>
            <w:gridSpan w:val="6"/>
            <w:hideMark/>
          </w:tcPr>
          <w:p w14:paraId="4E793019"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 xml:space="preserve">Treatment Phase: </w:t>
            </w:r>
            <w:r w:rsidRPr="00962CCF">
              <w:rPr>
                <w:rFonts w:ascii="Arial Narrow" w:hAnsi="Arial Narrow" w:cs="Open Sans"/>
                <w:color w:val="333333"/>
                <w:sz w:val="18"/>
                <w:szCs w:val="18"/>
                <w:bdr w:val="none" w:sz="0" w:space="0" w:color="auto" w:frame="1"/>
              </w:rPr>
              <w:t>Transitioning from non-PBS to PBS-subsidised supply – ‘grandfather’ arrangements</w:t>
            </w:r>
          </w:p>
        </w:tc>
      </w:tr>
      <w:tr w:rsidR="004E5B84" w:rsidRPr="00793A55" w14:paraId="701DBA79" w14:textId="77777777" w:rsidTr="00793A55">
        <w:tblPrEx>
          <w:tblLook w:val="04A0" w:firstRow="1" w:lastRow="0" w:firstColumn="1" w:lastColumn="0" w:noHBand="0" w:noVBand="1"/>
        </w:tblPrEx>
        <w:trPr>
          <w:cantSplit/>
          <w:trHeight w:val="20"/>
        </w:trPr>
        <w:tc>
          <w:tcPr>
            <w:tcW w:w="1129" w:type="dxa"/>
            <w:gridSpan w:val="2"/>
          </w:tcPr>
          <w:p w14:paraId="4E43E18D" w14:textId="77777777" w:rsidR="004E5B84" w:rsidRPr="00793A55" w:rsidRDefault="004E5B84" w:rsidP="00B43184">
            <w:pPr>
              <w:jc w:val="center"/>
              <w:rPr>
                <w:rFonts w:ascii="Arial Narrow" w:hAnsi="Arial Narrow" w:cs="Open Sans"/>
                <w:color w:val="333333"/>
                <w:sz w:val="20"/>
                <w:szCs w:val="20"/>
              </w:rPr>
            </w:pPr>
          </w:p>
        </w:tc>
        <w:tc>
          <w:tcPr>
            <w:tcW w:w="8080" w:type="dxa"/>
            <w:gridSpan w:val="6"/>
          </w:tcPr>
          <w:p w14:paraId="1D30B1B2"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65C18165" w14:textId="77777777" w:rsidTr="00793A55">
        <w:tblPrEx>
          <w:tblLook w:val="04A0" w:firstRow="1" w:lastRow="0" w:firstColumn="1" w:lastColumn="0" w:noHBand="0" w:noVBand="1"/>
        </w:tblPrEx>
        <w:trPr>
          <w:cantSplit/>
          <w:trHeight w:val="20"/>
        </w:trPr>
        <w:tc>
          <w:tcPr>
            <w:tcW w:w="1129" w:type="dxa"/>
            <w:gridSpan w:val="2"/>
          </w:tcPr>
          <w:p w14:paraId="3F87B8BB"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54C6B2AD"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7387CC40" w14:textId="77777777" w:rsidTr="00793A55">
        <w:tblPrEx>
          <w:tblLook w:val="04A0" w:firstRow="1" w:lastRow="0" w:firstColumn="1" w:lastColumn="0" w:noHBand="0" w:noVBand="1"/>
        </w:tblPrEx>
        <w:trPr>
          <w:cantSplit/>
          <w:trHeight w:val="20"/>
        </w:trPr>
        <w:tc>
          <w:tcPr>
            <w:tcW w:w="1129" w:type="dxa"/>
            <w:gridSpan w:val="2"/>
          </w:tcPr>
          <w:p w14:paraId="4B8DE4C5" w14:textId="2C3BEEAA"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1D8E34AE"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commenced non-PBS supply prior to [insert listing date here]</w:t>
            </w:r>
          </w:p>
        </w:tc>
      </w:tr>
      <w:tr w:rsidR="004E5B84" w:rsidRPr="00793A55" w14:paraId="49CF2B9E" w14:textId="77777777" w:rsidTr="00793A55">
        <w:tblPrEx>
          <w:tblLook w:val="04A0" w:firstRow="1" w:lastRow="0" w:firstColumn="1" w:lastColumn="0" w:noHBand="0" w:noVBand="1"/>
        </w:tblPrEx>
        <w:trPr>
          <w:cantSplit/>
          <w:trHeight w:val="20"/>
        </w:trPr>
        <w:tc>
          <w:tcPr>
            <w:tcW w:w="1129" w:type="dxa"/>
            <w:gridSpan w:val="2"/>
          </w:tcPr>
          <w:p w14:paraId="3BB3B9AC"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78E6D03A" w14:textId="77777777" w:rsidR="004E5B84" w:rsidRPr="00962CCF" w:rsidRDefault="004E5B84" w:rsidP="00B43184">
            <w:pPr>
              <w:ind w:left="-57"/>
              <w:rPr>
                <w:rFonts w:ascii="Arial Narrow" w:hAnsi="Arial Narrow" w:cs="Open Sans"/>
                <w:b/>
                <w:bCs/>
                <w:color w:val="333333"/>
                <w:sz w:val="18"/>
                <w:szCs w:val="18"/>
              </w:rPr>
            </w:pPr>
            <w:r w:rsidRPr="00962CCF">
              <w:rPr>
                <w:rFonts w:ascii="Arial Narrow" w:hAnsi="Arial Narrow" w:cs="Open Sans"/>
                <w:b/>
                <w:bCs/>
                <w:color w:val="333333"/>
                <w:sz w:val="18"/>
                <w:szCs w:val="18"/>
              </w:rPr>
              <w:t>AND</w:t>
            </w:r>
          </w:p>
        </w:tc>
      </w:tr>
      <w:tr w:rsidR="004E5B84" w:rsidRPr="00793A55" w14:paraId="6A507B26" w14:textId="77777777" w:rsidTr="00793A55">
        <w:tblPrEx>
          <w:tblLook w:val="04A0" w:firstRow="1" w:lastRow="0" w:firstColumn="1" w:lastColumn="0" w:noHBand="0" w:noVBand="1"/>
        </w:tblPrEx>
        <w:trPr>
          <w:cantSplit/>
          <w:trHeight w:val="20"/>
        </w:trPr>
        <w:tc>
          <w:tcPr>
            <w:tcW w:w="1129" w:type="dxa"/>
            <w:gridSpan w:val="2"/>
          </w:tcPr>
          <w:p w14:paraId="2BC931A1" w14:textId="123FB4D8"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081B02C"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15D6E142" w14:textId="77777777" w:rsidTr="00793A55">
        <w:tblPrEx>
          <w:tblLook w:val="04A0" w:firstRow="1" w:lastRow="0" w:firstColumn="1" w:lastColumn="0" w:noHBand="0" w:noVBand="1"/>
        </w:tblPrEx>
        <w:trPr>
          <w:cantSplit/>
          <w:trHeight w:val="20"/>
        </w:trPr>
        <w:tc>
          <w:tcPr>
            <w:tcW w:w="1129" w:type="dxa"/>
            <w:gridSpan w:val="2"/>
          </w:tcPr>
          <w:p w14:paraId="2C91419D" w14:textId="31098814"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5B8EF196"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confirmed severe Crohn disease, defined by standard clinical, endoscopic and/or imaging features, including histological evidence, with the diagnosis confirmed by a gastroenterologist or a consultant physician</w:t>
            </w:r>
          </w:p>
        </w:tc>
      </w:tr>
      <w:tr w:rsidR="004E5B84" w:rsidRPr="00793A55" w14:paraId="552CBA0E" w14:textId="77777777" w:rsidTr="00793A55">
        <w:tblPrEx>
          <w:tblLook w:val="04A0" w:firstRow="1" w:lastRow="0" w:firstColumn="1" w:lastColumn="0" w:noHBand="0" w:noVBand="1"/>
        </w:tblPrEx>
        <w:trPr>
          <w:cantSplit/>
          <w:trHeight w:val="20"/>
        </w:trPr>
        <w:tc>
          <w:tcPr>
            <w:tcW w:w="1129" w:type="dxa"/>
            <w:gridSpan w:val="2"/>
          </w:tcPr>
          <w:p w14:paraId="6F8C6BAD" w14:textId="77777777" w:rsidR="004E5B84" w:rsidRPr="00793A55" w:rsidRDefault="004E5B84" w:rsidP="00B43184">
            <w:pPr>
              <w:jc w:val="center"/>
              <w:rPr>
                <w:rFonts w:ascii="Arial Narrow" w:hAnsi="Arial Narrow" w:cs="Open Sans"/>
                <w:color w:val="333333"/>
                <w:sz w:val="20"/>
                <w:szCs w:val="20"/>
              </w:rPr>
            </w:pPr>
          </w:p>
        </w:tc>
        <w:tc>
          <w:tcPr>
            <w:tcW w:w="8080" w:type="dxa"/>
            <w:gridSpan w:val="6"/>
            <w:hideMark/>
          </w:tcPr>
          <w:p w14:paraId="790BCFB8"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AND</w:t>
            </w:r>
          </w:p>
        </w:tc>
      </w:tr>
      <w:tr w:rsidR="004E5B84" w:rsidRPr="00793A55" w14:paraId="253EC349" w14:textId="77777777" w:rsidTr="00793A55">
        <w:tblPrEx>
          <w:tblLook w:val="04A0" w:firstRow="1" w:lastRow="0" w:firstColumn="1" w:lastColumn="0" w:noHBand="0" w:noVBand="1"/>
        </w:tblPrEx>
        <w:trPr>
          <w:cantSplit/>
          <w:trHeight w:val="20"/>
        </w:trPr>
        <w:tc>
          <w:tcPr>
            <w:tcW w:w="1129" w:type="dxa"/>
            <w:gridSpan w:val="2"/>
          </w:tcPr>
          <w:p w14:paraId="2FEAA0CD" w14:textId="55B6374A"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572799A9"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2DC649B0" w14:textId="77777777" w:rsidTr="00793A55">
        <w:tblPrEx>
          <w:tblLook w:val="04A0" w:firstRow="1" w:lastRow="0" w:firstColumn="1" w:lastColumn="0" w:noHBand="0" w:noVBand="1"/>
        </w:tblPrEx>
        <w:trPr>
          <w:cantSplit/>
          <w:trHeight w:val="20"/>
        </w:trPr>
        <w:tc>
          <w:tcPr>
            <w:tcW w:w="1129" w:type="dxa"/>
            <w:gridSpan w:val="2"/>
          </w:tcPr>
          <w:p w14:paraId="73D687A8" w14:textId="4A73EB6C"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081F2475"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 xml:space="preserve">Patient must have failed to achieve an adequate response to prior systemic therapy with a tapered course of steroids, starting at a dose of at least 40 mg prednisolone (or equivalent), over a </w:t>
            </w:r>
            <w:proofErr w:type="gramStart"/>
            <w:r w:rsidRPr="00962CCF">
              <w:rPr>
                <w:rFonts w:ascii="Arial Narrow" w:hAnsi="Arial Narrow" w:cs="Open Sans"/>
                <w:color w:val="333333"/>
                <w:sz w:val="18"/>
                <w:szCs w:val="18"/>
              </w:rPr>
              <w:t>6 week</w:t>
            </w:r>
            <w:proofErr w:type="gramEnd"/>
            <w:r w:rsidRPr="00962CCF">
              <w:rPr>
                <w:rFonts w:ascii="Arial Narrow" w:hAnsi="Arial Narrow" w:cs="Open Sans"/>
                <w:color w:val="333333"/>
                <w:sz w:val="18"/>
                <w:szCs w:val="18"/>
              </w:rPr>
              <w:t xml:space="preserve"> period</w:t>
            </w:r>
          </w:p>
        </w:tc>
      </w:tr>
      <w:tr w:rsidR="004E5B84" w:rsidRPr="00793A55" w14:paraId="445F9278" w14:textId="77777777" w:rsidTr="00793A55">
        <w:tblPrEx>
          <w:tblLook w:val="04A0" w:firstRow="1" w:lastRow="0" w:firstColumn="1" w:lastColumn="0" w:noHBand="0" w:noVBand="1"/>
        </w:tblPrEx>
        <w:trPr>
          <w:cantSplit/>
          <w:trHeight w:val="20"/>
        </w:trPr>
        <w:tc>
          <w:tcPr>
            <w:tcW w:w="1129" w:type="dxa"/>
            <w:gridSpan w:val="2"/>
          </w:tcPr>
          <w:p w14:paraId="2B05ACB8" w14:textId="77777777" w:rsidR="004E5B84" w:rsidRPr="00793A55" w:rsidRDefault="004E5B84" w:rsidP="00B43184">
            <w:pPr>
              <w:jc w:val="center"/>
              <w:rPr>
                <w:rFonts w:ascii="Arial Narrow" w:hAnsi="Arial Narrow" w:cs="Open Sans"/>
                <w:color w:val="333333"/>
                <w:sz w:val="20"/>
                <w:szCs w:val="20"/>
              </w:rPr>
            </w:pPr>
          </w:p>
        </w:tc>
        <w:tc>
          <w:tcPr>
            <w:tcW w:w="8080" w:type="dxa"/>
            <w:gridSpan w:val="6"/>
            <w:hideMark/>
          </w:tcPr>
          <w:p w14:paraId="13BFE923"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AND</w:t>
            </w:r>
          </w:p>
        </w:tc>
      </w:tr>
      <w:tr w:rsidR="004E5B84" w:rsidRPr="00793A55" w14:paraId="73C4BAC8" w14:textId="77777777" w:rsidTr="00793A55">
        <w:tblPrEx>
          <w:tblLook w:val="04A0" w:firstRow="1" w:lastRow="0" w:firstColumn="1" w:lastColumn="0" w:noHBand="0" w:noVBand="1"/>
        </w:tblPrEx>
        <w:trPr>
          <w:cantSplit/>
          <w:trHeight w:val="20"/>
        </w:trPr>
        <w:tc>
          <w:tcPr>
            <w:tcW w:w="1129" w:type="dxa"/>
            <w:gridSpan w:val="2"/>
          </w:tcPr>
          <w:p w14:paraId="2182EC9F" w14:textId="5C1B6A65"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36BC603C"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525A524D" w14:textId="77777777" w:rsidTr="00793A55">
        <w:tblPrEx>
          <w:tblLook w:val="04A0" w:firstRow="1" w:lastRow="0" w:firstColumn="1" w:lastColumn="0" w:noHBand="0" w:noVBand="1"/>
        </w:tblPrEx>
        <w:trPr>
          <w:cantSplit/>
          <w:trHeight w:val="20"/>
        </w:trPr>
        <w:tc>
          <w:tcPr>
            <w:tcW w:w="1129" w:type="dxa"/>
            <w:gridSpan w:val="2"/>
          </w:tcPr>
          <w:p w14:paraId="5D3E7474" w14:textId="22CD8E91"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40067243"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failed to achieve adequate response to prior systemic immunosuppressive therapy with azathioprine at a dose of at least 2 mg per kg daily for 3 or more consecutive months; or</w:t>
            </w:r>
          </w:p>
        </w:tc>
      </w:tr>
      <w:tr w:rsidR="004E5B84" w:rsidRPr="00793A55" w14:paraId="4C53EDA6" w14:textId="77777777" w:rsidTr="00793A55">
        <w:tblPrEx>
          <w:tblLook w:val="04A0" w:firstRow="1" w:lastRow="0" w:firstColumn="1" w:lastColumn="0" w:noHBand="0" w:noVBand="1"/>
        </w:tblPrEx>
        <w:trPr>
          <w:cantSplit/>
          <w:trHeight w:val="20"/>
        </w:trPr>
        <w:tc>
          <w:tcPr>
            <w:tcW w:w="1129" w:type="dxa"/>
            <w:gridSpan w:val="2"/>
          </w:tcPr>
          <w:p w14:paraId="6E142544" w14:textId="42E31D6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15E6A4FB"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failed to achieve adequate response to prior systemic immunosuppressive therapy with 6-mercaptopurine at a dose of at least 1 mg per kg daily for 3 or more consecutive months; or</w:t>
            </w:r>
          </w:p>
        </w:tc>
      </w:tr>
      <w:tr w:rsidR="004E5B84" w:rsidRPr="00793A55" w14:paraId="4D85533B" w14:textId="77777777" w:rsidTr="00793A55">
        <w:tblPrEx>
          <w:tblLook w:val="04A0" w:firstRow="1" w:lastRow="0" w:firstColumn="1" w:lastColumn="0" w:noHBand="0" w:noVBand="1"/>
        </w:tblPrEx>
        <w:trPr>
          <w:cantSplit/>
          <w:trHeight w:val="20"/>
        </w:trPr>
        <w:tc>
          <w:tcPr>
            <w:tcW w:w="1129" w:type="dxa"/>
            <w:gridSpan w:val="2"/>
          </w:tcPr>
          <w:p w14:paraId="4AD0E98C" w14:textId="1DEBD242"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4B9C7D72"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failed to achieve adequate response to prior systemic immunosuppressive therapy with methotrexate at a dose of at least 15 mg weekly for 3 or more consecutive months</w:t>
            </w:r>
          </w:p>
        </w:tc>
      </w:tr>
      <w:tr w:rsidR="004E5B84" w:rsidRPr="00793A55" w14:paraId="7354BF48" w14:textId="77777777" w:rsidTr="00793A55">
        <w:tblPrEx>
          <w:tblLook w:val="04A0" w:firstRow="1" w:lastRow="0" w:firstColumn="1" w:lastColumn="0" w:noHBand="0" w:noVBand="1"/>
        </w:tblPrEx>
        <w:trPr>
          <w:cantSplit/>
          <w:trHeight w:val="20"/>
        </w:trPr>
        <w:tc>
          <w:tcPr>
            <w:tcW w:w="1129" w:type="dxa"/>
            <w:gridSpan w:val="2"/>
          </w:tcPr>
          <w:p w14:paraId="0ED6EFF4" w14:textId="77777777" w:rsidR="004E5B84" w:rsidRPr="00793A55" w:rsidRDefault="004E5B84" w:rsidP="00B43184">
            <w:pPr>
              <w:jc w:val="center"/>
              <w:rPr>
                <w:rFonts w:ascii="Arial Narrow" w:hAnsi="Arial Narrow" w:cs="Open Sans"/>
                <w:color w:val="333333"/>
                <w:sz w:val="20"/>
                <w:szCs w:val="20"/>
              </w:rPr>
            </w:pPr>
          </w:p>
        </w:tc>
        <w:tc>
          <w:tcPr>
            <w:tcW w:w="8080" w:type="dxa"/>
            <w:gridSpan w:val="6"/>
            <w:hideMark/>
          </w:tcPr>
          <w:p w14:paraId="66C01E3C"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AND</w:t>
            </w:r>
          </w:p>
        </w:tc>
      </w:tr>
      <w:tr w:rsidR="004E5B84" w:rsidRPr="00793A55" w14:paraId="04E42C40" w14:textId="77777777" w:rsidTr="00793A55">
        <w:tblPrEx>
          <w:tblLook w:val="04A0" w:firstRow="1" w:lastRow="0" w:firstColumn="1" w:lastColumn="0" w:noHBand="0" w:noVBand="1"/>
        </w:tblPrEx>
        <w:trPr>
          <w:cantSplit/>
          <w:trHeight w:val="20"/>
        </w:trPr>
        <w:tc>
          <w:tcPr>
            <w:tcW w:w="1129" w:type="dxa"/>
            <w:gridSpan w:val="2"/>
          </w:tcPr>
          <w:p w14:paraId="153B250B" w14:textId="7AEDFFA5"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1908E274"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46A58090" w14:textId="77777777" w:rsidTr="00793A55">
        <w:tblPrEx>
          <w:tblLook w:val="04A0" w:firstRow="1" w:lastRow="0" w:firstColumn="1" w:lastColumn="0" w:noHBand="0" w:noVBand="1"/>
        </w:tblPrEx>
        <w:trPr>
          <w:cantSplit/>
          <w:trHeight w:val="20"/>
        </w:trPr>
        <w:tc>
          <w:tcPr>
            <w:tcW w:w="1129" w:type="dxa"/>
            <w:gridSpan w:val="2"/>
          </w:tcPr>
          <w:p w14:paraId="408237E4" w14:textId="17755CB2"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5EA6F8D9"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had a Crohn Disease Activity Index (CDAI) Score of greater than or equal to 300 prior to commencing treatment with this drug; or</w:t>
            </w:r>
          </w:p>
        </w:tc>
      </w:tr>
      <w:tr w:rsidR="004E5B84" w:rsidRPr="00793A55" w14:paraId="0F3C47BA" w14:textId="77777777" w:rsidTr="00793A55">
        <w:tblPrEx>
          <w:tblLook w:val="04A0" w:firstRow="1" w:lastRow="0" w:firstColumn="1" w:lastColumn="0" w:noHBand="0" w:noVBand="1"/>
        </w:tblPrEx>
        <w:trPr>
          <w:cantSplit/>
          <w:trHeight w:val="20"/>
        </w:trPr>
        <w:tc>
          <w:tcPr>
            <w:tcW w:w="1129" w:type="dxa"/>
            <w:gridSpan w:val="2"/>
          </w:tcPr>
          <w:p w14:paraId="5641E516" w14:textId="0C71E6F8"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38FE4F7D"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a documented history of intestinal inflammation and have diagnostic imaging or surgical evidence of short gut syndrome if affected by the syndrome or has an ileostomy or colostomy; or</w:t>
            </w:r>
          </w:p>
        </w:tc>
      </w:tr>
      <w:tr w:rsidR="004E5B84" w:rsidRPr="00793A55" w14:paraId="3076736F" w14:textId="77777777" w:rsidTr="00793A55">
        <w:tblPrEx>
          <w:tblLook w:val="04A0" w:firstRow="1" w:lastRow="0" w:firstColumn="1" w:lastColumn="0" w:noHBand="0" w:noVBand="1"/>
        </w:tblPrEx>
        <w:trPr>
          <w:cantSplit/>
          <w:trHeight w:val="20"/>
        </w:trPr>
        <w:tc>
          <w:tcPr>
            <w:tcW w:w="1129" w:type="dxa"/>
            <w:gridSpan w:val="2"/>
          </w:tcPr>
          <w:p w14:paraId="169871D4" w14:textId="08B66474"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7153A1E3"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a documented history and radiological evidence of intestinal inflammation if the patient has extensive small intestinal disease affecting more than 50 cm of the small intestine.</w:t>
            </w:r>
          </w:p>
        </w:tc>
      </w:tr>
      <w:tr w:rsidR="004E5B84" w:rsidRPr="00793A55" w14:paraId="3D5F3F4E" w14:textId="77777777" w:rsidTr="00793A55">
        <w:tblPrEx>
          <w:tblLook w:val="04A0" w:firstRow="1" w:lastRow="0" w:firstColumn="1" w:lastColumn="0" w:noHBand="0" w:noVBand="1"/>
        </w:tblPrEx>
        <w:trPr>
          <w:cantSplit/>
          <w:trHeight w:val="20"/>
        </w:trPr>
        <w:tc>
          <w:tcPr>
            <w:tcW w:w="1129" w:type="dxa"/>
            <w:gridSpan w:val="2"/>
          </w:tcPr>
          <w:p w14:paraId="4B372770"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1DF0E3C8" w14:textId="77777777" w:rsidR="004E5B84" w:rsidRPr="00962CCF" w:rsidRDefault="004E5B84" w:rsidP="00B43184">
            <w:pPr>
              <w:ind w:left="-57"/>
              <w:rPr>
                <w:rFonts w:ascii="Arial Narrow" w:hAnsi="Arial Narrow" w:cs="Open Sans"/>
                <w:color w:val="333333"/>
                <w:sz w:val="18"/>
                <w:szCs w:val="18"/>
              </w:rPr>
            </w:pPr>
          </w:p>
        </w:tc>
      </w:tr>
      <w:tr w:rsidR="004E5B84" w:rsidRPr="00793A55" w14:paraId="41974781" w14:textId="77777777" w:rsidTr="00793A55">
        <w:tblPrEx>
          <w:tblLook w:val="04A0" w:firstRow="1" w:lastRow="0" w:firstColumn="1" w:lastColumn="0" w:noHBand="0" w:noVBand="1"/>
        </w:tblPrEx>
        <w:trPr>
          <w:cantSplit/>
          <w:trHeight w:val="20"/>
        </w:trPr>
        <w:tc>
          <w:tcPr>
            <w:tcW w:w="1129" w:type="dxa"/>
            <w:gridSpan w:val="2"/>
          </w:tcPr>
          <w:p w14:paraId="0A0C7067" w14:textId="58387DFF"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1A40C376"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Treatment criteria:</w:t>
            </w:r>
          </w:p>
        </w:tc>
      </w:tr>
      <w:tr w:rsidR="004E5B84" w:rsidRPr="00793A55" w14:paraId="15CD50A5" w14:textId="77777777" w:rsidTr="00793A55">
        <w:tblPrEx>
          <w:tblLook w:val="04A0" w:firstRow="1" w:lastRow="0" w:firstColumn="1" w:lastColumn="0" w:noHBand="0" w:noVBand="1"/>
        </w:tblPrEx>
        <w:trPr>
          <w:cantSplit/>
          <w:trHeight w:val="20"/>
        </w:trPr>
        <w:tc>
          <w:tcPr>
            <w:tcW w:w="1129" w:type="dxa"/>
            <w:gridSpan w:val="2"/>
          </w:tcPr>
          <w:p w14:paraId="639EFE32" w14:textId="0A4680E6"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658AB84D"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gastroenterologist (code 87); or</w:t>
            </w:r>
          </w:p>
        </w:tc>
      </w:tr>
      <w:tr w:rsidR="004E5B84" w:rsidRPr="00793A55" w14:paraId="3B38FF09" w14:textId="77777777" w:rsidTr="00793A55">
        <w:tblPrEx>
          <w:tblLook w:val="04A0" w:firstRow="1" w:lastRow="0" w:firstColumn="1" w:lastColumn="0" w:noHBand="0" w:noVBand="1"/>
        </w:tblPrEx>
        <w:trPr>
          <w:cantSplit/>
          <w:trHeight w:val="20"/>
        </w:trPr>
        <w:tc>
          <w:tcPr>
            <w:tcW w:w="1129" w:type="dxa"/>
            <w:gridSpan w:val="2"/>
          </w:tcPr>
          <w:p w14:paraId="009B8849" w14:textId="4DCBA230"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69C810CA"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[internal medicine specialising in gastroenterology (code 81)]; or</w:t>
            </w:r>
          </w:p>
        </w:tc>
      </w:tr>
      <w:tr w:rsidR="004E5B84" w:rsidRPr="00793A55" w14:paraId="7124D3C4" w14:textId="77777777" w:rsidTr="00793A55">
        <w:tblPrEx>
          <w:tblLook w:val="04A0" w:firstRow="1" w:lastRow="0" w:firstColumn="1" w:lastColumn="0" w:noHBand="0" w:noVBand="1"/>
        </w:tblPrEx>
        <w:trPr>
          <w:cantSplit/>
          <w:trHeight w:val="20"/>
        </w:trPr>
        <w:tc>
          <w:tcPr>
            <w:tcW w:w="1129" w:type="dxa"/>
            <w:gridSpan w:val="2"/>
          </w:tcPr>
          <w:p w14:paraId="149CBF8F" w14:textId="1819F2D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5C6D88C5"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[general medicine specialising in gastroenterology (code 82)]</w:t>
            </w:r>
          </w:p>
        </w:tc>
      </w:tr>
      <w:tr w:rsidR="004E5B84" w:rsidRPr="00793A55" w14:paraId="2298F1F6" w14:textId="77777777" w:rsidTr="00793A55">
        <w:tblPrEx>
          <w:tblLook w:val="04A0" w:firstRow="1" w:lastRow="0" w:firstColumn="1" w:lastColumn="0" w:noHBand="0" w:noVBand="1"/>
        </w:tblPrEx>
        <w:trPr>
          <w:cantSplit/>
          <w:trHeight w:val="20"/>
        </w:trPr>
        <w:tc>
          <w:tcPr>
            <w:tcW w:w="1129" w:type="dxa"/>
            <w:gridSpan w:val="2"/>
          </w:tcPr>
          <w:p w14:paraId="2CDCFD1E"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34E72591" w14:textId="77777777" w:rsidR="004E5B84" w:rsidRPr="00962CCF" w:rsidRDefault="004E5B84" w:rsidP="00B43184">
            <w:pPr>
              <w:ind w:left="-57"/>
              <w:rPr>
                <w:rFonts w:ascii="Arial Narrow" w:hAnsi="Arial Narrow" w:cs="Open Sans"/>
                <w:color w:val="333333"/>
                <w:sz w:val="18"/>
                <w:szCs w:val="18"/>
              </w:rPr>
            </w:pPr>
          </w:p>
        </w:tc>
      </w:tr>
      <w:tr w:rsidR="004E5B84" w:rsidRPr="00793A55" w14:paraId="6E77B241" w14:textId="77777777" w:rsidTr="00793A55">
        <w:tblPrEx>
          <w:tblLook w:val="04A0" w:firstRow="1" w:lastRow="0" w:firstColumn="1" w:lastColumn="0" w:noHBand="0" w:noVBand="1"/>
        </w:tblPrEx>
        <w:trPr>
          <w:cantSplit/>
          <w:trHeight w:val="20"/>
        </w:trPr>
        <w:tc>
          <w:tcPr>
            <w:tcW w:w="1129" w:type="dxa"/>
            <w:gridSpan w:val="2"/>
          </w:tcPr>
          <w:p w14:paraId="60872C61" w14:textId="3685EF0F"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3CBE600D"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Population criteria:</w:t>
            </w:r>
          </w:p>
        </w:tc>
      </w:tr>
      <w:tr w:rsidR="004E5B84" w:rsidRPr="00793A55" w14:paraId="72B1A990" w14:textId="77777777" w:rsidTr="00793A55">
        <w:tblPrEx>
          <w:tblLook w:val="04A0" w:firstRow="1" w:lastRow="0" w:firstColumn="1" w:lastColumn="0" w:noHBand="0" w:noVBand="1"/>
        </w:tblPrEx>
        <w:trPr>
          <w:cantSplit/>
          <w:trHeight w:val="20"/>
        </w:trPr>
        <w:tc>
          <w:tcPr>
            <w:tcW w:w="1129" w:type="dxa"/>
            <w:gridSpan w:val="2"/>
          </w:tcPr>
          <w:p w14:paraId="00FE5829" w14:textId="4B30DAD4"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3888C9C7"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be at least 18 years of age</w:t>
            </w:r>
          </w:p>
        </w:tc>
      </w:tr>
      <w:tr w:rsidR="004E5B84" w:rsidRPr="00793A55" w14:paraId="180DA5CD" w14:textId="77777777" w:rsidTr="00793A55">
        <w:tblPrEx>
          <w:tblLook w:val="04A0" w:firstRow="1" w:lastRow="0" w:firstColumn="1" w:lastColumn="0" w:noHBand="0" w:noVBand="1"/>
        </w:tblPrEx>
        <w:trPr>
          <w:cantSplit/>
          <w:trHeight w:val="20"/>
        </w:trPr>
        <w:tc>
          <w:tcPr>
            <w:tcW w:w="1129" w:type="dxa"/>
            <w:gridSpan w:val="2"/>
          </w:tcPr>
          <w:p w14:paraId="24C2EF8D"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656CBFF9" w14:textId="77777777" w:rsidR="004E5B84" w:rsidRPr="00962CCF" w:rsidRDefault="004E5B84" w:rsidP="00B43184">
            <w:pPr>
              <w:ind w:left="-57"/>
              <w:rPr>
                <w:rFonts w:ascii="Arial Narrow" w:hAnsi="Arial Narrow" w:cs="Open Sans"/>
                <w:color w:val="333333"/>
                <w:sz w:val="18"/>
                <w:szCs w:val="18"/>
              </w:rPr>
            </w:pPr>
          </w:p>
        </w:tc>
      </w:tr>
      <w:tr w:rsidR="004E5B84" w:rsidRPr="00793A55" w14:paraId="060DE528" w14:textId="77777777" w:rsidTr="00793A55">
        <w:tblPrEx>
          <w:tblLook w:val="04A0" w:firstRow="1" w:lastRow="0" w:firstColumn="1" w:lastColumn="0" w:noHBand="0" w:noVBand="1"/>
        </w:tblPrEx>
        <w:trPr>
          <w:cantSplit/>
          <w:trHeight w:val="20"/>
        </w:trPr>
        <w:tc>
          <w:tcPr>
            <w:tcW w:w="1129" w:type="dxa"/>
            <w:gridSpan w:val="2"/>
          </w:tcPr>
          <w:p w14:paraId="1E31577C" w14:textId="5CD05473" w:rsidR="004E5B84" w:rsidRPr="00793A55" w:rsidRDefault="004E5B84" w:rsidP="00B43184">
            <w:pPr>
              <w:jc w:val="center"/>
              <w:rPr>
                <w:rFonts w:ascii="Arial Narrow" w:hAnsi="Arial Narrow"/>
                <w:sz w:val="20"/>
                <w:szCs w:val="20"/>
              </w:rPr>
            </w:pPr>
          </w:p>
        </w:tc>
        <w:tc>
          <w:tcPr>
            <w:tcW w:w="8080" w:type="dxa"/>
            <w:gridSpan w:val="6"/>
          </w:tcPr>
          <w:p w14:paraId="65F5EAA4" w14:textId="77777777" w:rsidR="004E5B84" w:rsidRPr="00962CCF" w:rsidRDefault="004E5B84" w:rsidP="00B43184">
            <w:pPr>
              <w:ind w:left="-57"/>
              <w:rPr>
                <w:rFonts w:ascii="Arial Narrow" w:hAnsi="Arial Narrow" w:cs="Arial Narrow"/>
                <w:b/>
                <w:iCs/>
                <w:sz w:val="18"/>
                <w:szCs w:val="18"/>
              </w:rPr>
            </w:pPr>
            <w:r w:rsidRPr="00962CCF">
              <w:rPr>
                <w:rFonts w:ascii="Arial Narrow" w:hAnsi="Arial Narrow" w:cs="Arial Narrow"/>
                <w:b/>
                <w:iCs/>
                <w:sz w:val="18"/>
                <w:szCs w:val="18"/>
              </w:rPr>
              <w:t>Prescribing Instructions:</w:t>
            </w:r>
          </w:p>
          <w:p w14:paraId="26377111" w14:textId="77777777" w:rsidR="004E5B84" w:rsidRPr="00962CCF" w:rsidRDefault="004E5B84" w:rsidP="00B43184">
            <w:pPr>
              <w:ind w:left="-57"/>
              <w:rPr>
                <w:rFonts w:ascii="Arial Narrow" w:hAnsi="Arial Narrow"/>
                <w:sz w:val="18"/>
                <w:szCs w:val="18"/>
              </w:rPr>
            </w:pPr>
            <w:r w:rsidRPr="00962CCF">
              <w:rPr>
                <w:rFonts w:ascii="Arial Narrow" w:hAnsi="Arial Narrow"/>
                <w:sz w:val="18"/>
                <w:szCs w:val="18"/>
              </w:rPr>
              <w:t>The authority application must be made in writing and must include:</w:t>
            </w:r>
          </w:p>
          <w:p w14:paraId="37F96AB3" w14:textId="77777777" w:rsidR="004E5B84" w:rsidRPr="00962CCF" w:rsidRDefault="004E5B84" w:rsidP="00B43184">
            <w:pPr>
              <w:ind w:left="-57"/>
              <w:rPr>
                <w:rFonts w:ascii="Arial Narrow" w:hAnsi="Arial Narrow"/>
                <w:sz w:val="18"/>
                <w:szCs w:val="18"/>
              </w:rPr>
            </w:pPr>
            <w:r w:rsidRPr="00962CCF">
              <w:rPr>
                <w:rFonts w:ascii="Arial Narrow" w:hAnsi="Arial Narrow"/>
                <w:sz w:val="18"/>
                <w:szCs w:val="18"/>
              </w:rPr>
              <w:t>(1) a completed authority prescription form; and</w:t>
            </w:r>
          </w:p>
          <w:p w14:paraId="767F207A"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sz w:val="18"/>
                <w:szCs w:val="18"/>
              </w:rPr>
              <w:t>(2) a completed authority application form relevant to the indication and treatment phase (the latest version is located on the website specified in the Administrative Advice).</w:t>
            </w:r>
          </w:p>
        </w:tc>
      </w:tr>
      <w:tr w:rsidR="004E5B84" w:rsidRPr="00793A55" w14:paraId="35EB0903" w14:textId="77777777" w:rsidTr="00793A55">
        <w:tblPrEx>
          <w:tblLook w:val="04A0" w:firstRow="1" w:lastRow="0" w:firstColumn="1" w:lastColumn="0" w:noHBand="0" w:noVBand="1"/>
        </w:tblPrEx>
        <w:trPr>
          <w:cantSplit/>
          <w:trHeight w:val="20"/>
        </w:trPr>
        <w:tc>
          <w:tcPr>
            <w:tcW w:w="1129" w:type="dxa"/>
            <w:gridSpan w:val="2"/>
          </w:tcPr>
          <w:p w14:paraId="13E05C32" w14:textId="4832F823"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13DB52B"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575C05A4"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Evidence of failure to achieve an adequate response to prior therapy must include at least one of the following:</w:t>
            </w:r>
          </w:p>
          <w:p w14:paraId="00514850"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 xml:space="preserve">(a) patient must have evidence of intestinal </w:t>
            </w:r>
            <w:proofErr w:type="gramStart"/>
            <w:r w:rsidRPr="00962CCF">
              <w:rPr>
                <w:rFonts w:ascii="Arial Narrow" w:hAnsi="Arial Narrow" w:cs="Open Sans"/>
                <w:color w:val="333333"/>
                <w:sz w:val="18"/>
                <w:szCs w:val="18"/>
              </w:rPr>
              <w:t>inflammation;</w:t>
            </w:r>
            <w:proofErr w:type="gramEnd"/>
          </w:p>
          <w:p w14:paraId="494FCF79"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 xml:space="preserve">(b) patient must be assessed clinically as being in a high faecal output </w:t>
            </w:r>
            <w:proofErr w:type="gramStart"/>
            <w:r w:rsidRPr="00962CCF">
              <w:rPr>
                <w:rFonts w:ascii="Arial Narrow" w:hAnsi="Arial Narrow" w:cs="Open Sans"/>
                <w:color w:val="333333"/>
                <w:sz w:val="18"/>
                <w:szCs w:val="18"/>
              </w:rPr>
              <w:t>state;</w:t>
            </w:r>
            <w:proofErr w:type="gramEnd"/>
          </w:p>
          <w:p w14:paraId="15D72775"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(c) patient must be assessed clinically as requiring surgery or total parenteral nutrition (TPN) as the next therapeutic option, in the absence of this drug, if affected by short gut syndrome, extensive small intestine disease or is an ostomy patient.</w:t>
            </w:r>
          </w:p>
          <w:p w14:paraId="7A1174D7" w14:textId="77777777" w:rsidR="004E5B84" w:rsidRPr="00962CCF" w:rsidRDefault="004E5B84" w:rsidP="00B43184">
            <w:pPr>
              <w:ind w:left="-57"/>
              <w:textAlignment w:val="baseline"/>
              <w:rPr>
                <w:rFonts w:ascii="Arial Narrow" w:hAnsi="Arial Narrow" w:cs="Open Sans"/>
                <w:color w:val="333333"/>
                <w:sz w:val="18"/>
                <w:szCs w:val="18"/>
              </w:rPr>
            </w:pPr>
          </w:p>
          <w:p w14:paraId="0ABC44EF"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Evidence of intestinal inflammation includes:</w:t>
            </w:r>
          </w:p>
          <w:p w14:paraId="73AD3CCB"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 xml:space="preserve">(i) blood: higher than normal platelet count, </w:t>
            </w:r>
            <w:proofErr w:type="gramStart"/>
            <w:r w:rsidRPr="00962CCF">
              <w:rPr>
                <w:rFonts w:ascii="Arial Narrow" w:hAnsi="Arial Narrow" w:cs="Open Sans"/>
                <w:color w:val="333333"/>
                <w:sz w:val="18"/>
                <w:szCs w:val="18"/>
              </w:rPr>
              <w:t>or,</w:t>
            </w:r>
            <w:proofErr w:type="gramEnd"/>
            <w:r w:rsidRPr="00962CCF">
              <w:rPr>
                <w:rFonts w:ascii="Arial Narrow" w:hAnsi="Arial Narrow" w:cs="Open Sans"/>
                <w:color w:val="333333"/>
                <w:sz w:val="18"/>
                <w:szCs w:val="18"/>
              </w:rPr>
              <w:t xml:space="preserve"> an elevated erythrocyte sedimentation rate (ESR) greater than 25 mm per hour, or, a C-reactive protein (CRP) level greater than 15 mg per L; or</w:t>
            </w:r>
          </w:p>
          <w:p w14:paraId="58022BE2"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(ii) faeces: higher than normal lactoferrin or calprotectin level; or</w:t>
            </w:r>
          </w:p>
          <w:p w14:paraId="665A6BEB"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(iii) diagnostic imaging: demonstration of increased uptake of intravenous contrast with thickening of the bowel wall or mesenteric lymphadenopathy or fat streaking in the mesentery.</w:t>
            </w:r>
          </w:p>
        </w:tc>
      </w:tr>
      <w:tr w:rsidR="004E5B84" w:rsidRPr="00793A55" w14:paraId="2D77F3B8" w14:textId="77777777" w:rsidTr="00793A55">
        <w:tblPrEx>
          <w:tblLook w:val="04A0" w:firstRow="1" w:lastRow="0" w:firstColumn="1" w:lastColumn="0" w:noHBand="0" w:noVBand="1"/>
        </w:tblPrEx>
        <w:trPr>
          <w:cantSplit/>
          <w:trHeight w:val="20"/>
        </w:trPr>
        <w:tc>
          <w:tcPr>
            <w:tcW w:w="1129" w:type="dxa"/>
            <w:gridSpan w:val="2"/>
          </w:tcPr>
          <w:p w14:paraId="6F7E9BFE"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73360E6"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39193AB0" w14:textId="4FFB6242"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All assessments, pathology tests and diagnostic imaging studies were to have been within 4 weeks leading up to</w:t>
            </w:r>
            <w:r w:rsidR="000C52FF" w:rsidRPr="00962CCF">
              <w:rPr>
                <w:rFonts w:ascii="Arial Narrow" w:hAnsi="Arial Narrow" w:cs="Open Sans"/>
                <w:color w:val="333333"/>
                <w:sz w:val="18"/>
                <w:szCs w:val="18"/>
              </w:rPr>
              <w:t xml:space="preserve"> </w:t>
            </w:r>
            <w:r w:rsidRPr="00962CCF">
              <w:rPr>
                <w:rFonts w:ascii="Arial Narrow" w:hAnsi="Arial Narrow" w:cs="Open Sans"/>
                <w:color w:val="333333"/>
                <w:sz w:val="18"/>
                <w:szCs w:val="18"/>
              </w:rPr>
              <w:t>commencing the non-PBS subsidised supply of this drug and should have been performed preferably whilst still on conventional treatment, but no longer than 4 weeks following the last dose of conventional treatment.</w:t>
            </w:r>
          </w:p>
          <w:p w14:paraId="17ED3154" w14:textId="77777777" w:rsidR="004E5B84" w:rsidRPr="00962CCF" w:rsidRDefault="004E5B84" w:rsidP="00B43184">
            <w:pPr>
              <w:textAlignment w:val="baseline"/>
              <w:rPr>
                <w:rFonts w:ascii="Arial Narrow" w:hAnsi="Arial Narrow" w:cs="Open Sans"/>
                <w:color w:val="333333"/>
                <w:sz w:val="18"/>
                <w:szCs w:val="18"/>
              </w:rPr>
            </w:pPr>
          </w:p>
          <w:p w14:paraId="018A309F" w14:textId="179BE7A5"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Where extensive small intestinal disease affecting more than 50 cm of the small intestine applies, the CDAI must have been at least 220 prior to commencing the non-PBS subsidised supply of this drug.</w:t>
            </w:r>
            <w:r w:rsidR="000C52FF" w:rsidRPr="00962CCF">
              <w:rPr>
                <w:rFonts w:ascii="Arial Narrow" w:hAnsi="Arial Narrow" w:cs="Open Sans"/>
                <w:color w:val="333333"/>
                <w:sz w:val="18"/>
                <w:szCs w:val="18"/>
              </w:rPr>
              <w:t xml:space="preserve"> </w:t>
            </w:r>
          </w:p>
        </w:tc>
      </w:tr>
      <w:tr w:rsidR="004E5B84" w:rsidRPr="00793A55" w14:paraId="3E11BF06" w14:textId="77777777" w:rsidTr="00793A55">
        <w:tblPrEx>
          <w:tblLook w:val="04A0" w:firstRow="1" w:lastRow="0" w:firstColumn="1" w:lastColumn="0" w:noHBand="0" w:noVBand="1"/>
        </w:tblPrEx>
        <w:trPr>
          <w:cantSplit/>
          <w:trHeight w:val="20"/>
        </w:trPr>
        <w:tc>
          <w:tcPr>
            <w:tcW w:w="1129" w:type="dxa"/>
            <w:gridSpan w:val="2"/>
          </w:tcPr>
          <w:p w14:paraId="03234F6A" w14:textId="4B9A0265"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7CAA3A72"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29911650"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If treatment with any of the specified prior conventional drugs is contraindicated according to the relevant TGA-approved Product Information, please provide details at the time of application.</w:t>
            </w:r>
          </w:p>
        </w:tc>
      </w:tr>
      <w:tr w:rsidR="004E5B84" w:rsidRPr="00793A55" w14:paraId="3395622E" w14:textId="77777777" w:rsidTr="00793A55">
        <w:tblPrEx>
          <w:tblLook w:val="04A0" w:firstRow="1" w:lastRow="0" w:firstColumn="1" w:lastColumn="0" w:noHBand="0" w:noVBand="1"/>
        </w:tblPrEx>
        <w:trPr>
          <w:cantSplit/>
          <w:trHeight w:val="20"/>
        </w:trPr>
        <w:tc>
          <w:tcPr>
            <w:tcW w:w="1129" w:type="dxa"/>
            <w:gridSpan w:val="2"/>
          </w:tcPr>
          <w:p w14:paraId="4F0B792C" w14:textId="26F169E9"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063460E8"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2276688B"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If intolerance to treatment develops during the relevant period of use, which is of a severity necessitating permanent treatment withdrawal, details of this toxicity must be provided at the time of application.</w:t>
            </w:r>
          </w:p>
        </w:tc>
      </w:tr>
      <w:tr w:rsidR="004E5B84" w:rsidRPr="00793A55" w14:paraId="12A15CCB" w14:textId="77777777" w:rsidTr="00793A55">
        <w:tblPrEx>
          <w:tblLook w:val="04A0" w:firstRow="1" w:lastRow="0" w:firstColumn="1" w:lastColumn="0" w:noHBand="0" w:noVBand="1"/>
        </w:tblPrEx>
        <w:trPr>
          <w:cantSplit/>
          <w:trHeight w:val="20"/>
        </w:trPr>
        <w:tc>
          <w:tcPr>
            <w:tcW w:w="1129" w:type="dxa"/>
            <w:gridSpan w:val="2"/>
          </w:tcPr>
          <w:p w14:paraId="46B8AFCF"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363D74BD"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6EB436A5"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Details of the accepted toxicities including severity can be found on the Services Australia website.</w:t>
            </w:r>
          </w:p>
        </w:tc>
      </w:tr>
      <w:tr w:rsidR="004E5B84" w:rsidRPr="00793A55" w14:paraId="73D8806A" w14:textId="77777777" w:rsidTr="00793A55">
        <w:tblPrEx>
          <w:tblLook w:val="04A0" w:firstRow="1" w:lastRow="0" w:firstColumn="1" w:lastColumn="0" w:noHBand="0" w:noVBand="1"/>
        </w:tblPrEx>
        <w:trPr>
          <w:cantSplit/>
          <w:trHeight w:val="20"/>
        </w:trPr>
        <w:tc>
          <w:tcPr>
            <w:tcW w:w="1129" w:type="dxa"/>
            <w:gridSpan w:val="2"/>
          </w:tcPr>
          <w:p w14:paraId="5D71B2C9" w14:textId="356EA511"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DE4A0FC"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7700C6D3"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tc>
      </w:tr>
      <w:tr w:rsidR="004E5B84" w:rsidRPr="00793A55" w14:paraId="6EC15BFA" w14:textId="77777777" w:rsidTr="00793A55">
        <w:tblPrEx>
          <w:tblLook w:val="04A0" w:firstRow="1" w:lastRow="0" w:firstColumn="1" w:lastColumn="0" w:noHBand="0" w:noVBand="1"/>
        </w:tblPrEx>
        <w:trPr>
          <w:cantSplit/>
          <w:trHeight w:val="20"/>
        </w:trPr>
        <w:tc>
          <w:tcPr>
            <w:tcW w:w="1129" w:type="dxa"/>
            <w:gridSpan w:val="2"/>
          </w:tcPr>
          <w:p w14:paraId="53C354C6"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079809EC"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7A6ADCFE" w14:textId="77777777" w:rsidTr="00793A55">
        <w:tblPrEx>
          <w:tblLook w:val="04A0" w:firstRow="1" w:lastRow="0" w:firstColumn="1" w:lastColumn="0" w:noHBand="0" w:noVBand="1"/>
        </w:tblPrEx>
        <w:trPr>
          <w:cantSplit/>
          <w:trHeight w:val="20"/>
        </w:trPr>
        <w:tc>
          <w:tcPr>
            <w:tcW w:w="1129" w:type="dxa"/>
            <w:gridSpan w:val="2"/>
          </w:tcPr>
          <w:p w14:paraId="13BEF4EE" w14:textId="70BF58A9"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1FC71A24" w14:textId="77777777" w:rsidR="004E5B84" w:rsidRPr="00962CCF" w:rsidRDefault="004E5B84" w:rsidP="00B43184">
            <w:pPr>
              <w:ind w:left="-57"/>
              <w:rPr>
                <w:rFonts w:ascii="Arial Narrow" w:hAnsi="Arial Narrow"/>
                <w:b/>
                <w:bCs/>
                <w:sz w:val="18"/>
                <w:szCs w:val="18"/>
              </w:rPr>
            </w:pPr>
            <w:r w:rsidRPr="00962CCF">
              <w:rPr>
                <w:rFonts w:ascii="Arial Narrow" w:hAnsi="Arial Narrow"/>
                <w:b/>
                <w:bCs/>
                <w:sz w:val="18"/>
                <w:szCs w:val="18"/>
              </w:rPr>
              <w:t xml:space="preserve">Administrative advice: </w:t>
            </w:r>
          </w:p>
          <w:p w14:paraId="34429C17"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r w:rsidRPr="00962CCF">
              <w:rPr>
                <w:rFonts w:ascii="Arial Narrow" w:hAnsi="Arial Narrow"/>
                <w:bCs/>
                <w:sz w:val="18"/>
                <w:szCs w:val="18"/>
              </w:rPr>
              <w:t>Patients may qualify for PBS-subsidised treatment under this restriction once only. For continuing PBS-subsidised treatment, a 'Grandfathered' patient must qualify under the 'Continuing treatment' criteria.</w:t>
            </w:r>
          </w:p>
        </w:tc>
      </w:tr>
      <w:tr w:rsidR="004E5B84" w:rsidRPr="00793A55" w14:paraId="72FCF455" w14:textId="77777777" w:rsidTr="00793A55">
        <w:tblPrEx>
          <w:tblLook w:val="04A0" w:firstRow="1" w:lastRow="0" w:firstColumn="1" w:lastColumn="0" w:noHBand="0" w:noVBand="1"/>
        </w:tblPrEx>
        <w:trPr>
          <w:cantSplit/>
          <w:trHeight w:val="20"/>
        </w:trPr>
        <w:tc>
          <w:tcPr>
            <w:tcW w:w="1129" w:type="dxa"/>
            <w:gridSpan w:val="2"/>
          </w:tcPr>
          <w:p w14:paraId="70ACF6C7" w14:textId="77B9434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36842FE6" w14:textId="77777777" w:rsidR="004E5B84" w:rsidRPr="00962CCF" w:rsidRDefault="004E5B84" w:rsidP="00B43184">
            <w:pPr>
              <w:ind w:left="-57"/>
              <w:rPr>
                <w:rFonts w:ascii="Arial Narrow" w:hAnsi="Arial Narrow"/>
                <w:b/>
                <w:bCs/>
                <w:sz w:val="18"/>
                <w:szCs w:val="18"/>
              </w:rPr>
            </w:pPr>
            <w:r w:rsidRPr="00962CCF">
              <w:rPr>
                <w:rFonts w:ascii="Arial Narrow" w:hAnsi="Arial Narrow"/>
                <w:b/>
                <w:bCs/>
                <w:sz w:val="18"/>
                <w:szCs w:val="18"/>
              </w:rPr>
              <w:t xml:space="preserve">Administrative advice: </w:t>
            </w:r>
          </w:p>
          <w:p w14:paraId="082E4AEC"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r w:rsidRPr="00962CCF">
              <w:rPr>
                <w:rFonts w:ascii="Arial Narrow" w:hAnsi="Arial Narrow"/>
                <w:bCs/>
                <w:sz w:val="18"/>
                <w:szCs w:val="18"/>
              </w:rPr>
              <w:t>This grandfather restriction will cease to operate from 12 months after the date specified in the clinical criteria.</w:t>
            </w:r>
          </w:p>
        </w:tc>
      </w:tr>
      <w:bookmarkEnd w:id="125"/>
      <w:tr w:rsidR="004E5B84" w:rsidRPr="00793A55" w14:paraId="48696BB0" w14:textId="77777777" w:rsidTr="00793A55">
        <w:tblPrEx>
          <w:tblLook w:val="04A0" w:firstRow="1" w:lastRow="0" w:firstColumn="1" w:lastColumn="0" w:noHBand="0" w:noVBand="1"/>
        </w:tblPrEx>
        <w:trPr>
          <w:cantSplit/>
          <w:trHeight w:val="20"/>
        </w:trPr>
        <w:tc>
          <w:tcPr>
            <w:tcW w:w="1129" w:type="dxa"/>
            <w:gridSpan w:val="2"/>
          </w:tcPr>
          <w:p w14:paraId="576894B5" w14:textId="122E9D8B" w:rsidR="004E5B84" w:rsidRPr="00793A55" w:rsidRDefault="004E5B84" w:rsidP="00B43184">
            <w:pPr>
              <w:jc w:val="center"/>
              <w:textAlignment w:val="baseline"/>
              <w:rPr>
                <w:rFonts w:ascii="Arial Narrow" w:hAnsi="Arial Narrow"/>
                <w:bCs/>
                <w:sz w:val="20"/>
                <w:szCs w:val="20"/>
              </w:rPr>
            </w:pPr>
          </w:p>
        </w:tc>
        <w:tc>
          <w:tcPr>
            <w:tcW w:w="8080" w:type="dxa"/>
            <w:gridSpan w:val="6"/>
          </w:tcPr>
          <w:p w14:paraId="621DBEA4" w14:textId="77777777" w:rsidR="004E5B84" w:rsidRPr="00962CCF" w:rsidRDefault="004E5B84" w:rsidP="00B43184">
            <w:pPr>
              <w:ind w:left="-57"/>
              <w:rPr>
                <w:rFonts w:ascii="Arial Narrow" w:hAnsi="Arial Narrow"/>
                <w:b/>
                <w:bCs/>
                <w:sz w:val="18"/>
                <w:szCs w:val="18"/>
              </w:rPr>
            </w:pPr>
            <w:r w:rsidRPr="00962CCF">
              <w:rPr>
                <w:rFonts w:ascii="Arial Narrow" w:hAnsi="Arial Narrow"/>
                <w:b/>
                <w:bCs/>
                <w:sz w:val="18"/>
                <w:szCs w:val="18"/>
              </w:rPr>
              <w:t xml:space="preserve">Administrative advice: </w:t>
            </w:r>
          </w:p>
          <w:p w14:paraId="2A278015" w14:textId="77777777" w:rsidR="004E5B84" w:rsidRPr="00962CCF" w:rsidRDefault="004E5B84" w:rsidP="00B43184">
            <w:pPr>
              <w:ind w:left="-57"/>
              <w:rPr>
                <w:rFonts w:ascii="Arial Narrow" w:hAnsi="Arial Narrow"/>
                <w:b/>
                <w:bCs/>
                <w:sz w:val="18"/>
                <w:szCs w:val="18"/>
              </w:rPr>
            </w:pPr>
            <w:r w:rsidRPr="00962CCF">
              <w:rPr>
                <w:rFonts w:ascii="Arial Narrow" w:hAnsi="Arial Narrow"/>
                <w:bCs/>
                <w:sz w:val="18"/>
                <w:szCs w:val="18"/>
              </w:rPr>
              <w:t>Where prior systemic treatments are specified in this restriction, this is in the context of the time period leading up to the initiation of non-PBS subsidised supply of this drug.</w:t>
            </w:r>
          </w:p>
        </w:tc>
      </w:tr>
      <w:tr w:rsidR="004E5B84" w:rsidRPr="00793A55" w14:paraId="7507C369" w14:textId="77777777" w:rsidTr="00793A55">
        <w:tblPrEx>
          <w:tblLook w:val="04A0" w:firstRow="1" w:lastRow="0" w:firstColumn="1" w:lastColumn="0" w:noHBand="0" w:noVBand="1"/>
        </w:tblPrEx>
        <w:trPr>
          <w:cantSplit/>
          <w:trHeight w:val="20"/>
        </w:trPr>
        <w:tc>
          <w:tcPr>
            <w:tcW w:w="9209" w:type="dxa"/>
            <w:gridSpan w:val="8"/>
          </w:tcPr>
          <w:p w14:paraId="4DB006F5" w14:textId="77777777" w:rsidR="004E5B84" w:rsidRPr="00962CCF" w:rsidRDefault="004E5B84" w:rsidP="00B43184">
            <w:pPr>
              <w:ind w:left="-57"/>
              <w:rPr>
                <w:rFonts w:ascii="Arial Narrow" w:hAnsi="Arial Narrow"/>
                <w:b/>
                <w:bCs/>
                <w:sz w:val="18"/>
                <w:szCs w:val="18"/>
              </w:rPr>
            </w:pPr>
          </w:p>
        </w:tc>
      </w:tr>
      <w:tr w:rsidR="004E5B84" w:rsidRPr="00793A55" w14:paraId="61A6B20E" w14:textId="77777777" w:rsidTr="00793A55">
        <w:tblPrEx>
          <w:tblLook w:val="04A0" w:firstRow="1" w:lastRow="0" w:firstColumn="1" w:lastColumn="0" w:noHBand="0" w:noVBand="1"/>
        </w:tblPrEx>
        <w:trPr>
          <w:cantSplit/>
          <w:trHeight w:val="20"/>
        </w:trPr>
        <w:tc>
          <w:tcPr>
            <w:tcW w:w="9209" w:type="dxa"/>
            <w:gridSpan w:val="8"/>
          </w:tcPr>
          <w:p w14:paraId="45E08E40" w14:textId="7130F1E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bookmarkStart w:id="126" w:name="_Hlk122537363"/>
            <w:r w:rsidRPr="00962CCF">
              <w:rPr>
                <w:rFonts w:ascii="Arial Narrow" w:hAnsi="Arial Narrow" w:cs="Open Sans"/>
                <w:b/>
                <w:bCs/>
                <w:color w:val="333333"/>
                <w:sz w:val="18"/>
                <w:szCs w:val="18"/>
                <w:bdr w:val="none" w:sz="0" w:space="0" w:color="auto" w:frame="1"/>
              </w:rPr>
              <w:t xml:space="preserve">Restriction Summary / Treatment of </w:t>
            </w:r>
            <w:proofErr w:type="gramStart"/>
            <w:r w:rsidRPr="00962CCF">
              <w:rPr>
                <w:rFonts w:ascii="Arial Narrow" w:hAnsi="Arial Narrow" w:cs="Open Sans"/>
                <w:b/>
                <w:bCs/>
                <w:color w:val="333333"/>
                <w:sz w:val="18"/>
                <w:szCs w:val="18"/>
                <w:bdr w:val="none" w:sz="0" w:space="0" w:color="auto" w:frame="1"/>
              </w:rPr>
              <w:t>Concept::</w:t>
            </w:r>
            <w:proofErr w:type="gramEnd"/>
            <w:r w:rsidRPr="00962CCF">
              <w:rPr>
                <w:rFonts w:ascii="Arial Narrow" w:hAnsi="Arial Narrow" w:cs="Open Sans"/>
                <w:b/>
                <w:bCs/>
                <w:color w:val="333333"/>
                <w:sz w:val="18"/>
                <w:szCs w:val="18"/>
                <w:bdr w:val="none" w:sz="0" w:space="0" w:color="auto" w:frame="1"/>
              </w:rPr>
              <w:t xml:space="preserve"> Authority Required </w:t>
            </w:r>
          </w:p>
          <w:p w14:paraId="52BE17DF"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056ECC22" w14:textId="77777777" w:rsidTr="00793A55">
        <w:tblPrEx>
          <w:tblLook w:val="04A0" w:firstRow="1" w:lastRow="0" w:firstColumn="1" w:lastColumn="0" w:noHBand="0" w:noVBand="1"/>
        </w:tblPrEx>
        <w:trPr>
          <w:cantSplit/>
          <w:trHeight w:val="20"/>
        </w:trPr>
        <w:tc>
          <w:tcPr>
            <w:tcW w:w="1129" w:type="dxa"/>
            <w:gridSpan w:val="2"/>
          </w:tcPr>
          <w:p w14:paraId="5309C071" w14:textId="7DBD189C"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38288478"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 xml:space="preserve">Indication: </w:t>
            </w:r>
            <w:r w:rsidRPr="00962CCF">
              <w:rPr>
                <w:rFonts w:ascii="Arial Narrow" w:hAnsi="Arial Narrow" w:cs="Open Sans"/>
                <w:color w:val="333333"/>
                <w:sz w:val="18"/>
                <w:szCs w:val="18"/>
              </w:rPr>
              <w:t>Severe Crohn disease</w:t>
            </w:r>
          </w:p>
        </w:tc>
      </w:tr>
      <w:tr w:rsidR="004E5B84" w:rsidRPr="00793A55" w14:paraId="2FEE2A12" w14:textId="77777777" w:rsidTr="00793A55">
        <w:tblPrEx>
          <w:tblLook w:val="04A0" w:firstRow="1" w:lastRow="0" w:firstColumn="1" w:lastColumn="0" w:noHBand="0" w:noVBand="1"/>
        </w:tblPrEx>
        <w:trPr>
          <w:cantSplit/>
          <w:trHeight w:val="20"/>
        </w:trPr>
        <w:tc>
          <w:tcPr>
            <w:tcW w:w="1129" w:type="dxa"/>
            <w:gridSpan w:val="2"/>
          </w:tcPr>
          <w:p w14:paraId="0699F458"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5B3F8C17"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20E4E9A6" w14:textId="77777777" w:rsidTr="00793A55">
        <w:tblPrEx>
          <w:tblLook w:val="04A0" w:firstRow="1" w:lastRow="0" w:firstColumn="1" w:lastColumn="0" w:noHBand="0" w:noVBand="1"/>
        </w:tblPrEx>
        <w:trPr>
          <w:cantSplit/>
          <w:trHeight w:val="20"/>
        </w:trPr>
        <w:tc>
          <w:tcPr>
            <w:tcW w:w="1129" w:type="dxa"/>
            <w:gridSpan w:val="2"/>
          </w:tcPr>
          <w:p w14:paraId="5ED0B49A" w14:textId="77777777" w:rsidR="004E5B84" w:rsidRPr="00793A55" w:rsidRDefault="004E5B84" w:rsidP="00B43184">
            <w:pPr>
              <w:jc w:val="center"/>
              <w:rPr>
                <w:rFonts w:ascii="Arial Narrow" w:hAnsi="Arial Narrow" w:cs="Open Sans"/>
                <w:color w:val="333333"/>
                <w:sz w:val="20"/>
                <w:szCs w:val="20"/>
              </w:rPr>
            </w:pPr>
          </w:p>
        </w:tc>
        <w:tc>
          <w:tcPr>
            <w:tcW w:w="8080" w:type="dxa"/>
            <w:gridSpan w:val="6"/>
            <w:hideMark/>
          </w:tcPr>
          <w:p w14:paraId="07AD5D67"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 xml:space="preserve">Treatment Phase: </w:t>
            </w:r>
            <w:r w:rsidRPr="00962CCF">
              <w:rPr>
                <w:rFonts w:ascii="Arial Narrow" w:hAnsi="Arial Narrow" w:cs="Open Sans"/>
                <w:color w:val="333333"/>
                <w:sz w:val="18"/>
                <w:szCs w:val="18"/>
              </w:rPr>
              <w:t>Balance of supply for Initial (induction) treatment phases</w:t>
            </w:r>
          </w:p>
        </w:tc>
      </w:tr>
      <w:tr w:rsidR="004E5B84" w:rsidRPr="00793A55" w14:paraId="19BE58FE" w14:textId="77777777" w:rsidTr="00793A55">
        <w:tblPrEx>
          <w:tblLook w:val="04A0" w:firstRow="1" w:lastRow="0" w:firstColumn="1" w:lastColumn="0" w:noHBand="0" w:noVBand="1"/>
        </w:tblPrEx>
        <w:trPr>
          <w:cantSplit/>
          <w:trHeight w:val="20"/>
        </w:trPr>
        <w:tc>
          <w:tcPr>
            <w:tcW w:w="1129" w:type="dxa"/>
            <w:gridSpan w:val="2"/>
          </w:tcPr>
          <w:p w14:paraId="08E445BF" w14:textId="77777777" w:rsidR="004E5B84" w:rsidRPr="00793A55" w:rsidRDefault="004E5B84" w:rsidP="00B43184">
            <w:pPr>
              <w:jc w:val="center"/>
              <w:rPr>
                <w:rFonts w:ascii="Arial Narrow" w:hAnsi="Arial Narrow" w:cs="Open Sans"/>
                <w:color w:val="333333"/>
                <w:sz w:val="20"/>
                <w:szCs w:val="20"/>
              </w:rPr>
            </w:pPr>
          </w:p>
        </w:tc>
        <w:tc>
          <w:tcPr>
            <w:tcW w:w="8080" w:type="dxa"/>
            <w:gridSpan w:val="6"/>
          </w:tcPr>
          <w:p w14:paraId="38546BF5"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7F629CF9" w14:textId="77777777" w:rsidTr="00793A55">
        <w:tblPrEx>
          <w:tblLook w:val="04A0" w:firstRow="1" w:lastRow="0" w:firstColumn="1" w:lastColumn="0" w:noHBand="0" w:noVBand="1"/>
        </w:tblPrEx>
        <w:trPr>
          <w:cantSplit/>
          <w:trHeight w:val="20"/>
        </w:trPr>
        <w:tc>
          <w:tcPr>
            <w:tcW w:w="1129" w:type="dxa"/>
            <w:gridSpan w:val="2"/>
          </w:tcPr>
          <w:p w14:paraId="3668CA96" w14:textId="5A6615E0"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D30ACD0"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Treatment criteria:</w:t>
            </w:r>
          </w:p>
        </w:tc>
      </w:tr>
      <w:tr w:rsidR="004E5B84" w:rsidRPr="00793A55" w14:paraId="7013CEFD" w14:textId="77777777" w:rsidTr="00793A55">
        <w:tblPrEx>
          <w:tblLook w:val="04A0" w:firstRow="1" w:lastRow="0" w:firstColumn="1" w:lastColumn="0" w:noHBand="0" w:noVBand="1"/>
        </w:tblPrEx>
        <w:trPr>
          <w:cantSplit/>
          <w:trHeight w:val="20"/>
        </w:trPr>
        <w:tc>
          <w:tcPr>
            <w:tcW w:w="1129" w:type="dxa"/>
            <w:gridSpan w:val="2"/>
          </w:tcPr>
          <w:p w14:paraId="052CEE94" w14:textId="1962204C"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7C94975"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gastroenterologist (code 87); or</w:t>
            </w:r>
          </w:p>
        </w:tc>
      </w:tr>
      <w:tr w:rsidR="004E5B84" w:rsidRPr="00793A55" w14:paraId="30F68E4B" w14:textId="77777777" w:rsidTr="00793A55">
        <w:tblPrEx>
          <w:tblLook w:val="04A0" w:firstRow="1" w:lastRow="0" w:firstColumn="1" w:lastColumn="0" w:noHBand="0" w:noVBand="1"/>
        </w:tblPrEx>
        <w:trPr>
          <w:cantSplit/>
          <w:trHeight w:val="20"/>
        </w:trPr>
        <w:tc>
          <w:tcPr>
            <w:tcW w:w="1129" w:type="dxa"/>
            <w:gridSpan w:val="2"/>
          </w:tcPr>
          <w:p w14:paraId="42F8B6AC" w14:textId="647DC8FE"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5A84BA93"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[internal medicine specialising in gastroenterology (code 81)]; or</w:t>
            </w:r>
          </w:p>
        </w:tc>
      </w:tr>
      <w:tr w:rsidR="004E5B84" w:rsidRPr="00793A55" w14:paraId="5FBD0528" w14:textId="77777777" w:rsidTr="00793A55">
        <w:tblPrEx>
          <w:tblLook w:val="04A0" w:firstRow="1" w:lastRow="0" w:firstColumn="1" w:lastColumn="0" w:noHBand="0" w:noVBand="1"/>
        </w:tblPrEx>
        <w:trPr>
          <w:cantSplit/>
          <w:trHeight w:val="20"/>
        </w:trPr>
        <w:tc>
          <w:tcPr>
            <w:tcW w:w="1129" w:type="dxa"/>
            <w:gridSpan w:val="2"/>
          </w:tcPr>
          <w:p w14:paraId="7DBD9481" w14:textId="489499C1"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CF72115"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[general medicine specialising in gastroenterology (code 82)]</w:t>
            </w:r>
          </w:p>
        </w:tc>
      </w:tr>
      <w:tr w:rsidR="004E5B84" w:rsidRPr="00793A55" w14:paraId="7DDEAB80" w14:textId="77777777" w:rsidTr="00793A55">
        <w:tblPrEx>
          <w:tblLook w:val="04A0" w:firstRow="1" w:lastRow="0" w:firstColumn="1" w:lastColumn="0" w:noHBand="0" w:noVBand="1"/>
        </w:tblPrEx>
        <w:trPr>
          <w:cantSplit/>
          <w:trHeight w:val="20"/>
        </w:trPr>
        <w:tc>
          <w:tcPr>
            <w:tcW w:w="1129" w:type="dxa"/>
            <w:gridSpan w:val="2"/>
          </w:tcPr>
          <w:p w14:paraId="717BCA56"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350E3A48" w14:textId="77777777" w:rsidR="004E5B84" w:rsidRPr="00962CCF" w:rsidRDefault="004E5B84" w:rsidP="00B43184">
            <w:pPr>
              <w:ind w:left="-57"/>
              <w:rPr>
                <w:rFonts w:ascii="Arial Narrow" w:hAnsi="Arial Narrow" w:cs="Open Sans"/>
                <w:color w:val="333333"/>
                <w:sz w:val="18"/>
                <w:szCs w:val="18"/>
              </w:rPr>
            </w:pPr>
          </w:p>
        </w:tc>
      </w:tr>
      <w:tr w:rsidR="004E5B84" w:rsidRPr="00793A55" w14:paraId="712CE4EF" w14:textId="77777777" w:rsidTr="00793A55">
        <w:tblPrEx>
          <w:tblLook w:val="04A0" w:firstRow="1" w:lastRow="0" w:firstColumn="1" w:lastColumn="0" w:noHBand="0" w:noVBand="1"/>
        </w:tblPrEx>
        <w:trPr>
          <w:cantSplit/>
          <w:trHeight w:val="20"/>
        </w:trPr>
        <w:tc>
          <w:tcPr>
            <w:tcW w:w="1129" w:type="dxa"/>
            <w:gridSpan w:val="2"/>
          </w:tcPr>
          <w:p w14:paraId="62665B6A" w14:textId="07DB6705"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0BCDCC8D"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69D87721" w14:textId="77777777" w:rsidTr="00793A55">
        <w:tblPrEx>
          <w:tblLook w:val="04A0" w:firstRow="1" w:lastRow="0" w:firstColumn="1" w:lastColumn="0" w:noHBand="0" w:noVBand="1"/>
        </w:tblPrEx>
        <w:trPr>
          <w:cantSplit/>
          <w:trHeight w:val="20"/>
        </w:trPr>
        <w:tc>
          <w:tcPr>
            <w:tcW w:w="1129" w:type="dxa"/>
            <w:gridSpan w:val="2"/>
          </w:tcPr>
          <w:p w14:paraId="62578900" w14:textId="070BDF7F"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532FBFA8"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 xml:space="preserve">The treatment must have been prescribed in a quantity in the most recent prescription which did not seek the full quantity available </w:t>
            </w:r>
            <w:proofErr w:type="gramStart"/>
            <w:r w:rsidRPr="00962CCF">
              <w:rPr>
                <w:rFonts w:ascii="Arial Narrow" w:hAnsi="Arial Narrow" w:cs="Open Sans"/>
                <w:color w:val="333333"/>
                <w:sz w:val="18"/>
                <w:szCs w:val="18"/>
              </w:rPr>
              <w:t>in regards to</w:t>
            </w:r>
            <w:proofErr w:type="gramEnd"/>
            <w:r w:rsidRPr="00962CCF">
              <w:rPr>
                <w:rFonts w:ascii="Arial Narrow" w:hAnsi="Arial Narrow" w:cs="Open Sans"/>
                <w:color w:val="333333"/>
                <w:sz w:val="18"/>
                <w:szCs w:val="18"/>
              </w:rPr>
              <w:t xml:space="preserve"> any of: (i) the quantity per dispensing, (ii) repeat prescriptions </w:t>
            </w:r>
          </w:p>
        </w:tc>
      </w:tr>
      <w:tr w:rsidR="004E5B84" w:rsidRPr="00793A55" w14:paraId="78ADF8D8" w14:textId="77777777" w:rsidTr="00793A55">
        <w:tblPrEx>
          <w:tblLook w:val="04A0" w:firstRow="1" w:lastRow="0" w:firstColumn="1" w:lastColumn="0" w:noHBand="0" w:noVBand="1"/>
        </w:tblPrEx>
        <w:trPr>
          <w:cantSplit/>
          <w:trHeight w:val="20"/>
        </w:trPr>
        <w:tc>
          <w:tcPr>
            <w:tcW w:w="1129" w:type="dxa"/>
            <w:gridSpan w:val="2"/>
          </w:tcPr>
          <w:p w14:paraId="305F2ACB" w14:textId="77777777" w:rsidR="004E5B84" w:rsidRPr="00793A55" w:rsidRDefault="004E5B84" w:rsidP="00B43184">
            <w:pPr>
              <w:jc w:val="center"/>
              <w:rPr>
                <w:rFonts w:ascii="Arial Narrow" w:hAnsi="Arial Narrow" w:cs="Open Sans"/>
                <w:color w:val="333333"/>
                <w:sz w:val="20"/>
                <w:szCs w:val="20"/>
              </w:rPr>
            </w:pPr>
          </w:p>
        </w:tc>
        <w:tc>
          <w:tcPr>
            <w:tcW w:w="8080" w:type="dxa"/>
            <w:gridSpan w:val="6"/>
            <w:hideMark/>
          </w:tcPr>
          <w:p w14:paraId="4DF9869C"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AND</w:t>
            </w:r>
          </w:p>
        </w:tc>
      </w:tr>
      <w:tr w:rsidR="004E5B84" w:rsidRPr="00793A55" w14:paraId="262E6A5D" w14:textId="77777777" w:rsidTr="00793A55">
        <w:tblPrEx>
          <w:tblLook w:val="04A0" w:firstRow="1" w:lastRow="0" w:firstColumn="1" w:lastColumn="0" w:noHBand="0" w:noVBand="1"/>
        </w:tblPrEx>
        <w:trPr>
          <w:cantSplit/>
          <w:trHeight w:val="20"/>
        </w:trPr>
        <w:tc>
          <w:tcPr>
            <w:tcW w:w="1129" w:type="dxa"/>
            <w:gridSpan w:val="2"/>
          </w:tcPr>
          <w:p w14:paraId="45305F12" w14:textId="6D89B2D9"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BBBFEE4"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1E00A27E" w14:textId="77777777" w:rsidTr="00793A55">
        <w:tblPrEx>
          <w:tblLook w:val="04A0" w:firstRow="1" w:lastRow="0" w:firstColumn="1" w:lastColumn="0" w:noHBand="0" w:noVBand="1"/>
        </w:tblPrEx>
        <w:trPr>
          <w:cantSplit/>
          <w:trHeight w:val="20"/>
        </w:trPr>
        <w:tc>
          <w:tcPr>
            <w:tcW w:w="1129" w:type="dxa"/>
            <w:gridSpan w:val="2"/>
          </w:tcPr>
          <w:p w14:paraId="5DB33D3D" w14:textId="569F1303"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404123A1"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The treatment must provide no more than the balance available under the treatment phase from which the immediately preceding supply was obtained under</w:t>
            </w:r>
          </w:p>
        </w:tc>
      </w:tr>
      <w:tr w:rsidR="004E5B84" w:rsidRPr="00793A55" w14:paraId="01F04A19" w14:textId="77777777" w:rsidTr="00793A55">
        <w:tblPrEx>
          <w:tblLook w:val="04A0" w:firstRow="1" w:lastRow="0" w:firstColumn="1" w:lastColumn="0" w:noHBand="0" w:noVBand="1"/>
        </w:tblPrEx>
        <w:trPr>
          <w:cantSplit/>
          <w:trHeight w:val="20"/>
        </w:trPr>
        <w:tc>
          <w:tcPr>
            <w:tcW w:w="1129" w:type="dxa"/>
            <w:gridSpan w:val="2"/>
          </w:tcPr>
          <w:p w14:paraId="19668ECC"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tcPr>
          <w:p w14:paraId="0E80E57B" w14:textId="77777777" w:rsidR="004E5B84" w:rsidRPr="00962CCF" w:rsidRDefault="004E5B84" w:rsidP="00B43184">
            <w:pPr>
              <w:ind w:left="-57"/>
              <w:rPr>
                <w:rFonts w:ascii="Arial Narrow" w:hAnsi="Arial Narrow" w:cs="Open Sans"/>
                <w:color w:val="333333"/>
                <w:sz w:val="18"/>
                <w:szCs w:val="18"/>
              </w:rPr>
            </w:pPr>
          </w:p>
        </w:tc>
      </w:tr>
      <w:tr w:rsidR="004E5B84" w:rsidRPr="00793A55" w14:paraId="159DFC5B" w14:textId="77777777" w:rsidTr="00793A55">
        <w:tblPrEx>
          <w:tblLook w:val="04A0" w:firstRow="1" w:lastRow="0" w:firstColumn="1" w:lastColumn="0" w:noHBand="0" w:noVBand="1"/>
        </w:tblPrEx>
        <w:trPr>
          <w:cantSplit/>
          <w:trHeight w:val="20"/>
        </w:trPr>
        <w:tc>
          <w:tcPr>
            <w:tcW w:w="1129" w:type="dxa"/>
            <w:gridSpan w:val="2"/>
          </w:tcPr>
          <w:p w14:paraId="092AEB9B" w14:textId="77777777" w:rsidR="004E5B84" w:rsidRPr="00793A55"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4E9D3F56"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Administrative Advice:</w:t>
            </w:r>
          </w:p>
          <w:p w14:paraId="019393E9"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4E5B84" w:rsidRPr="00793A55" w14:paraId="32E38492" w14:textId="77777777" w:rsidTr="00793A55">
        <w:tblPrEx>
          <w:tblLook w:val="04A0" w:firstRow="1" w:lastRow="0" w:firstColumn="1" w:lastColumn="0" w:noHBand="0" w:noVBand="1"/>
        </w:tblPrEx>
        <w:trPr>
          <w:cantSplit/>
          <w:trHeight w:val="20"/>
        </w:trPr>
        <w:tc>
          <w:tcPr>
            <w:tcW w:w="1129" w:type="dxa"/>
            <w:gridSpan w:val="2"/>
          </w:tcPr>
          <w:p w14:paraId="7FA11B81" w14:textId="313C6CD5" w:rsidR="004E5B84" w:rsidRPr="00793A55" w:rsidRDefault="004E5B84" w:rsidP="00B43184">
            <w:pPr>
              <w:jc w:val="center"/>
              <w:textAlignment w:val="baseline"/>
              <w:rPr>
                <w:rFonts w:ascii="Arial Narrow" w:hAnsi="Arial Narrow"/>
                <w:bCs/>
                <w:sz w:val="20"/>
                <w:szCs w:val="20"/>
              </w:rPr>
            </w:pPr>
          </w:p>
        </w:tc>
        <w:tc>
          <w:tcPr>
            <w:tcW w:w="8080" w:type="dxa"/>
            <w:gridSpan w:val="6"/>
          </w:tcPr>
          <w:p w14:paraId="62A92197" w14:textId="77777777" w:rsidR="004E5B84" w:rsidRPr="00962CCF" w:rsidRDefault="004E5B84" w:rsidP="00B43184">
            <w:pPr>
              <w:ind w:left="-57"/>
              <w:textAlignment w:val="baseline"/>
              <w:rPr>
                <w:rFonts w:ascii="Arial Narrow" w:hAnsi="Arial Narrow"/>
                <w:b/>
                <w:bCs/>
                <w:sz w:val="18"/>
                <w:szCs w:val="18"/>
              </w:rPr>
            </w:pPr>
            <w:r w:rsidRPr="00962CCF">
              <w:rPr>
                <w:rFonts w:ascii="Arial Narrow" w:hAnsi="Arial Narrow"/>
                <w:b/>
                <w:bCs/>
                <w:sz w:val="18"/>
                <w:szCs w:val="18"/>
              </w:rPr>
              <w:t xml:space="preserve">Administrative Advice: </w:t>
            </w:r>
          </w:p>
          <w:p w14:paraId="0D7A9645" w14:textId="77777777" w:rsidR="004E5B84" w:rsidRPr="00962CCF" w:rsidRDefault="004E5B84" w:rsidP="00B43184">
            <w:pPr>
              <w:ind w:left="-57"/>
              <w:textAlignment w:val="baseline"/>
              <w:rPr>
                <w:rFonts w:ascii="Arial Narrow" w:hAnsi="Arial Narrow"/>
                <w:b/>
                <w:bCs/>
                <w:sz w:val="18"/>
                <w:szCs w:val="18"/>
              </w:rPr>
            </w:pPr>
            <w:r w:rsidRPr="00962CCF">
              <w:rPr>
                <w:rFonts w:ascii="Arial Narrow" w:hAnsi="Arial Narrow"/>
                <w:sz w:val="18"/>
                <w:szCs w:val="18"/>
              </w:rPr>
              <w:t xml:space="preserve">Initial (induction) treatment phases and ‘Extended induction’ treatment phases for this benefit aim to provide 12 weeks treatment duration. </w:t>
            </w:r>
          </w:p>
        </w:tc>
      </w:tr>
      <w:bookmarkEnd w:id="121"/>
      <w:bookmarkEnd w:id="126"/>
    </w:tbl>
    <w:p w14:paraId="5D61B505" w14:textId="77777777" w:rsidR="004E5B84" w:rsidRDefault="004E5B84" w:rsidP="004E5B84"/>
    <w:tbl>
      <w:tblPr>
        <w:tblStyle w:val="TableGrid"/>
        <w:tblW w:w="9209" w:type="dxa"/>
        <w:tblLayout w:type="fixed"/>
        <w:tblLook w:val="0000" w:firstRow="0" w:lastRow="0" w:firstColumn="0" w:lastColumn="0" w:noHBand="0" w:noVBand="0"/>
      </w:tblPr>
      <w:tblGrid>
        <w:gridCol w:w="988"/>
        <w:gridCol w:w="2409"/>
        <w:gridCol w:w="1560"/>
        <w:gridCol w:w="1275"/>
        <w:gridCol w:w="1134"/>
        <w:gridCol w:w="851"/>
        <w:gridCol w:w="992"/>
      </w:tblGrid>
      <w:tr w:rsidR="004E5B84" w:rsidRPr="00793A55" w14:paraId="770FE391" w14:textId="77777777" w:rsidTr="00793A55">
        <w:trPr>
          <w:trHeight w:val="20"/>
        </w:trPr>
        <w:tc>
          <w:tcPr>
            <w:tcW w:w="9209" w:type="dxa"/>
            <w:gridSpan w:val="7"/>
          </w:tcPr>
          <w:p w14:paraId="086A74CF" w14:textId="2D2AE788" w:rsidR="004E5B84" w:rsidRPr="00962CCF" w:rsidRDefault="004E5B84" w:rsidP="00B43184">
            <w:pPr>
              <w:keepNext/>
              <w:ind w:left="-57"/>
              <w:rPr>
                <w:rFonts w:ascii="Arial Narrow" w:hAnsi="Arial Narrow"/>
                <w:b/>
                <w:sz w:val="18"/>
                <w:szCs w:val="18"/>
              </w:rPr>
            </w:pPr>
            <w:bookmarkStart w:id="127" w:name="_Hlk140157560"/>
            <w:r w:rsidRPr="00962CCF">
              <w:rPr>
                <w:rFonts w:ascii="Arial Narrow" w:hAnsi="Arial Narrow"/>
                <w:b/>
                <w:sz w:val="18"/>
                <w:szCs w:val="18"/>
              </w:rPr>
              <w:t>Category / Program:</w:t>
            </w:r>
            <w:r w:rsidR="000C52FF" w:rsidRPr="00962CCF">
              <w:rPr>
                <w:rFonts w:ascii="Arial Narrow" w:hAnsi="Arial Narrow"/>
                <w:b/>
                <w:sz w:val="18"/>
                <w:szCs w:val="18"/>
              </w:rPr>
              <w:t xml:space="preserve"> </w:t>
            </w:r>
            <w:r w:rsidRPr="00962CCF">
              <w:rPr>
                <w:rFonts w:ascii="Arial Narrow" w:hAnsi="Arial Narrow"/>
                <w:b/>
                <w:sz w:val="18"/>
                <w:szCs w:val="18"/>
              </w:rPr>
              <w:t xml:space="preserve"> </w:t>
            </w:r>
            <w:r w:rsidRPr="00962CCF">
              <w:rPr>
                <w:rFonts w:ascii="Arial Narrow" w:hAnsi="Arial Narrow"/>
                <w:sz w:val="18"/>
                <w:szCs w:val="18"/>
              </w:rPr>
              <w:t>GENERAL – General Schedule (Code GE)</w:t>
            </w:r>
          </w:p>
        </w:tc>
      </w:tr>
      <w:tr w:rsidR="004E5B84" w:rsidRPr="00793A55" w14:paraId="3735627A" w14:textId="77777777" w:rsidTr="00793A55">
        <w:trPr>
          <w:trHeight w:val="20"/>
        </w:trPr>
        <w:tc>
          <w:tcPr>
            <w:tcW w:w="3397" w:type="dxa"/>
            <w:gridSpan w:val="2"/>
          </w:tcPr>
          <w:p w14:paraId="379A1E9F" w14:textId="77777777" w:rsidR="004E5B84" w:rsidRPr="00962CCF" w:rsidRDefault="004E5B84" w:rsidP="00B43184">
            <w:pPr>
              <w:keepNext/>
              <w:ind w:left="-57"/>
              <w:rPr>
                <w:rFonts w:ascii="Arial Narrow" w:hAnsi="Arial Narrow"/>
                <w:b/>
                <w:bCs/>
                <w:sz w:val="18"/>
                <w:szCs w:val="18"/>
              </w:rPr>
            </w:pPr>
            <w:r w:rsidRPr="00962CCF">
              <w:rPr>
                <w:rFonts w:ascii="Arial Narrow" w:hAnsi="Arial Narrow"/>
                <w:b/>
                <w:bCs/>
                <w:sz w:val="18"/>
                <w:szCs w:val="18"/>
              </w:rPr>
              <w:t>MEDICINAL PRODUCT</w:t>
            </w:r>
          </w:p>
          <w:p w14:paraId="2E9597CC" w14:textId="77777777" w:rsidR="004E5B84" w:rsidRPr="00962CCF" w:rsidRDefault="004E5B84" w:rsidP="00B43184">
            <w:pPr>
              <w:keepNext/>
              <w:ind w:left="-57"/>
              <w:rPr>
                <w:rFonts w:ascii="Arial Narrow" w:hAnsi="Arial Narrow"/>
                <w:b/>
                <w:sz w:val="18"/>
                <w:szCs w:val="18"/>
              </w:rPr>
            </w:pPr>
            <w:r w:rsidRPr="00962CCF">
              <w:rPr>
                <w:rFonts w:ascii="Arial Narrow" w:hAnsi="Arial Narrow"/>
                <w:b/>
                <w:bCs/>
                <w:sz w:val="18"/>
                <w:szCs w:val="18"/>
              </w:rPr>
              <w:t>medicinal product pack</w:t>
            </w:r>
          </w:p>
        </w:tc>
        <w:tc>
          <w:tcPr>
            <w:tcW w:w="1560" w:type="dxa"/>
          </w:tcPr>
          <w:p w14:paraId="3BED4560" w14:textId="77777777" w:rsidR="004E5B84" w:rsidRPr="00962CCF" w:rsidRDefault="004E5B84" w:rsidP="00B43184">
            <w:pPr>
              <w:keepNext/>
              <w:ind w:left="-108"/>
              <w:jc w:val="center"/>
              <w:rPr>
                <w:rFonts w:ascii="Arial Narrow" w:hAnsi="Arial Narrow"/>
                <w:b/>
                <w:sz w:val="18"/>
                <w:szCs w:val="18"/>
              </w:rPr>
            </w:pPr>
            <w:r w:rsidRPr="00962CCF">
              <w:rPr>
                <w:rFonts w:ascii="Arial Narrow" w:hAnsi="Arial Narrow"/>
                <w:b/>
                <w:sz w:val="18"/>
                <w:szCs w:val="18"/>
              </w:rPr>
              <w:t>PBS item code</w:t>
            </w:r>
          </w:p>
        </w:tc>
        <w:tc>
          <w:tcPr>
            <w:tcW w:w="1275" w:type="dxa"/>
          </w:tcPr>
          <w:p w14:paraId="188B4CAB" w14:textId="77777777" w:rsidR="004E5B84" w:rsidRPr="00962CCF" w:rsidRDefault="004E5B84" w:rsidP="00B43184">
            <w:pPr>
              <w:keepNext/>
              <w:ind w:left="-108"/>
              <w:jc w:val="center"/>
              <w:rPr>
                <w:rFonts w:ascii="Arial Narrow" w:hAnsi="Arial Narrow"/>
                <w:b/>
                <w:sz w:val="18"/>
                <w:szCs w:val="18"/>
              </w:rPr>
            </w:pPr>
            <w:r w:rsidRPr="00962CCF">
              <w:rPr>
                <w:rFonts w:ascii="Arial Narrow" w:hAnsi="Arial Narrow"/>
                <w:b/>
                <w:sz w:val="18"/>
                <w:szCs w:val="18"/>
              </w:rPr>
              <w:t>Max. qty packs</w:t>
            </w:r>
          </w:p>
        </w:tc>
        <w:tc>
          <w:tcPr>
            <w:tcW w:w="1134" w:type="dxa"/>
          </w:tcPr>
          <w:p w14:paraId="3308F8F7" w14:textId="77777777" w:rsidR="004E5B84" w:rsidRPr="00962CCF" w:rsidRDefault="004E5B84" w:rsidP="00B43184">
            <w:pPr>
              <w:keepNext/>
              <w:ind w:left="-108"/>
              <w:jc w:val="center"/>
              <w:rPr>
                <w:rFonts w:ascii="Arial Narrow" w:hAnsi="Arial Narrow"/>
                <w:b/>
                <w:sz w:val="18"/>
                <w:szCs w:val="18"/>
              </w:rPr>
            </w:pPr>
            <w:r w:rsidRPr="00962CCF">
              <w:rPr>
                <w:rFonts w:ascii="Arial Narrow" w:hAnsi="Arial Narrow"/>
                <w:b/>
                <w:sz w:val="18"/>
                <w:szCs w:val="18"/>
              </w:rPr>
              <w:t>Max. qty units</w:t>
            </w:r>
          </w:p>
        </w:tc>
        <w:tc>
          <w:tcPr>
            <w:tcW w:w="851" w:type="dxa"/>
          </w:tcPr>
          <w:p w14:paraId="7A43E216" w14:textId="77777777" w:rsidR="004E5B84" w:rsidRPr="00962CCF" w:rsidRDefault="004E5B84" w:rsidP="00B43184">
            <w:pPr>
              <w:keepNext/>
              <w:ind w:left="-108"/>
              <w:jc w:val="center"/>
              <w:rPr>
                <w:rFonts w:ascii="Arial Narrow" w:hAnsi="Arial Narrow"/>
                <w:b/>
                <w:sz w:val="18"/>
                <w:szCs w:val="18"/>
              </w:rPr>
            </w:pPr>
            <w:proofErr w:type="gramStart"/>
            <w:r w:rsidRPr="00962CCF">
              <w:rPr>
                <w:rFonts w:ascii="Arial Narrow" w:hAnsi="Arial Narrow"/>
                <w:b/>
                <w:sz w:val="18"/>
                <w:szCs w:val="18"/>
              </w:rPr>
              <w:t>№.of</w:t>
            </w:r>
            <w:proofErr w:type="gramEnd"/>
          </w:p>
          <w:p w14:paraId="19455557" w14:textId="77777777" w:rsidR="004E5B84" w:rsidRPr="00962CCF" w:rsidRDefault="004E5B84" w:rsidP="00B43184">
            <w:pPr>
              <w:keepNext/>
              <w:ind w:left="-108"/>
              <w:jc w:val="center"/>
              <w:rPr>
                <w:rFonts w:ascii="Arial Narrow" w:hAnsi="Arial Narrow"/>
                <w:b/>
                <w:sz w:val="18"/>
                <w:szCs w:val="18"/>
              </w:rPr>
            </w:pPr>
            <w:r w:rsidRPr="00962CCF">
              <w:rPr>
                <w:rFonts w:ascii="Arial Narrow" w:hAnsi="Arial Narrow"/>
                <w:b/>
                <w:sz w:val="18"/>
                <w:szCs w:val="18"/>
              </w:rPr>
              <w:t>Rpts</w:t>
            </w:r>
          </w:p>
        </w:tc>
        <w:tc>
          <w:tcPr>
            <w:tcW w:w="992" w:type="dxa"/>
          </w:tcPr>
          <w:p w14:paraId="13E79B16" w14:textId="77777777" w:rsidR="004E5B84" w:rsidRPr="00962CCF" w:rsidRDefault="004E5B84" w:rsidP="00B43184">
            <w:pPr>
              <w:keepNext/>
              <w:rPr>
                <w:rFonts w:ascii="Arial Narrow" w:hAnsi="Arial Narrow"/>
                <w:b/>
                <w:sz w:val="18"/>
                <w:szCs w:val="18"/>
                <w:lang w:val="fr-FR"/>
              </w:rPr>
            </w:pPr>
            <w:r w:rsidRPr="00962CCF">
              <w:rPr>
                <w:rFonts w:ascii="Arial Narrow" w:hAnsi="Arial Narrow"/>
                <w:b/>
                <w:sz w:val="18"/>
                <w:szCs w:val="18"/>
              </w:rPr>
              <w:t>Available brands</w:t>
            </w:r>
          </w:p>
        </w:tc>
      </w:tr>
      <w:tr w:rsidR="004E5B84" w:rsidRPr="00793A55" w14:paraId="709631E6" w14:textId="77777777" w:rsidTr="00793A55">
        <w:trPr>
          <w:trHeight w:val="20"/>
        </w:trPr>
        <w:tc>
          <w:tcPr>
            <w:tcW w:w="9209" w:type="dxa"/>
            <w:gridSpan w:val="7"/>
          </w:tcPr>
          <w:p w14:paraId="160FA0BD" w14:textId="7ED41242" w:rsidR="004E5B84" w:rsidRPr="00962CCF" w:rsidRDefault="004E5B84" w:rsidP="00B43184">
            <w:pPr>
              <w:keepNext/>
              <w:ind w:left="-57"/>
              <w:rPr>
                <w:rFonts w:ascii="Arial Narrow" w:hAnsi="Arial Narrow"/>
                <w:sz w:val="18"/>
                <w:szCs w:val="18"/>
              </w:rPr>
            </w:pPr>
            <w:r w:rsidRPr="00962CCF">
              <w:rPr>
                <w:rFonts w:ascii="Arial Narrow" w:hAnsi="Arial Narrow"/>
                <w:sz w:val="18"/>
                <w:szCs w:val="18"/>
              </w:rPr>
              <w:t>UPADACITINIB</w:t>
            </w:r>
            <w:r w:rsidR="000C52FF" w:rsidRPr="00962CCF">
              <w:rPr>
                <w:rFonts w:ascii="Arial Narrow" w:hAnsi="Arial Narrow"/>
                <w:sz w:val="18"/>
                <w:szCs w:val="18"/>
              </w:rPr>
              <w:t xml:space="preserve"> </w:t>
            </w:r>
          </w:p>
        </w:tc>
      </w:tr>
      <w:tr w:rsidR="004E5B84" w:rsidRPr="00793A55" w14:paraId="5B2B470D" w14:textId="77777777" w:rsidTr="00793A55">
        <w:trPr>
          <w:trHeight w:val="20"/>
        </w:trPr>
        <w:tc>
          <w:tcPr>
            <w:tcW w:w="3397" w:type="dxa"/>
            <w:gridSpan w:val="2"/>
          </w:tcPr>
          <w:p w14:paraId="4D052A15" w14:textId="77777777" w:rsidR="004E5B84" w:rsidRPr="00962CCF" w:rsidRDefault="004E5B84" w:rsidP="00B43184">
            <w:pPr>
              <w:keepNext/>
              <w:ind w:left="-57"/>
              <w:rPr>
                <w:rFonts w:ascii="Arial Narrow" w:hAnsi="Arial Narrow"/>
                <w:sz w:val="18"/>
                <w:szCs w:val="18"/>
              </w:rPr>
            </w:pPr>
            <w:r w:rsidRPr="00962CCF">
              <w:rPr>
                <w:rFonts w:ascii="Arial Narrow" w:hAnsi="Arial Narrow"/>
                <w:sz w:val="18"/>
                <w:szCs w:val="18"/>
              </w:rPr>
              <w:t xml:space="preserve">upadactinib 30 mg modified release tablet, 28 </w:t>
            </w:r>
          </w:p>
        </w:tc>
        <w:tc>
          <w:tcPr>
            <w:tcW w:w="1560" w:type="dxa"/>
          </w:tcPr>
          <w:p w14:paraId="5A2C4643" w14:textId="77777777" w:rsidR="004E5B84" w:rsidRPr="00962CCF" w:rsidRDefault="004E5B84" w:rsidP="00B43184">
            <w:pPr>
              <w:keepNext/>
              <w:jc w:val="center"/>
              <w:rPr>
                <w:rFonts w:ascii="Arial Narrow" w:hAnsi="Arial Narrow"/>
                <w:sz w:val="18"/>
                <w:szCs w:val="18"/>
              </w:rPr>
            </w:pPr>
            <w:r w:rsidRPr="00962CCF">
              <w:rPr>
                <w:rFonts w:ascii="Arial Narrow" w:hAnsi="Arial Narrow"/>
                <w:sz w:val="18"/>
                <w:szCs w:val="18"/>
              </w:rPr>
              <w:t>NEW</w:t>
            </w:r>
          </w:p>
          <w:p w14:paraId="6F9061FC" w14:textId="77777777" w:rsidR="004E5B84" w:rsidRPr="00962CCF" w:rsidRDefault="004E5B84" w:rsidP="00B43184">
            <w:pPr>
              <w:keepNext/>
              <w:jc w:val="center"/>
              <w:rPr>
                <w:rFonts w:ascii="Arial Narrow" w:hAnsi="Arial Narrow"/>
                <w:sz w:val="18"/>
                <w:szCs w:val="18"/>
                <w:vertAlign w:val="subscript"/>
              </w:rPr>
            </w:pPr>
            <w:r w:rsidRPr="00962CCF">
              <w:rPr>
                <w:rFonts w:ascii="Arial Narrow" w:hAnsi="Arial Narrow"/>
                <w:sz w:val="18"/>
                <w:szCs w:val="18"/>
                <w:vertAlign w:val="subscript"/>
              </w:rPr>
              <w:t>MP</w:t>
            </w:r>
          </w:p>
        </w:tc>
        <w:tc>
          <w:tcPr>
            <w:tcW w:w="1275" w:type="dxa"/>
          </w:tcPr>
          <w:p w14:paraId="110C0519" w14:textId="77777777" w:rsidR="004E5B84" w:rsidRPr="00962CCF" w:rsidRDefault="004E5B84" w:rsidP="00B43184">
            <w:pPr>
              <w:keepNext/>
              <w:jc w:val="center"/>
              <w:rPr>
                <w:rFonts w:ascii="Arial Narrow" w:hAnsi="Arial Narrow"/>
                <w:sz w:val="18"/>
                <w:szCs w:val="18"/>
              </w:rPr>
            </w:pPr>
            <w:r w:rsidRPr="00962CCF">
              <w:rPr>
                <w:rFonts w:ascii="Arial Narrow" w:hAnsi="Arial Narrow"/>
                <w:sz w:val="18"/>
                <w:szCs w:val="18"/>
              </w:rPr>
              <w:t>1</w:t>
            </w:r>
          </w:p>
        </w:tc>
        <w:tc>
          <w:tcPr>
            <w:tcW w:w="1134" w:type="dxa"/>
          </w:tcPr>
          <w:p w14:paraId="152C5000" w14:textId="77777777" w:rsidR="004E5B84" w:rsidRPr="00962CCF" w:rsidRDefault="004E5B84" w:rsidP="00B43184">
            <w:pPr>
              <w:keepNext/>
              <w:jc w:val="center"/>
              <w:rPr>
                <w:rFonts w:ascii="Arial Narrow" w:hAnsi="Arial Narrow"/>
                <w:sz w:val="18"/>
                <w:szCs w:val="18"/>
              </w:rPr>
            </w:pPr>
            <w:r w:rsidRPr="00962CCF">
              <w:rPr>
                <w:rFonts w:ascii="Arial Narrow" w:hAnsi="Arial Narrow"/>
                <w:sz w:val="18"/>
                <w:szCs w:val="18"/>
              </w:rPr>
              <w:t>28</w:t>
            </w:r>
          </w:p>
        </w:tc>
        <w:tc>
          <w:tcPr>
            <w:tcW w:w="851" w:type="dxa"/>
          </w:tcPr>
          <w:p w14:paraId="6005C127" w14:textId="77777777" w:rsidR="004E5B84" w:rsidRPr="00962CCF" w:rsidRDefault="004E5B84" w:rsidP="00B43184">
            <w:pPr>
              <w:keepNext/>
              <w:jc w:val="center"/>
              <w:rPr>
                <w:rFonts w:ascii="Arial Narrow" w:hAnsi="Arial Narrow"/>
                <w:sz w:val="18"/>
                <w:szCs w:val="18"/>
              </w:rPr>
            </w:pPr>
            <w:r w:rsidRPr="00962CCF">
              <w:rPr>
                <w:rFonts w:ascii="Arial Narrow" w:hAnsi="Arial Narrow"/>
                <w:sz w:val="18"/>
                <w:szCs w:val="18"/>
              </w:rPr>
              <w:t>2</w:t>
            </w:r>
          </w:p>
        </w:tc>
        <w:tc>
          <w:tcPr>
            <w:tcW w:w="992" w:type="dxa"/>
          </w:tcPr>
          <w:p w14:paraId="57CFD500" w14:textId="77777777" w:rsidR="004E5B84" w:rsidRPr="00962CCF" w:rsidRDefault="004E5B84" w:rsidP="00B43184">
            <w:pPr>
              <w:keepNext/>
              <w:rPr>
                <w:rFonts w:ascii="Arial Narrow" w:hAnsi="Arial Narrow"/>
                <w:sz w:val="18"/>
                <w:szCs w:val="18"/>
              </w:rPr>
            </w:pPr>
            <w:r w:rsidRPr="00962CCF">
              <w:rPr>
                <w:rFonts w:ascii="Arial Narrow" w:hAnsi="Arial Narrow"/>
                <w:sz w:val="18"/>
                <w:szCs w:val="18"/>
              </w:rPr>
              <w:t xml:space="preserve">Rinvoq </w:t>
            </w:r>
          </w:p>
        </w:tc>
      </w:tr>
      <w:tr w:rsidR="004E5B84" w:rsidRPr="00793A55" w14:paraId="2574E6DD" w14:textId="77777777" w:rsidTr="00793A55">
        <w:trPr>
          <w:trHeight w:val="20"/>
        </w:trPr>
        <w:tc>
          <w:tcPr>
            <w:tcW w:w="9209" w:type="dxa"/>
            <w:gridSpan w:val="7"/>
          </w:tcPr>
          <w:p w14:paraId="2651A6B3" w14:textId="77777777" w:rsidR="004E5B84" w:rsidRPr="00962CCF" w:rsidRDefault="004E5B84" w:rsidP="00B43184">
            <w:pPr>
              <w:keepNext/>
              <w:jc w:val="right"/>
              <w:rPr>
                <w:rFonts w:ascii="Arial Narrow" w:hAnsi="Arial Narrow"/>
                <w:sz w:val="18"/>
                <w:szCs w:val="18"/>
              </w:rPr>
            </w:pPr>
            <w:r w:rsidRPr="00962CCF">
              <w:rPr>
                <w:rFonts w:ascii="Arial Narrow" w:hAnsi="Arial Narrow"/>
                <w:sz w:val="18"/>
                <w:szCs w:val="18"/>
              </w:rPr>
              <w:t>Safety Net Rule Penalty Applies: Yes</w:t>
            </w:r>
          </w:p>
        </w:tc>
      </w:tr>
      <w:tr w:rsidR="004E5B84" w:rsidRPr="00793A55" w14:paraId="1A14FA60" w14:textId="77777777" w:rsidTr="00793A55">
        <w:trPr>
          <w:trHeight w:val="20"/>
        </w:trPr>
        <w:tc>
          <w:tcPr>
            <w:tcW w:w="9209" w:type="dxa"/>
            <w:gridSpan w:val="7"/>
          </w:tcPr>
          <w:p w14:paraId="10C96ADA" w14:textId="77777777" w:rsidR="004E5B84" w:rsidRPr="00962CCF" w:rsidRDefault="004E5B84" w:rsidP="00B43184">
            <w:pPr>
              <w:keepNext/>
              <w:rPr>
                <w:rFonts w:ascii="Arial Narrow" w:hAnsi="Arial Narrow"/>
                <w:sz w:val="18"/>
                <w:szCs w:val="18"/>
              </w:rPr>
            </w:pPr>
          </w:p>
        </w:tc>
      </w:tr>
      <w:tr w:rsidR="004E5B84" w:rsidRPr="00793A55" w14:paraId="511F7482" w14:textId="77777777" w:rsidTr="00793A55">
        <w:tblPrEx>
          <w:tblLook w:val="04A0" w:firstRow="1" w:lastRow="0" w:firstColumn="1" w:lastColumn="0" w:noHBand="0" w:noVBand="1"/>
        </w:tblPrEx>
        <w:trPr>
          <w:trHeight w:val="20"/>
        </w:trPr>
        <w:tc>
          <w:tcPr>
            <w:tcW w:w="9209" w:type="dxa"/>
            <w:gridSpan w:val="7"/>
          </w:tcPr>
          <w:p w14:paraId="31D5EBCC" w14:textId="4A992F61" w:rsidR="004E5B84" w:rsidRPr="00962CCF" w:rsidRDefault="004E5B84" w:rsidP="00B43184">
            <w:pPr>
              <w:ind w:left="-57"/>
              <w:rPr>
                <w:rFonts w:ascii="Arial Narrow" w:hAnsi="Arial Narrow"/>
                <w:b/>
                <w:sz w:val="18"/>
                <w:szCs w:val="18"/>
              </w:rPr>
            </w:pPr>
            <w:r w:rsidRPr="00962CCF">
              <w:rPr>
                <w:rFonts w:ascii="Arial Narrow" w:hAnsi="Arial Narrow"/>
                <w:b/>
                <w:sz w:val="18"/>
                <w:szCs w:val="18"/>
              </w:rPr>
              <w:t>Restriction Summary / Treatment of Concept</w:t>
            </w:r>
            <w:proofErr w:type="gramStart"/>
            <w:r w:rsidRPr="00962CCF">
              <w:rPr>
                <w:rFonts w:ascii="Arial Narrow" w:hAnsi="Arial Narrow"/>
                <w:b/>
                <w:sz w:val="18"/>
                <w:szCs w:val="18"/>
              </w:rPr>
              <w:t>: :</w:t>
            </w:r>
            <w:proofErr w:type="gramEnd"/>
            <w:r w:rsidRPr="00962CCF">
              <w:rPr>
                <w:rFonts w:ascii="Arial Narrow" w:hAnsi="Arial Narrow"/>
                <w:b/>
                <w:sz w:val="18"/>
                <w:szCs w:val="18"/>
              </w:rPr>
              <w:t xml:space="preserve"> Authority Required</w:t>
            </w:r>
            <w:r w:rsidRPr="00962CCF">
              <w:rPr>
                <w:rFonts w:ascii="Arial Narrow" w:hAnsi="Arial Narrow"/>
                <w:bCs/>
                <w:sz w:val="18"/>
                <w:szCs w:val="18"/>
              </w:rPr>
              <w:t xml:space="preserve"> </w:t>
            </w:r>
          </w:p>
          <w:p w14:paraId="76C3D06A"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4ED897E9" w14:textId="77777777" w:rsidTr="00962CCF">
        <w:tblPrEx>
          <w:tblLook w:val="04A0" w:firstRow="1" w:lastRow="0" w:firstColumn="1" w:lastColumn="0" w:noHBand="0" w:noVBand="1"/>
        </w:tblPrEx>
        <w:trPr>
          <w:trHeight w:val="20"/>
        </w:trPr>
        <w:tc>
          <w:tcPr>
            <w:tcW w:w="988" w:type="dxa"/>
          </w:tcPr>
          <w:p w14:paraId="3EC57EC3" w14:textId="71BB8A28" w:rsidR="004E5B84" w:rsidRPr="00962CCF" w:rsidRDefault="004E5B84" w:rsidP="00B43184">
            <w:pPr>
              <w:jc w:val="center"/>
              <w:textAlignment w:val="baseline"/>
              <w:rPr>
                <w:rFonts w:ascii="Arial Narrow" w:hAnsi="Arial Narrow" w:cs="Open Sans"/>
                <w:color w:val="333333"/>
                <w:sz w:val="18"/>
                <w:szCs w:val="18"/>
              </w:rPr>
            </w:pPr>
          </w:p>
        </w:tc>
        <w:tc>
          <w:tcPr>
            <w:tcW w:w="8221" w:type="dxa"/>
            <w:gridSpan w:val="6"/>
            <w:hideMark/>
          </w:tcPr>
          <w:p w14:paraId="399CC905"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 xml:space="preserve">Indication: </w:t>
            </w:r>
            <w:r w:rsidRPr="00962CCF">
              <w:rPr>
                <w:rFonts w:ascii="Arial Narrow" w:hAnsi="Arial Narrow" w:cs="Open Sans"/>
                <w:color w:val="333333"/>
                <w:sz w:val="18"/>
                <w:szCs w:val="18"/>
              </w:rPr>
              <w:t>Severe Crohn disease</w:t>
            </w:r>
          </w:p>
        </w:tc>
      </w:tr>
      <w:tr w:rsidR="004E5B84" w:rsidRPr="00793A55" w14:paraId="17FF62A3" w14:textId="77777777" w:rsidTr="00793A55">
        <w:tblPrEx>
          <w:tblLook w:val="04A0" w:firstRow="1" w:lastRow="0" w:firstColumn="1" w:lastColumn="0" w:noHBand="0" w:noVBand="1"/>
        </w:tblPrEx>
        <w:trPr>
          <w:trHeight w:val="20"/>
        </w:trPr>
        <w:tc>
          <w:tcPr>
            <w:tcW w:w="988" w:type="dxa"/>
          </w:tcPr>
          <w:p w14:paraId="6648B057" w14:textId="77777777" w:rsidR="004E5B84" w:rsidRPr="00962CCF" w:rsidRDefault="004E5B84" w:rsidP="00B43184">
            <w:pPr>
              <w:jc w:val="center"/>
              <w:textAlignment w:val="baseline"/>
              <w:rPr>
                <w:rFonts w:ascii="Arial Narrow" w:hAnsi="Arial Narrow" w:cs="Open Sans"/>
                <w:color w:val="333333"/>
                <w:sz w:val="18"/>
                <w:szCs w:val="18"/>
              </w:rPr>
            </w:pPr>
          </w:p>
        </w:tc>
        <w:tc>
          <w:tcPr>
            <w:tcW w:w="8221" w:type="dxa"/>
            <w:gridSpan w:val="6"/>
          </w:tcPr>
          <w:p w14:paraId="0DA1ECA0"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67DF78C0" w14:textId="77777777" w:rsidTr="00962CCF">
        <w:tblPrEx>
          <w:tblLook w:val="04A0" w:firstRow="1" w:lastRow="0" w:firstColumn="1" w:lastColumn="0" w:noHBand="0" w:noVBand="1"/>
        </w:tblPrEx>
        <w:trPr>
          <w:trHeight w:val="20"/>
        </w:trPr>
        <w:tc>
          <w:tcPr>
            <w:tcW w:w="988" w:type="dxa"/>
          </w:tcPr>
          <w:p w14:paraId="3B77B6A5" w14:textId="77777777" w:rsidR="004E5B84" w:rsidRPr="00962CCF" w:rsidRDefault="004E5B84" w:rsidP="00B43184">
            <w:pPr>
              <w:jc w:val="center"/>
              <w:rPr>
                <w:rFonts w:ascii="Arial Narrow" w:hAnsi="Arial Narrow" w:cs="Open Sans"/>
                <w:color w:val="333333"/>
                <w:sz w:val="18"/>
                <w:szCs w:val="18"/>
              </w:rPr>
            </w:pPr>
          </w:p>
        </w:tc>
        <w:tc>
          <w:tcPr>
            <w:tcW w:w="8221" w:type="dxa"/>
            <w:gridSpan w:val="6"/>
            <w:hideMark/>
          </w:tcPr>
          <w:p w14:paraId="7AA6B0F4"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 xml:space="preserve">Treatment Phase: </w:t>
            </w:r>
            <w:r w:rsidRPr="00962CCF">
              <w:rPr>
                <w:rFonts w:ascii="Arial Narrow" w:hAnsi="Arial Narrow" w:cs="Open Sans"/>
                <w:color w:val="333333"/>
                <w:sz w:val="18"/>
                <w:szCs w:val="18"/>
              </w:rPr>
              <w:t xml:space="preserve">Extended induction period (optional) from weeks 12 to 24 </w:t>
            </w:r>
          </w:p>
        </w:tc>
      </w:tr>
      <w:tr w:rsidR="004E5B84" w:rsidRPr="00793A55" w14:paraId="565013D0" w14:textId="77777777" w:rsidTr="00793A55">
        <w:tblPrEx>
          <w:tblLook w:val="04A0" w:firstRow="1" w:lastRow="0" w:firstColumn="1" w:lastColumn="0" w:noHBand="0" w:noVBand="1"/>
        </w:tblPrEx>
        <w:trPr>
          <w:trHeight w:val="20"/>
        </w:trPr>
        <w:tc>
          <w:tcPr>
            <w:tcW w:w="988" w:type="dxa"/>
          </w:tcPr>
          <w:p w14:paraId="03283E30" w14:textId="77777777" w:rsidR="004E5B84" w:rsidRPr="00962CCF" w:rsidRDefault="004E5B84" w:rsidP="00B43184">
            <w:pPr>
              <w:jc w:val="center"/>
              <w:rPr>
                <w:rFonts w:ascii="Arial Narrow" w:hAnsi="Arial Narrow" w:cs="Open Sans"/>
                <w:color w:val="333333"/>
                <w:sz w:val="18"/>
                <w:szCs w:val="18"/>
              </w:rPr>
            </w:pPr>
          </w:p>
        </w:tc>
        <w:tc>
          <w:tcPr>
            <w:tcW w:w="8221" w:type="dxa"/>
            <w:gridSpan w:val="6"/>
          </w:tcPr>
          <w:p w14:paraId="39E66226"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793A55" w14:paraId="13A44C00" w14:textId="77777777" w:rsidTr="00962CCF">
        <w:tblPrEx>
          <w:tblLook w:val="04A0" w:firstRow="1" w:lastRow="0" w:firstColumn="1" w:lastColumn="0" w:noHBand="0" w:noVBand="1"/>
        </w:tblPrEx>
        <w:trPr>
          <w:trHeight w:val="20"/>
        </w:trPr>
        <w:tc>
          <w:tcPr>
            <w:tcW w:w="988" w:type="dxa"/>
          </w:tcPr>
          <w:p w14:paraId="5914F265" w14:textId="42B00C47" w:rsidR="004E5B84" w:rsidRPr="00962CCF" w:rsidRDefault="004E5B84" w:rsidP="00B43184">
            <w:pPr>
              <w:jc w:val="center"/>
              <w:textAlignment w:val="baseline"/>
              <w:rPr>
                <w:rFonts w:ascii="Arial Narrow" w:hAnsi="Arial Narrow" w:cs="Open Sans"/>
                <w:color w:val="333333"/>
                <w:sz w:val="18"/>
                <w:szCs w:val="18"/>
              </w:rPr>
            </w:pPr>
          </w:p>
        </w:tc>
        <w:tc>
          <w:tcPr>
            <w:tcW w:w="8221" w:type="dxa"/>
            <w:gridSpan w:val="6"/>
            <w:hideMark/>
          </w:tcPr>
          <w:p w14:paraId="13A3F2BF"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Treatment criteria:</w:t>
            </w:r>
          </w:p>
        </w:tc>
      </w:tr>
      <w:tr w:rsidR="004E5B84" w:rsidRPr="00793A55" w14:paraId="284D5CE1" w14:textId="77777777" w:rsidTr="00962CCF">
        <w:tblPrEx>
          <w:tblLook w:val="04A0" w:firstRow="1" w:lastRow="0" w:firstColumn="1" w:lastColumn="0" w:noHBand="0" w:noVBand="1"/>
        </w:tblPrEx>
        <w:trPr>
          <w:trHeight w:val="20"/>
        </w:trPr>
        <w:tc>
          <w:tcPr>
            <w:tcW w:w="988" w:type="dxa"/>
          </w:tcPr>
          <w:p w14:paraId="210461D6" w14:textId="76D3E16C" w:rsidR="004E5B84" w:rsidRPr="00962CCF" w:rsidRDefault="004E5B84" w:rsidP="00B43184">
            <w:pPr>
              <w:jc w:val="center"/>
              <w:textAlignment w:val="baseline"/>
              <w:rPr>
                <w:rFonts w:ascii="Arial Narrow" w:hAnsi="Arial Narrow" w:cs="Open Sans"/>
                <w:color w:val="333333"/>
                <w:sz w:val="18"/>
                <w:szCs w:val="18"/>
              </w:rPr>
            </w:pPr>
          </w:p>
        </w:tc>
        <w:tc>
          <w:tcPr>
            <w:tcW w:w="8221" w:type="dxa"/>
            <w:gridSpan w:val="6"/>
            <w:hideMark/>
          </w:tcPr>
          <w:p w14:paraId="402A0D4F"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gastroenterologist (code 87); or</w:t>
            </w:r>
          </w:p>
        </w:tc>
      </w:tr>
      <w:tr w:rsidR="004E5B84" w:rsidRPr="00793A55" w14:paraId="61812907" w14:textId="77777777" w:rsidTr="00962CCF">
        <w:tblPrEx>
          <w:tblLook w:val="04A0" w:firstRow="1" w:lastRow="0" w:firstColumn="1" w:lastColumn="0" w:noHBand="0" w:noVBand="1"/>
        </w:tblPrEx>
        <w:trPr>
          <w:trHeight w:val="20"/>
        </w:trPr>
        <w:tc>
          <w:tcPr>
            <w:tcW w:w="988" w:type="dxa"/>
          </w:tcPr>
          <w:p w14:paraId="3AF0DAA9" w14:textId="397BE013" w:rsidR="004E5B84" w:rsidRPr="00962CCF" w:rsidRDefault="004E5B84" w:rsidP="00B43184">
            <w:pPr>
              <w:jc w:val="center"/>
              <w:textAlignment w:val="baseline"/>
              <w:rPr>
                <w:rFonts w:ascii="Arial Narrow" w:hAnsi="Arial Narrow" w:cs="Open Sans"/>
                <w:color w:val="333333"/>
                <w:sz w:val="18"/>
                <w:szCs w:val="18"/>
              </w:rPr>
            </w:pPr>
          </w:p>
        </w:tc>
        <w:tc>
          <w:tcPr>
            <w:tcW w:w="8221" w:type="dxa"/>
            <w:gridSpan w:val="6"/>
            <w:hideMark/>
          </w:tcPr>
          <w:p w14:paraId="450164B4"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[internal medicine specialising in gastroenterology (code 81)]; or</w:t>
            </w:r>
          </w:p>
        </w:tc>
      </w:tr>
      <w:tr w:rsidR="004E5B84" w:rsidRPr="00793A55" w14:paraId="0D219C9F" w14:textId="77777777" w:rsidTr="00962CCF">
        <w:tblPrEx>
          <w:tblLook w:val="04A0" w:firstRow="1" w:lastRow="0" w:firstColumn="1" w:lastColumn="0" w:noHBand="0" w:noVBand="1"/>
        </w:tblPrEx>
        <w:trPr>
          <w:trHeight w:val="20"/>
        </w:trPr>
        <w:tc>
          <w:tcPr>
            <w:tcW w:w="988" w:type="dxa"/>
          </w:tcPr>
          <w:p w14:paraId="330FD101" w14:textId="60500BD9" w:rsidR="004E5B84" w:rsidRPr="00962CCF" w:rsidRDefault="004E5B84" w:rsidP="00B43184">
            <w:pPr>
              <w:jc w:val="center"/>
              <w:textAlignment w:val="baseline"/>
              <w:rPr>
                <w:rFonts w:ascii="Arial Narrow" w:hAnsi="Arial Narrow" w:cs="Open Sans"/>
                <w:color w:val="333333"/>
                <w:sz w:val="18"/>
                <w:szCs w:val="18"/>
              </w:rPr>
            </w:pPr>
          </w:p>
        </w:tc>
        <w:tc>
          <w:tcPr>
            <w:tcW w:w="8221" w:type="dxa"/>
            <w:gridSpan w:val="6"/>
            <w:hideMark/>
          </w:tcPr>
          <w:p w14:paraId="00D1D694"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[general medicine specialising in gastroenterology (code 82)]</w:t>
            </w:r>
          </w:p>
        </w:tc>
      </w:tr>
      <w:tr w:rsidR="004E5B84" w:rsidRPr="00793A55" w14:paraId="12A20CD4" w14:textId="77777777" w:rsidTr="00793A55">
        <w:tblPrEx>
          <w:tblLook w:val="04A0" w:firstRow="1" w:lastRow="0" w:firstColumn="1" w:lastColumn="0" w:noHBand="0" w:noVBand="1"/>
        </w:tblPrEx>
        <w:trPr>
          <w:trHeight w:val="20"/>
        </w:trPr>
        <w:tc>
          <w:tcPr>
            <w:tcW w:w="988" w:type="dxa"/>
          </w:tcPr>
          <w:p w14:paraId="5D8243B9" w14:textId="77777777" w:rsidR="004E5B84" w:rsidRPr="00962CCF" w:rsidRDefault="004E5B84" w:rsidP="00B43184">
            <w:pPr>
              <w:jc w:val="center"/>
              <w:textAlignment w:val="baseline"/>
              <w:rPr>
                <w:rFonts w:ascii="Arial Narrow" w:hAnsi="Arial Narrow" w:cs="Open Sans"/>
                <w:color w:val="333333"/>
                <w:sz w:val="18"/>
                <w:szCs w:val="18"/>
              </w:rPr>
            </w:pPr>
          </w:p>
        </w:tc>
        <w:tc>
          <w:tcPr>
            <w:tcW w:w="8221" w:type="dxa"/>
            <w:gridSpan w:val="6"/>
          </w:tcPr>
          <w:p w14:paraId="696CEBE1" w14:textId="77777777" w:rsidR="004E5B84" w:rsidRPr="00962CCF" w:rsidRDefault="004E5B84" w:rsidP="00B43184">
            <w:pPr>
              <w:ind w:left="-57"/>
              <w:rPr>
                <w:rFonts w:ascii="Arial Narrow" w:hAnsi="Arial Narrow" w:cs="Open Sans"/>
                <w:color w:val="333333"/>
                <w:sz w:val="18"/>
                <w:szCs w:val="18"/>
              </w:rPr>
            </w:pPr>
          </w:p>
        </w:tc>
      </w:tr>
      <w:tr w:rsidR="004E5B84" w:rsidRPr="00793A55" w14:paraId="4CA8AB15" w14:textId="77777777" w:rsidTr="00962CCF">
        <w:tblPrEx>
          <w:tblLook w:val="04A0" w:firstRow="1" w:lastRow="0" w:firstColumn="1" w:lastColumn="0" w:noHBand="0" w:noVBand="1"/>
        </w:tblPrEx>
        <w:trPr>
          <w:trHeight w:val="20"/>
        </w:trPr>
        <w:tc>
          <w:tcPr>
            <w:tcW w:w="988" w:type="dxa"/>
          </w:tcPr>
          <w:p w14:paraId="6DD2DEAE" w14:textId="79E36097" w:rsidR="004E5B84" w:rsidRPr="00962CCF" w:rsidRDefault="004E5B84" w:rsidP="00B43184">
            <w:pPr>
              <w:jc w:val="center"/>
              <w:textAlignment w:val="baseline"/>
              <w:rPr>
                <w:rFonts w:ascii="Arial Narrow" w:hAnsi="Arial Narrow" w:cs="Open Sans"/>
                <w:color w:val="333333"/>
                <w:sz w:val="18"/>
                <w:szCs w:val="18"/>
              </w:rPr>
            </w:pPr>
          </w:p>
        </w:tc>
        <w:tc>
          <w:tcPr>
            <w:tcW w:w="8221" w:type="dxa"/>
            <w:gridSpan w:val="6"/>
            <w:hideMark/>
          </w:tcPr>
          <w:p w14:paraId="4DB5A5DB"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793A55" w14:paraId="46276169" w14:textId="77777777" w:rsidTr="00793A55">
        <w:tblPrEx>
          <w:tblLook w:val="04A0" w:firstRow="1" w:lastRow="0" w:firstColumn="1" w:lastColumn="0" w:noHBand="0" w:noVBand="1"/>
        </w:tblPrEx>
        <w:trPr>
          <w:trHeight w:val="20"/>
        </w:trPr>
        <w:tc>
          <w:tcPr>
            <w:tcW w:w="988" w:type="dxa"/>
          </w:tcPr>
          <w:p w14:paraId="7DB82D60" w14:textId="22FD7C1D" w:rsidR="004E5B84" w:rsidRPr="00962CCF" w:rsidRDefault="004E5B84" w:rsidP="00B43184">
            <w:pPr>
              <w:jc w:val="center"/>
              <w:textAlignment w:val="baseline"/>
              <w:rPr>
                <w:rFonts w:ascii="Arial Narrow" w:hAnsi="Arial Narrow" w:cs="Open Sans"/>
                <w:color w:val="333333"/>
                <w:sz w:val="18"/>
                <w:szCs w:val="18"/>
              </w:rPr>
            </w:pPr>
          </w:p>
        </w:tc>
        <w:tc>
          <w:tcPr>
            <w:tcW w:w="8221" w:type="dxa"/>
            <w:gridSpan w:val="6"/>
          </w:tcPr>
          <w:p w14:paraId="1DB1B988"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experienced an inadequate therapeutic benefit following at least one of: (i) dosing with 45 mg daily in the initial 12-week induction period, (ii) dosing with 15 mg daily</w:t>
            </w:r>
          </w:p>
        </w:tc>
      </w:tr>
      <w:tr w:rsidR="004E5B84" w:rsidRPr="00793A55" w14:paraId="6F8A9CC1" w14:textId="77777777" w:rsidTr="00793A55">
        <w:tblPrEx>
          <w:tblLook w:val="04A0" w:firstRow="1" w:lastRow="0" w:firstColumn="1" w:lastColumn="0" w:noHBand="0" w:noVBand="1"/>
        </w:tblPrEx>
        <w:trPr>
          <w:trHeight w:val="20"/>
        </w:trPr>
        <w:tc>
          <w:tcPr>
            <w:tcW w:w="988" w:type="dxa"/>
          </w:tcPr>
          <w:p w14:paraId="6FD0CC2A" w14:textId="77777777" w:rsidR="004E5B84" w:rsidRPr="00962CCF" w:rsidRDefault="004E5B84" w:rsidP="00B43184">
            <w:pPr>
              <w:jc w:val="center"/>
              <w:textAlignment w:val="baseline"/>
              <w:rPr>
                <w:rFonts w:ascii="Arial Narrow" w:hAnsi="Arial Narrow" w:cs="Open Sans"/>
                <w:color w:val="333333"/>
                <w:sz w:val="18"/>
                <w:szCs w:val="18"/>
              </w:rPr>
            </w:pPr>
          </w:p>
        </w:tc>
        <w:tc>
          <w:tcPr>
            <w:tcW w:w="8221" w:type="dxa"/>
            <w:gridSpan w:val="6"/>
          </w:tcPr>
          <w:p w14:paraId="38354AFD" w14:textId="77777777" w:rsidR="004E5B84" w:rsidRPr="00962CCF" w:rsidRDefault="004E5B84" w:rsidP="00B43184">
            <w:pPr>
              <w:ind w:left="-57"/>
              <w:rPr>
                <w:rFonts w:ascii="Arial Narrow" w:hAnsi="Arial Narrow" w:cs="Open Sans"/>
                <w:color w:val="333333"/>
                <w:sz w:val="18"/>
                <w:szCs w:val="18"/>
              </w:rPr>
            </w:pPr>
          </w:p>
        </w:tc>
      </w:tr>
      <w:tr w:rsidR="004E5B84" w:rsidRPr="00793A55" w14:paraId="66E09FC2" w14:textId="77777777" w:rsidTr="00793A55">
        <w:tblPrEx>
          <w:tblLook w:val="04A0" w:firstRow="1" w:lastRow="0" w:firstColumn="1" w:lastColumn="0" w:noHBand="0" w:noVBand="1"/>
        </w:tblPrEx>
        <w:trPr>
          <w:trHeight w:val="20"/>
        </w:trPr>
        <w:tc>
          <w:tcPr>
            <w:tcW w:w="988" w:type="dxa"/>
          </w:tcPr>
          <w:p w14:paraId="33AC97F1" w14:textId="718F36BB" w:rsidR="004E5B84" w:rsidRPr="00962CCF" w:rsidRDefault="004E5B84" w:rsidP="00B43184">
            <w:pPr>
              <w:jc w:val="center"/>
              <w:textAlignment w:val="baseline"/>
              <w:rPr>
                <w:rFonts w:ascii="Arial Narrow" w:hAnsi="Arial Narrow" w:cs="Open Sans"/>
                <w:color w:val="333333"/>
                <w:sz w:val="18"/>
                <w:szCs w:val="18"/>
              </w:rPr>
            </w:pPr>
          </w:p>
        </w:tc>
        <w:tc>
          <w:tcPr>
            <w:tcW w:w="8221" w:type="dxa"/>
            <w:gridSpan w:val="6"/>
          </w:tcPr>
          <w:p w14:paraId="7F4DCDE4"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Population criteria:</w:t>
            </w:r>
          </w:p>
        </w:tc>
      </w:tr>
      <w:tr w:rsidR="004E5B84" w:rsidRPr="00793A55" w14:paraId="0BDDA7FC" w14:textId="77777777" w:rsidTr="00793A55">
        <w:tblPrEx>
          <w:tblLook w:val="04A0" w:firstRow="1" w:lastRow="0" w:firstColumn="1" w:lastColumn="0" w:noHBand="0" w:noVBand="1"/>
        </w:tblPrEx>
        <w:trPr>
          <w:trHeight w:val="20"/>
        </w:trPr>
        <w:tc>
          <w:tcPr>
            <w:tcW w:w="988" w:type="dxa"/>
          </w:tcPr>
          <w:p w14:paraId="525DC019" w14:textId="1E3387BE" w:rsidR="004E5B84" w:rsidRPr="00962CCF" w:rsidRDefault="004E5B84" w:rsidP="00B43184">
            <w:pPr>
              <w:jc w:val="center"/>
              <w:textAlignment w:val="baseline"/>
              <w:rPr>
                <w:rFonts w:ascii="Arial Narrow" w:hAnsi="Arial Narrow" w:cs="Open Sans"/>
                <w:color w:val="333333"/>
                <w:sz w:val="18"/>
                <w:szCs w:val="18"/>
              </w:rPr>
            </w:pPr>
          </w:p>
        </w:tc>
        <w:tc>
          <w:tcPr>
            <w:tcW w:w="8221" w:type="dxa"/>
            <w:gridSpan w:val="6"/>
          </w:tcPr>
          <w:p w14:paraId="719F6B20"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be at least 18 years of age</w:t>
            </w:r>
          </w:p>
        </w:tc>
      </w:tr>
      <w:tr w:rsidR="004E5B84" w:rsidRPr="00793A55" w14:paraId="6CA5B3ED" w14:textId="77777777" w:rsidTr="00793A55">
        <w:tblPrEx>
          <w:tblLook w:val="04A0" w:firstRow="1" w:lastRow="0" w:firstColumn="1" w:lastColumn="0" w:noHBand="0" w:noVBand="1"/>
        </w:tblPrEx>
        <w:trPr>
          <w:trHeight w:val="20"/>
        </w:trPr>
        <w:tc>
          <w:tcPr>
            <w:tcW w:w="988" w:type="dxa"/>
          </w:tcPr>
          <w:p w14:paraId="51821DAD" w14:textId="77777777" w:rsidR="004E5B84" w:rsidRPr="00962CCF" w:rsidRDefault="004E5B84" w:rsidP="00B43184">
            <w:pPr>
              <w:jc w:val="center"/>
              <w:textAlignment w:val="baseline"/>
              <w:rPr>
                <w:rFonts w:ascii="Arial Narrow" w:hAnsi="Arial Narrow" w:cs="Open Sans"/>
                <w:color w:val="333333"/>
                <w:sz w:val="18"/>
                <w:szCs w:val="18"/>
              </w:rPr>
            </w:pPr>
          </w:p>
        </w:tc>
        <w:tc>
          <w:tcPr>
            <w:tcW w:w="8221" w:type="dxa"/>
            <w:gridSpan w:val="6"/>
          </w:tcPr>
          <w:p w14:paraId="07B9595B" w14:textId="77777777" w:rsidR="004E5B84" w:rsidRPr="00962CCF" w:rsidRDefault="004E5B84" w:rsidP="00B43184">
            <w:pPr>
              <w:ind w:left="-57"/>
              <w:rPr>
                <w:rFonts w:ascii="Arial Narrow" w:hAnsi="Arial Narrow" w:cs="Open Sans"/>
                <w:color w:val="333333"/>
                <w:sz w:val="18"/>
                <w:szCs w:val="18"/>
              </w:rPr>
            </w:pPr>
          </w:p>
        </w:tc>
      </w:tr>
      <w:tr w:rsidR="004E5B84" w:rsidRPr="00793A55" w14:paraId="009EB3D9" w14:textId="77777777" w:rsidTr="00793A55">
        <w:tblPrEx>
          <w:tblLook w:val="04A0" w:firstRow="1" w:lastRow="0" w:firstColumn="1" w:lastColumn="0" w:noHBand="0" w:noVBand="1"/>
        </w:tblPrEx>
        <w:trPr>
          <w:trHeight w:val="20"/>
        </w:trPr>
        <w:tc>
          <w:tcPr>
            <w:tcW w:w="988" w:type="dxa"/>
          </w:tcPr>
          <w:p w14:paraId="4C2485A7" w14:textId="77777777" w:rsidR="004E5B84" w:rsidRPr="00962CCF" w:rsidRDefault="004E5B84" w:rsidP="00B43184">
            <w:pPr>
              <w:textAlignment w:val="baseline"/>
              <w:rPr>
                <w:rFonts w:ascii="Arial Narrow" w:hAnsi="Arial Narrow" w:cs="Open Sans"/>
                <w:color w:val="333333"/>
                <w:sz w:val="18"/>
                <w:szCs w:val="18"/>
              </w:rPr>
            </w:pPr>
          </w:p>
        </w:tc>
        <w:tc>
          <w:tcPr>
            <w:tcW w:w="8221" w:type="dxa"/>
            <w:gridSpan w:val="6"/>
          </w:tcPr>
          <w:p w14:paraId="302844C4"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Administrative Advice:</w:t>
            </w:r>
          </w:p>
          <w:p w14:paraId="13E2D8AA"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r w:rsidRPr="00962CCF">
              <w:rPr>
                <w:rFonts w:ascii="Arial Narrow" w:hAnsi="Arial Narrow" w:cs="Open Sans"/>
                <w:color w:val="333333"/>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4E5B84" w:rsidRPr="00793A55" w14:paraId="4DF278C6" w14:textId="77777777" w:rsidTr="00793A55">
        <w:tblPrEx>
          <w:tblLook w:val="04A0" w:firstRow="1" w:lastRow="0" w:firstColumn="1" w:lastColumn="0" w:noHBand="0" w:noVBand="1"/>
        </w:tblPrEx>
        <w:trPr>
          <w:trHeight w:val="20"/>
        </w:trPr>
        <w:tc>
          <w:tcPr>
            <w:tcW w:w="988" w:type="dxa"/>
          </w:tcPr>
          <w:p w14:paraId="63664740" w14:textId="50490B6F" w:rsidR="004E5B84" w:rsidRPr="00962CCF" w:rsidRDefault="004E5B84" w:rsidP="00B43184">
            <w:pPr>
              <w:jc w:val="center"/>
              <w:textAlignment w:val="baseline"/>
              <w:rPr>
                <w:rFonts w:ascii="Arial Narrow" w:hAnsi="Arial Narrow" w:cs="Open Sans"/>
                <w:color w:val="333333"/>
                <w:sz w:val="18"/>
                <w:szCs w:val="18"/>
              </w:rPr>
            </w:pPr>
          </w:p>
        </w:tc>
        <w:tc>
          <w:tcPr>
            <w:tcW w:w="8221" w:type="dxa"/>
            <w:gridSpan w:val="6"/>
          </w:tcPr>
          <w:p w14:paraId="65C83DA9"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r w:rsidRPr="00962CCF">
              <w:rPr>
                <w:rFonts w:ascii="Arial Narrow" w:hAnsi="Arial Narrow"/>
                <w:b/>
                <w:bCs/>
                <w:sz w:val="18"/>
                <w:szCs w:val="18"/>
              </w:rPr>
              <w:t xml:space="preserve">Administrative Advice: </w:t>
            </w:r>
            <w:r w:rsidRPr="00962CCF">
              <w:rPr>
                <w:rFonts w:ascii="Arial Narrow" w:hAnsi="Arial Narrow"/>
                <w:bCs/>
                <w:sz w:val="18"/>
                <w:szCs w:val="18"/>
              </w:rPr>
              <w:t>No increase in the maximum quantity or number of units may be authorised.</w:t>
            </w:r>
          </w:p>
        </w:tc>
      </w:tr>
      <w:tr w:rsidR="004E5B84" w:rsidRPr="00793A55" w14:paraId="03283840" w14:textId="77777777" w:rsidTr="00793A55">
        <w:tblPrEx>
          <w:tblLook w:val="04A0" w:firstRow="1" w:lastRow="0" w:firstColumn="1" w:lastColumn="0" w:noHBand="0" w:noVBand="1"/>
        </w:tblPrEx>
        <w:trPr>
          <w:trHeight w:val="20"/>
        </w:trPr>
        <w:tc>
          <w:tcPr>
            <w:tcW w:w="988" w:type="dxa"/>
          </w:tcPr>
          <w:p w14:paraId="6A1031D9" w14:textId="1D488B6D" w:rsidR="004E5B84" w:rsidRPr="00962CCF" w:rsidRDefault="004E5B84" w:rsidP="00B43184">
            <w:pPr>
              <w:jc w:val="center"/>
              <w:textAlignment w:val="baseline"/>
              <w:rPr>
                <w:rFonts w:ascii="Arial Narrow" w:hAnsi="Arial Narrow" w:cs="Open Sans"/>
                <w:color w:val="333333"/>
                <w:sz w:val="18"/>
                <w:szCs w:val="18"/>
              </w:rPr>
            </w:pPr>
          </w:p>
        </w:tc>
        <w:tc>
          <w:tcPr>
            <w:tcW w:w="8221" w:type="dxa"/>
            <w:gridSpan w:val="6"/>
          </w:tcPr>
          <w:p w14:paraId="0A553D95"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r w:rsidRPr="00962CCF">
              <w:rPr>
                <w:rFonts w:ascii="Arial Narrow" w:hAnsi="Arial Narrow"/>
                <w:b/>
                <w:bCs/>
                <w:sz w:val="18"/>
                <w:szCs w:val="18"/>
              </w:rPr>
              <w:t xml:space="preserve">Administrative Advice: </w:t>
            </w:r>
            <w:r w:rsidRPr="00962CCF">
              <w:rPr>
                <w:rFonts w:ascii="Arial Narrow" w:hAnsi="Arial Narrow"/>
                <w:bCs/>
                <w:sz w:val="18"/>
                <w:szCs w:val="18"/>
              </w:rPr>
              <w:t>No increase in the maximum number of repeats may be authorised.</w:t>
            </w:r>
          </w:p>
        </w:tc>
      </w:tr>
      <w:tr w:rsidR="004E5B84" w:rsidRPr="00793A55" w14:paraId="658D7576" w14:textId="77777777" w:rsidTr="00793A55">
        <w:tblPrEx>
          <w:tblLook w:val="04A0" w:firstRow="1" w:lastRow="0" w:firstColumn="1" w:lastColumn="0" w:noHBand="0" w:noVBand="1"/>
        </w:tblPrEx>
        <w:trPr>
          <w:trHeight w:val="20"/>
        </w:trPr>
        <w:tc>
          <w:tcPr>
            <w:tcW w:w="988" w:type="dxa"/>
          </w:tcPr>
          <w:p w14:paraId="7018524F" w14:textId="77777777" w:rsidR="004E5B84" w:rsidRPr="00962CCF" w:rsidRDefault="004E5B84" w:rsidP="00B43184">
            <w:pPr>
              <w:jc w:val="center"/>
              <w:textAlignment w:val="baseline"/>
              <w:rPr>
                <w:rFonts w:ascii="Arial Narrow" w:hAnsi="Arial Narrow" w:cs="Open Sans"/>
                <w:color w:val="333333"/>
                <w:sz w:val="18"/>
                <w:szCs w:val="18"/>
              </w:rPr>
            </w:pPr>
          </w:p>
        </w:tc>
        <w:tc>
          <w:tcPr>
            <w:tcW w:w="8221" w:type="dxa"/>
            <w:gridSpan w:val="6"/>
          </w:tcPr>
          <w:p w14:paraId="701AA22C" w14:textId="77777777" w:rsidR="004E5B84" w:rsidRPr="00962CCF" w:rsidRDefault="004E5B84" w:rsidP="00B43184">
            <w:pPr>
              <w:ind w:left="-57"/>
              <w:rPr>
                <w:rFonts w:ascii="Arial Narrow" w:hAnsi="Arial Narrow"/>
                <w:sz w:val="18"/>
                <w:szCs w:val="18"/>
              </w:rPr>
            </w:pPr>
            <w:r w:rsidRPr="00962CCF">
              <w:rPr>
                <w:rFonts w:ascii="Arial Narrow" w:hAnsi="Arial Narrow"/>
                <w:b/>
                <w:bCs/>
                <w:sz w:val="18"/>
                <w:szCs w:val="18"/>
              </w:rPr>
              <w:t>Administrative Advice:</w:t>
            </w:r>
          </w:p>
          <w:p w14:paraId="48CC6D64"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r w:rsidRPr="00962CCF">
              <w:rPr>
                <w:rFonts w:ascii="Arial Narrow" w:hAnsi="Arial Narrow" w:cs="Open Sans"/>
                <w:color w:val="333333"/>
                <w:sz w:val="18"/>
                <w:szCs w:val="18"/>
                <w:bdr w:val="none" w:sz="0" w:space="0" w:color="auto" w:frame="1"/>
              </w:rPr>
              <w:t>The prescriber completing this authority application must be a specialist medical practitioner of the type specified in the restriction.</w:t>
            </w:r>
          </w:p>
        </w:tc>
      </w:tr>
      <w:bookmarkEnd w:id="127"/>
    </w:tbl>
    <w:p w14:paraId="7EE00B6D" w14:textId="77777777" w:rsidR="004E5B84" w:rsidRDefault="004E5B84" w:rsidP="004E5B84"/>
    <w:tbl>
      <w:tblPr>
        <w:tblStyle w:val="TableGrid"/>
        <w:tblW w:w="9209" w:type="dxa"/>
        <w:tblLayout w:type="fixed"/>
        <w:tblLook w:val="0000" w:firstRow="0" w:lastRow="0" w:firstColumn="0" w:lastColumn="0" w:noHBand="0" w:noVBand="0"/>
      </w:tblPr>
      <w:tblGrid>
        <w:gridCol w:w="1129"/>
        <w:gridCol w:w="2268"/>
        <w:gridCol w:w="1560"/>
        <w:gridCol w:w="1275"/>
        <w:gridCol w:w="1134"/>
        <w:gridCol w:w="851"/>
        <w:gridCol w:w="992"/>
      </w:tblGrid>
      <w:tr w:rsidR="004E5B84" w:rsidRPr="00962CCF" w14:paraId="0A45508D" w14:textId="77777777" w:rsidTr="00962CCF">
        <w:trPr>
          <w:trHeight w:val="20"/>
        </w:trPr>
        <w:tc>
          <w:tcPr>
            <w:tcW w:w="9209" w:type="dxa"/>
            <w:gridSpan w:val="7"/>
          </w:tcPr>
          <w:p w14:paraId="74235373" w14:textId="5AA4E544" w:rsidR="004E5B84" w:rsidRPr="00962CCF" w:rsidRDefault="004E5B84" w:rsidP="00B43184">
            <w:pPr>
              <w:keepNext/>
              <w:ind w:left="-57"/>
              <w:rPr>
                <w:rFonts w:ascii="Arial Narrow" w:hAnsi="Arial Narrow"/>
                <w:b/>
                <w:sz w:val="18"/>
                <w:szCs w:val="18"/>
              </w:rPr>
            </w:pPr>
            <w:bookmarkStart w:id="128" w:name="_Hlk122449801"/>
            <w:bookmarkStart w:id="129" w:name="_Hlk122449879"/>
            <w:r w:rsidRPr="00962CCF">
              <w:rPr>
                <w:rFonts w:ascii="Arial Narrow" w:hAnsi="Arial Narrow"/>
                <w:b/>
                <w:sz w:val="18"/>
                <w:szCs w:val="18"/>
              </w:rPr>
              <w:t>Category / Program:</w:t>
            </w:r>
            <w:r w:rsidR="000C52FF" w:rsidRPr="00962CCF">
              <w:rPr>
                <w:rFonts w:ascii="Arial Narrow" w:hAnsi="Arial Narrow"/>
                <w:b/>
                <w:sz w:val="18"/>
                <w:szCs w:val="18"/>
              </w:rPr>
              <w:t xml:space="preserve"> </w:t>
            </w:r>
            <w:r w:rsidRPr="00962CCF">
              <w:rPr>
                <w:rFonts w:ascii="Arial Narrow" w:hAnsi="Arial Narrow"/>
                <w:b/>
                <w:sz w:val="18"/>
                <w:szCs w:val="18"/>
              </w:rPr>
              <w:t xml:space="preserve"> </w:t>
            </w:r>
            <w:r w:rsidRPr="00962CCF">
              <w:rPr>
                <w:rFonts w:ascii="Arial Narrow" w:hAnsi="Arial Narrow"/>
                <w:sz w:val="18"/>
                <w:szCs w:val="18"/>
              </w:rPr>
              <w:t>GENERAL – General Schedule (Code GE)</w:t>
            </w:r>
          </w:p>
        </w:tc>
      </w:tr>
      <w:tr w:rsidR="004E5B84" w:rsidRPr="00962CCF" w14:paraId="6B406A48" w14:textId="77777777" w:rsidTr="00962CCF">
        <w:trPr>
          <w:trHeight w:val="20"/>
        </w:trPr>
        <w:tc>
          <w:tcPr>
            <w:tcW w:w="3397" w:type="dxa"/>
            <w:gridSpan w:val="2"/>
          </w:tcPr>
          <w:p w14:paraId="202FE8BF" w14:textId="77777777" w:rsidR="004E5B84" w:rsidRPr="00962CCF" w:rsidRDefault="004E5B84" w:rsidP="00B43184">
            <w:pPr>
              <w:keepNext/>
              <w:ind w:left="-57"/>
              <w:rPr>
                <w:rFonts w:ascii="Arial Narrow" w:hAnsi="Arial Narrow"/>
                <w:b/>
                <w:bCs/>
                <w:sz w:val="18"/>
                <w:szCs w:val="18"/>
              </w:rPr>
            </w:pPr>
            <w:r w:rsidRPr="00962CCF">
              <w:rPr>
                <w:rFonts w:ascii="Arial Narrow" w:hAnsi="Arial Narrow"/>
                <w:b/>
                <w:bCs/>
                <w:sz w:val="18"/>
                <w:szCs w:val="18"/>
              </w:rPr>
              <w:t>MEDICINAL PRODUCT</w:t>
            </w:r>
          </w:p>
          <w:p w14:paraId="6900B1B7" w14:textId="77777777" w:rsidR="004E5B84" w:rsidRPr="00962CCF" w:rsidRDefault="004E5B84" w:rsidP="00B43184">
            <w:pPr>
              <w:keepNext/>
              <w:ind w:left="-57"/>
              <w:rPr>
                <w:rFonts w:ascii="Arial Narrow" w:hAnsi="Arial Narrow"/>
                <w:b/>
                <w:sz w:val="18"/>
                <w:szCs w:val="18"/>
              </w:rPr>
            </w:pPr>
            <w:r w:rsidRPr="00962CCF">
              <w:rPr>
                <w:rFonts w:ascii="Arial Narrow" w:hAnsi="Arial Narrow"/>
                <w:b/>
                <w:bCs/>
                <w:sz w:val="18"/>
                <w:szCs w:val="18"/>
              </w:rPr>
              <w:t>medicinal product pack</w:t>
            </w:r>
          </w:p>
        </w:tc>
        <w:tc>
          <w:tcPr>
            <w:tcW w:w="1560" w:type="dxa"/>
          </w:tcPr>
          <w:p w14:paraId="5AAE9A83" w14:textId="77777777" w:rsidR="004E5B84" w:rsidRPr="00962CCF" w:rsidRDefault="004E5B84" w:rsidP="00B43184">
            <w:pPr>
              <w:keepNext/>
              <w:ind w:left="-108"/>
              <w:jc w:val="center"/>
              <w:rPr>
                <w:rFonts w:ascii="Arial Narrow" w:hAnsi="Arial Narrow"/>
                <w:b/>
                <w:sz w:val="18"/>
                <w:szCs w:val="18"/>
              </w:rPr>
            </w:pPr>
            <w:r w:rsidRPr="00962CCF">
              <w:rPr>
                <w:rFonts w:ascii="Arial Narrow" w:hAnsi="Arial Narrow"/>
                <w:b/>
                <w:sz w:val="18"/>
                <w:szCs w:val="18"/>
              </w:rPr>
              <w:t>PBS item code</w:t>
            </w:r>
          </w:p>
        </w:tc>
        <w:tc>
          <w:tcPr>
            <w:tcW w:w="1275" w:type="dxa"/>
          </w:tcPr>
          <w:p w14:paraId="776A760B" w14:textId="77777777" w:rsidR="004E5B84" w:rsidRPr="00962CCF" w:rsidRDefault="004E5B84" w:rsidP="00B43184">
            <w:pPr>
              <w:keepNext/>
              <w:ind w:left="-108"/>
              <w:jc w:val="center"/>
              <w:rPr>
                <w:rFonts w:ascii="Arial Narrow" w:hAnsi="Arial Narrow"/>
                <w:b/>
                <w:sz w:val="18"/>
                <w:szCs w:val="18"/>
              </w:rPr>
            </w:pPr>
            <w:r w:rsidRPr="00962CCF">
              <w:rPr>
                <w:rFonts w:ascii="Arial Narrow" w:hAnsi="Arial Narrow"/>
                <w:b/>
                <w:sz w:val="18"/>
                <w:szCs w:val="18"/>
              </w:rPr>
              <w:t>Max. qty packs</w:t>
            </w:r>
          </w:p>
        </w:tc>
        <w:tc>
          <w:tcPr>
            <w:tcW w:w="1134" w:type="dxa"/>
          </w:tcPr>
          <w:p w14:paraId="4A3F77C3" w14:textId="77777777" w:rsidR="004E5B84" w:rsidRPr="00962CCF" w:rsidRDefault="004E5B84" w:rsidP="00B43184">
            <w:pPr>
              <w:keepNext/>
              <w:ind w:left="-108"/>
              <w:jc w:val="center"/>
              <w:rPr>
                <w:rFonts w:ascii="Arial Narrow" w:hAnsi="Arial Narrow"/>
                <w:b/>
                <w:sz w:val="18"/>
                <w:szCs w:val="18"/>
              </w:rPr>
            </w:pPr>
            <w:r w:rsidRPr="00962CCF">
              <w:rPr>
                <w:rFonts w:ascii="Arial Narrow" w:hAnsi="Arial Narrow"/>
                <w:b/>
                <w:sz w:val="18"/>
                <w:szCs w:val="18"/>
              </w:rPr>
              <w:t>Max. qty units</w:t>
            </w:r>
          </w:p>
        </w:tc>
        <w:tc>
          <w:tcPr>
            <w:tcW w:w="851" w:type="dxa"/>
          </w:tcPr>
          <w:p w14:paraId="7FE23FBD" w14:textId="77777777" w:rsidR="004E5B84" w:rsidRPr="00962CCF" w:rsidRDefault="004E5B84" w:rsidP="00B43184">
            <w:pPr>
              <w:keepNext/>
              <w:ind w:left="-108"/>
              <w:jc w:val="center"/>
              <w:rPr>
                <w:rFonts w:ascii="Arial Narrow" w:hAnsi="Arial Narrow"/>
                <w:b/>
                <w:sz w:val="18"/>
                <w:szCs w:val="18"/>
              </w:rPr>
            </w:pPr>
            <w:proofErr w:type="gramStart"/>
            <w:r w:rsidRPr="00962CCF">
              <w:rPr>
                <w:rFonts w:ascii="Arial Narrow" w:hAnsi="Arial Narrow"/>
                <w:b/>
                <w:sz w:val="18"/>
                <w:szCs w:val="18"/>
              </w:rPr>
              <w:t>№.of</w:t>
            </w:r>
            <w:proofErr w:type="gramEnd"/>
          </w:p>
          <w:p w14:paraId="25B435F0" w14:textId="77777777" w:rsidR="004E5B84" w:rsidRPr="00962CCF" w:rsidRDefault="004E5B84" w:rsidP="00B43184">
            <w:pPr>
              <w:keepNext/>
              <w:ind w:left="-108"/>
              <w:jc w:val="center"/>
              <w:rPr>
                <w:rFonts w:ascii="Arial Narrow" w:hAnsi="Arial Narrow"/>
                <w:b/>
                <w:sz w:val="18"/>
                <w:szCs w:val="18"/>
              </w:rPr>
            </w:pPr>
            <w:r w:rsidRPr="00962CCF">
              <w:rPr>
                <w:rFonts w:ascii="Arial Narrow" w:hAnsi="Arial Narrow"/>
                <w:b/>
                <w:sz w:val="18"/>
                <w:szCs w:val="18"/>
              </w:rPr>
              <w:t>Rpts</w:t>
            </w:r>
          </w:p>
        </w:tc>
        <w:tc>
          <w:tcPr>
            <w:tcW w:w="992" w:type="dxa"/>
          </w:tcPr>
          <w:p w14:paraId="0D8610D5" w14:textId="77777777" w:rsidR="004E5B84" w:rsidRPr="00962CCF" w:rsidRDefault="004E5B84" w:rsidP="00B43184">
            <w:pPr>
              <w:keepNext/>
              <w:rPr>
                <w:rFonts w:ascii="Arial Narrow" w:hAnsi="Arial Narrow"/>
                <w:b/>
                <w:sz w:val="18"/>
                <w:szCs w:val="18"/>
                <w:lang w:val="fr-FR"/>
              </w:rPr>
            </w:pPr>
            <w:r w:rsidRPr="00962CCF">
              <w:rPr>
                <w:rFonts w:ascii="Arial Narrow" w:hAnsi="Arial Narrow"/>
                <w:b/>
                <w:sz w:val="18"/>
                <w:szCs w:val="18"/>
              </w:rPr>
              <w:t>Available brands</w:t>
            </w:r>
          </w:p>
        </w:tc>
      </w:tr>
      <w:tr w:rsidR="004E5B84" w:rsidRPr="00962CCF" w14:paraId="52E10A91" w14:textId="77777777" w:rsidTr="00962CCF">
        <w:trPr>
          <w:trHeight w:val="20"/>
        </w:trPr>
        <w:tc>
          <w:tcPr>
            <w:tcW w:w="9209" w:type="dxa"/>
            <w:gridSpan w:val="7"/>
          </w:tcPr>
          <w:p w14:paraId="213A411F" w14:textId="1BFA7C25" w:rsidR="004E5B84" w:rsidRPr="00962CCF" w:rsidRDefault="004E5B84" w:rsidP="00B43184">
            <w:pPr>
              <w:keepNext/>
              <w:ind w:left="-57"/>
              <w:rPr>
                <w:rFonts w:ascii="Arial Narrow" w:hAnsi="Arial Narrow"/>
                <w:sz w:val="18"/>
                <w:szCs w:val="18"/>
              </w:rPr>
            </w:pPr>
            <w:r w:rsidRPr="00962CCF">
              <w:rPr>
                <w:rFonts w:ascii="Arial Narrow" w:hAnsi="Arial Narrow"/>
                <w:sz w:val="18"/>
                <w:szCs w:val="18"/>
              </w:rPr>
              <w:t>UPADACITINIB</w:t>
            </w:r>
            <w:r w:rsidR="000C52FF" w:rsidRPr="00962CCF">
              <w:rPr>
                <w:rFonts w:ascii="Arial Narrow" w:hAnsi="Arial Narrow"/>
                <w:sz w:val="18"/>
                <w:szCs w:val="18"/>
              </w:rPr>
              <w:t xml:space="preserve"> </w:t>
            </w:r>
          </w:p>
        </w:tc>
      </w:tr>
      <w:tr w:rsidR="004E5B84" w:rsidRPr="00962CCF" w14:paraId="23763408" w14:textId="77777777" w:rsidTr="00962CCF">
        <w:trPr>
          <w:trHeight w:val="20"/>
        </w:trPr>
        <w:tc>
          <w:tcPr>
            <w:tcW w:w="3397" w:type="dxa"/>
            <w:gridSpan w:val="2"/>
          </w:tcPr>
          <w:p w14:paraId="1E5F4162" w14:textId="77777777" w:rsidR="004E5B84" w:rsidRPr="00962CCF" w:rsidRDefault="004E5B84" w:rsidP="00B43184">
            <w:pPr>
              <w:keepNext/>
              <w:ind w:left="-57"/>
              <w:rPr>
                <w:rFonts w:ascii="Arial Narrow" w:hAnsi="Arial Narrow"/>
                <w:sz w:val="18"/>
                <w:szCs w:val="18"/>
              </w:rPr>
            </w:pPr>
            <w:r w:rsidRPr="00962CCF">
              <w:rPr>
                <w:rFonts w:ascii="Arial Narrow" w:hAnsi="Arial Narrow"/>
                <w:sz w:val="18"/>
                <w:szCs w:val="18"/>
              </w:rPr>
              <w:t xml:space="preserve">upadactinib 30 mg modified release tablet, 28 </w:t>
            </w:r>
          </w:p>
        </w:tc>
        <w:tc>
          <w:tcPr>
            <w:tcW w:w="1560" w:type="dxa"/>
          </w:tcPr>
          <w:p w14:paraId="475C04DF" w14:textId="77777777" w:rsidR="004E5B84" w:rsidRPr="00962CCF" w:rsidRDefault="004E5B84" w:rsidP="00B43184">
            <w:pPr>
              <w:keepNext/>
              <w:jc w:val="center"/>
              <w:rPr>
                <w:rFonts w:ascii="Arial Narrow" w:hAnsi="Arial Narrow"/>
                <w:sz w:val="18"/>
                <w:szCs w:val="18"/>
              </w:rPr>
            </w:pPr>
            <w:r w:rsidRPr="00962CCF">
              <w:rPr>
                <w:rFonts w:ascii="Arial Narrow" w:hAnsi="Arial Narrow"/>
                <w:sz w:val="18"/>
                <w:szCs w:val="18"/>
              </w:rPr>
              <w:t>NEW</w:t>
            </w:r>
          </w:p>
          <w:p w14:paraId="3033C8A9" w14:textId="77777777" w:rsidR="004E5B84" w:rsidRPr="00962CCF" w:rsidRDefault="004E5B84" w:rsidP="00B43184">
            <w:pPr>
              <w:keepNext/>
              <w:jc w:val="center"/>
              <w:rPr>
                <w:rFonts w:ascii="Arial Narrow" w:hAnsi="Arial Narrow"/>
                <w:sz w:val="18"/>
                <w:szCs w:val="18"/>
                <w:vertAlign w:val="subscript"/>
              </w:rPr>
            </w:pPr>
            <w:r w:rsidRPr="00962CCF">
              <w:rPr>
                <w:rFonts w:ascii="Arial Narrow" w:hAnsi="Arial Narrow"/>
                <w:sz w:val="18"/>
                <w:szCs w:val="18"/>
                <w:vertAlign w:val="subscript"/>
              </w:rPr>
              <w:t>MP</w:t>
            </w:r>
          </w:p>
        </w:tc>
        <w:tc>
          <w:tcPr>
            <w:tcW w:w="1275" w:type="dxa"/>
          </w:tcPr>
          <w:p w14:paraId="4DA5D994" w14:textId="77777777" w:rsidR="004E5B84" w:rsidRPr="00962CCF" w:rsidRDefault="004E5B84" w:rsidP="00B43184">
            <w:pPr>
              <w:keepNext/>
              <w:jc w:val="center"/>
              <w:rPr>
                <w:rFonts w:ascii="Arial Narrow" w:hAnsi="Arial Narrow"/>
                <w:sz w:val="18"/>
                <w:szCs w:val="18"/>
              </w:rPr>
            </w:pPr>
            <w:r w:rsidRPr="00962CCF">
              <w:rPr>
                <w:rFonts w:ascii="Arial Narrow" w:hAnsi="Arial Narrow"/>
                <w:sz w:val="18"/>
                <w:szCs w:val="18"/>
              </w:rPr>
              <w:t>1</w:t>
            </w:r>
          </w:p>
        </w:tc>
        <w:tc>
          <w:tcPr>
            <w:tcW w:w="1134" w:type="dxa"/>
          </w:tcPr>
          <w:p w14:paraId="6E98E8F7" w14:textId="77777777" w:rsidR="004E5B84" w:rsidRPr="00962CCF" w:rsidRDefault="004E5B84" w:rsidP="00B43184">
            <w:pPr>
              <w:keepNext/>
              <w:jc w:val="center"/>
              <w:rPr>
                <w:rFonts w:ascii="Arial Narrow" w:hAnsi="Arial Narrow"/>
                <w:sz w:val="18"/>
                <w:szCs w:val="18"/>
              </w:rPr>
            </w:pPr>
            <w:r w:rsidRPr="00962CCF">
              <w:rPr>
                <w:rFonts w:ascii="Arial Narrow" w:hAnsi="Arial Narrow"/>
                <w:sz w:val="18"/>
                <w:szCs w:val="18"/>
              </w:rPr>
              <w:t>28</w:t>
            </w:r>
          </w:p>
        </w:tc>
        <w:tc>
          <w:tcPr>
            <w:tcW w:w="851" w:type="dxa"/>
          </w:tcPr>
          <w:p w14:paraId="7B2E42A3" w14:textId="77777777" w:rsidR="004E5B84" w:rsidRPr="00962CCF" w:rsidRDefault="004E5B84" w:rsidP="00B43184">
            <w:pPr>
              <w:keepNext/>
              <w:jc w:val="center"/>
              <w:rPr>
                <w:rFonts w:ascii="Arial Narrow" w:hAnsi="Arial Narrow"/>
                <w:sz w:val="18"/>
                <w:szCs w:val="18"/>
              </w:rPr>
            </w:pPr>
            <w:r w:rsidRPr="00962CCF">
              <w:rPr>
                <w:rFonts w:ascii="Arial Narrow" w:hAnsi="Arial Narrow"/>
                <w:sz w:val="18"/>
                <w:szCs w:val="18"/>
              </w:rPr>
              <w:t>5</w:t>
            </w:r>
          </w:p>
        </w:tc>
        <w:tc>
          <w:tcPr>
            <w:tcW w:w="992" w:type="dxa"/>
          </w:tcPr>
          <w:p w14:paraId="38BF719C" w14:textId="77777777" w:rsidR="004E5B84" w:rsidRPr="00962CCF" w:rsidRDefault="004E5B84" w:rsidP="00B43184">
            <w:pPr>
              <w:keepNext/>
              <w:rPr>
                <w:rFonts w:ascii="Arial Narrow" w:hAnsi="Arial Narrow"/>
                <w:sz w:val="18"/>
                <w:szCs w:val="18"/>
              </w:rPr>
            </w:pPr>
            <w:r w:rsidRPr="00962CCF">
              <w:rPr>
                <w:rFonts w:ascii="Arial Narrow" w:hAnsi="Arial Narrow"/>
                <w:sz w:val="18"/>
                <w:szCs w:val="18"/>
              </w:rPr>
              <w:t xml:space="preserve">Rinvoq </w:t>
            </w:r>
          </w:p>
        </w:tc>
      </w:tr>
      <w:tr w:rsidR="004E5B84" w:rsidRPr="00962CCF" w14:paraId="6AB7DE28" w14:textId="77777777" w:rsidTr="00962CCF">
        <w:trPr>
          <w:trHeight w:val="20"/>
        </w:trPr>
        <w:tc>
          <w:tcPr>
            <w:tcW w:w="9209" w:type="dxa"/>
            <w:gridSpan w:val="7"/>
          </w:tcPr>
          <w:p w14:paraId="08B6DFE4" w14:textId="77777777" w:rsidR="004E5B84" w:rsidRPr="00962CCF" w:rsidRDefault="004E5B84" w:rsidP="00B43184">
            <w:pPr>
              <w:keepNext/>
              <w:jc w:val="right"/>
              <w:rPr>
                <w:rFonts w:ascii="Arial Narrow" w:hAnsi="Arial Narrow"/>
                <w:sz w:val="18"/>
                <w:szCs w:val="18"/>
              </w:rPr>
            </w:pPr>
            <w:r w:rsidRPr="00962CCF">
              <w:rPr>
                <w:rFonts w:ascii="Arial Narrow" w:hAnsi="Arial Narrow"/>
                <w:sz w:val="18"/>
                <w:szCs w:val="18"/>
              </w:rPr>
              <w:t>Safety Net Rule Penalty Applies: Yes</w:t>
            </w:r>
          </w:p>
        </w:tc>
      </w:tr>
      <w:tr w:rsidR="004E5B84" w:rsidRPr="00962CCF" w14:paraId="692FA9B5" w14:textId="77777777" w:rsidTr="00962CCF">
        <w:trPr>
          <w:trHeight w:val="20"/>
        </w:trPr>
        <w:tc>
          <w:tcPr>
            <w:tcW w:w="9209" w:type="dxa"/>
            <w:gridSpan w:val="7"/>
          </w:tcPr>
          <w:p w14:paraId="2AD28471" w14:textId="77777777" w:rsidR="004E5B84" w:rsidRPr="00962CCF" w:rsidRDefault="004E5B84" w:rsidP="00B43184">
            <w:pPr>
              <w:keepNext/>
              <w:rPr>
                <w:rFonts w:ascii="Arial Narrow" w:hAnsi="Arial Narrow"/>
                <w:sz w:val="18"/>
                <w:szCs w:val="18"/>
              </w:rPr>
            </w:pPr>
          </w:p>
        </w:tc>
      </w:tr>
      <w:tr w:rsidR="004E5B84" w:rsidRPr="00962CCF" w14:paraId="02F5E261" w14:textId="77777777" w:rsidTr="00962CCF">
        <w:trPr>
          <w:trHeight w:val="20"/>
        </w:trPr>
        <w:tc>
          <w:tcPr>
            <w:tcW w:w="1129" w:type="dxa"/>
          </w:tcPr>
          <w:p w14:paraId="648E699B" w14:textId="7695A5DE" w:rsidR="004E5B84" w:rsidRPr="00962CCF" w:rsidRDefault="004E5B84" w:rsidP="00B43184">
            <w:pPr>
              <w:jc w:val="center"/>
              <w:rPr>
                <w:rFonts w:ascii="Arial Narrow" w:hAnsi="Arial Narrow"/>
                <w:color w:val="333333"/>
                <w:sz w:val="20"/>
                <w:szCs w:val="20"/>
              </w:rPr>
            </w:pPr>
            <w:bookmarkStart w:id="130" w:name="_Hlk122603411"/>
            <w:bookmarkEnd w:id="128"/>
          </w:p>
        </w:tc>
        <w:tc>
          <w:tcPr>
            <w:tcW w:w="8080" w:type="dxa"/>
            <w:gridSpan w:val="6"/>
          </w:tcPr>
          <w:p w14:paraId="46764BE1" w14:textId="77777777" w:rsidR="004E5B84" w:rsidRPr="00962CCF" w:rsidRDefault="004E5B84" w:rsidP="00B43184">
            <w:pPr>
              <w:ind w:left="-57"/>
              <w:rPr>
                <w:rFonts w:ascii="Arial Narrow" w:hAnsi="Arial Narrow"/>
                <w:sz w:val="18"/>
                <w:szCs w:val="18"/>
              </w:rPr>
            </w:pPr>
            <w:r w:rsidRPr="00962CCF">
              <w:rPr>
                <w:rFonts w:ascii="Arial Narrow" w:hAnsi="Arial Narrow"/>
                <w:b/>
                <w:bCs/>
                <w:sz w:val="18"/>
                <w:szCs w:val="18"/>
              </w:rPr>
              <w:t>Administrative Advice:</w:t>
            </w:r>
          </w:p>
          <w:p w14:paraId="4349D825" w14:textId="77777777" w:rsidR="004E5B84" w:rsidRPr="00962CCF" w:rsidRDefault="004E5B84" w:rsidP="00B43184">
            <w:pPr>
              <w:ind w:left="-57"/>
              <w:rPr>
                <w:rFonts w:ascii="Arial Narrow" w:hAnsi="Arial Narrow"/>
                <w:i/>
                <w:iCs/>
                <w:sz w:val="18"/>
                <w:szCs w:val="18"/>
              </w:rPr>
            </w:pPr>
            <w:r w:rsidRPr="00962CCF">
              <w:rPr>
                <w:rFonts w:ascii="Arial Narrow" w:hAnsi="Arial Narrow"/>
                <w:i/>
                <w:iCs/>
                <w:sz w:val="18"/>
                <w:szCs w:val="18"/>
              </w:rPr>
              <w:t>insert updated long administrative ‘NOTE’ (currently concept 27712) here (shown at the end of the restrictions)</w:t>
            </w:r>
          </w:p>
        </w:tc>
      </w:tr>
      <w:tr w:rsidR="004E5B84" w:rsidRPr="00962CCF" w14:paraId="1C7832CD" w14:textId="77777777" w:rsidTr="00962CCF">
        <w:trPr>
          <w:trHeight w:val="20"/>
        </w:trPr>
        <w:tc>
          <w:tcPr>
            <w:tcW w:w="1129" w:type="dxa"/>
          </w:tcPr>
          <w:p w14:paraId="2DFA5C09" w14:textId="66092C1C" w:rsidR="004E5B84" w:rsidRPr="00962CCF" w:rsidRDefault="004E5B84" w:rsidP="00B43184">
            <w:pPr>
              <w:jc w:val="center"/>
              <w:rPr>
                <w:rFonts w:ascii="Arial Narrow" w:hAnsi="Arial Narrow"/>
                <w:color w:val="333333"/>
                <w:sz w:val="20"/>
                <w:szCs w:val="20"/>
              </w:rPr>
            </w:pPr>
          </w:p>
        </w:tc>
        <w:tc>
          <w:tcPr>
            <w:tcW w:w="8080" w:type="dxa"/>
            <w:gridSpan w:val="6"/>
          </w:tcPr>
          <w:p w14:paraId="78A992F8" w14:textId="77777777" w:rsidR="004E5B84" w:rsidRPr="00962CCF" w:rsidRDefault="004E5B84" w:rsidP="00B43184">
            <w:pPr>
              <w:ind w:left="-57"/>
              <w:rPr>
                <w:rFonts w:ascii="Arial Narrow" w:hAnsi="Arial Narrow"/>
                <w:b/>
                <w:bCs/>
                <w:sz w:val="18"/>
                <w:szCs w:val="18"/>
              </w:rPr>
            </w:pPr>
            <w:r w:rsidRPr="00962CCF">
              <w:rPr>
                <w:rFonts w:ascii="Arial Narrow" w:hAnsi="Arial Narrow"/>
                <w:b/>
                <w:bCs/>
                <w:sz w:val="18"/>
                <w:szCs w:val="18"/>
              </w:rPr>
              <w:t xml:space="preserve">Administrative advice: </w:t>
            </w:r>
            <w:r w:rsidRPr="00962CCF">
              <w:rPr>
                <w:rFonts w:ascii="Arial Narrow" w:hAnsi="Arial Narrow"/>
                <w:bCs/>
                <w:sz w:val="18"/>
                <w:szCs w:val="18"/>
              </w:rPr>
              <w:t>No increase in the maximum quantity or number of units may be authorised.</w:t>
            </w:r>
          </w:p>
        </w:tc>
      </w:tr>
      <w:tr w:rsidR="004E5B84" w:rsidRPr="00962CCF" w14:paraId="2455C6EC" w14:textId="77777777" w:rsidTr="00962CCF">
        <w:trPr>
          <w:trHeight w:val="20"/>
        </w:trPr>
        <w:tc>
          <w:tcPr>
            <w:tcW w:w="1129" w:type="dxa"/>
          </w:tcPr>
          <w:p w14:paraId="4A419BF1" w14:textId="08EE0EC2" w:rsidR="004E5B84" w:rsidRPr="00962CCF" w:rsidRDefault="004E5B84" w:rsidP="00B43184">
            <w:pPr>
              <w:jc w:val="center"/>
              <w:rPr>
                <w:rFonts w:ascii="Arial Narrow" w:hAnsi="Arial Narrow"/>
                <w:color w:val="333333"/>
                <w:sz w:val="20"/>
                <w:szCs w:val="20"/>
              </w:rPr>
            </w:pPr>
          </w:p>
        </w:tc>
        <w:tc>
          <w:tcPr>
            <w:tcW w:w="8080" w:type="dxa"/>
            <w:gridSpan w:val="6"/>
          </w:tcPr>
          <w:p w14:paraId="5208529A" w14:textId="77777777" w:rsidR="004E5B84" w:rsidRPr="00962CCF" w:rsidRDefault="004E5B84" w:rsidP="00B43184">
            <w:pPr>
              <w:ind w:left="-57"/>
              <w:rPr>
                <w:rFonts w:ascii="Arial Narrow" w:hAnsi="Arial Narrow"/>
                <w:b/>
                <w:bCs/>
                <w:color w:val="333333"/>
                <w:sz w:val="18"/>
                <w:szCs w:val="18"/>
              </w:rPr>
            </w:pPr>
            <w:r w:rsidRPr="00962CCF">
              <w:rPr>
                <w:rFonts w:ascii="Arial Narrow" w:hAnsi="Arial Narrow"/>
                <w:b/>
                <w:bCs/>
                <w:sz w:val="18"/>
                <w:szCs w:val="18"/>
              </w:rPr>
              <w:t xml:space="preserve">Administrative advice: </w:t>
            </w:r>
            <w:r w:rsidRPr="00962CCF">
              <w:rPr>
                <w:rFonts w:ascii="Arial Narrow" w:hAnsi="Arial Narrow"/>
                <w:bCs/>
                <w:sz w:val="18"/>
                <w:szCs w:val="18"/>
              </w:rPr>
              <w:t>No increase in the maximum number of repeats may be authorised.</w:t>
            </w:r>
          </w:p>
        </w:tc>
      </w:tr>
      <w:tr w:rsidR="004E5B84" w:rsidRPr="00962CCF" w14:paraId="6AEF12C0" w14:textId="77777777" w:rsidTr="00962CCF">
        <w:trPr>
          <w:trHeight w:val="20"/>
        </w:trPr>
        <w:tc>
          <w:tcPr>
            <w:tcW w:w="1129" w:type="dxa"/>
          </w:tcPr>
          <w:p w14:paraId="07FD8131" w14:textId="62A14863" w:rsidR="004E5B84" w:rsidRPr="00962CCF" w:rsidRDefault="004E5B84" w:rsidP="00B43184">
            <w:pPr>
              <w:jc w:val="center"/>
              <w:rPr>
                <w:rFonts w:ascii="Arial Narrow" w:hAnsi="Arial Narrow"/>
                <w:bCs/>
                <w:sz w:val="20"/>
                <w:szCs w:val="20"/>
              </w:rPr>
            </w:pPr>
          </w:p>
        </w:tc>
        <w:tc>
          <w:tcPr>
            <w:tcW w:w="8080" w:type="dxa"/>
            <w:gridSpan w:val="6"/>
          </w:tcPr>
          <w:p w14:paraId="2351EA14"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Administrative Advice:</w:t>
            </w:r>
          </w:p>
          <w:p w14:paraId="188DBA5D"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Any queries concerning the arrangements to prescribe may be directed to Services Australia on 1800 700 270 (hours of operation 8 a.m. to 5 p.m. Monday to Friday).</w:t>
            </w:r>
          </w:p>
          <w:p w14:paraId="10334500"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 xml:space="preserve">Prescribing information (including Authority Application forms and other relevant documentation as applicable) is available on the Services Australia website at </w:t>
            </w:r>
            <w:hyperlink r:id="rId10" w:history="1">
              <w:r w:rsidRPr="00962CCF">
                <w:rPr>
                  <w:rStyle w:val="Hyperlink"/>
                  <w:rFonts w:ascii="Arial Narrow" w:hAnsi="Arial Narrow" w:cs="Open Sans"/>
                  <w:sz w:val="18"/>
                  <w:szCs w:val="18"/>
                </w:rPr>
                <w:t>www.servicesaustralia.gov.au</w:t>
              </w:r>
            </w:hyperlink>
          </w:p>
          <w:p w14:paraId="19EAC1DB"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 xml:space="preserve">Applications for authority to prescribe should be submitted online using the form upload facility in Health Professional Online Services (HPOS) at </w:t>
            </w:r>
            <w:proofErr w:type="gramStart"/>
            <w:r w:rsidRPr="00962CCF">
              <w:rPr>
                <w:rFonts w:ascii="Arial Narrow" w:hAnsi="Arial Narrow" w:cs="Open Sans"/>
                <w:color w:val="333333"/>
                <w:sz w:val="18"/>
                <w:szCs w:val="18"/>
              </w:rPr>
              <w:t>www.servicesaustralia.gov.au/hpos</w:t>
            </w:r>
            <w:proofErr w:type="gramEnd"/>
          </w:p>
          <w:p w14:paraId="5E1BB284"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Or mailed to:</w:t>
            </w:r>
          </w:p>
          <w:p w14:paraId="679C687D"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Services Australia</w:t>
            </w:r>
          </w:p>
          <w:p w14:paraId="76616AE2"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Complex Drugs</w:t>
            </w:r>
          </w:p>
          <w:p w14:paraId="124E5A63"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Reply Paid 9826</w:t>
            </w:r>
          </w:p>
          <w:p w14:paraId="62EE4C39" w14:textId="77777777" w:rsidR="004E5B84" w:rsidRPr="00962CCF" w:rsidRDefault="004E5B84" w:rsidP="00B43184">
            <w:pPr>
              <w:ind w:left="-57"/>
              <w:rPr>
                <w:rFonts w:ascii="Arial Narrow" w:hAnsi="Arial Narrow"/>
                <w:b/>
                <w:bCs/>
                <w:sz w:val="18"/>
                <w:szCs w:val="18"/>
              </w:rPr>
            </w:pPr>
            <w:r w:rsidRPr="00962CCF">
              <w:rPr>
                <w:rFonts w:ascii="Arial Narrow" w:hAnsi="Arial Narrow" w:cs="Open Sans"/>
                <w:color w:val="333333"/>
                <w:sz w:val="18"/>
                <w:szCs w:val="18"/>
              </w:rPr>
              <w:t>HOBART TAS 7001</w:t>
            </w:r>
          </w:p>
        </w:tc>
      </w:tr>
      <w:bookmarkEnd w:id="129"/>
      <w:bookmarkEnd w:id="130"/>
      <w:tr w:rsidR="004E5B84" w:rsidRPr="00962CCF" w14:paraId="04F76307" w14:textId="77777777" w:rsidTr="00962CCF">
        <w:trPr>
          <w:trHeight w:val="20"/>
        </w:trPr>
        <w:tc>
          <w:tcPr>
            <w:tcW w:w="1129" w:type="dxa"/>
          </w:tcPr>
          <w:p w14:paraId="4A1C9F8D" w14:textId="77777777" w:rsidR="004E5B84" w:rsidRPr="00962CCF" w:rsidRDefault="004E5B84" w:rsidP="00962CCF">
            <w:pPr>
              <w:jc w:val="center"/>
              <w:rPr>
                <w:rFonts w:ascii="Arial Narrow" w:hAnsi="Arial Narrow" w:cs="Open Sans"/>
                <w:color w:val="333333"/>
                <w:sz w:val="20"/>
                <w:szCs w:val="20"/>
              </w:rPr>
            </w:pPr>
          </w:p>
        </w:tc>
        <w:tc>
          <w:tcPr>
            <w:tcW w:w="8080" w:type="dxa"/>
            <w:gridSpan w:val="6"/>
          </w:tcPr>
          <w:p w14:paraId="4721CD6C" w14:textId="77777777" w:rsidR="004E5B84" w:rsidRPr="00962CCF" w:rsidRDefault="004E5B84" w:rsidP="00B43184">
            <w:pPr>
              <w:ind w:left="-57"/>
              <w:rPr>
                <w:rFonts w:ascii="Arial Narrow" w:hAnsi="Arial Narrow"/>
                <w:sz w:val="18"/>
                <w:szCs w:val="18"/>
              </w:rPr>
            </w:pPr>
            <w:r w:rsidRPr="00962CCF">
              <w:rPr>
                <w:rFonts w:ascii="Arial Narrow" w:hAnsi="Arial Narrow"/>
                <w:b/>
                <w:bCs/>
                <w:sz w:val="18"/>
                <w:szCs w:val="18"/>
              </w:rPr>
              <w:t>Administrative Advice:</w:t>
            </w:r>
          </w:p>
          <w:p w14:paraId="76D282F8"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r w:rsidRPr="00962CCF">
              <w:rPr>
                <w:rFonts w:ascii="Arial Narrow" w:hAnsi="Arial Narrow" w:cs="Open Sans"/>
                <w:color w:val="333333"/>
                <w:sz w:val="18"/>
                <w:szCs w:val="18"/>
                <w:bdr w:val="none" w:sz="0" w:space="0" w:color="auto" w:frame="1"/>
              </w:rPr>
              <w:t>The prescriber completing this authority application must be a specialist medical practitioner of the type specified in the restriction.</w:t>
            </w:r>
          </w:p>
        </w:tc>
      </w:tr>
      <w:tr w:rsidR="004E5B84" w:rsidRPr="00962CCF" w14:paraId="5F2B2025" w14:textId="77777777" w:rsidTr="00962CCF">
        <w:trPr>
          <w:trHeight w:val="20"/>
        </w:trPr>
        <w:tc>
          <w:tcPr>
            <w:tcW w:w="9209" w:type="dxa"/>
            <w:gridSpan w:val="7"/>
          </w:tcPr>
          <w:p w14:paraId="219EABA2" w14:textId="77777777" w:rsidR="004E5B84" w:rsidRPr="00962CCF" w:rsidRDefault="004E5B84" w:rsidP="00B43184">
            <w:pPr>
              <w:textAlignment w:val="baseline"/>
              <w:rPr>
                <w:rFonts w:ascii="Arial Narrow" w:hAnsi="Arial Narrow" w:cs="Open Sans"/>
                <w:b/>
                <w:bCs/>
                <w:color w:val="333333"/>
                <w:sz w:val="18"/>
                <w:szCs w:val="18"/>
                <w:bdr w:val="none" w:sz="0" w:space="0" w:color="auto" w:frame="1"/>
              </w:rPr>
            </w:pPr>
          </w:p>
        </w:tc>
      </w:tr>
      <w:tr w:rsidR="004E5B84" w:rsidRPr="00962CCF" w14:paraId="5A2ADCB1" w14:textId="77777777" w:rsidTr="00962CCF">
        <w:tblPrEx>
          <w:tblLook w:val="04A0" w:firstRow="1" w:lastRow="0" w:firstColumn="1" w:lastColumn="0" w:noHBand="0" w:noVBand="1"/>
        </w:tblPrEx>
        <w:trPr>
          <w:trHeight w:val="20"/>
        </w:trPr>
        <w:tc>
          <w:tcPr>
            <w:tcW w:w="9209" w:type="dxa"/>
            <w:gridSpan w:val="7"/>
          </w:tcPr>
          <w:p w14:paraId="147D116C" w14:textId="1934201E" w:rsidR="004E5B84" w:rsidRPr="00962CCF" w:rsidRDefault="004E5B84" w:rsidP="00B43184">
            <w:pPr>
              <w:ind w:left="-57"/>
              <w:rPr>
                <w:rFonts w:ascii="Arial Narrow" w:hAnsi="Arial Narrow"/>
                <w:b/>
                <w:sz w:val="18"/>
                <w:szCs w:val="18"/>
              </w:rPr>
            </w:pPr>
            <w:r w:rsidRPr="00962CCF">
              <w:rPr>
                <w:rFonts w:ascii="Arial Narrow" w:hAnsi="Arial Narrow"/>
                <w:b/>
                <w:sz w:val="18"/>
                <w:szCs w:val="18"/>
              </w:rPr>
              <w:t xml:space="preserve">Restriction Summary / Treatment of </w:t>
            </w:r>
            <w:proofErr w:type="gramStart"/>
            <w:r w:rsidRPr="00962CCF">
              <w:rPr>
                <w:rFonts w:ascii="Arial Narrow" w:hAnsi="Arial Narrow"/>
                <w:b/>
                <w:sz w:val="18"/>
                <w:szCs w:val="18"/>
              </w:rPr>
              <w:t>Concept::</w:t>
            </w:r>
            <w:proofErr w:type="gramEnd"/>
            <w:r w:rsidRPr="00962CCF">
              <w:rPr>
                <w:rFonts w:ascii="Arial Narrow" w:hAnsi="Arial Narrow"/>
                <w:b/>
                <w:sz w:val="18"/>
                <w:szCs w:val="18"/>
              </w:rPr>
              <w:t xml:space="preserve"> Authority Required</w:t>
            </w:r>
            <w:r w:rsidRPr="00962CCF">
              <w:rPr>
                <w:rFonts w:ascii="Arial Narrow" w:hAnsi="Arial Narrow"/>
                <w:bCs/>
                <w:sz w:val="18"/>
                <w:szCs w:val="18"/>
              </w:rPr>
              <w:t xml:space="preserve"> </w:t>
            </w:r>
          </w:p>
          <w:p w14:paraId="1D1217E1"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962CCF" w14:paraId="54A10F81" w14:textId="77777777" w:rsidTr="00962CCF">
        <w:tblPrEx>
          <w:tblLook w:val="04A0" w:firstRow="1" w:lastRow="0" w:firstColumn="1" w:lastColumn="0" w:noHBand="0" w:noVBand="1"/>
        </w:tblPrEx>
        <w:trPr>
          <w:trHeight w:val="20"/>
        </w:trPr>
        <w:tc>
          <w:tcPr>
            <w:tcW w:w="1129" w:type="dxa"/>
          </w:tcPr>
          <w:p w14:paraId="396156DB" w14:textId="7FC0E8ED"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64DE041"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 xml:space="preserve">Indication: </w:t>
            </w:r>
            <w:r w:rsidRPr="00962CCF">
              <w:rPr>
                <w:rFonts w:ascii="Arial Narrow" w:hAnsi="Arial Narrow" w:cs="Open Sans"/>
                <w:color w:val="333333"/>
                <w:sz w:val="18"/>
                <w:szCs w:val="18"/>
              </w:rPr>
              <w:t>Severe Crohn disease</w:t>
            </w:r>
          </w:p>
        </w:tc>
      </w:tr>
      <w:tr w:rsidR="004E5B84" w:rsidRPr="00962CCF" w14:paraId="45F141F4" w14:textId="77777777" w:rsidTr="00962CCF">
        <w:tblPrEx>
          <w:tblLook w:val="04A0" w:firstRow="1" w:lastRow="0" w:firstColumn="1" w:lastColumn="0" w:noHBand="0" w:noVBand="1"/>
        </w:tblPrEx>
        <w:trPr>
          <w:trHeight w:val="20"/>
        </w:trPr>
        <w:tc>
          <w:tcPr>
            <w:tcW w:w="1129" w:type="dxa"/>
          </w:tcPr>
          <w:p w14:paraId="41DCA54D"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48BE41DB"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962CCF" w14:paraId="0CE26428" w14:textId="77777777" w:rsidTr="00962CCF">
        <w:tblPrEx>
          <w:tblLook w:val="04A0" w:firstRow="1" w:lastRow="0" w:firstColumn="1" w:lastColumn="0" w:noHBand="0" w:noVBand="1"/>
        </w:tblPrEx>
        <w:trPr>
          <w:trHeight w:val="20"/>
        </w:trPr>
        <w:tc>
          <w:tcPr>
            <w:tcW w:w="1129" w:type="dxa"/>
          </w:tcPr>
          <w:p w14:paraId="537C0DD9" w14:textId="77777777" w:rsidR="004E5B84" w:rsidRPr="00962CCF" w:rsidRDefault="004E5B84" w:rsidP="00B43184">
            <w:pPr>
              <w:jc w:val="center"/>
              <w:rPr>
                <w:rFonts w:ascii="Arial Narrow" w:hAnsi="Arial Narrow" w:cs="Open Sans"/>
                <w:color w:val="333333"/>
                <w:sz w:val="20"/>
                <w:szCs w:val="20"/>
              </w:rPr>
            </w:pPr>
          </w:p>
        </w:tc>
        <w:tc>
          <w:tcPr>
            <w:tcW w:w="8080" w:type="dxa"/>
            <w:gridSpan w:val="6"/>
            <w:hideMark/>
          </w:tcPr>
          <w:p w14:paraId="592C205D"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 xml:space="preserve">Treatment Phase: </w:t>
            </w:r>
            <w:r w:rsidRPr="00962CCF">
              <w:rPr>
                <w:rFonts w:ascii="Arial Narrow" w:hAnsi="Arial Narrow" w:cs="Open Sans"/>
                <w:color w:val="333333"/>
                <w:sz w:val="18"/>
                <w:szCs w:val="18"/>
              </w:rPr>
              <w:t xml:space="preserve">Continuing (maintenance) treatment </w:t>
            </w:r>
          </w:p>
        </w:tc>
      </w:tr>
      <w:tr w:rsidR="004E5B84" w:rsidRPr="00962CCF" w14:paraId="173B6CED" w14:textId="77777777" w:rsidTr="00962CCF">
        <w:tblPrEx>
          <w:tblLook w:val="04A0" w:firstRow="1" w:lastRow="0" w:firstColumn="1" w:lastColumn="0" w:noHBand="0" w:noVBand="1"/>
        </w:tblPrEx>
        <w:trPr>
          <w:trHeight w:val="20"/>
        </w:trPr>
        <w:tc>
          <w:tcPr>
            <w:tcW w:w="1129" w:type="dxa"/>
          </w:tcPr>
          <w:p w14:paraId="64291A3C" w14:textId="77777777" w:rsidR="004E5B84" w:rsidRPr="00962CCF" w:rsidRDefault="004E5B84" w:rsidP="00B43184">
            <w:pPr>
              <w:jc w:val="center"/>
              <w:rPr>
                <w:rFonts w:ascii="Arial Narrow" w:hAnsi="Arial Narrow" w:cs="Open Sans"/>
                <w:color w:val="333333"/>
                <w:sz w:val="20"/>
                <w:szCs w:val="20"/>
              </w:rPr>
            </w:pPr>
          </w:p>
        </w:tc>
        <w:tc>
          <w:tcPr>
            <w:tcW w:w="8080" w:type="dxa"/>
            <w:gridSpan w:val="6"/>
          </w:tcPr>
          <w:p w14:paraId="17E0697C"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962CCF" w14:paraId="2AF68D99" w14:textId="77777777" w:rsidTr="00962CCF">
        <w:tblPrEx>
          <w:tblLook w:val="04A0" w:firstRow="1" w:lastRow="0" w:firstColumn="1" w:lastColumn="0" w:noHBand="0" w:noVBand="1"/>
        </w:tblPrEx>
        <w:trPr>
          <w:trHeight w:val="20"/>
        </w:trPr>
        <w:tc>
          <w:tcPr>
            <w:tcW w:w="1129" w:type="dxa"/>
          </w:tcPr>
          <w:p w14:paraId="5DCE8062" w14:textId="26B4B79F"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562029F5"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Treatment criteria:</w:t>
            </w:r>
          </w:p>
        </w:tc>
      </w:tr>
      <w:tr w:rsidR="004E5B84" w:rsidRPr="00962CCF" w14:paraId="0F959919" w14:textId="77777777" w:rsidTr="00962CCF">
        <w:tblPrEx>
          <w:tblLook w:val="04A0" w:firstRow="1" w:lastRow="0" w:firstColumn="1" w:lastColumn="0" w:noHBand="0" w:noVBand="1"/>
        </w:tblPrEx>
        <w:trPr>
          <w:trHeight w:val="20"/>
        </w:trPr>
        <w:tc>
          <w:tcPr>
            <w:tcW w:w="1129" w:type="dxa"/>
          </w:tcPr>
          <w:p w14:paraId="4FA2E825" w14:textId="7DF51B69"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37B0AACF"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gastroenterologist (code 87); or</w:t>
            </w:r>
          </w:p>
        </w:tc>
      </w:tr>
      <w:tr w:rsidR="004E5B84" w:rsidRPr="00962CCF" w14:paraId="5F8DFB60" w14:textId="77777777" w:rsidTr="00962CCF">
        <w:tblPrEx>
          <w:tblLook w:val="04A0" w:firstRow="1" w:lastRow="0" w:firstColumn="1" w:lastColumn="0" w:noHBand="0" w:noVBand="1"/>
        </w:tblPrEx>
        <w:trPr>
          <w:trHeight w:val="20"/>
        </w:trPr>
        <w:tc>
          <w:tcPr>
            <w:tcW w:w="1129" w:type="dxa"/>
          </w:tcPr>
          <w:p w14:paraId="791F1C03" w14:textId="3F298461"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39828751"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[internal medicine specialising in gastroenterology (code 81)]; or</w:t>
            </w:r>
          </w:p>
        </w:tc>
      </w:tr>
      <w:tr w:rsidR="004E5B84" w:rsidRPr="00962CCF" w14:paraId="732EA20D" w14:textId="77777777" w:rsidTr="00962CCF">
        <w:tblPrEx>
          <w:tblLook w:val="04A0" w:firstRow="1" w:lastRow="0" w:firstColumn="1" w:lastColumn="0" w:noHBand="0" w:noVBand="1"/>
        </w:tblPrEx>
        <w:trPr>
          <w:trHeight w:val="20"/>
        </w:trPr>
        <w:tc>
          <w:tcPr>
            <w:tcW w:w="1129" w:type="dxa"/>
          </w:tcPr>
          <w:p w14:paraId="64F1809E" w14:textId="36C8532F"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1FE01913"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[general medicine specialising in gastroenterology (code 82)]</w:t>
            </w:r>
          </w:p>
        </w:tc>
      </w:tr>
      <w:tr w:rsidR="004E5B84" w:rsidRPr="00962CCF" w14:paraId="30CEDC31" w14:textId="77777777" w:rsidTr="00962CCF">
        <w:tblPrEx>
          <w:tblLook w:val="04A0" w:firstRow="1" w:lastRow="0" w:firstColumn="1" w:lastColumn="0" w:noHBand="0" w:noVBand="1"/>
        </w:tblPrEx>
        <w:trPr>
          <w:trHeight w:val="20"/>
        </w:trPr>
        <w:tc>
          <w:tcPr>
            <w:tcW w:w="1129" w:type="dxa"/>
          </w:tcPr>
          <w:p w14:paraId="5F0BB6BF"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5F6E9820" w14:textId="77777777" w:rsidR="004E5B84" w:rsidRPr="00962CCF" w:rsidRDefault="004E5B84" w:rsidP="00B43184">
            <w:pPr>
              <w:ind w:left="-57"/>
              <w:rPr>
                <w:rFonts w:ascii="Arial Narrow" w:hAnsi="Arial Narrow" w:cs="Open Sans"/>
                <w:color w:val="333333"/>
                <w:sz w:val="18"/>
                <w:szCs w:val="18"/>
              </w:rPr>
            </w:pPr>
          </w:p>
        </w:tc>
      </w:tr>
      <w:tr w:rsidR="004E5B84" w:rsidRPr="00962CCF" w14:paraId="4C40337A" w14:textId="77777777" w:rsidTr="00962CCF">
        <w:tblPrEx>
          <w:tblLook w:val="04A0" w:firstRow="1" w:lastRow="0" w:firstColumn="1" w:lastColumn="0" w:noHBand="0" w:noVBand="1"/>
        </w:tblPrEx>
        <w:trPr>
          <w:trHeight w:val="20"/>
        </w:trPr>
        <w:tc>
          <w:tcPr>
            <w:tcW w:w="1129" w:type="dxa"/>
          </w:tcPr>
          <w:p w14:paraId="0AE2121B" w14:textId="3E2BF2AA"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1DDD422B"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962CCF" w14:paraId="3A69963E" w14:textId="77777777" w:rsidTr="00962CCF">
        <w:tblPrEx>
          <w:tblLook w:val="04A0" w:firstRow="1" w:lastRow="0" w:firstColumn="1" w:lastColumn="0" w:noHBand="0" w:noVBand="1"/>
        </w:tblPrEx>
        <w:trPr>
          <w:trHeight w:val="20"/>
        </w:trPr>
        <w:tc>
          <w:tcPr>
            <w:tcW w:w="1129" w:type="dxa"/>
          </w:tcPr>
          <w:p w14:paraId="5603B094" w14:textId="37092D43"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699EEC3"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received this drug as their most recent course of PBS-subsidised biological medicine treatment for this condition</w:t>
            </w:r>
          </w:p>
        </w:tc>
      </w:tr>
      <w:tr w:rsidR="004E5B84" w:rsidRPr="00962CCF" w14:paraId="11638BDA" w14:textId="77777777" w:rsidTr="00962CCF">
        <w:tblPrEx>
          <w:tblLook w:val="04A0" w:firstRow="1" w:lastRow="0" w:firstColumn="1" w:lastColumn="0" w:noHBand="0" w:noVBand="1"/>
        </w:tblPrEx>
        <w:trPr>
          <w:trHeight w:val="20"/>
        </w:trPr>
        <w:tc>
          <w:tcPr>
            <w:tcW w:w="1129" w:type="dxa"/>
          </w:tcPr>
          <w:p w14:paraId="7FB59579" w14:textId="77777777" w:rsidR="004E5B84" w:rsidRPr="00962CCF" w:rsidRDefault="004E5B84" w:rsidP="00B43184">
            <w:pPr>
              <w:jc w:val="center"/>
              <w:rPr>
                <w:rFonts w:ascii="Arial Narrow" w:hAnsi="Arial Narrow" w:cs="Open Sans"/>
                <w:color w:val="333333"/>
                <w:sz w:val="20"/>
                <w:szCs w:val="20"/>
              </w:rPr>
            </w:pPr>
          </w:p>
        </w:tc>
        <w:tc>
          <w:tcPr>
            <w:tcW w:w="8080" w:type="dxa"/>
            <w:gridSpan w:val="6"/>
            <w:hideMark/>
          </w:tcPr>
          <w:p w14:paraId="743431B3"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AND</w:t>
            </w:r>
          </w:p>
        </w:tc>
      </w:tr>
      <w:tr w:rsidR="004E5B84" w:rsidRPr="00962CCF" w14:paraId="441FA77E" w14:textId="77777777" w:rsidTr="00962CCF">
        <w:tblPrEx>
          <w:tblLook w:val="04A0" w:firstRow="1" w:lastRow="0" w:firstColumn="1" w:lastColumn="0" w:noHBand="0" w:noVBand="1"/>
        </w:tblPrEx>
        <w:trPr>
          <w:trHeight w:val="20"/>
        </w:trPr>
        <w:tc>
          <w:tcPr>
            <w:tcW w:w="1129" w:type="dxa"/>
          </w:tcPr>
          <w:p w14:paraId="32F8EC5C"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129047D0"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962CCF" w14:paraId="15BEB6E8" w14:textId="77777777" w:rsidTr="00962CCF">
        <w:tblPrEx>
          <w:tblLook w:val="04A0" w:firstRow="1" w:lastRow="0" w:firstColumn="1" w:lastColumn="0" w:noHBand="0" w:noVBand="1"/>
        </w:tblPrEx>
        <w:trPr>
          <w:trHeight w:val="20"/>
        </w:trPr>
        <w:tc>
          <w:tcPr>
            <w:tcW w:w="1129" w:type="dxa"/>
          </w:tcPr>
          <w:p w14:paraId="0D6957B5" w14:textId="761A4472"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1D566072"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an adequate response to this drug defined as a reduction in Crohn Disease Activity Index (CDAI) Score to a level no greater than 150 if assessed by CDAI or if affected by extensive small intestine disease; or</w:t>
            </w:r>
          </w:p>
        </w:tc>
      </w:tr>
      <w:tr w:rsidR="004E5B84" w:rsidRPr="00962CCF" w14:paraId="14909F97" w14:textId="77777777" w:rsidTr="00962CCF">
        <w:tblPrEx>
          <w:tblLook w:val="04A0" w:firstRow="1" w:lastRow="0" w:firstColumn="1" w:lastColumn="0" w:noHBand="0" w:noVBand="1"/>
        </w:tblPrEx>
        <w:trPr>
          <w:trHeight w:val="20"/>
        </w:trPr>
        <w:tc>
          <w:tcPr>
            <w:tcW w:w="1129" w:type="dxa"/>
          </w:tcPr>
          <w:p w14:paraId="03833DF9" w14:textId="68C0B2D6"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5CED3ED7"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or</w:t>
            </w:r>
          </w:p>
        </w:tc>
      </w:tr>
      <w:tr w:rsidR="004E5B84" w:rsidRPr="00962CCF" w14:paraId="18933803" w14:textId="77777777" w:rsidTr="00962CCF">
        <w:tblPrEx>
          <w:tblLook w:val="04A0" w:firstRow="1" w:lastRow="0" w:firstColumn="1" w:lastColumn="0" w:noHBand="0" w:noVBand="1"/>
        </w:tblPrEx>
        <w:trPr>
          <w:trHeight w:val="20"/>
        </w:trPr>
        <w:tc>
          <w:tcPr>
            <w:tcW w:w="1129" w:type="dxa"/>
          </w:tcPr>
          <w:p w14:paraId="0B472366" w14:textId="4399AB76"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4325B4BB"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The condition must have not met the improvements specified above due to the prescribed dose being too low – this authority application seeks higher dosing</w:t>
            </w:r>
          </w:p>
        </w:tc>
      </w:tr>
      <w:tr w:rsidR="004E5B84" w:rsidRPr="00962CCF" w14:paraId="7C650EA1" w14:textId="77777777" w:rsidTr="00962CCF">
        <w:tblPrEx>
          <w:tblLook w:val="04A0" w:firstRow="1" w:lastRow="0" w:firstColumn="1" w:lastColumn="0" w:noHBand="0" w:noVBand="1"/>
        </w:tblPrEx>
        <w:trPr>
          <w:trHeight w:val="20"/>
        </w:trPr>
        <w:tc>
          <w:tcPr>
            <w:tcW w:w="1129" w:type="dxa"/>
          </w:tcPr>
          <w:p w14:paraId="62D888E7"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28090081" w14:textId="77777777" w:rsidR="004E5B84" w:rsidRPr="00962CCF" w:rsidRDefault="004E5B84" w:rsidP="00B43184">
            <w:pPr>
              <w:ind w:left="-57"/>
              <w:rPr>
                <w:rFonts w:ascii="Arial Narrow" w:hAnsi="Arial Narrow" w:cs="Open Sans"/>
                <w:color w:val="333333"/>
                <w:sz w:val="18"/>
                <w:szCs w:val="18"/>
              </w:rPr>
            </w:pPr>
          </w:p>
        </w:tc>
      </w:tr>
      <w:tr w:rsidR="004E5B84" w:rsidRPr="00962CCF" w14:paraId="3B6F6E13" w14:textId="77777777" w:rsidTr="00962CCF">
        <w:tblPrEx>
          <w:tblLook w:val="04A0" w:firstRow="1" w:lastRow="0" w:firstColumn="1" w:lastColumn="0" w:noHBand="0" w:noVBand="1"/>
        </w:tblPrEx>
        <w:trPr>
          <w:trHeight w:val="20"/>
        </w:trPr>
        <w:tc>
          <w:tcPr>
            <w:tcW w:w="1129" w:type="dxa"/>
          </w:tcPr>
          <w:p w14:paraId="4BEF386A" w14:textId="7953A109"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33541326"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Population criteria:</w:t>
            </w:r>
          </w:p>
        </w:tc>
      </w:tr>
      <w:tr w:rsidR="004E5B84" w:rsidRPr="00962CCF" w14:paraId="01BB4475" w14:textId="77777777" w:rsidTr="00962CCF">
        <w:tblPrEx>
          <w:tblLook w:val="04A0" w:firstRow="1" w:lastRow="0" w:firstColumn="1" w:lastColumn="0" w:noHBand="0" w:noVBand="1"/>
        </w:tblPrEx>
        <w:trPr>
          <w:trHeight w:val="20"/>
        </w:trPr>
        <w:tc>
          <w:tcPr>
            <w:tcW w:w="1129" w:type="dxa"/>
          </w:tcPr>
          <w:p w14:paraId="3CDE9D81" w14:textId="1855C7F0"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434D2618"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be at least 18 years of age</w:t>
            </w:r>
          </w:p>
        </w:tc>
      </w:tr>
      <w:tr w:rsidR="004E5B84" w:rsidRPr="00962CCF" w14:paraId="3EA297EE" w14:textId="77777777" w:rsidTr="00962CCF">
        <w:tblPrEx>
          <w:tblLook w:val="04A0" w:firstRow="1" w:lastRow="0" w:firstColumn="1" w:lastColumn="0" w:noHBand="0" w:noVBand="1"/>
        </w:tblPrEx>
        <w:trPr>
          <w:trHeight w:val="20"/>
        </w:trPr>
        <w:tc>
          <w:tcPr>
            <w:tcW w:w="1129" w:type="dxa"/>
          </w:tcPr>
          <w:p w14:paraId="083DF8E6"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4C825278" w14:textId="77777777" w:rsidR="004E5B84" w:rsidRPr="00962CCF" w:rsidRDefault="004E5B84" w:rsidP="00B43184">
            <w:pPr>
              <w:ind w:left="-57"/>
              <w:rPr>
                <w:rFonts w:ascii="Arial Narrow" w:hAnsi="Arial Narrow" w:cs="Open Sans"/>
                <w:color w:val="333333"/>
                <w:sz w:val="18"/>
                <w:szCs w:val="18"/>
              </w:rPr>
            </w:pPr>
          </w:p>
        </w:tc>
      </w:tr>
      <w:tr w:rsidR="004E5B84" w:rsidRPr="00962CCF" w14:paraId="11CFA6C2" w14:textId="77777777" w:rsidTr="00962CCF">
        <w:tblPrEx>
          <w:tblLook w:val="04A0" w:firstRow="1" w:lastRow="0" w:firstColumn="1" w:lastColumn="0" w:noHBand="0" w:noVBand="1"/>
        </w:tblPrEx>
        <w:trPr>
          <w:trHeight w:val="20"/>
        </w:trPr>
        <w:tc>
          <w:tcPr>
            <w:tcW w:w="1129" w:type="dxa"/>
          </w:tcPr>
          <w:p w14:paraId="55BC274B" w14:textId="207EE7F6"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2E3C40E3" w14:textId="77777777" w:rsidR="004E5B84" w:rsidRPr="00962CCF" w:rsidRDefault="004E5B84" w:rsidP="00B43184">
            <w:pPr>
              <w:ind w:left="-57"/>
              <w:rPr>
                <w:rFonts w:ascii="Arial Narrow" w:hAnsi="Arial Narrow" w:cs="Arial Narrow"/>
                <w:b/>
                <w:iCs/>
                <w:sz w:val="18"/>
                <w:szCs w:val="18"/>
              </w:rPr>
            </w:pPr>
            <w:r w:rsidRPr="00962CCF">
              <w:rPr>
                <w:rFonts w:ascii="Arial Narrow" w:hAnsi="Arial Narrow" w:cs="Arial Narrow"/>
                <w:b/>
                <w:iCs/>
                <w:sz w:val="18"/>
                <w:szCs w:val="18"/>
              </w:rPr>
              <w:t>Prescribing Instructions:</w:t>
            </w:r>
          </w:p>
          <w:p w14:paraId="589219BB" w14:textId="77777777" w:rsidR="004E5B84" w:rsidRPr="00962CCF" w:rsidRDefault="004E5B84" w:rsidP="00B43184">
            <w:pPr>
              <w:ind w:left="-57"/>
              <w:rPr>
                <w:rFonts w:ascii="Arial Narrow" w:hAnsi="Arial Narrow"/>
                <w:sz w:val="18"/>
                <w:szCs w:val="18"/>
              </w:rPr>
            </w:pPr>
            <w:r w:rsidRPr="00962CCF">
              <w:rPr>
                <w:rFonts w:ascii="Arial Narrow" w:hAnsi="Arial Narrow"/>
                <w:sz w:val="18"/>
                <w:szCs w:val="18"/>
              </w:rPr>
              <w:t>The authority application must be made in writing and must include:</w:t>
            </w:r>
          </w:p>
          <w:p w14:paraId="77F20FE5" w14:textId="77777777" w:rsidR="004E5B84" w:rsidRPr="00962CCF" w:rsidRDefault="004E5B84" w:rsidP="00B43184">
            <w:pPr>
              <w:ind w:left="-57"/>
              <w:rPr>
                <w:rFonts w:ascii="Arial Narrow" w:hAnsi="Arial Narrow"/>
                <w:sz w:val="18"/>
                <w:szCs w:val="18"/>
              </w:rPr>
            </w:pPr>
            <w:r w:rsidRPr="00962CCF">
              <w:rPr>
                <w:rFonts w:ascii="Arial Narrow" w:hAnsi="Arial Narrow"/>
                <w:sz w:val="18"/>
                <w:szCs w:val="18"/>
              </w:rPr>
              <w:t>(1) a completed authority prescription form; and</w:t>
            </w:r>
          </w:p>
          <w:p w14:paraId="1C58B2CA"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sz w:val="18"/>
                <w:szCs w:val="18"/>
              </w:rPr>
              <w:t>(2) a completed authority application form relevant to the indication and treatment phase (the latest version is located on the website specified in the Administrative Advice).</w:t>
            </w:r>
          </w:p>
        </w:tc>
      </w:tr>
      <w:tr w:rsidR="004E5B84" w:rsidRPr="00962CCF" w14:paraId="18E5A33A" w14:textId="77777777" w:rsidTr="00962CCF">
        <w:tblPrEx>
          <w:tblLook w:val="04A0" w:firstRow="1" w:lastRow="0" w:firstColumn="1" w:lastColumn="0" w:noHBand="0" w:noVBand="1"/>
        </w:tblPrEx>
        <w:trPr>
          <w:trHeight w:val="20"/>
        </w:trPr>
        <w:tc>
          <w:tcPr>
            <w:tcW w:w="1129" w:type="dxa"/>
          </w:tcPr>
          <w:p w14:paraId="778A877E" w14:textId="68BC3119"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187CE1D0"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09EFB7EA"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In relation to the immediately preceding supply of this biological medicine, provide at least one of the following which is not more than 4 weeks from the last administered dose:</w:t>
            </w:r>
          </w:p>
          <w:p w14:paraId="4C6F4D32"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 the Crohn Disease Activity Index (CDAI) score, including the date the score was calculated on; or</w:t>
            </w:r>
          </w:p>
          <w:p w14:paraId="64F1520D"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 xml:space="preserve">(ii) the unique serial/identifying number and date(s) of pathology or diagnostic imaging test(s) used to assess response to therapy for patients with short gut syndrome, extensive small intestine disease or an ostomy, if relevant; </w:t>
            </w:r>
          </w:p>
        </w:tc>
      </w:tr>
      <w:tr w:rsidR="004E5B84" w:rsidRPr="00962CCF" w14:paraId="365A9EAE" w14:textId="77777777" w:rsidTr="00962CCF">
        <w:tblPrEx>
          <w:tblLook w:val="04A0" w:firstRow="1" w:lastRow="0" w:firstColumn="1" w:lastColumn="0" w:noHBand="0" w:noVBand="1"/>
        </w:tblPrEx>
        <w:trPr>
          <w:trHeight w:val="20"/>
        </w:trPr>
        <w:tc>
          <w:tcPr>
            <w:tcW w:w="9209" w:type="dxa"/>
            <w:gridSpan w:val="7"/>
          </w:tcPr>
          <w:p w14:paraId="542BFB75" w14:textId="77777777" w:rsidR="004E5B84" w:rsidRPr="00962CCF" w:rsidRDefault="004E5B84" w:rsidP="00B43184">
            <w:pPr>
              <w:ind w:left="-57"/>
              <w:textAlignment w:val="baseline"/>
              <w:rPr>
                <w:rFonts w:ascii="Arial Narrow" w:hAnsi="Arial Narrow" w:cs="Open Sans"/>
                <w:color w:val="333333"/>
                <w:sz w:val="18"/>
                <w:szCs w:val="18"/>
              </w:rPr>
            </w:pPr>
          </w:p>
        </w:tc>
      </w:tr>
      <w:tr w:rsidR="004E5B84" w:rsidRPr="00962CCF" w14:paraId="5E169669" w14:textId="77777777" w:rsidTr="00962CCF">
        <w:tblPrEx>
          <w:tblLook w:val="04A0" w:firstRow="1" w:lastRow="0" w:firstColumn="1" w:lastColumn="0" w:noHBand="0" w:noVBand="1"/>
        </w:tblPrEx>
        <w:trPr>
          <w:trHeight w:val="20"/>
        </w:trPr>
        <w:tc>
          <w:tcPr>
            <w:tcW w:w="9209" w:type="dxa"/>
            <w:gridSpan w:val="7"/>
          </w:tcPr>
          <w:p w14:paraId="4D86579F" w14:textId="761ED753"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r w:rsidRPr="00962CCF">
              <w:rPr>
                <w:rFonts w:ascii="Arial Narrow" w:hAnsi="Arial Narrow" w:cs="Open Sans"/>
                <w:b/>
                <w:bCs/>
                <w:color w:val="333333"/>
                <w:sz w:val="18"/>
                <w:szCs w:val="18"/>
                <w:bdr w:val="none" w:sz="0" w:space="0" w:color="auto" w:frame="1"/>
              </w:rPr>
              <w:t>Restriction Summary / Treatment of Concept</w:t>
            </w:r>
            <w:r w:rsidR="00962CCF" w:rsidRPr="00962CCF">
              <w:rPr>
                <w:rFonts w:ascii="Arial Narrow" w:hAnsi="Arial Narrow" w:cs="Open Sans"/>
                <w:b/>
                <w:bCs/>
                <w:color w:val="333333"/>
                <w:sz w:val="18"/>
                <w:szCs w:val="18"/>
                <w:bdr w:val="none" w:sz="0" w:space="0" w:color="auto" w:frame="1"/>
              </w:rPr>
              <w:t xml:space="preserve">; </w:t>
            </w:r>
            <w:r w:rsidRPr="00962CCF">
              <w:rPr>
                <w:rFonts w:ascii="Arial Narrow" w:hAnsi="Arial Narrow" w:cs="Open Sans"/>
                <w:b/>
                <w:bCs/>
                <w:color w:val="333333"/>
                <w:sz w:val="18"/>
                <w:szCs w:val="18"/>
                <w:bdr w:val="none" w:sz="0" w:space="0" w:color="auto" w:frame="1"/>
              </w:rPr>
              <w:t>Authority Required</w:t>
            </w:r>
          </w:p>
          <w:p w14:paraId="35DC4382"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962CCF" w14:paraId="47E85555" w14:textId="77777777" w:rsidTr="00962CCF">
        <w:tblPrEx>
          <w:tblLook w:val="04A0" w:firstRow="1" w:lastRow="0" w:firstColumn="1" w:lastColumn="0" w:noHBand="0" w:noVBand="1"/>
        </w:tblPrEx>
        <w:trPr>
          <w:trHeight w:val="20"/>
        </w:trPr>
        <w:tc>
          <w:tcPr>
            <w:tcW w:w="1129" w:type="dxa"/>
          </w:tcPr>
          <w:p w14:paraId="23951F3A" w14:textId="183776C1"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ADBA8D2"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 xml:space="preserve">Indication: </w:t>
            </w:r>
            <w:r w:rsidRPr="00962CCF">
              <w:rPr>
                <w:rFonts w:ascii="Arial Narrow" w:hAnsi="Arial Narrow" w:cs="Open Sans"/>
                <w:color w:val="333333"/>
                <w:sz w:val="18"/>
                <w:szCs w:val="18"/>
              </w:rPr>
              <w:t>Severe Crohn disease</w:t>
            </w:r>
          </w:p>
        </w:tc>
      </w:tr>
      <w:tr w:rsidR="004E5B84" w:rsidRPr="00962CCF" w14:paraId="463FB944" w14:textId="77777777" w:rsidTr="00962CCF">
        <w:tblPrEx>
          <w:tblLook w:val="04A0" w:firstRow="1" w:lastRow="0" w:firstColumn="1" w:lastColumn="0" w:noHBand="0" w:noVBand="1"/>
        </w:tblPrEx>
        <w:trPr>
          <w:trHeight w:val="20"/>
        </w:trPr>
        <w:tc>
          <w:tcPr>
            <w:tcW w:w="1129" w:type="dxa"/>
          </w:tcPr>
          <w:p w14:paraId="371E7DF0"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27D234C9"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962CCF" w14:paraId="54B39B95" w14:textId="77777777" w:rsidTr="00962CCF">
        <w:tblPrEx>
          <w:tblLook w:val="04A0" w:firstRow="1" w:lastRow="0" w:firstColumn="1" w:lastColumn="0" w:noHBand="0" w:noVBand="1"/>
        </w:tblPrEx>
        <w:trPr>
          <w:trHeight w:val="20"/>
        </w:trPr>
        <w:tc>
          <w:tcPr>
            <w:tcW w:w="1129" w:type="dxa"/>
          </w:tcPr>
          <w:p w14:paraId="15B35307" w14:textId="77777777" w:rsidR="004E5B84" w:rsidRPr="00962CCF" w:rsidRDefault="004E5B84" w:rsidP="00B43184">
            <w:pPr>
              <w:jc w:val="center"/>
              <w:rPr>
                <w:rFonts w:ascii="Arial Narrow" w:hAnsi="Arial Narrow" w:cs="Open Sans"/>
                <w:color w:val="333333"/>
                <w:sz w:val="20"/>
                <w:szCs w:val="20"/>
              </w:rPr>
            </w:pPr>
          </w:p>
        </w:tc>
        <w:tc>
          <w:tcPr>
            <w:tcW w:w="8080" w:type="dxa"/>
            <w:gridSpan w:val="6"/>
            <w:hideMark/>
          </w:tcPr>
          <w:p w14:paraId="1B84E78C"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 xml:space="preserve">Treatment Phase: </w:t>
            </w:r>
            <w:r w:rsidRPr="00962CCF">
              <w:rPr>
                <w:rFonts w:ascii="Arial Narrow" w:hAnsi="Arial Narrow" w:cs="Open Sans"/>
                <w:color w:val="333333"/>
                <w:sz w:val="18"/>
                <w:szCs w:val="18"/>
                <w:bdr w:val="none" w:sz="0" w:space="0" w:color="auto" w:frame="1"/>
              </w:rPr>
              <w:t>Transitioning from non-PBS to PBS-subsidised supply – ‘grandfather’ arrangements</w:t>
            </w:r>
          </w:p>
        </w:tc>
      </w:tr>
      <w:tr w:rsidR="004E5B84" w:rsidRPr="00962CCF" w14:paraId="1A4DD05E" w14:textId="77777777" w:rsidTr="00962CCF">
        <w:tblPrEx>
          <w:tblLook w:val="04A0" w:firstRow="1" w:lastRow="0" w:firstColumn="1" w:lastColumn="0" w:noHBand="0" w:noVBand="1"/>
        </w:tblPrEx>
        <w:trPr>
          <w:trHeight w:val="20"/>
        </w:trPr>
        <w:tc>
          <w:tcPr>
            <w:tcW w:w="1129" w:type="dxa"/>
          </w:tcPr>
          <w:p w14:paraId="0964860A" w14:textId="77777777" w:rsidR="004E5B84" w:rsidRPr="00962CCF" w:rsidRDefault="004E5B84" w:rsidP="00B43184">
            <w:pPr>
              <w:jc w:val="center"/>
              <w:rPr>
                <w:rFonts w:ascii="Arial Narrow" w:hAnsi="Arial Narrow" w:cs="Open Sans"/>
                <w:color w:val="333333"/>
                <w:sz w:val="20"/>
                <w:szCs w:val="20"/>
              </w:rPr>
            </w:pPr>
          </w:p>
        </w:tc>
        <w:tc>
          <w:tcPr>
            <w:tcW w:w="8080" w:type="dxa"/>
            <w:gridSpan w:val="6"/>
          </w:tcPr>
          <w:p w14:paraId="7076D81D"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962CCF" w14:paraId="589C3A0F" w14:textId="77777777" w:rsidTr="00962CCF">
        <w:tblPrEx>
          <w:tblLook w:val="04A0" w:firstRow="1" w:lastRow="0" w:firstColumn="1" w:lastColumn="0" w:noHBand="0" w:noVBand="1"/>
        </w:tblPrEx>
        <w:trPr>
          <w:trHeight w:val="20"/>
        </w:trPr>
        <w:tc>
          <w:tcPr>
            <w:tcW w:w="1129" w:type="dxa"/>
          </w:tcPr>
          <w:p w14:paraId="363F5521"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36B1A88F"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962CCF" w14:paraId="2E9BBFD2" w14:textId="77777777" w:rsidTr="00962CCF">
        <w:tblPrEx>
          <w:tblLook w:val="04A0" w:firstRow="1" w:lastRow="0" w:firstColumn="1" w:lastColumn="0" w:noHBand="0" w:noVBand="1"/>
        </w:tblPrEx>
        <w:trPr>
          <w:trHeight w:val="20"/>
        </w:trPr>
        <w:tc>
          <w:tcPr>
            <w:tcW w:w="1129" w:type="dxa"/>
          </w:tcPr>
          <w:p w14:paraId="7C6C2F8E" w14:textId="22D3774C"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5D69602E"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commenced non-PBS supply prior to [insert listing date here]</w:t>
            </w:r>
          </w:p>
        </w:tc>
      </w:tr>
      <w:tr w:rsidR="004E5B84" w:rsidRPr="00962CCF" w14:paraId="55A79662" w14:textId="77777777" w:rsidTr="00962CCF">
        <w:tblPrEx>
          <w:tblLook w:val="04A0" w:firstRow="1" w:lastRow="0" w:firstColumn="1" w:lastColumn="0" w:noHBand="0" w:noVBand="1"/>
        </w:tblPrEx>
        <w:trPr>
          <w:trHeight w:val="20"/>
        </w:trPr>
        <w:tc>
          <w:tcPr>
            <w:tcW w:w="1129" w:type="dxa"/>
          </w:tcPr>
          <w:p w14:paraId="281A9F7A"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2064CA0A" w14:textId="77777777" w:rsidR="004E5B84" w:rsidRPr="00962CCF" w:rsidRDefault="004E5B84" w:rsidP="00B43184">
            <w:pPr>
              <w:ind w:left="-57"/>
              <w:rPr>
                <w:rFonts w:ascii="Arial Narrow" w:hAnsi="Arial Narrow" w:cs="Open Sans"/>
                <w:b/>
                <w:bCs/>
                <w:color w:val="333333"/>
                <w:sz w:val="18"/>
                <w:szCs w:val="18"/>
              </w:rPr>
            </w:pPr>
            <w:r w:rsidRPr="00962CCF">
              <w:rPr>
                <w:rFonts w:ascii="Arial Narrow" w:hAnsi="Arial Narrow" w:cs="Open Sans"/>
                <w:b/>
                <w:bCs/>
                <w:color w:val="333333"/>
                <w:sz w:val="18"/>
                <w:szCs w:val="18"/>
              </w:rPr>
              <w:t>AND</w:t>
            </w:r>
          </w:p>
        </w:tc>
      </w:tr>
      <w:tr w:rsidR="004E5B84" w:rsidRPr="00962CCF" w14:paraId="5D165898" w14:textId="77777777" w:rsidTr="00962CCF">
        <w:tblPrEx>
          <w:tblLook w:val="04A0" w:firstRow="1" w:lastRow="0" w:firstColumn="1" w:lastColumn="0" w:noHBand="0" w:noVBand="1"/>
        </w:tblPrEx>
        <w:trPr>
          <w:trHeight w:val="20"/>
        </w:trPr>
        <w:tc>
          <w:tcPr>
            <w:tcW w:w="1129" w:type="dxa"/>
          </w:tcPr>
          <w:p w14:paraId="194102A6" w14:textId="25946665"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E0F53FF"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962CCF" w14:paraId="148A8480" w14:textId="77777777" w:rsidTr="00962CCF">
        <w:tblPrEx>
          <w:tblLook w:val="04A0" w:firstRow="1" w:lastRow="0" w:firstColumn="1" w:lastColumn="0" w:noHBand="0" w:noVBand="1"/>
        </w:tblPrEx>
        <w:trPr>
          <w:trHeight w:val="20"/>
        </w:trPr>
        <w:tc>
          <w:tcPr>
            <w:tcW w:w="1129" w:type="dxa"/>
          </w:tcPr>
          <w:p w14:paraId="3D519BE8" w14:textId="4928E49E"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7ED6E134"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confirmed severe Crohn disease, defined by standard clinical, endoscopic and/or imaging features, including histological evidence, with the diagnosis confirmed by a gastroenterologist or a consultant physician</w:t>
            </w:r>
          </w:p>
        </w:tc>
      </w:tr>
      <w:tr w:rsidR="004E5B84" w:rsidRPr="00962CCF" w14:paraId="12F4043B" w14:textId="77777777" w:rsidTr="00962CCF">
        <w:tblPrEx>
          <w:tblLook w:val="04A0" w:firstRow="1" w:lastRow="0" w:firstColumn="1" w:lastColumn="0" w:noHBand="0" w:noVBand="1"/>
        </w:tblPrEx>
        <w:trPr>
          <w:trHeight w:val="20"/>
        </w:trPr>
        <w:tc>
          <w:tcPr>
            <w:tcW w:w="1129" w:type="dxa"/>
          </w:tcPr>
          <w:p w14:paraId="2109D8AD" w14:textId="77777777" w:rsidR="004E5B84" w:rsidRPr="00962CCF" w:rsidRDefault="004E5B84" w:rsidP="00B43184">
            <w:pPr>
              <w:jc w:val="center"/>
              <w:rPr>
                <w:rFonts w:ascii="Arial Narrow" w:hAnsi="Arial Narrow" w:cs="Open Sans"/>
                <w:color w:val="333333"/>
                <w:sz w:val="20"/>
                <w:szCs w:val="20"/>
              </w:rPr>
            </w:pPr>
          </w:p>
        </w:tc>
        <w:tc>
          <w:tcPr>
            <w:tcW w:w="8080" w:type="dxa"/>
            <w:gridSpan w:val="6"/>
            <w:hideMark/>
          </w:tcPr>
          <w:p w14:paraId="11CA24D7"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AND</w:t>
            </w:r>
          </w:p>
        </w:tc>
      </w:tr>
      <w:tr w:rsidR="004E5B84" w:rsidRPr="00962CCF" w14:paraId="44E80E15" w14:textId="77777777" w:rsidTr="00962CCF">
        <w:tblPrEx>
          <w:tblLook w:val="04A0" w:firstRow="1" w:lastRow="0" w:firstColumn="1" w:lastColumn="0" w:noHBand="0" w:noVBand="1"/>
        </w:tblPrEx>
        <w:trPr>
          <w:trHeight w:val="20"/>
        </w:trPr>
        <w:tc>
          <w:tcPr>
            <w:tcW w:w="1129" w:type="dxa"/>
          </w:tcPr>
          <w:p w14:paraId="365300C9" w14:textId="40D75684"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951DF16"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962CCF" w14:paraId="18BF9760" w14:textId="77777777" w:rsidTr="00962CCF">
        <w:tblPrEx>
          <w:tblLook w:val="04A0" w:firstRow="1" w:lastRow="0" w:firstColumn="1" w:lastColumn="0" w:noHBand="0" w:noVBand="1"/>
        </w:tblPrEx>
        <w:trPr>
          <w:trHeight w:val="20"/>
        </w:trPr>
        <w:tc>
          <w:tcPr>
            <w:tcW w:w="1129" w:type="dxa"/>
          </w:tcPr>
          <w:p w14:paraId="15711339" w14:textId="201EECFB"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DFB3226"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 xml:space="preserve">Patient must have failed to achieve an adequate response to prior systemic therapy with a tapered course of steroids, starting at a dose of at least 40 mg prednisolone (or equivalent), over a </w:t>
            </w:r>
            <w:proofErr w:type="gramStart"/>
            <w:r w:rsidRPr="00962CCF">
              <w:rPr>
                <w:rFonts w:ascii="Arial Narrow" w:hAnsi="Arial Narrow" w:cs="Open Sans"/>
                <w:color w:val="333333"/>
                <w:sz w:val="18"/>
                <w:szCs w:val="18"/>
              </w:rPr>
              <w:t>6 week</w:t>
            </w:r>
            <w:proofErr w:type="gramEnd"/>
            <w:r w:rsidRPr="00962CCF">
              <w:rPr>
                <w:rFonts w:ascii="Arial Narrow" w:hAnsi="Arial Narrow" w:cs="Open Sans"/>
                <w:color w:val="333333"/>
                <w:sz w:val="18"/>
                <w:szCs w:val="18"/>
              </w:rPr>
              <w:t xml:space="preserve"> period</w:t>
            </w:r>
          </w:p>
        </w:tc>
      </w:tr>
      <w:tr w:rsidR="004E5B84" w:rsidRPr="00962CCF" w14:paraId="56651DE7" w14:textId="77777777" w:rsidTr="00962CCF">
        <w:tblPrEx>
          <w:tblLook w:val="04A0" w:firstRow="1" w:lastRow="0" w:firstColumn="1" w:lastColumn="0" w:noHBand="0" w:noVBand="1"/>
        </w:tblPrEx>
        <w:trPr>
          <w:trHeight w:val="20"/>
        </w:trPr>
        <w:tc>
          <w:tcPr>
            <w:tcW w:w="1129" w:type="dxa"/>
          </w:tcPr>
          <w:p w14:paraId="091F00DD" w14:textId="77777777" w:rsidR="004E5B84" w:rsidRPr="00962CCF" w:rsidRDefault="004E5B84" w:rsidP="00B43184">
            <w:pPr>
              <w:jc w:val="center"/>
              <w:rPr>
                <w:rFonts w:ascii="Arial Narrow" w:hAnsi="Arial Narrow" w:cs="Open Sans"/>
                <w:color w:val="333333"/>
                <w:sz w:val="20"/>
                <w:szCs w:val="20"/>
              </w:rPr>
            </w:pPr>
          </w:p>
        </w:tc>
        <w:tc>
          <w:tcPr>
            <w:tcW w:w="8080" w:type="dxa"/>
            <w:gridSpan w:val="6"/>
            <w:hideMark/>
          </w:tcPr>
          <w:p w14:paraId="0570E09A"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AND</w:t>
            </w:r>
          </w:p>
        </w:tc>
      </w:tr>
      <w:tr w:rsidR="004E5B84" w:rsidRPr="00962CCF" w14:paraId="781B96F5" w14:textId="77777777" w:rsidTr="00962CCF">
        <w:tblPrEx>
          <w:tblLook w:val="04A0" w:firstRow="1" w:lastRow="0" w:firstColumn="1" w:lastColumn="0" w:noHBand="0" w:noVBand="1"/>
        </w:tblPrEx>
        <w:trPr>
          <w:trHeight w:val="20"/>
        </w:trPr>
        <w:tc>
          <w:tcPr>
            <w:tcW w:w="1129" w:type="dxa"/>
          </w:tcPr>
          <w:p w14:paraId="00391C56" w14:textId="5D7629A8"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A00B48F"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962CCF" w14:paraId="7C5BB92E" w14:textId="77777777" w:rsidTr="00962CCF">
        <w:tblPrEx>
          <w:tblLook w:val="04A0" w:firstRow="1" w:lastRow="0" w:firstColumn="1" w:lastColumn="0" w:noHBand="0" w:noVBand="1"/>
        </w:tblPrEx>
        <w:trPr>
          <w:trHeight w:val="20"/>
        </w:trPr>
        <w:tc>
          <w:tcPr>
            <w:tcW w:w="1129" w:type="dxa"/>
          </w:tcPr>
          <w:p w14:paraId="557B2864" w14:textId="1928EF05"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70C97A0A"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failed to achieve adequate response to prior systemic immunosuppressive therapy with azathioprine at a dose of at least 2 mg per kg daily for 3 or more consecutive months; or</w:t>
            </w:r>
          </w:p>
        </w:tc>
      </w:tr>
      <w:tr w:rsidR="004E5B84" w:rsidRPr="00962CCF" w14:paraId="1AC625B9" w14:textId="77777777" w:rsidTr="00962CCF">
        <w:tblPrEx>
          <w:tblLook w:val="04A0" w:firstRow="1" w:lastRow="0" w:firstColumn="1" w:lastColumn="0" w:noHBand="0" w:noVBand="1"/>
        </w:tblPrEx>
        <w:trPr>
          <w:trHeight w:val="20"/>
        </w:trPr>
        <w:tc>
          <w:tcPr>
            <w:tcW w:w="1129" w:type="dxa"/>
          </w:tcPr>
          <w:p w14:paraId="65DC1B1C" w14:textId="52665640"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4808F5AF"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failed to achieve adequate response to prior systemic immunosuppressive therapy with 6-mercaptopurine at a dose of at least 1 mg per kg daily for 3 or more consecutive months; or</w:t>
            </w:r>
          </w:p>
        </w:tc>
      </w:tr>
      <w:tr w:rsidR="004E5B84" w:rsidRPr="00962CCF" w14:paraId="6138D082" w14:textId="77777777" w:rsidTr="00962CCF">
        <w:tblPrEx>
          <w:tblLook w:val="04A0" w:firstRow="1" w:lastRow="0" w:firstColumn="1" w:lastColumn="0" w:noHBand="0" w:noVBand="1"/>
        </w:tblPrEx>
        <w:trPr>
          <w:trHeight w:val="20"/>
        </w:trPr>
        <w:tc>
          <w:tcPr>
            <w:tcW w:w="1129" w:type="dxa"/>
          </w:tcPr>
          <w:p w14:paraId="3EA1FA4E" w14:textId="33923779"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70C62D7"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failed to achieve adequate response to prior systemic immunosuppressive therapy with methotrexate at a dose of at least 15 mg weekly for 3 or more consecutive months</w:t>
            </w:r>
          </w:p>
        </w:tc>
      </w:tr>
      <w:tr w:rsidR="004E5B84" w:rsidRPr="00962CCF" w14:paraId="5C8C8A46" w14:textId="77777777" w:rsidTr="00962CCF">
        <w:tblPrEx>
          <w:tblLook w:val="04A0" w:firstRow="1" w:lastRow="0" w:firstColumn="1" w:lastColumn="0" w:noHBand="0" w:noVBand="1"/>
        </w:tblPrEx>
        <w:trPr>
          <w:trHeight w:val="20"/>
        </w:trPr>
        <w:tc>
          <w:tcPr>
            <w:tcW w:w="1129" w:type="dxa"/>
          </w:tcPr>
          <w:p w14:paraId="5BA3F579" w14:textId="77777777" w:rsidR="004E5B84" w:rsidRPr="00962CCF" w:rsidRDefault="004E5B84" w:rsidP="00B43184">
            <w:pPr>
              <w:jc w:val="center"/>
              <w:rPr>
                <w:rFonts w:ascii="Arial Narrow" w:hAnsi="Arial Narrow" w:cs="Open Sans"/>
                <w:color w:val="333333"/>
                <w:sz w:val="20"/>
                <w:szCs w:val="20"/>
              </w:rPr>
            </w:pPr>
          </w:p>
        </w:tc>
        <w:tc>
          <w:tcPr>
            <w:tcW w:w="8080" w:type="dxa"/>
            <w:gridSpan w:val="6"/>
            <w:hideMark/>
          </w:tcPr>
          <w:p w14:paraId="3C0D1287"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AND</w:t>
            </w:r>
          </w:p>
        </w:tc>
      </w:tr>
      <w:tr w:rsidR="004E5B84" w:rsidRPr="00962CCF" w14:paraId="0258BE42" w14:textId="77777777" w:rsidTr="00962CCF">
        <w:tblPrEx>
          <w:tblLook w:val="04A0" w:firstRow="1" w:lastRow="0" w:firstColumn="1" w:lastColumn="0" w:noHBand="0" w:noVBand="1"/>
        </w:tblPrEx>
        <w:trPr>
          <w:trHeight w:val="20"/>
        </w:trPr>
        <w:tc>
          <w:tcPr>
            <w:tcW w:w="1129" w:type="dxa"/>
          </w:tcPr>
          <w:p w14:paraId="16A19957" w14:textId="0B66EE42"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50846663"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962CCF" w14:paraId="62C5D8D7" w14:textId="77777777" w:rsidTr="00962CCF">
        <w:tblPrEx>
          <w:tblLook w:val="04A0" w:firstRow="1" w:lastRow="0" w:firstColumn="1" w:lastColumn="0" w:noHBand="0" w:noVBand="1"/>
        </w:tblPrEx>
        <w:trPr>
          <w:trHeight w:val="20"/>
        </w:trPr>
        <w:tc>
          <w:tcPr>
            <w:tcW w:w="1129" w:type="dxa"/>
          </w:tcPr>
          <w:p w14:paraId="218798BC" w14:textId="06CF108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9FB24F6"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had a Crohn Disease Activity Index (CDAI) Score of greater than or equal to 300 prior to commencing treatment with this drug; or</w:t>
            </w:r>
          </w:p>
        </w:tc>
      </w:tr>
      <w:tr w:rsidR="004E5B84" w:rsidRPr="00962CCF" w14:paraId="1BBBA08B" w14:textId="77777777" w:rsidTr="00962CCF">
        <w:tblPrEx>
          <w:tblLook w:val="04A0" w:firstRow="1" w:lastRow="0" w:firstColumn="1" w:lastColumn="0" w:noHBand="0" w:noVBand="1"/>
        </w:tblPrEx>
        <w:trPr>
          <w:trHeight w:val="20"/>
        </w:trPr>
        <w:tc>
          <w:tcPr>
            <w:tcW w:w="1129" w:type="dxa"/>
          </w:tcPr>
          <w:p w14:paraId="5B1CAA63" w14:textId="50B9C782"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75C18296"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a documented history of intestinal inflammation and have diagnostic imaging or surgical evidence of short gut syndrome if affected by the syndrome or has an ileostomy or colostomy; or</w:t>
            </w:r>
          </w:p>
        </w:tc>
      </w:tr>
      <w:tr w:rsidR="004E5B84" w:rsidRPr="00962CCF" w14:paraId="32156051" w14:textId="77777777" w:rsidTr="00962CCF">
        <w:tblPrEx>
          <w:tblLook w:val="04A0" w:firstRow="1" w:lastRow="0" w:firstColumn="1" w:lastColumn="0" w:noHBand="0" w:noVBand="1"/>
        </w:tblPrEx>
        <w:trPr>
          <w:trHeight w:val="20"/>
        </w:trPr>
        <w:tc>
          <w:tcPr>
            <w:tcW w:w="1129" w:type="dxa"/>
          </w:tcPr>
          <w:p w14:paraId="080AA547" w14:textId="0227B679"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1B7351CA"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have a documented history and radiological evidence of intestinal inflammation if the patient has extensive small intestinal disease affecting more than 50 cm of the small intestine.</w:t>
            </w:r>
          </w:p>
        </w:tc>
      </w:tr>
      <w:tr w:rsidR="004E5B84" w:rsidRPr="00962CCF" w14:paraId="5870E9F7" w14:textId="77777777" w:rsidTr="00962CCF">
        <w:tblPrEx>
          <w:tblLook w:val="04A0" w:firstRow="1" w:lastRow="0" w:firstColumn="1" w:lastColumn="0" w:noHBand="0" w:noVBand="1"/>
        </w:tblPrEx>
        <w:trPr>
          <w:trHeight w:val="20"/>
        </w:trPr>
        <w:tc>
          <w:tcPr>
            <w:tcW w:w="1129" w:type="dxa"/>
          </w:tcPr>
          <w:p w14:paraId="791CC429"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5F9E56B3" w14:textId="77777777" w:rsidR="004E5B84" w:rsidRPr="00962CCF" w:rsidRDefault="004E5B84" w:rsidP="00B43184">
            <w:pPr>
              <w:ind w:left="-57"/>
              <w:rPr>
                <w:rFonts w:ascii="Arial Narrow" w:hAnsi="Arial Narrow" w:cs="Open Sans"/>
                <w:color w:val="333333"/>
                <w:sz w:val="18"/>
                <w:szCs w:val="18"/>
              </w:rPr>
            </w:pPr>
          </w:p>
        </w:tc>
      </w:tr>
      <w:tr w:rsidR="004E5B84" w:rsidRPr="00962CCF" w14:paraId="1D457F95" w14:textId="77777777" w:rsidTr="00962CCF">
        <w:tblPrEx>
          <w:tblLook w:val="04A0" w:firstRow="1" w:lastRow="0" w:firstColumn="1" w:lastColumn="0" w:noHBand="0" w:noVBand="1"/>
        </w:tblPrEx>
        <w:trPr>
          <w:trHeight w:val="20"/>
        </w:trPr>
        <w:tc>
          <w:tcPr>
            <w:tcW w:w="1129" w:type="dxa"/>
          </w:tcPr>
          <w:p w14:paraId="7ECC99DE" w14:textId="488FF72E"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0A37E47F"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Treatment criteria:</w:t>
            </w:r>
          </w:p>
        </w:tc>
      </w:tr>
      <w:tr w:rsidR="004E5B84" w:rsidRPr="00962CCF" w14:paraId="3957A646" w14:textId="77777777" w:rsidTr="00962CCF">
        <w:tblPrEx>
          <w:tblLook w:val="04A0" w:firstRow="1" w:lastRow="0" w:firstColumn="1" w:lastColumn="0" w:noHBand="0" w:noVBand="1"/>
        </w:tblPrEx>
        <w:trPr>
          <w:trHeight w:val="20"/>
        </w:trPr>
        <w:tc>
          <w:tcPr>
            <w:tcW w:w="1129" w:type="dxa"/>
          </w:tcPr>
          <w:p w14:paraId="0E3C2763" w14:textId="560A7488"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34BFB38B"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gastroenterologist (code 87); or</w:t>
            </w:r>
          </w:p>
        </w:tc>
      </w:tr>
      <w:tr w:rsidR="004E5B84" w:rsidRPr="00962CCF" w14:paraId="6185FD86" w14:textId="77777777" w:rsidTr="00962CCF">
        <w:tblPrEx>
          <w:tblLook w:val="04A0" w:firstRow="1" w:lastRow="0" w:firstColumn="1" w:lastColumn="0" w:noHBand="0" w:noVBand="1"/>
        </w:tblPrEx>
        <w:trPr>
          <w:trHeight w:val="20"/>
        </w:trPr>
        <w:tc>
          <w:tcPr>
            <w:tcW w:w="1129" w:type="dxa"/>
          </w:tcPr>
          <w:p w14:paraId="7292AFE8" w14:textId="6A25678F"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00734761"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[internal medicine specialising in gastroenterology (code 81)]; or</w:t>
            </w:r>
          </w:p>
        </w:tc>
      </w:tr>
      <w:tr w:rsidR="004E5B84" w:rsidRPr="00962CCF" w14:paraId="24D48AF7" w14:textId="77777777" w:rsidTr="00962CCF">
        <w:tblPrEx>
          <w:tblLook w:val="04A0" w:firstRow="1" w:lastRow="0" w:firstColumn="1" w:lastColumn="0" w:noHBand="0" w:noVBand="1"/>
        </w:tblPrEx>
        <w:trPr>
          <w:trHeight w:val="20"/>
        </w:trPr>
        <w:tc>
          <w:tcPr>
            <w:tcW w:w="1129" w:type="dxa"/>
          </w:tcPr>
          <w:p w14:paraId="6C5BDABD" w14:textId="3802D734"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1AE380E5"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[general medicine specialising in gastroenterology (code 82)]</w:t>
            </w:r>
          </w:p>
        </w:tc>
      </w:tr>
      <w:tr w:rsidR="004E5B84" w:rsidRPr="00962CCF" w14:paraId="07F4BBFA" w14:textId="77777777" w:rsidTr="00962CCF">
        <w:tblPrEx>
          <w:tblLook w:val="04A0" w:firstRow="1" w:lastRow="0" w:firstColumn="1" w:lastColumn="0" w:noHBand="0" w:noVBand="1"/>
        </w:tblPrEx>
        <w:trPr>
          <w:trHeight w:val="20"/>
        </w:trPr>
        <w:tc>
          <w:tcPr>
            <w:tcW w:w="1129" w:type="dxa"/>
          </w:tcPr>
          <w:p w14:paraId="08E3DAEF"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2852B4F4" w14:textId="77777777" w:rsidR="004E5B84" w:rsidRPr="00962CCF" w:rsidRDefault="004E5B84" w:rsidP="00B43184">
            <w:pPr>
              <w:ind w:left="-57"/>
              <w:rPr>
                <w:rFonts w:ascii="Arial Narrow" w:hAnsi="Arial Narrow" w:cs="Open Sans"/>
                <w:color w:val="333333"/>
                <w:sz w:val="18"/>
                <w:szCs w:val="18"/>
              </w:rPr>
            </w:pPr>
          </w:p>
        </w:tc>
      </w:tr>
      <w:tr w:rsidR="004E5B84" w:rsidRPr="00962CCF" w14:paraId="0404F9EC" w14:textId="77777777" w:rsidTr="00962CCF">
        <w:tblPrEx>
          <w:tblLook w:val="04A0" w:firstRow="1" w:lastRow="0" w:firstColumn="1" w:lastColumn="0" w:noHBand="0" w:noVBand="1"/>
        </w:tblPrEx>
        <w:trPr>
          <w:trHeight w:val="20"/>
        </w:trPr>
        <w:tc>
          <w:tcPr>
            <w:tcW w:w="1129" w:type="dxa"/>
          </w:tcPr>
          <w:p w14:paraId="52DC164C" w14:textId="6006C233"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60504F74"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Population criteria:</w:t>
            </w:r>
          </w:p>
        </w:tc>
      </w:tr>
      <w:tr w:rsidR="004E5B84" w:rsidRPr="00962CCF" w14:paraId="6360BC1B" w14:textId="77777777" w:rsidTr="00962CCF">
        <w:tblPrEx>
          <w:tblLook w:val="04A0" w:firstRow="1" w:lastRow="0" w:firstColumn="1" w:lastColumn="0" w:noHBand="0" w:noVBand="1"/>
        </w:tblPrEx>
        <w:trPr>
          <w:trHeight w:val="20"/>
        </w:trPr>
        <w:tc>
          <w:tcPr>
            <w:tcW w:w="1129" w:type="dxa"/>
          </w:tcPr>
          <w:p w14:paraId="4DF491F9" w14:textId="7E551656"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3A90E2FC"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Patient must be at least 18 years of age</w:t>
            </w:r>
          </w:p>
        </w:tc>
      </w:tr>
      <w:tr w:rsidR="004E5B84" w:rsidRPr="00962CCF" w14:paraId="70B6E54E" w14:textId="77777777" w:rsidTr="00962CCF">
        <w:tblPrEx>
          <w:tblLook w:val="04A0" w:firstRow="1" w:lastRow="0" w:firstColumn="1" w:lastColumn="0" w:noHBand="0" w:noVBand="1"/>
        </w:tblPrEx>
        <w:trPr>
          <w:trHeight w:val="20"/>
        </w:trPr>
        <w:tc>
          <w:tcPr>
            <w:tcW w:w="1129" w:type="dxa"/>
          </w:tcPr>
          <w:p w14:paraId="111D3A7E"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2959AFB8" w14:textId="77777777" w:rsidR="004E5B84" w:rsidRPr="00962CCF" w:rsidRDefault="004E5B84" w:rsidP="00B43184">
            <w:pPr>
              <w:ind w:left="-57"/>
              <w:rPr>
                <w:rFonts w:ascii="Arial Narrow" w:hAnsi="Arial Narrow" w:cs="Open Sans"/>
                <w:color w:val="333333"/>
                <w:sz w:val="18"/>
                <w:szCs w:val="18"/>
              </w:rPr>
            </w:pPr>
          </w:p>
        </w:tc>
      </w:tr>
      <w:tr w:rsidR="004E5B84" w:rsidRPr="00962CCF" w14:paraId="6EC0CD70" w14:textId="77777777" w:rsidTr="00962CCF">
        <w:tblPrEx>
          <w:tblLook w:val="04A0" w:firstRow="1" w:lastRow="0" w:firstColumn="1" w:lastColumn="0" w:noHBand="0" w:noVBand="1"/>
        </w:tblPrEx>
        <w:trPr>
          <w:trHeight w:val="20"/>
        </w:trPr>
        <w:tc>
          <w:tcPr>
            <w:tcW w:w="1129" w:type="dxa"/>
          </w:tcPr>
          <w:p w14:paraId="3B5F279D" w14:textId="34106918" w:rsidR="004E5B84" w:rsidRPr="00962CCF" w:rsidRDefault="004E5B84" w:rsidP="00B43184">
            <w:pPr>
              <w:jc w:val="center"/>
              <w:rPr>
                <w:rFonts w:ascii="Arial Narrow" w:hAnsi="Arial Narrow"/>
                <w:sz w:val="20"/>
                <w:szCs w:val="20"/>
              </w:rPr>
            </w:pPr>
          </w:p>
        </w:tc>
        <w:tc>
          <w:tcPr>
            <w:tcW w:w="8080" w:type="dxa"/>
            <w:gridSpan w:val="6"/>
          </w:tcPr>
          <w:p w14:paraId="4C7F8F18" w14:textId="77777777" w:rsidR="004E5B84" w:rsidRPr="00962CCF" w:rsidRDefault="004E5B84" w:rsidP="00B43184">
            <w:pPr>
              <w:ind w:left="-57"/>
              <w:rPr>
                <w:rFonts w:ascii="Arial Narrow" w:hAnsi="Arial Narrow" w:cs="Arial Narrow"/>
                <w:b/>
                <w:iCs/>
                <w:sz w:val="18"/>
                <w:szCs w:val="18"/>
              </w:rPr>
            </w:pPr>
            <w:r w:rsidRPr="00962CCF">
              <w:rPr>
                <w:rFonts w:ascii="Arial Narrow" w:hAnsi="Arial Narrow" w:cs="Arial Narrow"/>
                <w:b/>
                <w:iCs/>
                <w:sz w:val="18"/>
                <w:szCs w:val="18"/>
              </w:rPr>
              <w:t>Prescribing Instructions:</w:t>
            </w:r>
          </w:p>
          <w:p w14:paraId="54A17C7C" w14:textId="77777777" w:rsidR="004E5B84" w:rsidRPr="00962CCF" w:rsidRDefault="004E5B84" w:rsidP="00B43184">
            <w:pPr>
              <w:ind w:left="-57"/>
              <w:rPr>
                <w:rFonts w:ascii="Arial Narrow" w:hAnsi="Arial Narrow"/>
                <w:sz w:val="18"/>
                <w:szCs w:val="18"/>
              </w:rPr>
            </w:pPr>
            <w:r w:rsidRPr="00962CCF">
              <w:rPr>
                <w:rFonts w:ascii="Arial Narrow" w:hAnsi="Arial Narrow"/>
                <w:sz w:val="18"/>
                <w:szCs w:val="18"/>
              </w:rPr>
              <w:t>The authority application must be made in writing and must include:</w:t>
            </w:r>
          </w:p>
          <w:p w14:paraId="5231890C" w14:textId="77777777" w:rsidR="004E5B84" w:rsidRPr="00962CCF" w:rsidRDefault="004E5B84" w:rsidP="00B43184">
            <w:pPr>
              <w:ind w:left="-57"/>
              <w:rPr>
                <w:rFonts w:ascii="Arial Narrow" w:hAnsi="Arial Narrow"/>
                <w:sz w:val="18"/>
                <w:szCs w:val="18"/>
              </w:rPr>
            </w:pPr>
            <w:r w:rsidRPr="00962CCF">
              <w:rPr>
                <w:rFonts w:ascii="Arial Narrow" w:hAnsi="Arial Narrow"/>
                <w:sz w:val="18"/>
                <w:szCs w:val="18"/>
              </w:rPr>
              <w:t>(1) a completed authority prescription form; and</w:t>
            </w:r>
          </w:p>
          <w:p w14:paraId="51636FB1"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sz w:val="18"/>
                <w:szCs w:val="18"/>
              </w:rPr>
              <w:t>(2) a completed authority application form relevant to the indication and treatment phase (the latest version is located on the website specified in the Administrative Advice).</w:t>
            </w:r>
          </w:p>
        </w:tc>
      </w:tr>
      <w:tr w:rsidR="004E5B84" w:rsidRPr="00962CCF" w14:paraId="6215484B" w14:textId="77777777" w:rsidTr="00962CCF">
        <w:tblPrEx>
          <w:tblLook w:val="04A0" w:firstRow="1" w:lastRow="0" w:firstColumn="1" w:lastColumn="0" w:noHBand="0" w:noVBand="1"/>
        </w:tblPrEx>
        <w:trPr>
          <w:trHeight w:val="20"/>
        </w:trPr>
        <w:tc>
          <w:tcPr>
            <w:tcW w:w="1129" w:type="dxa"/>
          </w:tcPr>
          <w:p w14:paraId="1B4664A0" w14:textId="363E3CD2"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768F0D83"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69064E0D"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Evidence of failure to achieve an adequate response to prior therapy must include at least one of the following:</w:t>
            </w:r>
          </w:p>
          <w:p w14:paraId="31ED457B"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 xml:space="preserve">(a) patient must have evidence of intestinal </w:t>
            </w:r>
            <w:proofErr w:type="gramStart"/>
            <w:r w:rsidRPr="00962CCF">
              <w:rPr>
                <w:rFonts w:ascii="Arial Narrow" w:hAnsi="Arial Narrow" w:cs="Open Sans"/>
                <w:color w:val="333333"/>
                <w:sz w:val="18"/>
                <w:szCs w:val="18"/>
              </w:rPr>
              <w:t>inflammation;</w:t>
            </w:r>
            <w:proofErr w:type="gramEnd"/>
          </w:p>
          <w:p w14:paraId="768F43B7"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 xml:space="preserve">(b) patient must be assessed clinically as being in a high faecal output </w:t>
            </w:r>
            <w:proofErr w:type="gramStart"/>
            <w:r w:rsidRPr="00962CCF">
              <w:rPr>
                <w:rFonts w:ascii="Arial Narrow" w:hAnsi="Arial Narrow" w:cs="Open Sans"/>
                <w:color w:val="333333"/>
                <w:sz w:val="18"/>
                <w:szCs w:val="18"/>
              </w:rPr>
              <w:t>state;</w:t>
            </w:r>
            <w:proofErr w:type="gramEnd"/>
          </w:p>
          <w:p w14:paraId="7125C0FC"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(c) patient must be assessed clinically as requiring surgery or total parenteral nutrition (TPN) as the next therapeutic option, in the absence of this drug, if affected by short gut syndrome, extensive small intestine disease or is an ostomy patient.</w:t>
            </w:r>
          </w:p>
          <w:p w14:paraId="506966FA" w14:textId="77777777" w:rsidR="004E5B84" w:rsidRPr="00962CCF" w:rsidRDefault="004E5B84" w:rsidP="00B43184">
            <w:pPr>
              <w:ind w:left="-57"/>
              <w:textAlignment w:val="baseline"/>
              <w:rPr>
                <w:rFonts w:ascii="Arial Narrow" w:hAnsi="Arial Narrow" w:cs="Open Sans"/>
                <w:color w:val="333333"/>
                <w:sz w:val="18"/>
                <w:szCs w:val="18"/>
              </w:rPr>
            </w:pPr>
          </w:p>
          <w:p w14:paraId="76A06028"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Evidence of intestinal inflammation includes:</w:t>
            </w:r>
          </w:p>
          <w:p w14:paraId="0195C87C"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 xml:space="preserve">(i) blood: higher than normal platelet count, </w:t>
            </w:r>
            <w:proofErr w:type="gramStart"/>
            <w:r w:rsidRPr="00962CCF">
              <w:rPr>
                <w:rFonts w:ascii="Arial Narrow" w:hAnsi="Arial Narrow" w:cs="Open Sans"/>
                <w:color w:val="333333"/>
                <w:sz w:val="18"/>
                <w:szCs w:val="18"/>
              </w:rPr>
              <w:t>or,</w:t>
            </w:r>
            <w:proofErr w:type="gramEnd"/>
            <w:r w:rsidRPr="00962CCF">
              <w:rPr>
                <w:rFonts w:ascii="Arial Narrow" w:hAnsi="Arial Narrow" w:cs="Open Sans"/>
                <w:color w:val="333333"/>
                <w:sz w:val="18"/>
                <w:szCs w:val="18"/>
              </w:rPr>
              <w:t xml:space="preserve"> an elevated erythrocyte sedimentation rate (ESR) greater than 25 mm per hour, or, a C-reactive protein (CRP) level greater than 15 mg per L; or</w:t>
            </w:r>
          </w:p>
          <w:p w14:paraId="6A38EA87"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(ii) faeces: higher than normal lactoferrin or calprotectin level; or</w:t>
            </w:r>
          </w:p>
          <w:p w14:paraId="248A20B3"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(iii) diagnostic imaging: demonstration of increased uptake of intravenous contrast with thickening of the bowel wall or mesenteric lymphadenopathy or fat streaking in the mesentery.</w:t>
            </w:r>
          </w:p>
        </w:tc>
      </w:tr>
      <w:tr w:rsidR="004E5B84" w:rsidRPr="00962CCF" w14:paraId="573944A3" w14:textId="77777777" w:rsidTr="00962CCF">
        <w:tblPrEx>
          <w:tblLook w:val="04A0" w:firstRow="1" w:lastRow="0" w:firstColumn="1" w:lastColumn="0" w:noHBand="0" w:noVBand="1"/>
        </w:tblPrEx>
        <w:trPr>
          <w:trHeight w:val="20"/>
        </w:trPr>
        <w:tc>
          <w:tcPr>
            <w:tcW w:w="1129" w:type="dxa"/>
          </w:tcPr>
          <w:p w14:paraId="0C121082"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C10151B"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00068A66" w14:textId="58D68C45"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All assessments, pathology tests and diagnostic imaging studies were to have been within 4 weeks leading up to</w:t>
            </w:r>
            <w:r w:rsidR="000C52FF" w:rsidRPr="00962CCF">
              <w:rPr>
                <w:rFonts w:ascii="Arial Narrow" w:hAnsi="Arial Narrow" w:cs="Open Sans"/>
                <w:color w:val="333333"/>
                <w:sz w:val="18"/>
                <w:szCs w:val="18"/>
              </w:rPr>
              <w:t xml:space="preserve"> </w:t>
            </w:r>
            <w:r w:rsidRPr="00962CCF">
              <w:rPr>
                <w:rFonts w:ascii="Arial Narrow" w:hAnsi="Arial Narrow" w:cs="Open Sans"/>
                <w:color w:val="333333"/>
                <w:sz w:val="18"/>
                <w:szCs w:val="18"/>
              </w:rPr>
              <w:t>commencing the non-PBS subsidised supply of this drug and should have been performed preferably whilst still on conventional treatment, but no longer than 4 weeks following the last dose of conventional treatment.</w:t>
            </w:r>
          </w:p>
          <w:p w14:paraId="15F81983" w14:textId="77777777" w:rsidR="004E5B84" w:rsidRPr="00962CCF" w:rsidRDefault="004E5B84" w:rsidP="00B43184">
            <w:pPr>
              <w:textAlignment w:val="baseline"/>
              <w:rPr>
                <w:rFonts w:ascii="Arial Narrow" w:hAnsi="Arial Narrow" w:cs="Open Sans"/>
                <w:color w:val="333333"/>
                <w:sz w:val="18"/>
                <w:szCs w:val="18"/>
              </w:rPr>
            </w:pPr>
          </w:p>
          <w:p w14:paraId="69F781BE" w14:textId="2EB32149"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Where extensive small intestinal disease affecting more than 50 cm of the small intestine applies, the CDAI must have been at least 220 prior to commencing the non-PBS subsidised supply of this drug.</w:t>
            </w:r>
            <w:r w:rsidR="000C52FF" w:rsidRPr="00962CCF">
              <w:rPr>
                <w:rFonts w:ascii="Arial Narrow" w:hAnsi="Arial Narrow" w:cs="Open Sans"/>
                <w:color w:val="333333"/>
                <w:sz w:val="18"/>
                <w:szCs w:val="18"/>
              </w:rPr>
              <w:t xml:space="preserve"> </w:t>
            </w:r>
          </w:p>
        </w:tc>
      </w:tr>
      <w:tr w:rsidR="004E5B84" w:rsidRPr="00962CCF" w14:paraId="28C15093" w14:textId="77777777" w:rsidTr="00962CCF">
        <w:tblPrEx>
          <w:tblLook w:val="04A0" w:firstRow="1" w:lastRow="0" w:firstColumn="1" w:lastColumn="0" w:noHBand="0" w:noVBand="1"/>
        </w:tblPrEx>
        <w:trPr>
          <w:trHeight w:val="20"/>
        </w:trPr>
        <w:tc>
          <w:tcPr>
            <w:tcW w:w="1129" w:type="dxa"/>
          </w:tcPr>
          <w:p w14:paraId="7EB5C09C" w14:textId="741EB00F"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1DAB14AA"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47447820"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If treatment with any of the specified prior conventional drugs is contraindicated according to the relevant TGA-approved Product Information, please provide details at the time of application.</w:t>
            </w:r>
          </w:p>
        </w:tc>
      </w:tr>
      <w:tr w:rsidR="004E5B84" w:rsidRPr="00962CCF" w14:paraId="1D23E551" w14:textId="77777777" w:rsidTr="00962CCF">
        <w:tblPrEx>
          <w:tblLook w:val="04A0" w:firstRow="1" w:lastRow="0" w:firstColumn="1" w:lastColumn="0" w:noHBand="0" w:noVBand="1"/>
        </w:tblPrEx>
        <w:trPr>
          <w:trHeight w:val="20"/>
        </w:trPr>
        <w:tc>
          <w:tcPr>
            <w:tcW w:w="1129" w:type="dxa"/>
          </w:tcPr>
          <w:p w14:paraId="06DB246E" w14:textId="55CD1A1A"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0114AA2"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5268E4F1"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If intolerance to treatment develops during the relevant period of use, which is of a severity necessitating permanent treatment withdrawal, details of this toxicity must be provided at the time of application.</w:t>
            </w:r>
          </w:p>
        </w:tc>
      </w:tr>
      <w:tr w:rsidR="004E5B84" w:rsidRPr="00962CCF" w14:paraId="1D0B1E37" w14:textId="77777777" w:rsidTr="00962CCF">
        <w:tblPrEx>
          <w:tblLook w:val="04A0" w:firstRow="1" w:lastRow="0" w:firstColumn="1" w:lastColumn="0" w:noHBand="0" w:noVBand="1"/>
        </w:tblPrEx>
        <w:trPr>
          <w:trHeight w:val="20"/>
        </w:trPr>
        <w:tc>
          <w:tcPr>
            <w:tcW w:w="1129" w:type="dxa"/>
          </w:tcPr>
          <w:p w14:paraId="62DF308F"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756BAB6"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4545AD03"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Details of the accepted toxicities including severity can be found on the Services Australia website.</w:t>
            </w:r>
          </w:p>
        </w:tc>
      </w:tr>
      <w:tr w:rsidR="004E5B84" w:rsidRPr="00962CCF" w14:paraId="564E3678" w14:textId="77777777" w:rsidTr="00962CCF">
        <w:tblPrEx>
          <w:tblLook w:val="04A0" w:firstRow="1" w:lastRow="0" w:firstColumn="1" w:lastColumn="0" w:noHBand="0" w:noVBand="1"/>
        </w:tblPrEx>
        <w:trPr>
          <w:trHeight w:val="20"/>
        </w:trPr>
        <w:tc>
          <w:tcPr>
            <w:tcW w:w="1129" w:type="dxa"/>
          </w:tcPr>
          <w:p w14:paraId="347CA45D" w14:textId="1F940EBC"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CBA6113"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Prescribing Instructions:</w:t>
            </w:r>
          </w:p>
          <w:p w14:paraId="052ACEDA"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tc>
      </w:tr>
      <w:tr w:rsidR="004E5B84" w:rsidRPr="00962CCF" w14:paraId="67C627D3" w14:textId="77777777" w:rsidTr="00962CCF">
        <w:tblPrEx>
          <w:tblLook w:val="04A0" w:firstRow="1" w:lastRow="0" w:firstColumn="1" w:lastColumn="0" w:noHBand="0" w:noVBand="1"/>
        </w:tblPrEx>
        <w:trPr>
          <w:trHeight w:val="20"/>
        </w:trPr>
        <w:tc>
          <w:tcPr>
            <w:tcW w:w="1129" w:type="dxa"/>
          </w:tcPr>
          <w:p w14:paraId="118C790E"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550CD14C"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962CCF" w14:paraId="1E2F6F9E" w14:textId="77777777" w:rsidTr="00962CCF">
        <w:tblPrEx>
          <w:tblLook w:val="04A0" w:firstRow="1" w:lastRow="0" w:firstColumn="1" w:lastColumn="0" w:noHBand="0" w:noVBand="1"/>
        </w:tblPrEx>
        <w:trPr>
          <w:trHeight w:val="20"/>
        </w:trPr>
        <w:tc>
          <w:tcPr>
            <w:tcW w:w="1129" w:type="dxa"/>
          </w:tcPr>
          <w:p w14:paraId="74EF4DFE" w14:textId="0E05F6C0"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1B8FF0C1" w14:textId="77777777" w:rsidR="004E5B84" w:rsidRPr="00962CCF" w:rsidRDefault="004E5B84" w:rsidP="00B43184">
            <w:pPr>
              <w:ind w:left="-57"/>
              <w:rPr>
                <w:rFonts w:ascii="Arial Narrow" w:hAnsi="Arial Narrow"/>
                <w:b/>
                <w:bCs/>
                <w:sz w:val="18"/>
                <w:szCs w:val="18"/>
              </w:rPr>
            </w:pPr>
            <w:r w:rsidRPr="00962CCF">
              <w:rPr>
                <w:rFonts w:ascii="Arial Narrow" w:hAnsi="Arial Narrow"/>
                <w:b/>
                <w:bCs/>
                <w:sz w:val="18"/>
                <w:szCs w:val="18"/>
              </w:rPr>
              <w:t xml:space="preserve">Administrative advice: </w:t>
            </w:r>
          </w:p>
          <w:p w14:paraId="7C13C9BE"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r w:rsidRPr="00962CCF">
              <w:rPr>
                <w:rFonts w:ascii="Arial Narrow" w:hAnsi="Arial Narrow"/>
                <w:bCs/>
                <w:sz w:val="18"/>
                <w:szCs w:val="18"/>
              </w:rPr>
              <w:t>Patients may qualify for PBS-subsidised treatment under this restriction once only. For continuing PBS-subsidised treatment, a 'Grandfathered' patient must qualify under the 'Continuing treatment' criteria.</w:t>
            </w:r>
          </w:p>
        </w:tc>
      </w:tr>
      <w:tr w:rsidR="004E5B84" w:rsidRPr="00962CCF" w14:paraId="289FA519" w14:textId="77777777" w:rsidTr="00962CCF">
        <w:tblPrEx>
          <w:tblLook w:val="04A0" w:firstRow="1" w:lastRow="0" w:firstColumn="1" w:lastColumn="0" w:noHBand="0" w:noVBand="1"/>
        </w:tblPrEx>
        <w:trPr>
          <w:trHeight w:val="20"/>
        </w:trPr>
        <w:tc>
          <w:tcPr>
            <w:tcW w:w="1129" w:type="dxa"/>
          </w:tcPr>
          <w:p w14:paraId="1CD9C1F7" w14:textId="15D7DCEC"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68F2D1BB" w14:textId="77777777" w:rsidR="004E5B84" w:rsidRPr="00962CCF" w:rsidRDefault="004E5B84" w:rsidP="00B43184">
            <w:pPr>
              <w:ind w:left="-57"/>
              <w:rPr>
                <w:rFonts w:ascii="Arial Narrow" w:hAnsi="Arial Narrow"/>
                <w:b/>
                <w:bCs/>
                <w:sz w:val="18"/>
                <w:szCs w:val="18"/>
              </w:rPr>
            </w:pPr>
            <w:r w:rsidRPr="00962CCF">
              <w:rPr>
                <w:rFonts w:ascii="Arial Narrow" w:hAnsi="Arial Narrow"/>
                <w:b/>
                <w:bCs/>
                <w:sz w:val="18"/>
                <w:szCs w:val="18"/>
              </w:rPr>
              <w:t xml:space="preserve">Administrative advice: </w:t>
            </w:r>
          </w:p>
          <w:p w14:paraId="4664EB32"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r w:rsidRPr="00962CCF">
              <w:rPr>
                <w:rFonts w:ascii="Arial Narrow" w:hAnsi="Arial Narrow"/>
                <w:bCs/>
                <w:sz w:val="18"/>
                <w:szCs w:val="18"/>
              </w:rPr>
              <w:t>This grandfather restriction will cease to operate from 12 months after the date specified in the clinical criteria.</w:t>
            </w:r>
          </w:p>
        </w:tc>
      </w:tr>
      <w:tr w:rsidR="004E5B84" w:rsidRPr="00962CCF" w14:paraId="4FD2A64A" w14:textId="77777777" w:rsidTr="00962CCF">
        <w:tblPrEx>
          <w:tblLook w:val="04A0" w:firstRow="1" w:lastRow="0" w:firstColumn="1" w:lastColumn="0" w:noHBand="0" w:noVBand="1"/>
        </w:tblPrEx>
        <w:trPr>
          <w:trHeight w:val="20"/>
        </w:trPr>
        <w:tc>
          <w:tcPr>
            <w:tcW w:w="1129" w:type="dxa"/>
          </w:tcPr>
          <w:p w14:paraId="40591DCA" w14:textId="154313EB" w:rsidR="004E5B84" w:rsidRPr="00962CCF" w:rsidRDefault="004E5B84" w:rsidP="00B43184">
            <w:pPr>
              <w:jc w:val="center"/>
              <w:textAlignment w:val="baseline"/>
              <w:rPr>
                <w:rFonts w:ascii="Arial Narrow" w:hAnsi="Arial Narrow"/>
                <w:bCs/>
                <w:sz w:val="20"/>
                <w:szCs w:val="20"/>
              </w:rPr>
            </w:pPr>
          </w:p>
        </w:tc>
        <w:tc>
          <w:tcPr>
            <w:tcW w:w="8080" w:type="dxa"/>
            <w:gridSpan w:val="6"/>
          </w:tcPr>
          <w:p w14:paraId="35D8B629" w14:textId="77777777" w:rsidR="004E5B84" w:rsidRPr="00962CCF" w:rsidRDefault="004E5B84" w:rsidP="00B43184">
            <w:pPr>
              <w:ind w:left="-57"/>
              <w:rPr>
                <w:rFonts w:ascii="Arial Narrow" w:hAnsi="Arial Narrow"/>
                <w:b/>
                <w:bCs/>
                <w:sz w:val="18"/>
                <w:szCs w:val="18"/>
              </w:rPr>
            </w:pPr>
            <w:r w:rsidRPr="00962CCF">
              <w:rPr>
                <w:rFonts w:ascii="Arial Narrow" w:hAnsi="Arial Narrow"/>
                <w:b/>
                <w:bCs/>
                <w:sz w:val="18"/>
                <w:szCs w:val="18"/>
              </w:rPr>
              <w:t xml:space="preserve">Administrative advice: </w:t>
            </w:r>
          </w:p>
          <w:p w14:paraId="55D10C53" w14:textId="77777777" w:rsidR="004E5B84" w:rsidRPr="00962CCF" w:rsidRDefault="004E5B84" w:rsidP="00B43184">
            <w:pPr>
              <w:ind w:left="-57"/>
              <w:rPr>
                <w:rFonts w:ascii="Arial Narrow" w:hAnsi="Arial Narrow"/>
                <w:b/>
                <w:bCs/>
                <w:sz w:val="18"/>
                <w:szCs w:val="18"/>
              </w:rPr>
            </w:pPr>
            <w:r w:rsidRPr="00962CCF">
              <w:rPr>
                <w:rFonts w:ascii="Arial Narrow" w:hAnsi="Arial Narrow"/>
                <w:bCs/>
                <w:sz w:val="18"/>
                <w:szCs w:val="18"/>
              </w:rPr>
              <w:t>Where prior systemic treatments are specified in this restriction, this is in the context of the time period leading up to the initiation of non-PBS subsidised supply of this drug.</w:t>
            </w:r>
          </w:p>
        </w:tc>
      </w:tr>
      <w:tr w:rsidR="004E5B84" w:rsidRPr="00962CCF" w14:paraId="3C842A5F" w14:textId="77777777" w:rsidTr="00962CCF">
        <w:tblPrEx>
          <w:tblLook w:val="04A0" w:firstRow="1" w:lastRow="0" w:firstColumn="1" w:lastColumn="0" w:noHBand="0" w:noVBand="1"/>
        </w:tblPrEx>
        <w:trPr>
          <w:trHeight w:val="20"/>
        </w:trPr>
        <w:tc>
          <w:tcPr>
            <w:tcW w:w="9209" w:type="dxa"/>
            <w:gridSpan w:val="7"/>
          </w:tcPr>
          <w:p w14:paraId="0E610EDF" w14:textId="77777777" w:rsidR="004E5B84" w:rsidRPr="00962CCF" w:rsidRDefault="004E5B84" w:rsidP="00B43184">
            <w:pPr>
              <w:ind w:left="-57"/>
              <w:rPr>
                <w:rFonts w:ascii="Arial Narrow" w:hAnsi="Arial Narrow"/>
                <w:b/>
                <w:bCs/>
                <w:sz w:val="18"/>
                <w:szCs w:val="18"/>
              </w:rPr>
            </w:pPr>
          </w:p>
        </w:tc>
      </w:tr>
      <w:tr w:rsidR="004E5B84" w:rsidRPr="00962CCF" w14:paraId="2F8C9EAB" w14:textId="77777777" w:rsidTr="00962CCF">
        <w:tblPrEx>
          <w:tblLook w:val="04A0" w:firstRow="1" w:lastRow="0" w:firstColumn="1" w:lastColumn="0" w:noHBand="0" w:noVBand="1"/>
        </w:tblPrEx>
        <w:trPr>
          <w:trHeight w:val="20"/>
        </w:trPr>
        <w:tc>
          <w:tcPr>
            <w:tcW w:w="9209" w:type="dxa"/>
            <w:gridSpan w:val="7"/>
          </w:tcPr>
          <w:p w14:paraId="355A628B" w14:textId="7AFF8F24"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r w:rsidRPr="00962CCF">
              <w:rPr>
                <w:rFonts w:ascii="Arial Narrow" w:hAnsi="Arial Narrow" w:cs="Open Sans"/>
                <w:b/>
                <w:bCs/>
                <w:color w:val="333333"/>
                <w:sz w:val="18"/>
                <w:szCs w:val="18"/>
                <w:bdr w:val="none" w:sz="0" w:space="0" w:color="auto" w:frame="1"/>
              </w:rPr>
              <w:t xml:space="preserve">Restriction Summary / Treatment of </w:t>
            </w:r>
            <w:proofErr w:type="gramStart"/>
            <w:r w:rsidRPr="00962CCF">
              <w:rPr>
                <w:rFonts w:ascii="Arial Narrow" w:hAnsi="Arial Narrow" w:cs="Open Sans"/>
                <w:b/>
                <w:bCs/>
                <w:color w:val="333333"/>
                <w:sz w:val="18"/>
                <w:szCs w:val="18"/>
                <w:bdr w:val="none" w:sz="0" w:space="0" w:color="auto" w:frame="1"/>
              </w:rPr>
              <w:t>Concept::</w:t>
            </w:r>
            <w:proofErr w:type="gramEnd"/>
            <w:r w:rsidRPr="00962CCF">
              <w:rPr>
                <w:rFonts w:ascii="Arial Narrow" w:hAnsi="Arial Narrow" w:cs="Open Sans"/>
                <w:b/>
                <w:bCs/>
                <w:color w:val="333333"/>
                <w:sz w:val="18"/>
                <w:szCs w:val="18"/>
                <w:bdr w:val="none" w:sz="0" w:space="0" w:color="auto" w:frame="1"/>
              </w:rPr>
              <w:t xml:space="preserve"> Authority Required </w:t>
            </w:r>
          </w:p>
          <w:p w14:paraId="678334C7"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962CCF" w14:paraId="78616399" w14:textId="77777777" w:rsidTr="00962CCF">
        <w:tblPrEx>
          <w:tblLook w:val="04A0" w:firstRow="1" w:lastRow="0" w:firstColumn="1" w:lastColumn="0" w:noHBand="0" w:noVBand="1"/>
        </w:tblPrEx>
        <w:trPr>
          <w:trHeight w:val="20"/>
        </w:trPr>
        <w:tc>
          <w:tcPr>
            <w:tcW w:w="1129" w:type="dxa"/>
          </w:tcPr>
          <w:p w14:paraId="40AFE0EF" w14:textId="39234B18"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3655105C"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 xml:space="preserve">Indication: </w:t>
            </w:r>
            <w:r w:rsidRPr="00962CCF">
              <w:rPr>
                <w:rFonts w:ascii="Arial Narrow" w:hAnsi="Arial Narrow" w:cs="Open Sans"/>
                <w:color w:val="333333"/>
                <w:sz w:val="18"/>
                <w:szCs w:val="18"/>
              </w:rPr>
              <w:t>Severe Crohn disease</w:t>
            </w:r>
          </w:p>
        </w:tc>
      </w:tr>
      <w:tr w:rsidR="004E5B84" w:rsidRPr="00962CCF" w14:paraId="450F3967" w14:textId="77777777" w:rsidTr="00962CCF">
        <w:tblPrEx>
          <w:tblLook w:val="04A0" w:firstRow="1" w:lastRow="0" w:firstColumn="1" w:lastColumn="0" w:noHBand="0" w:noVBand="1"/>
        </w:tblPrEx>
        <w:trPr>
          <w:trHeight w:val="20"/>
        </w:trPr>
        <w:tc>
          <w:tcPr>
            <w:tcW w:w="1129" w:type="dxa"/>
          </w:tcPr>
          <w:p w14:paraId="4B36DE0A"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12F11069"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962CCF" w14:paraId="6B7CB106" w14:textId="77777777" w:rsidTr="00962CCF">
        <w:tblPrEx>
          <w:tblLook w:val="04A0" w:firstRow="1" w:lastRow="0" w:firstColumn="1" w:lastColumn="0" w:noHBand="0" w:noVBand="1"/>
        </w:tblPrEx>
        <w:trPr>
          <w:trHeight w:val="20"/>
        </w:trPr>
        <w:tc>
          <w:tcPr>
            <w:tcW w:w="1129" w:type="dxa"/>
          </w:tcPr>
          <w:p w14:paraId="7419F32A" w14:textId="77777777" w:rsidR="004E5B84" w:rsidRPr="00962CCF" w:rsidRDefault="004E5B84" w:rsidP="00B43184">
            <w:pPr>
              <w:jc w:val="center"/>
              <w:rPr>
                <w:rFonts w:ascii="Arial Narrow" w:hAnsi="Arial Narrow" w:cs="Open Sans"/>
                <w:color w:val="333333"/>
                <w:sz w:val="20"/>
                <w:szCs w:val="20"/>
              </w:rPr>
            </w:pPr>
          </w:p>
        </w:tc>
        <w:tc>
          <w:tcPr>
            <w:tcW w:w="8080" w:type="dxa"/>
            <w:gridSpan w:val="6"/>
            <w:hideMark/>
          </w:tcPr>
          <w:p w14:paraId="22928ECA"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 xml:space="preserve">Treatment Phase: </w:t>
            </w:r>
            <w:r w:rsidRPr="00962CCF">
              <w:rPr>
                <w:rFonts w:ascii="Arial Narrow" w:hAnsi="Arial Narrow" w:cs="Open Sans"/>
                <w:color w:val="333333"/>
                <w:sz w:val="18"/>
                <w:szCs w:val="18"/>
              </w:rPr>
              <w:t>Balance of supply for the Continuing (maintenance) treatment phase</w:t>
            </w:r>
          </w:p>
        </w:tc>
      </w:tr>
      <w:tr w:rsidR="004E5B84" w:rsidRPr="00962CCF" w14:paraId="2E80821A" w14:textId="77777777" w:rsidTr="00962CCF">
        <w:tblPrEx>
          <w:tblLook w:val="04A0" w:firstRow="1" w:lastRow="0" w:firstColumn="1" w:lastColumn="0" w:noHBand="0" w:noVBand="1"/>
        </w:tblPrEx>
        <w:trPr>
          <w:trHeight w:val="20"/>
        </w:trPr>
        <w:tc>
          <w:tcPr>
            <w:tcW w:w="1129" w:type="dxa"/>
          </w:tcPr>
          <w:p w14:paraId="29A0249F" w14:textId="77777777" w:rsidR="004E5B84" w:rsidRPr="00962CCF" w:rsidRDefault="004E5B84" w:rsidP="00B43184">
            <w:pPr>
              <w:jc w:val="center"/>
              <w:rPr>
                <w:rFonts w:ascii="Arial Narrow" w:hAnsi="Arial Narrow" w:cs="Open Sans"/>
                <w:color w:val="333333"/>
                <w:sz w:val="20"/>
                <w:szCs w:val="20"/>
              </w:rPr>
            </w:pPr>
          </w:p>
        </w:tc>
        <w:tc>
          <w:tcPr>
            <w:tcW w:w="8080" w:type="dxa"/>
            <w:gridSpan w:val="6"/>
          </w:tcPr>
          <w:p w14:paraId="7FA9C1E6" w14:textId="77777777" w:rsidR="004E5B84" w:rsidRPr="00962CCF"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962CCF" w14:paraId="0E2084AF" w14:textId="77777777" w:rsidTr="00962CCF">
        <w:tblPrEx>
          <w:tblLook w:val="04A0" w:firstRow="1" w:lastRow="0" w:firstColumn="1" w:lastColumn="0" w:noHBand="0" w:noVBand="1"/>
        </w:tblPrEx>
        <w:trPr>
          <w:trHeight w:val="20"/>
        </w:trPr>
        <w:tc>
          <w:tcPr>
            <w:tcW w:w="1129" w:type="dxa"/>
          </w:tcPr>
          <w:p w14:paraId="130BE881" w14:textId="1A04AAAB"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4AE35429"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Treatment criteria:</w:t>
            </w:r>
          </w:p>
        </w:tc>
      </w:tr>
      <w:tr w:rsidR="004E5B84" w:rsidRPr="00962CCF" w14:paraId="69A6CE8B" w14:textId="77777777" w:rsidTr="00962CCF">
        <w:tblPrEx>
          <w:tblLook w:val="04A0" w:firstRow="1" w:lastRow="0" w:firstColumn="1" w:lastColumn="0" w:noHBand="0" w:noVBand="1"/>
        </w:tblPrEx>
        <w:trPr>
          <w:trHeight w:val="20"/>
        </w:trPr>
        <w:tc>
          <w:tcPr>
            <w:tcW w:w="1129" w:type="dxa"/>
          </w:tcPr>
          <w:p w14:paraId="108EF49C" w14:textId="40141885"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574ABFA4"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gastroenterologist (code 87); or</w:t>
            </w:r>
          </w:p>
        </w:tc>
      </w:tr>
      <w:tr w:rsidR="004E5B84" w:rsidRPr="00962CCF" w14:paraId="3300109F" w14:textId="77777777" w:rsidTr="00962CCF">
        <w:tblPrEx>
          <w:tblLook w:val="04A0" w:firstRow="1" w:lastRow="0" w:firstColumn="1" w:lastColumn="0" w:noHBand="0" w:noVBand="1"/>
        </w:tblPrEx>
        <w:trPr>
          <w:trHeight w:val="20"/>
        </w:trPr>
        <w:tc>
          <w:tcPr>
            <w:tcW w:w="1129" w:type="dxa"/>
          </w:tcPr>
          <w:p w14:paraId="3F4E8DC7" w14:textId="5DFD7B35"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43A1D89E"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[internal medicine specialising in gastroenterology (code 81)]; or</w:t>
            </w:r>
          </w:p>
        </w:tc>
      </w:tr>
      <w:tr w:rsidR="004E5B84" w:rsidRPr="00962CCF" w14:paraId="0D048ED6" w14:textId="77777777" w:rsidTr="00962CCF">
        <w:tblPrEx>
          <w:tblLook w:val="04A0" w:firstRow="1" w:lastRow="0" w:firstColumn="1" w:lastColumn="0" w:noHBand="0" w:noVBand="1"/>
        </w:tblPrEx>
        <w:trPr>
          <w:trHeight w:val="20"/>
        </w:trPr>
        <w:tc>
          <w:tcPr>
            <w:tcW w:w="1129" w:type="dxa"/>
          </w:tcPr>
          <w:p w14:paraId="248A7AD5" w14:textId="606C98BD"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6F96F366"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Must be treated by a consultant physician [general medicine specialising in gastroenterology (code 82)]</w:t>
            </w:r>
          </w:p>
        </w:tc>
      </w:tr>
      <w:tr w:rsidR="004E5B84" w:rsidRPr="00962CCF" w14:paraId="67B3A909" w14:textId="77777777" w:rsidTr="00962CCF">
        <w:tblPrEx>
          <w:tblLook w:val="04A0" w:firstRow="1" w:lastRow="0" w:firstColumn="1" w:lastColumn="0" w:noHBand="0" w:noVBand="1"/>
        </w:tblPrEx>
        <w:trPr>
          <w:trHeight w:val="20"/>
        </w:trPr>
        <w:tc>
          <w:tcPr>
            <w:tcW w:w="1129" w:type="dxa"/>
          </w:tcPr>
          <w:p w14:paraId="02E8681C"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28EEAEC6" w14:textId="77777777" w:rsidR="004E5B84" w:rsidRPr="00962CCF" w:rsidRDefault="004E5B84" w:rsidP="00B43184">
            <w:pPr>
              <w:ind w:left="-57"/>
              <w:rPr>
                <w:rFonts w:ascii="Arial Narrow" w:hAnsi="Arial Narrow" w:cs="Open Sans"/>
                <w:color w:val="333333"/>
                <w:sz w:val="18"/>
                <w:szCs w:val="18"/>
              </w:rPr>
            </w:pPr>
          </w:p>
        </w:tc>
      </w:tr>
      <w:tr w:rsidR="004E5B84" w:rsidRPr="00962CCF" w14:paraId="4CAB7857" w14:textId="77777777" w:rsidTr="00962CCF">
        <w:tblPrEx>
          <w:tblLook w:val="04A0" w:firstRow="1" w:lastRow="0" w:firstColumn="1" w:lastColumn="0" w:noHBand="0" w:noVBand="1"/>
        </w:tblPrEx>
        <w:trPr>
          <w:trHeight w:val="20"/>
        </w:trPr>
        <w:tc>
          <w:tcPr>
            <w:tcW w:w="1129" w:type="dxa"/>
          </w:tcPr>
          <w:p w14:paraId="7268BD92" w14:textId="412C677F"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373D7B2F"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962CCF" w14:paraId="0540A48E" w14:textId="77777777" w:rsidTr="00962CCF">
        <w:tblPrEx>
          <w:tblLook w:val="04A0" w:firstRow="1" w:lastRow="0" w:firstColumn="1" w:lastColumn="0" w:noHBand="0" w:noVBand="1"/>
        </w:tblPrEx>
        <w:trPr>
          <w:trHeight w:val="20"/>
        </w:trPr>
        <w:tc>
          <w:tcPr>
            <w:tcW w:w="1129" w:type="dxa"/>
          </w:tcPr>
          <w:p w14:paraId="69347945" w14:textId="5F8B4EFF"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1D1D39D7"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 xml:space="preserve">The treatment must have been prescribed in a quantity in the most recent prescription which did not seek the full quantity available </w:t>
            </w:r>
            <w:proofErr w:type="gramStart"/>
            <w:r w:rsidRPr="00962CCF">
              <w:rPr>
                <w:rFonts w:ascii="Arial Narrow" w:hAnsi="Arial Narrow" w:cs="Open Sans"/>
                <w:color w:val="333333"/>
                <w:sz w:val="18"/>
                <w:szCs w:val="18"/>
              </w:rPr>
              <w:t>in regards to</w:t>
            </w:r>
            <w:proofErr w:type="gramEnd"/>
            <w:r w:rsidRPr="00962CCF">
              <w:rPr>
                <w:rFonts w:ascii="Arial Narrow" w:hAnsi="Arial Narrow" w:cs="Open Sans"/>
                <w:color w:val="333333"/>
                <w:sz w:val="18"/>
                <w:szCs w:val="18"/>
              </w:rPr>
              <w:t xml:space="preserve"> any of: (i) the quantity per dispensing, (ii) repeat prescriptions </w:t>
            </w:r>
          </w:p>
        </w:tc>
      </w:tr>
      <w:tr w:rsidR="004E5B84" w:rsidRPr="00962CCF" w14:paraId="73806141" w14:textId="77777777" w:rsidTr="00962CCF">
        <w:tblPrEx>
          <w:tblLook w:val="04A0" w:firstRow="1" w:lastRow="0" w:firstColumn="1" w:lastColumn="0" w:noHBand="0" w:noVBand="1"/>
        </w:tblPrEx>
        <w:trPr>
          <w:trHeight w:val="20"/>
        </w:trPr>
        <w:tc>
          <w:tcPr>
            <w:tcW w:w="1129" w:type="dxa"/>
          </w:tcPr>
          <w:p w14:paraId="1BF59EF3" w14:textId="77777777" w:rsidR="004E5B84" w:rsidRPr="00962CCF" w:rsidRDefault="004E5B84" w:rsidP="00B43184">
            <w:pPr>
              <w:jc w:val="center"/>
              <w:rPr>
                <w:rFonts w:ascii="Arial Narrow" w:hAnsi="Arial Narrow" w:cs="Open Sans"/>
                <w:color w:val="333333"/>
                <w:sz w:val="20"/>
                <w:szCs w:val="20"/>
              </w:rPr>
            </w:pPr>
          </w:p>
        </w:tc>
        <w:tc>
          <w:tcPr>
            <w:tcW w:w="8080" w:type="dxa"/>
            <w:gridSpan w:val="6"/>
            <w:hideMark/>
          </w:tcPr>
          <w:p w14:paraId="38DF8F11"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AND</w:t>
            </w:r>
          </w:p>
        </w:tc>
      </w:tr>
      <w:tr w:rsidR="004E5B84" w:rsidRPr="00962CCF" w14:paraId="56508EFB" w14:textId="77777777" w:rsidTr="00962CCF">
        <w:tblPrEx>
          <w:tblLook w:val="04A0" w:firstRow="1" w:lastRow="0" w:firstColumn="1" w:lastColumn="0" w:noHBand="0" w:noVBand="1"/>
        </w:tblPrEx>
        <w:trPr>
          <w:trHeight w:val="20"/>
        </w:trPr>
        <w:tc>
          <w:tcPr>
            <w:tcW w:w="1129" w:type="dxa"/>
          </w:tcPr>
          <w:p w14:paraId="1F1FF1E7" w14:textId="7E6280FF"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78FE4FD"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Clinical criteria:</w:t>
            </w:r>
          </w:p>
        </w:tc>
      </w:tr>
      <w:tr w:rsidR="004E5B84" w:rsidRPr="00962CCF" w14:paraId="0DAD8AA1" w14:textId="77777777" w:rsidTr="00962CCF">
        <w:tblPrEx>
          <w:tblLook w:val="04A0" w:firstRow="1" w:lastRow="0" w:firstColumn="1" w:lastColumn="0" w:noHBand="0" w:noVBand="1"/>
        </w:tblPrEx>
        <w:trPr>
          <w:trHeight w:val="20"/>
        </w:trPr>
        <w:tc>
          <w:tcPr>
            <w:tcW w:w="1129" w:type="dxa"/>
          </w:tcPr>
          <w:p w14:paraId="6B8A218D" w14:textId="23FBBA36"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2D360D6B" w14:textId="77777777" w:rsidR="004E5B84" w:rsidRPr="00962CCF" w:rsidRDefault="004E5B84" w:rsidP="00B43184">
            <w:pPr>
              <w:ind w:left="-57"/>
              <w:rPr>
                <w:rFonts w:ascii="Arial Narrow" w:hAnsi="Arial Narrow" w:cs="Open Sans"/>
                <w:color w:val="333333"/>
                <w:sz w:val="18"/>
                <w:szCs w:val="18"/>
              </w:rPr>
            </w:pPr>
            <w:r w:rsidRPr="00962CCF">
              <w:rPr>
                <w:rFonts w:ascii="Arial Narrow" w:hAnsi="Arial Narrow" w:cs="Open Sans"/>
                <w:color w:val="333333"/>
                <w:sz w:val="18"/>
                <w:szCs w:val="18"/>
              </w:rPr>
              <w:t>The treatment must provide no more than the balance available under the treatment phase from which the immediately preceding supply was obtained under</w:t>
            </w:r>
          </w:p>
        </w:tc>
      </w:tr>
      <w:tr w:rsidR="004E5B84" w:rsidRPr="00962CCF" w14:paraId="2B4207ED" w14:textId="77777777" w:rsidTr="00962CCF">
        <w:tblPrEx>
          <w:tblLook w:val="04A0" w:firstRow="1" w:lastRow="0" w:firstColumn="1" w:lastColumn="0" w:noHBand="0" w:noVBand="1"/>
        </w:tblPrEx>
        <w:trPr>
          <w:trHeight w:val="20"/>
        </w:trPr>
        <w:tc>
          <w:tcPr>
            <w:tcW w:w="1129" w:type="dxa"/>
          </w:tcPr>
          <w:p w14:paraId="55AC0446"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tcPr>
          <w:p w14:paraId="432CDDB4" w14:textId="77777777" w:rsidR="004E5B84" w:rsidRPr="00962CCF" w:rsidRDefault="004E5B84" w:rsidP="00B43184">
            <w:pPr>
              <w:ind w:left="-57"/>
              <w:rPr>
                <w:rFonts w:ascii="Arial Narrow" w:hAnsi="Arial Narrow" w:cs="Open Sans"/>
                <w:color w:val="333333"/>
                <w:sz w:val="18"/>
                <w:szCs w:val="18"/>
              </w:rPr>
            </w:pPr>
          </w:p>
        </w:tc>
      </w:tr>
      <w:tr w:rsidR="004E5B84" w:rsidRPr="00962CCF" w14:paraId="15A1CA23" w14:textId="77777777" w:rsidTr="00962CCF">
        <w:tblPrEx>
          <w:tblLook w:val="04A0" w:firstRow="1" w:lastRow="0" w:firstColumn="1" w:lastColumn="0" w:noHBand="0" w:noVBand="1"/>
        </w:tblPrEx>
        <w:trPr>
          <w:trHeight w:val="20"/>
        </w:trPr>
        <w:tc>
          <w:tcPr>
            <w:tcW w:w="1129" w:type="dxa"/>
          </w:tcPr>
          <w:p w14:paraId="7D2497FA" w14:textId="77777777" w:rsidR="004E5B84" w:rsidRPr="00962CCF" w:rsidRDefault="004E5B84" w:rsidP="00B43184">
            <w:pPr>
              <w:jc w:val="center"/>
              <w:textAlignment w:val="baseline"/>
              <w:rPr>
                <w:rFonts w:ascii="Arial Narrow" w:hAnsi="Arial Narrow" w:cs="Open Sans"/>
                <w:color w:val="333333"/>
                <w:sz w:val="20"/>
                <w:szCs w:val="20"/>
              </w:rPr>
            </w:pPr>
          </w:p>
        </w:tc>
        <w:tc>
          <w:tcPr>
            <w:tcW w:w="8080" w:type="dxa"/>
            <w:gridSpan w:val="6"/>
            <w:hideMark/>
          </w:tcPr>
          <w:p w14:paraId="7FE75025"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b/>
                <w:bCs/>
                <w:color w:val="333333"/>
                <w:sz w:val="18"/>
                <w:szCs w:val="18"/>
                <w:bdr w:val="none" w:sz="0" w:space="0" w:color="auto" w:frame="1"/>
              </w:rPr>
              <w:t>Administrative Advice:</w:t>
            </w:r>
          </w:p>
          <w:p w14:paraId="67FAA53C" w14:textId="77777777" w:rsidR="004E5B84" w:rsidRPr="00962CCF" w:rsidRDefault="004E5B84" w:rsidP="00B43184">
            <w:pPr>
              <w:ind w:left="-57"/>
              <w:textAlignment w:val="baseline"/>
              <w:rPr>
                <w:rFonts w:ascii="Arial Narrow" w:hAnsi="Arial Narrow" w:cs="Open Sans"/>
                <w:color w:val="333333"/>
                <w:sz w:val="18"/>
                <w:szCs w:val="18"/>
              </w:rPr>
            </w:pPr>
            <w:r w:rsidRPr="00962CCF">
              <w:rPr>
                <w:rFonts w:ascii="Arial Narrow" w:hAnsi="Arial Narrow" w:cs="Open Sans"/>
                <w:color w:val="333333"/>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4E5B84" w:rsidRPr="00962CCF" w14:paraId="6B64C2E9" w14:textId="77777777" w:rsidTr="00962CCF">
        <w:tblPrEx>
          <w:tblLook w:val="04A0" w:firstRow="1" w:lastRow="0" w:firstColumn="1" w:lastColumn="0" w:noHBand="0" w:noVBand="1"/>
        </w:tblPrEx>
        <w:trPr>
          <w:trHeight w:val="20"/>
        </w:trPr>
        <w:tc>
          <w:tcPr>
            <w:tcW w:w="1129" w:type="dxa"/>
          </w:tcPr>
          <w:p w14:paraId="7AD4644C" w14:textId="0C8EDEED" w:rsidR="004E5B84" w:rsidRPr="00962CCF" w:rsidRDefault="004E5B84" w:rsidP="00B43184">
            <w:pPr>
              <w:jc w:val="center"/>
              <w:textAlignment w:val="baseline"/>
              <w:rPr>
                <w:rFonts w:ascii="Arial Narrow" w:hAnsi="Arial Narrow"/>
                <w:bCs/>
                <w:sz w:val="20"/>
                <w:szCs w:val="20"/>
              </w:rPr>
            </w:pPr>
          </w:p>
        </w:tc>
        <w:tc>
          <w:tcPr>
            <w:tcW w:w="8080" w:type="dxa"/>
            <w:gridSpan w:val="6"/>
          </w:tcPr>
          <w:p w14:paraId="4118B1AB" w14:textId="2ADA7E00" w:rsidR="004E5B84" w:rsidRPr="00962CCF" w:rsidRDefault="004E5B84" w:rsidP="00B43184">
            <w:pPr>
              <w:ind w:left="-57"/>
              <w:textAlignment w:val="baseline"/>
              <w:rPr>
                <w:rFonts w:ascii="Arial Narrow" w:hAnsi="Arial Narrow"/>
                <w:b/>
                <w:bCs/>
                <w:sz w:val="18"/>
                <w:szCs w:val="18"/>
              </w:rPr>
            </w:pPr>
            <w:r w:rsidRPr="00962CCF">
              <w:rPr>
                <w:rFonts w:ascii="Arial Narrow" w:hAnsi="Arial Narrow"/>
                <w:b/>
                <w:bCs/>
                <w:sz w:val="18"/>
                <w:szCs w:val="18"/>
              </w:rPr>
              <w:t>Administrative Advice:</w:t>
            </w:r>
            <w:r w:rsidR="000C52FF" w:rsidRPr="00962CCF">
              <w:rPr>
                <w:rFonts w:ascii="Arial Narrow" w:hAnsi="Arial Narrow"/>
                <w:b/>
                <w:bCs/>
                <w:sz w:val="18"/>
                <w:szCs w:val="18"/>
              </w:rPr>
              <w:t xml:space="preserve"> </w:t>
            </w:r>
            <w:r w:rsidRPr="00962CCF">
              <w:rPr>
                <w:rFonts w:ascii="Arial Narrow" w:hAnsi="Arial Narrow"/>
                <w:sz w:val="18"/>
                <w:szCs w:val="18"/>
              </w:rPr>
              <w:t xml:space="preserve">Continuing (maintenance) treatment aims to provide 24 weeks. </w:t>
            </w:r>
          </w:p>
        </w:tc>
      </w:tr>
    </w:tbl>
    <w:p w14:paraId="0B880BEE" w14:textId="77777777" w:rsidR="004E5B84" w:rsidRDefault="004E5B84" w:rsidP="004E5B84"/>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559"/>
        <w:gridCol w:w="1276"/>
        <w:gridCol w:w="1134"/>
        <w:gridCol w:w="850"/>
        <w:gridCol w:w="1134"/>
      </w:tblGrid>
      <w:tr w:rsidR="004E5B84" w:rsidRPr="00962CCF" w14:paraId="5D7A499B" w14:textId="77777777" w:rsidTr="00962CCF">
        <w:trPr>
          <w:cantSplit/>
          <w:trHeight w:val="20"/>
        </w:trPr>
        <w:tc>
          <w:tcPr>
            <w:tcW w:w="9209" w:type="dxa"/>
            <w:gridSpan w:val="6"/>
          </w:tcPr>
          <w:p w14:paraId="7D3E6374" w14:textId="7AF75DB7" w:rsidR="004E5B84" w:rsidRPr="00962CCF" w:rsidRDefault="004E5B84" w:rsidP="00B43184">
            <w:pPr>
              <w:keepNext/>
              <w:ind w:left="-57"/>
              <w:rPr>
                <w:rFonts w:ascii="Arial Narrow" w:hAnsi="Arial Narrow"/>
                <w:b/>
                <w:sz w:val="18"/>
                <w:szCs w:val="18"/>
              </w:rPr>
            </w:pPr>
            <w:bookmarkStart w:id="131" w:name="_Hlk122449979"/>
            <w:r w:rsidRPr="00962CCF">
              <w:rPr>
                <w:rFonts w:ascii="Arial Narrow" w:hAnsi="Arial Narrow"/>
                <w:b/>
                <w:sz w:val="18"/>
                <w:szCs w:val="18"/>
              </w:rPr>
              <w:t>Category / Program:</w:t>
            </w:r>
            <w:r w:rsidR="000C52FF" w:rsidRPr="00962CCF">
              <w:rPr>
                <w:rFonts w:ascii="Arial Narrow" w:hAnsi="Arial Narrow"/>
                <w:b/>
                <w:sz w:val="18"/>
                <w:szCs w:val="18"/>
              </w:rPr>
              <w:t xml:space="preserve"> </w:t>
            </w:r>
            <w:r w:rsidRPr="00962CCF">
              <w:rPr>
                <w:rFonts w:ascii="Arial Narrow" w:hAnsi="Arial Narrow"/>
                <w:b/>
                <w:sz w:val="18"/>
                <w:szCs w:val="18"/>
              </w:rPr>
              <w:t xml:space="preserve"> </w:t>
            </w:r>
            <w:r w:rsidRPr="00962CCF">
              <w:rPr>
                <w:rFonts w:ascii="Arial Narrow" w:hAnsi="Arial Narrow"/>
                <w:sz w:val="18"/>
                <w:szCs w:val="18"/>
              </w:rPr>
              <w:t>GENERAL – General Schedule (Code GE)</w:t>
            </w:r>
          </w:p>
        </w:tc>
      </w:tr>
      <w:tr w:rsidR="004E5B84" w:rsidRPr="00962CCF" w14:paraId="4D6EEB59" w14:textId="77777777" w:rsidTr="00962CCF">
        <w:trPr>
          <w:cantSplit/>
          <w:trHeight w:val="20"/>
        </w:trPr>
        <w:tc>
          <w:tcPr>
            <w:tcW w:w="3256" w:type="dxa"/>
          </w:tcPr>
          <w:p w14:paraId="3766B1E0" w14:textId="77777777" w:rsidR="004E5B84" w:rsidRPr="00962CCF" w:rsidRDefault="004E5B84" w:rsidP="00B43184">
            <w:pPr>
              <w:keepNext/>
              <w:ind w:left="-57"/>
              <w:rPr>
                <w:rFonts w:ascii="Arial Narrow" w:hAnsi="Arial Narrow"/>
                <w:b/>
                <w:bCs/>
                <w:sz w:val="18"/>
                <w:szCs w:val="18"/>
              </w:rPr>
            </w:pPr>
            <w:r w:rsidRPr="00962CCF">
              <w:rPr>
                <w:rFonts w:ascii="Arial Narrow" w:hAnsi="Arial Narrow"/>
                <w:b/>
                <w:bCs/>
                <w:sz w:val="18"/>
                <w:szCs w:val="18"/>
              </w:rPr>
              <w:t>MEDICINAL PRODUCT</w:t>
            </w:r>
          </w:p>
          <w:p w14:paraId="79C2ADCC" w14:textId="77777777" w:rsidR="004E5B84" w:rsidRPr="00962CCF" w:rsidRDefault="004E5B84" w:rsidP="00B43184">
            <w:pPr>
              <w:keepNext/>
              <w:ind w:left="-57"/>
              <w:rPr>
                <w:rFonts w:ascii="Arial Narrow" w:hAnsi="Arial Narrow"/>
                <w:b/>
                <w:sz w:val="18"/>
                <w:szCs w:val="18"/>
              </w:rPr>
            </w:pPr>
            <w:r w:rsidRPr="00962CCF">
              <w:rPr>
                <w:rFonts w:ascii="Arial Narrow" w:hAnsi="Arial Narrow"/>
                <w:b/>
                <w:bCs/>
                <w:sz w:val="18"/>
                <w:szCs w:val="18"/>
              </w:rPr>
              <w:t>medicinal product pack</w:t>
            </w:r>
          </w:p>
        </w:tc>
        <w:tc>
          <w:tcPr>
            <w:tcW w:w="1559" w:type="dxa"/>
          </w:tcPr>
          <w:p w14:paraId="3C9259A1" w14:textId="77777777" w:rsidR="004E5B84" w:rsidRPr="00962CCF" w:rsidRDefault="004E5B84" w:rsidP="00B43184">
            <w:pPr>
              <w:keepNext/>
              <w:ind w:left="-108"/>
              <w:jc w:val="center"/>
              <w:rPr>
                <w:rFonts w:ascii="Arial Narrow" w:hAnsi="Arial Narrow"/>
                <w:b/>
                <w:sz w:val="18"/>
                <w:szCs w:val="18"/>
              </w:rPr>
            </w:pPr>
            <w:r w:rsidRPr="00962CCF">
              <w:rPr>
                <w:rFonts w:ascii="Arial Narrow" w:hAnsi="Arial Narrow"/>
                <w:b/>
                <w:sz w:val="18"/>
                <w:szCs w:val="18"/>
              </w:rPr>
              <w:t>PBS item code</w:t>
            </w:r>
          </w:p>
        </w:tc>
        <w:tc>
          <w:tcPr>
            <w:tcW w:w="1276" w:type="dxa"/>
          </w:tcPr>
          <w:p w14:paraId="55854C54" w14:textId="77777777" w:rsidR="004E5B84" w:rsidRPr="00962CCF" w:rsidRDefault="004E5B84" w:rsidP="00B43184">
            <w:pPr>
              <w:keepNext/>
              <w:ind w:left="-108"/>
              <w:jc w:val="center"/>
              <w:rPr>
                <w:rFonts w:ascii="Arial Narrow" w:hAnsi="Arial Narrow"/>
                <w:b/>
                <w:sz w:val="18"/>
                <w:szCs w:val="18"/>
              </w:rPr>
            </w:pPr>
            <w:r w:rsidRPr="00962CCF">
              <w:rPr>
                <w:rFonts w:ascii="Arial Narrow" w:hAnsi="Arial Narrow"/>
                <w:b/>
                <w:sz w:val="18"/>
                <w:szCs w:val="18"/>
              </w:rPr>
              <w:t>Max. qty packs</w:t>
            </w:r>
          </w:p>
        </w:tc>
        <w:tc>
          <w:tcPr>
            <w:tcW w:w="1134" w:type="dxa"/>
          </w:tcPr>
          <w:p w14:paraId="75CE205C" w14:textId="77777777" w:rsidR="004E5B84" w:rsidRPr="00962CCF" w:rsidRDefault="004E5B84" w:rsidP="00B43184">
            <w:pPr>
              <w:keepNext/>
              <w:ind w:left="-108"/>
              <w:jc w:val="center"/>
              <w:rPr>
                <w:rFonts w:ascii="Arial Narrow" w:hAnsi="Arial Narrow"/>
                <w:b/>
                <w:sz w:val="18"/>
                <w:szCs w:val="18"/>
              </w:rPr>
            </w:pPr>
            <w:r w:rsidRPr="00962CCF">
              <w:rPr>
                <w:rFonts w:ascii="Arial Narrow" w:hAnsi="Arial Narrow"/>
                <w:b/>
                <w:sz w:val="18"/>
                <w:szCs w:val="18"/>
              </w:rPr>
              <w:t>Max. qty units</w:t>
            </w:r>
          </w:p>
        </w:tc>
        <w:tc>
          <w:tcPr>
            <w:tcW w:w="850" w:type="dxa"/>
          </w:tcPr>
          <w:p w14:paraId="7FBC4E32" w14:textId="77777777" w:rsidR="004E5B84" w:rsidRPr="00962CCF" w:rsidRDefault="004E5B84" w:rsidP="00B43184">
            <w:pPr>
              <w:keepNext/>
              <w:ind w:left="-108"/>
              <w:jc w:val="center"/>
              <w:rPr>
                <w:rFonts w:ascii="Arial Narrow" w:hAnsi="Arial Narrow"/>
                <w:b/>
                <w:sz w:val="18"/>
                <w:szCs w:val="18"/>
              </w:rPr>
            </w:pPr>
            <w:proofErr w:type="gramStart"/>
            <w:r w:rsidRPr="00962CCF">
              <w:rPr>
                <w:rFonts w:ascii="Arial Narrow" w:hAnsi="Arial Narrow"/>
                <w:b/>
                <w:sz w:val="18"/>
                <w:szCs w:val="18"/>
              </w:rPr>
              <w:t>№.of</w:t>
            </w:r>
            <w:proofErr w:type="gramEnd"/>
          </w:p>
          <w:p w14:paraId="7610E034" w14:textId="77777777" w:rsidR="004E5B84" w:rsidRPr="00962CCF" w:rsidRDefault="004E5B84" w:rsidP="00B43184">
            <w:pPr>
              <w:keepNext/>
              <w:ind w:left="-108"/>
              <w:jc w:val="center"/>
              <w:rPr>
                <w:rFonts w:ascii="Arial Narrow" w:hAnsi="Arial Narrow"/>
                <w:b/>
                <w:sz w:val="18"/>
                <w:szCs w:val="18"/>
              </w:rPr>
            </w:pPr>
            <w:r w:rsidRPr="00962CCF">
              <w:rPr>
                <w:rFonts w:ascii="Arial Narrow" w:hAnsi="Arial Narrow"/>
                <w:b/>
                <w:sz w:val="18"/>
                <w:szCs w:val="18"/>
              </w:rPr>
              <w:t>Rpts</w:t>
            </w:r>
          </w:p>
        </w:tc>
        <w:tc>
          <w:tcPr>
            <w:tcW w:w="1134" w:type="dxa"/>
          </w:tcPr>
          <w:p w14:paraId="00761777" w14:textId="77777777" w:rsidR="004E5B84" w:rsidRPr="00962CCF" w:rsidRDefault="004E5B84" w:rsidP="00B43184">
            <w:pPr>
              <w:keepNext/>
              <w:rPr>
                <w:rFonts w:ascii="Arial Narrow" w:hAnsi="Arial Narrow"/>
                <w:b/>
                <w:sz w:val="18"/>
                <w:szCs w:val="18"/>
                <w:lang w:val="fr-FR"/>
              </w:rPr>
            </w:pPr>
            <w:r w:rsidRPr="00962CCF">
              <w:rPr>
                <w:rFonts w:ascii="Arial Narrow" w:hAnsi="Arial Narrow"/>
                <w:b/>
                <w:sz w:val="18"/>
                <w:szCs w:val="18"/>
              </w:rPr>
              <w:t>Available brands</w:t>
            </w:r>
          </w:p>
        </w:tc>
      </w:tr>
      <w:tr w:rsidR="004E5B84" w:rsidRPr="00962CCF" w14:paraId="5D1B334C" w14:textId="77777777" w:rsidTr="00962CCF">
        <w:trPr>
          <w:cantSplit/>
          <w:trHeight w:val="20"/>
        </w:trPr>
        <w:tc>
          <w:tcPr>
            <w:tcW w:w="9209" w:type="dxa"/>
            <w:gridSpan w:val="6"/>
          </w:tcPr>
          <w:p w14:paraId="33479B3D" w14:textId="54B63B12" w:rsidR="004E5B84" w:rsidRPr="00962CCF" w:rsidRDefault="004E5B84" w:rsidP="00B43184">
            <w:pPr>
              <w:keepNext/>
              <w:ind w:left="-57"/>
              <w:rPr>
                <w:rFonts w:ascii="Arial Narrow" w:hAnsi="Arial Narrow"/>
                <w:sz w:val="18"/>
                <w:szCs w:val="18"/>
              </w:rPr>
            </w:pPr>
            <w:r w:rsidRPr="00962CCF">
              <w:rPr>
                <w:rFonts w:ascii="Arial Narrow" w:hAnsi="Arial Narrow"/>
                <w:sz w:val="18"/>
                <w:szCs w:val="18"/>
              </w:rPr>
              <w:t>UPADACITINIB</w:t>
            </w:r>
            <w:r w:rsidR="000C52FF" w:rsidRPr="00962CCF">
              <w:rPr>
                <w:rFonts w:ascii="Arial Narrow" w:hAnsi="Arial Narrow"/>
                <w:sz w:val="18"/>
                <w:szCs w:val="18"/>
              </w:rPr>
              <w:t xml:space="preserve"> </w:t>
            </w:r>
          </w:p>
        </w:tc>
      </w:tr>
      <w:tr w:rsidR="004E5B84" w:rsidRPr="00962CCF" w14:paraId="3682D295" w14:textId="77777777" w:rsidTr="00962CCF">
        <w:trPr>
          <w:cantSplit/>
          <w:trHeight w:val="20"/>
        </w:trPr>
        <w:tc>
          <w:tcPr>
            <w:tcW w:w="3256" w:type="dxa"/>
          </w:tcPr>
          <w:p w14:paraId="778BD707" w14:textId="77777777" w:rsidR="004E5B84" w:rsidRPr="00962CCF" w:rsidRDefault="004E5B84" w:rsidP="00B43184">
            <w:pPr>
              <w:keepNext/>
              <w:ind w:left="-57"/>
              <w:rPr>
                <w:rFonts w:ascii="Arial Narrow" w:hAnsi="Arial Narrow"/>
                <w:sz w:val="18"/>
                <w:szCs w:val="18"/>
              </w:rPr>
            </w:pPr>
            <w:r w:rsidRPr="00962CCF">
              <w:rPr>
                <w:rFonts w:ascii="Arial Narrow" w:hAnsi="Arial Narrow"/>
                <w:sz w:val="18"/>
                <w:szCs w:val="18"/>
              </w:rPr>
              <w:t xml:space="preserve">upadactinib 15 mg modified release tablet, 28 </w:t>
            </w:r>
          </w:p>
        </w:tc>
        <w:tc>
          <w:tcPr>
            <w:tcW w:w="1559" w:type="dxa"/>
          </w:tcPr>
          <w:p w14:paraId="4AC52160" w14:textId="77777777" w:rsidR="004E5B84" w:rsidRPr="00962CCF" w:rsidRDefault="004E5B84" w:rsidP="00B43184">
            <w:pPr>
              <w:keepNext/>
              <w:jc w:val="center"/>
              <w:rPr>
                <w:rFonts w:ascii="Arial Narrow" w:hAnsi="Arial Narrow"/>
                <w:sz w:val="18"/>
                <w:szCs w:val="18"/>
              </w:rPr>
            </w:pPr>
            <w:r w:rsidRPr="00962CCF">
              <w:rPr>
                <w:rFonts w:ascii="Arial Narrow" w:hAnsi="Arial Narrow"/>
                <w:sz w:val="18"/>
                <w:szCs w:val="18"/>
              </w:rPr>
              <w:t>NEW</w:t>
            </w:r>
          </w:p>
          <w:p w14:paraId="079E4734" w14:textId="77777777" w:rsidR="004E5B84" w:rsidRPr="00962CCF" w:rsidRDefault="004E5B84" w:rsidP="00B43184">
            <w:pPr>
              <w:keepNext/>
              <w:jc w:val="center"/>
              <w:rPr>
                <w:rFonts w:ascii="Arial Narrow" w:hAnsi="Arial Narrow"/>
                <w:sz w:val="18"/>
                <w:szCs w:val="18"/>
                <w:vertAlign w:val="subscript"/>
              </w:rPr>
            </w:pPr>
            <w:r w:rsidRPr="00962CCF">
              <w:rPr>
                <w:rFonts w:ascii="Arial Narrow" w:hAnsi="Arial Narrow"/>
                <w:sz w:val="18"/>
                <w:szCs w:val="18"/>
                <w:vertAlign w:val="subscript"/>
              </w:rPr>
              <w:t>MP</w:t>
            </w:r>
          </w:p>
        </w:tc>
        <w:tc>
          <w:tcPr>
            <w:tcW w:w="1276" w:type="dxa"/>
          </w:tcPr>
          <w:p w14:paraId="5E1E5BDF" w14:textId="77777777" w:rsidR="004E5B84" w:rsidRPr="00962CCF" w:rsidRDefault="004E5B84" w:rsidP="00B43184">
            <w:pPr>
              <w:keepNext/>
              <w:jc w:val="center"/>
              <w:rPr>
                <w:rFonts w:ascii="Arial Narrow" w:hAnsi="Arial Narrow"/>
                <w:sz w:val="18"/>
                <w:szCs w:val="18"/>
              </w:rPr>
            </w:pPr>
            <w:r w:rsidRPr="00962CCF">
              <w:rPr>
                <w:rFonts w:ascii="Arial Narrow" w:hAnsi="Arial Narrow"/>
                <w:sz w:val="18"/>
                <w:szCs w:val="18"/>
              </w:rPr>
              <w:t>1</w:t>
            </w:r>
          </w:p>
        </w:tc>
        <w:tc>
          <w:tcPr>
            <w:tcW w:w="1134" w:type="dxa"/>
          </w:tcPr>
          <w:p w14:paraId="4DB76CE0" w14:textId="77777777" w:rsidR="004E5B84" w:rsidRPr="00962CCF" w:rsidRDefault="004E5B84" w:rsidP="00B43184">
            <w:pPr>
              <w:keepNext/>
              <w:jc w:val="center"/>
              <w:rPr>
                <w:rFonts w:ascii="Arial Narrow" w:hAnsi="Arial Narrow"/>
                <w:sz w:val="18"/>
                <w:szCs w:val="18"/>
              </w:rPr>
            </w:pPr>
            <w:r w:rsidRPr="00962CCF">
              <w:rPr>
                <w:rFonts w:ascii="Arial Narrow" w:hAnsi="Arial Narrow"/>
                <w:sz w:val="18"/>
                <w:szCs w:val="18"/>
              </w:rPr>
              <w:t>28</w:t>
            </w:r>
          </w:p>
        </w:tc>
        <w:tc>
          <w:tcPr>
            <w:tcW w:w="850" w:type="dxa"/>
          </w:tcPr>
          <w:p w14:paraId="10D8B8AD" w14:textId="77777777" w:rsidR="004E5B84" w:rsidRPr="00962CCF" w:rsidRDefault="004E5B84" w:rsidP="00B43184">
            <w:pPr>
              <w:keepNext/>
              <w:jc w:val="center"/>
              <w:rPr>
                <w:rFonts w:ascii="Arial Narrow" w:hAnsi="Arial Narrow"/>
                <w:sz w:val="18"/>
                <w:szCs w:val="18"/>
              </w:rPr>
            </w:pPr>
            <w:r w:rsidRPr="00962CCF">
              <w:rPr>
                <w:rFonts w:ascii="Arial Narrow" w:hAnsi="Arial Narrow"/>
                <w:sz w:val="18"/>
                <w:szCs w:val="18"/>
              </w:rPr>
              <w:t>5</w:t>
            </w:r>
          </w:p>
        </w:tc>
        <w:tc>
          <w:tcPr>
            <w:tcW w:w="1134" w:type="dxa"/>
          </w:tcPr>
          <w:p w14:paraId="65317C84" w14:textId="77777777" w:rsidR="004E5B84" w:rsidRPr="00962CCF" w:rsidRDefault="004E5B84" w:rsidP="00B43184">
            <w:pPr>
              <w:keepNext/>
              <w:rPr>
                <w:rFonts w:ascii="Arial Narrow" w:hAnsi="Arial Narrow"/>
                <w:sz w:val="18"/>
                <w:szCs w:val="18"/>
              </w:rPr>
            </w:pPr>
            <w:r w:rsidRPr="00962CCF">
              <w:rPr>
                <w:rFonts w:ascii="Arial Narrow" w:hAnsi="Arial Narrow"/>
                <w:sz w:val="18"/>
                <w:szCs w:val="18"/>
              </w:rPr>
              <w:t xml:space="preserve">Rinvoq </w:t>
            </w:r>
          </w:p>
        </w:tc>
      </w:tr>
      <w:tr w:rsidR="004E5B84" w:rsidRPr="00962CCF" w14:paraId="3F3FF894" w14:textId="77777777" w:rsidTr="00962CCF">
        <w:trPr>
          <w:cantSplit/>
          <w:trHeight w:val="20"/>
        </w:trPr>
        <w:tc>
          <w:tcPr>
            <w:tcW w:w="9209" w:type="dxa"/>
            <w:gridSpan w:val="6"/>
          </w:tcPr>
          <w:p w14:paraId="53D576EB" w14:textId="77777777" w:rsidR="004E5B84" w:rsidRPr="00962CCF" w:rsidRDefault="004E5B84" w:rsidP="00B43184">
            <w:pPr>
              <w:keepNext/>
              <w:jc w:val="right"/>
              <w:rPr>
                <w:rFonts w:ascii="Arial Narrow" w:hAnsi="Arial Narrow"/>
                <w:sz w:val="18"/>
                <w:szCs w:val="18"/>
              </w:rPr>
            </w:pPr>
            <w:r w:rsidRPr="00962CCF">
              <w:rPr>
                <w:rFonts w:ascii="Arial Narrow" w:hAnsi="Arial Narrow"/>
                <w:sz w:val="18"/>
                <w:szCs w:val="18"/>
              </w:rPr>
              <w:t>Safety Net Rule Penalty Applies: Yes</w:t>
            </w:r>
          </w:p>
        </w:tc>
      </w:tr>
      <w:bookmarkEnd w:id="131"/>
      <w:tr w:rsidR="004E5B84" w:rsidRPr="00962CCF" w14:paraId="124DF09C" w14:textId="77777777" w:rsidTr="00962CCF">
        <w:trPr>
          <w:cantSplit/>
          <w:trHeight w:val="20"/>
        </w:trPr>
        <w:tc>
          <w:tcPr>
            <w:tcW w:w="9209" w:type="dxa"/>
            <w:gridSpan w:val="6"/>
          </w:tcPr>
          <w:p w14:paraId="14300C20" w14:textId="77777777" w:rsidR="004E5B84" w:rsidRPr="00962CCF" w:rsidRDefault="004E5B84" w:rsidP="00B43184">
            <w:pPr>
              <w:keepNext/>
              <w:rPr>
                <w:rFonts w:ascii="Arial Narrow" w:hAnsi="Arial Narrow"/>
                <w:sz w:val="18"/>
                <w:szCs w:val="18"/>
              </w:rPr>
            </w:pPr>
          </w:p>
        </w:tc>
      </w:tr>
    </w:tbl>
    <w:tbl>
      <w:tblPr>
        <w:tblStyle w:val="TableGrid"/>
        <w:tblW w:w="9214" w:type="dxa"/>
        <w:tblInd w:w="-5" w:type="dxa"/>
        <w:tblLayout w:type="fixed"/>
        <w:tblLook w:val="0000" w:firstRow="0" w:lastRow="0" w:firstColumn="0" w:lastColumn="0" w:noHBand="0" w:noVBand="0"/>
      </w:tblPr>
      <w:tblGrid>
        <w:gridCol w:w="1134"/>
        <w:gridCol w:w="8080"/>
      </w:tblGrid>
      <w:tr w:rsidR="004E5B84" w:rsidRPr="004D57D6" w14:paraId="2CA7E63A" w14:textId="77777777" w:rsidTr="00B43184">
        <w:trPr>
          <w:trHeight w:val="444"/>
        </w:trPr>
        <w:tc>
          <w:tcPr>
            <w:tcW w:w="1134" w:type="dxa"/>
          </w:tcPr>
          <w:p w14:paraId="4B0E7CE8" w14:textId="600AF0E7" w:rsidR="004E5B84" w:rsidRPr="00120A12" w:rsidRDefault="004E5B84" w:rsidP="00B43184">
            <w:pPr>
              <w:jc w:val="center"/>
              <w:rPr>
                <w:rFonts w:ascii="Arial Narrow" w:hAnsi="Arial Narrow"/>
                <w:color w:val="333333"/>
                <w:sz w:val="18"/>
                <w:szCs w:val="18"/>
              </w:rPr>
            </w:pPr>
          </w:p>
        </w:tc>
        <w:tc>
          <w:tcPr>
            <w:tcW w:w="8080" w:type="dxa"/>
          </w:tcPr>
          <w:p w14:paraId="05DABD4E" w14:textId="77777777" w:rsidR="004E5B84" w:rsidRPr="004D57D6" w:rsidRDefault="004E5B84" w:rsidP="00B43184">
            <w:pPr>
              <w:ind w:left="-57"/>
              <w:rPr>
                <w:rFonts w:ascii="Arial Narrow" w:hAnsi="Arial Narrow"/>
                <w:sz w:val="18"/>
                <w:szCs w:val="18"/>
              </w:rPr>
            </w:pPr>
            <w:r w:rsidRPr="004D57D6">
              <w:rPr>
                <w:rFonts w:ascii="Arial Narrow" w:hAnsi="Arial Narrow"/>
                <w:b/>
                <w:bCs/>
                <w:sz w:val="18"/>
                <w:szCs w:val="18"/>
              </w:rPr>
              <w:t>Administrative Advice:</w:t>
            </w:r>
          </w:p>
          <w:p w14:paraId="339D17D4" w14:textId="77777777" w:rsidR="004E5B84" w:rsidRPr="004D57D6" w:rsidRDefault="004E5B84" w:rsidP="00B43184">
            <w:pPr>
              <w:ind w:left="-57"/>
              <w:rPr>
                <w:rFonts w:ascii="Arial Narrow" w:hAnsi="Arial Narrow"/>
                <w:i/>
                <w:iCs/>
                <w:sz w:val="18"/>
                <w:szCs w:val="18"/>
              </w:rPr>
            </w:pPr>
            <w:r>
              <w:rPr>
                <w:rFonts w:ascii="Arial Narrow" w:hAnsi="Arial Narrow"/>
                <w:i/>
                <w:iCs/>
                <w:sz w:val="18"/>
                <w:szCs w:val="18"/>
              </w:rPr>
              <w:t>I</w:t>
            </w:r>
            <w:r w:rsidRPr="008D3573">
              <w:rPr>
                <w:rFonts w:ascii="Arial Narrow" w:hAnsi="Arial Narrow"/>
                <w:i/>
                <w:iCs/>
                <w:sz w:val="18"/>
                <w:szCs w:val="18"/>
              </w:rPr>
              <w:t>nsert updated long administrative ‘NOTE’ (currently concept 27712) here (shown at the end of the restrictions)</w:t>
            </w:r>
          </w:p>
        </w:tc>
      </w:tr>
      <w:tr w:rsidR="004E5B84" w:rsidRPr="004D57D6" w14:paraId="440F1FC1" w14:textId="77777777" w:rsidTr="00B43184">
        <w:trPr>
          <w:trHeight w:val="242"/>
        </w:trPr>
        <w:tc>
          <w:tcPr>
            <w:tcW w:w="1134" w:type="dxa"/>
          </w:tcPr>
          <w:p w14:paraId="4037FA1D" w14:textId="1EC8C0B6" w:rsidR="004E5B84" w:rsidRPr="007A2774" w:rsidRDefault="004E5B84" w:rsidP="00B43184">
            <w:pPr>
              <w:jc w:val="center"/>
              <w:rPr>
                <w:rFonts w:ascii="Arial Narrow" w:hAnsi="Arial Narrow"/>
                <w:sz w:val="18"/>
                <w:szCs w:val="18"/>
              </w:rPr>
            </w:pPr>
          </w:p>
        </w:tc>
        <w:tc>
          <w:tcPr>
            <w:tcW w:w="8080" w:type="dxa"/>
          </w:tcPr>
          <w:p w14:paraId="3E830978" w14:textId="77777777" w:rsidR="004E5B84" w:rsidRPr="007A2774" w:rsidRDefault="004E5B84" w:rsidP="00B43184">
            <w:pPr>
              <w:ind w:left="-57"/>
              <w:rPr>
                <w:rFonts w:ascii="Arial Narrow" w:hAnsi="Arial Narrow"/>
                <w:b/>
                <w:bCs/>
                <w:sz w:val="18"/>
                <w:szCs w:val="18"/>
              </w:rPr>
            </w:pPr>
            <w:r w:rsidRPr="007A2774">
              <w:rPr>
                <w:rFonts w:ascii="Arial Narrow" w:hAnsi="Arial Narrow"/>
                <w:b/>
                <w:bCs/>
                <w:sz w:val="18"/>
                <w:szCs w:val="18"/>
              </w:rPr>
              <w:t xml:space="preserve">Administrative advice: </w:t>
            </w:r>
            <w:r w:rsidRPr="007A2774">
              <w:rPr>
                <w:rFonts w:ascii="Arial Narrow" w:hAnsi="Arial Narrow"/>
                <w:bCs/>
                <w:sz w:val="18"/>
                <w:szCs w:val="18"/>
              </w:rPr>
              <w:t>No increase in the maximum quantity or number of units may be authorised.</w:t>
            </w:r>
          </w:p>
        </w:tc>
      </w:tr>
      <w:tr w:rsidR="004E5B84" w:rsidRPr="00120A12" w14:paraId="5EC6B62A" w14:textId="77777777" w:rsidTr="00B43184">
        <w:trPr>
          <w:trHeight w:val="234"/>
        </w:trPr>
        <w:tc>
          <w:tcPr>
            <w:tcW w:w="1134" w:type="dxa"/>
          </w:tcPr>
          <w:p w14:paraId="1341FCD1" w14:textId="1695C416" w:rsidR="004E5B84" w:rsidRDefault="004E5B84" w:rsidP="00B43184">
            <w:pPr>
              <w:jc w:val="center"/>
              <w:rPr>
                <w:rFonts w:ascii="Arial Narrow" w:hAnsi="Arial Narrow"/>
                <w:color w:val="333333"/>
                <w:sz w:val="18"/>
                <w:szCs w:val="18"/>
              </w:rPr>
            </w:pPr>
          </w:p>
        </w:tc>
        <w:tc>
          <w:tcPr>
            <w:tcW w:w="8080" w:type="dxa"/>
          </w:tcPr>
          <w:p w14:paraId="658C9F43" w14:textId="77777777" w:rsidR="004E5B84" w:rsidRPr="00120A12" w:rsidRDefault="004E5B84" w:rsidP="00B43184">
            <w:pPr>
              <w:ind w:left="-57"/>
              <w:rPr>
                <w:rFonts w:ascii="Arial Narrow" w:hAnsi="Arial Narrow"/>
                <w:b/>
                <w:bCs/>
                <w:color w:val="333333"/>
                <w:sz w:val="18"/>
                <w:szCs w:val="18"/>
              </w:rPr>
            </w:pPr>
            <w:r w:rsidRPr="009658FC">
              <w:rPr>
                <w:rFonts w:ascii="Arial Narrow" w:hAnsi="Arial Narrow"/>
                <w:b/>
                <w:bCs/>
                <w:sz w:val="18"/>
                <w:szCs w:val="18"/>
              </w:rPr>
              <w:t>Administrative advice:</w:t>
            </w:r>
            <w:r>
              <w:rPr>
                <w:rFonts w:ascii="Arial Narrow" w:hAnsi="Arial Narrow"/>
                <w:b/>
                <w:bCs/>
                <w:sz w:val="18"/>
                <w:szCs w:val="18"/>
              </w:rPr>
              <w:t xml:space="preserve"> </w:t>
            </w:r>
            <w:r w:rsidRPr="009658FC">
              <w:rPr>
                <w:rFonts w:ascii="Arial Narrow" w:hAnsi="Arial Narrow"/>
                <w:bCs/>
                <w:sz w:val="18"/>
                <w:szCs w:val="18"/>
              </w:rPr>
              <w:t>No increase in the maximum number of repeats may be authorised.</w:t>
            </w:r>
          </w:p>
        </w:tc>
      </w:tr>
      <w:tr w:rsidR="004E5B84" w:rsidRPr="009658FC" w14:paraId="25248A2E" w14:textId="77777777" w:rsidTr="00B43184">
        <w:trPr>
          <w:trHeight w:val="2555"/>
        </w:trPr>
        <w:tc>
          <w:tcPr>
            <w:tcW w:w="1134" w:type="dxa"/>
          </w:tcPr>
          <w:p w14:paraId="5D32C7E1" w14:textId="5A5265E9" w:rsidR="004E5B84" w:rsidRPr="009658FC" w:rsidRDefault="004E5B84" w:rsidP="00B43184">
            <w:pPr>
              <w:jc w:val="center"/>
              <w:rPr>
                <w:rFonts w:ascii="Arial Narrow" w:hAnsi="Arial Narrow"/>
                <w:bCs/>
                <w:sz w:val="18"/>
                <w:szCs w:val="18"/>
              </w:rPr>
            </w:pPr>
          </w:p>
        </w:tc>
        <w:tc>
          <w:tcPr>
            <w:tcW w:w="8080" w:type="dxa"/>
          </w:tcPr>
          <w:p w14:paraId="002ADAA2"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Administrative Advice:</w:t>
            </w:r>
          </w:p>
          <w:p w14:paraId="07122ECE" w14:textId="77777777" w:rsidR="004E5B8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color w:val="333333"/>
                <w:sz w:val="18"/>
                <w:szCs w:val="18"/>
              </w:rPr>
              <w:t>Any queries concerning the arrangements to prescribe may be directed to Services Australia on 1800 700 270 (hours of operation 8 a.m. to 5 p.m. Monday to Friday).</w:t>
            </w:r>
          </w:p>
          <w:p w14:paraId="5F9A3FEB" w14:textId="77777777" w:rsidR="004E5B84" w:rsidRDefault="004E5B84" w:rsidP="00B43184">
            <w:pPr>
              <w:ind w:left="-57"/>
              <w:textAlignment w:val="baseline"/>
              <w:rPr>
                <w:rFonts w:ascii="Arial Narrow" w:hAnsi="Arial Narrow" w:cs="Open Sans"/>
                <w:color w:val="333333"/>
                <w:sz w:val="18"/>
                <w:szCs w:val="18"/>
              </w:rPr>
            </w:pPr>
          </w:p>
          <w:p w14:paraId="3B931399" w14:textId="77777777" w:rsidR="004E5B84" w:rsidRDefault="004E5B84" w:rsidP="00B43184">
            <w:pPr>
              <w:ind w:left="-57"/>
              <w:textAlignment w:val="baseline"/>
              <w:rPr>
                <w:rStyle w:val="Hyperlink"/>
                <w:rFonts w:ascii="Arial Narrow" w:hAnsi="Arial Narrow" w:cs="Open Sans"/>
                <w:sz w:val="18"/>
                <w:szCs w:val="18"/>
              </w:rPr>
            </w:pPr>
            <w:r w:rsidRPr="00BD2734">
              <w:rPr>
                <w:rFonts w:ascii="Arial Narrow" w:hAnsi="Arial Narrow" w:cs="Open Sans"/>
                <w:color w:val="333333"/>
                <w:sz w:val="18"/>
                <w:szCs w:val="18"/>
              </w:rPr>
              <w:t xml:space="preserve">Prescribing information (including Authority Application forms and other relevant documentation as applicable) is available on the Services Australia website at </w:t>
            </w:r>
            <w:hyperlink r:id="rId11" w:history="1">
              <w:r w:rsidRPr="00BD2734">
                <w:rPr>
                  <w:rStyle w:val="Hyperlink"/>
                  <w:rFonts w:ascii="Arial Narrow" w:hAnsi="Arial Narrow" w:cs="Open Sans"/>
                  <w:sz w:val="18"/>
                  <w:szCs w:val="18"/>
                </w:rPr>
                <w:t>www.servicesaustralia.gov.au</w:t>
              </w:r>
            </w:hyperlink>
          </w:p>
          <w:p w14:paraId="14639B18" w14:textId="77777777" w:rsidR="004E5B84" w:rsidRPr="00BD2734" w:rsidRDefault="004E5B84" w:rsidP="00B43184">
            <w:pPr>
              <w:ind w:left="-57"/>
              <w:textAlignment w:val="baseline"/>
              <w:rPr>
                <w:rFonts w:ascii="Arial Narrow" w:hAnsi="Arial Narrow" w:cs="Open Sans"/>
                <w:color w:val="333333"/>
                <w:sz w:val="18"/>
                <w:szCs w:val="18"/>
              </w:rPr>
            </w:pPr>
          </w:p>
          <w:p w14:paraId="4C419846" w14:textId="77777777" w:rsidR="004E5B8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color w:val="333333"/>
                <w:sz w:val="18"/>
                <w:szCs w:val="18"/>
              </w:rPr>
              <w:t xml:space="preserve">Applications for authority to prescribe should be submitted online using the form upload facility in Health Professional Online Services (HPOS) at </w:t>
            </w:r>
            <w:proofErr w:type="gramStart"/>
            <w:r w:rsidRPr="00BD2734">
              <w:rPr>
                <w:rFonts w:ascii="Arial Narrow" w:hAnsi="Arial Narrow" w:cs="Open Sans"/>
                <w:color w:val="333333"/>
                <w:sz w:val="18"/>
                <w:szCs w:val="18"/>
              </w:rPr>
              <w:t>www.servicesaustralia.gov.au/hpos</w:t>
            </w:r>
            <w:proofErr w:type="gramEnd"/>
          </w:p>
          <w:p w14:paraId="0B7B83E2"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color w:val="333333"/>
                <w:sz w:val="18"/>
                <w:szCs w:val="18"/>
              </w:rPr>
              <w:t>Or mailed to:</w:t>
            </w:r>
          </w:p>
          <w:p w14:paraId="1C7F2F66"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color w:val="333333"/>
                <w:sz w:val="18"/>
                <w:szCs w:val="18"/>
              </w:rPr>
              <w:t>Services Australia</w:t>
            </w:r>
          </w:p>
          <w:p w14:paraId="564A1BAB"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color w:val="333333"/>
                <w:sz w:val="18"/>
                <w:szCs w:val="18"/>
              </w:rPr>
              <w:t>Complex Drugs</w:t>
            </w:r>
          </w:p>
          <w:p w14:paraId="74145120"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color w:val="333333"/>
                <w:sz w:val="18"/>
                <w:szCs w:val="18"/>
              </w:rPr>
              <w:t>Reply Paid 9826</w:t>
            </w:r>
          </w:p>
          <w:p w14:paraId="4A7928F1" w14:textId="77777777" w:rsidR="004E5B84" w:rsidRPr="009658FC" w:rsidRDefault="004E5B84" w:rsidP="00B43184">
            <w:pPr>
              <w:ind w:left="-57"/>
              <w:rPr>
                <w:rFonts w:ascii="Arial Narrow" w:hAnsi="Arial Narrow"/>
                <w:b/>
                <w:bCs/>
                <w:sz w:val="18"/>
                <w:szCs w:val="18"/>
              </w:rPr>
            </w:pPr>
            <w:r w:rsidRPr="00BD2734">
              <w:rPr>
                <w:rFonts w:ascii="Arial Narrow" w:hAnsi="Arial Narrow" w:cs="Open Sans"/>
                <w:color w:val="333333"/>
                <w:sz w:val="18"/>
                <w:szCs w:val="18"/>
              </w:rPr>
              <w:t>HOBART TAS 7001</w:t>
            </w:r>
          </w:p>
        </w:tc>
      </w:tr>
      <w:tr w:rsidR="004E5B84" w:rsidRPr="009658FC" w14:paraId="0E84CF42" w14:textId="77777777" w:rsidTr="00B43184">
        <w:trPr>
          <w:trHeight w:val="203"/>
        </w:trPr>
        <w:tc>
          <w:tcPr>
            <w:tcW w:w="1134" w:type="dxa"/>
          </w:tcPr>
          <w:p w14:paraId="1DC2F5C1" w14:textId="77777777" w:rsidR="004E5B84" w:rsidRDefault="004E5B84" w:rsidP="00B43184">
            <w:pPr>
              <w:jc w:val="center"/>
              <w:textAlignment w:val="baseline"/>
              <w:rPr>
                <w:rFonts w:ascii="Arial Narrow" w:hAnsi="Arial Narrow" w:cs="Open Sans"/>
                <w:color w:val="333333"/>
                <w:sz w:val="18"/>
                <w:szCs w:val="18"/>
              </w:rPr>
            </w:pPr>
          </w:p>
        </w:tc>
        <w:tc>
          <w:tcPr>
            <w:tcW w:w="8080" w:type="dxa"/>
          </w:tcPr>
          <w:p w14:paraId="5B5AB079" w14:textId="77777777" w:rsidR="004E5B84" w:rsidRPr="004D57D6" w:rsidRDefault="004E5B84" w:rsidP="00B43184">
            <w:pPr>
              <w:ind w:left="-57"/>
              <w:rPr>
                <w:rFonts w:ascii="Arial Narrow" w:hAnsi="Arial Narrow"/>
                <w:sz w:val="18"/>
                <w:szCs w:val="18"/>
              </w:rPr>
            </w:pPr>
            <w:r w:rsidRPr="004D57D6">
              <w:rPr>
                <w:rFonts w:ascii="Arial Narrow" w:hAnsi="Arial Narrow"/>
                <w:b/>
                <w:bCs/>
                <w:sz w:val="18"/>
                <w:szCs w:val="18"/>
              </w:rPr>
              <w:t>Administrative Advice:</w:t>
            </w:r>
          </w:p>
          <w:p w14:paraId="4130F71C" w14:textId="77777777" w:rsidR="004E5B84" w:rsidRPr="00BD2734" w:rsidRDefault="004E5B84" w:rsidP="00B43184">
            <w:pPr>
              <w:ind w:left="-57"/>
              <w:textAlignment w:val="baseline"/>
              <w:rPr>
                <w:rFonts w:ascii="Arial Narrow" w:hAnsi="Arial Narrow" w:cs="Open Sans"/>
                <w:b/>
                <w:bCs/>
                <w:color w:val="333333"/>
                <w:sz w:val="18"/>
                <w:szCs w:val="18"/>
                <w:bdr w:val="none" w:sz="0" w:space="0" w:color="auto" w:frame="1"/>
              </w:rPr>
            </w:pPr>
            <w:r w:rsidRPr="00542CFA">
              <w:rPr>
                <w:rFonts w:ascii="Arial Narrow" w:hAnsi="Arial Narrow" w:cs="Open Sans"/>
                <w:color w:val="333333"/>
                <w:sz w:val="18"/>
                <w:szCs w:val="18"/>
                <w:bdr w:val="none" w:sz="0" w:space="0" w:color="auto" w:frame="1"/>
              </w:rPr>
              <w:t>The prescriber completing this authority application must be a specialist medical practitioner of the type specified in the restriction.</w:t>
            </w:r>
          </w:p>
        </w:tc>
      </w:tr>
      <w:tr w:rsidR="004E5B84" w:rsidRPr="009658FC" w14:paraId="7082ECF6" w14:textId="77777777" w:rsidTr="00B43184">
        <w:trPr>
          <w:trHeight w:val="167"/>
        </w:trPr>
        <w:tc>
          <w:tcPr>
            <w:tcW w:w="9214" w:type="dxa"/>
            <w:gridSpan w:val="2"/>
          </w:tcPr>
          <w:p w14:paraId="2F808534" w14:textId="77777777" w:rsidR="004E5B84" w:rsidRPr="00BD2734" w:rsidRDefault="004E5B84" w:rsidP="00B43184">
            <w:pPr>
              <w:textAlignment w:val="baseline"/>
              <w:rPr>
                <w:rFonts w:ascii="Arial Narrow" w:hAnsi="Arial Narrow" w:cs="Open Sans"/>
                <w:b/>
                <w:bCs/>
                <w:color w:val="333333"/>
                <w:sz w:val="18"/>
                <w:szCs w:val="18"/>
                <w:bdr w:val="none" w:sz="0" w:space="0" w:color="auto" w:frame="1"/>
              </w:rPr>
            </w:pPr>
          </w:p>
        </w:tc>
      </w:tr>
      <w:tr w:rsidR="004E5B84" w:rsidRPr="00D17F00" w14:paraId="23F95867" w14:textId="77777777" w:rsidTr="00B43184">
        <w:tblPrEx>
          <w:tblLook w:val="04A0" w:firstRow="1" w:lastRow="0" w:firstColumn="1" w:lastColumn="0" w:noHBand="0" w:noVBand="1"/>
        </w:tblPrEx>
        <w:tc>
          <w:tcPr>
            <w:tcW w:w="9214" w:type="dxa"/>
            <w:gridSpan w:val="2"/>
          </w:tcPr>
          <w:p w14:paraId="69C987BC" w14:textId="098C5F0B" w:rsidR="004E5B84" w:rsidRDefault="004E5B84" w:rsidP="00B43184">
            <w:pPr>
              <w:ind w:left="-57"/>
              <w:rPr>
                <w:rFonts w:ascii="Arial Narrow" w:hAnsi="Arial Narrow"/>
                <w:b/>
                <w:sz w:val="18"/>
                <w:szCs w:val="18"/>
              </w:rPr>
            </w:pPr>
            <w:r w:rsidRPr="00507253">
              <w:rPr>
                <w:rFonts w:ascii="Arial Narrow" w:hAnsi="Arial Narrow"/>
                <w:b/>
                <w:sz w:val="18"/>
                <w:szCs w:val="18"/>
              </w:rPr>
              <w:t>Restriction Summary / Treatment of Concept</w:t>
            </w:r>
            <w:proofErr w:type="gramStart"/>
            <w:r w:rsidRPr="00507253">
              <w:rPr>
                <w:rFonts w:ascii="Arial Narrow" w:hAnsi="Arial Narrow"/>
                <w:b/>
                <w:sz w:val="18"/>
                <w:szCs w:val="18"/>
              </w:rPr>
              <w:t xml:space="preserve">: </w:t>
            </w:r>
            <w:r>
              <w:rPr>
                <w:rFonts w:ascii="Arial Narrow" w:hAnsi="Arial Narrow"/>
                <w:b/>
                <w:sz w:val="18"/>
                <w:szCs w:val="18"/>
              </w:rPr>
              <w:t>:</w:t>
            </w:r>
            <w:proofErr w:type="gramEnd"/>
            <w:r>
              <w:rPr>
                <w:rFonts w:ascii="Arial Narrow" w:hAnsi="Arial Narrow"/>
                <w:b/>
                <w:sz w:val="18"/>
                <w:szCs w:val="18"/>
              </w:rPr>
              <w:t xml:space="preserve"> Authority Required</w:t>
            </w:r>
            <w:r w:rsidRPr="004D57D6">
              <w:rPr>
                <w:rFonts w:ascii="Arial Narrow" w:hAnsi="Arial Narrow"/>
                <w:bCs/>
                <w:sz w:val="18"/>
                <w:szCs w:val="18"/>
              </w:rPr>
              <w:t xml:space="preserve"> </w:t>
            </w:r>
          </w:p>
          <w:p w14:paraId="73692690" w14:textId="77777777" w:rsidR="004E5B84" w:rsidRPr="00D17F00"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D17F00" w14:paraId="0490FCCF" w14:textId="77777777" w:rsidTr="00962CCF">
        <w:tblPrEx>
          <w:tblLook w:val="04A0" w:firstRow="1" w:lastRow="0" w:firstColumn="1" w:lastColumn="0" w:noHBand="0" w:noVBand="1"/>
        </w:tblPrEx>
        <w:tc>
          <w:tcPr>
            <w:tcW w:w="1134" w:type="dxa"/>
          </w:tcPr>
          <w:p w14:paraId="2FC12516" w14:textId="6926E6BC"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1FB88347" w14:textId="77777777" w:rsidR="004E5B84" w:rsidRPr="00D17F00" w:rsidRDefault="004E5B84" w:rsidP="00B43184">
            <w:pPr>
              <w:ind w:left="-57"/>
              <w:textAlignment w:val="baseline"/>
              <w:rPr>
                <w:rFonts w:ascii="Arial Narrow" w:hAnsi="Arial Narrow" w:cs="Open Sans"/>
                <w:color w:val="333333"/>
                <w:sz w:val="18"/>
                <w:szCs w:val="18"/>
              </w:rPr>
            </w:pPr>
            <w:r w:rsidRPr="00D17F00">
              <w:rPr>
                <w:rFonts w:ascii="Arial Narrow" w:hAnsi="Arial Narrow" w:cs="Open Sans"/>
                <w:b/>
                <w:bCs/>
                <w:color w:val="333333"/>
                <w:sz w:val="18"/>
                <w:szCs w:val="18"/>
                <w:bdr w:val="none" w:sz="0" w:space="0" w:color="auto" w:frame="1"/>
              </w:rPr>
              <w:t>Indication:</w:t>
            </w:r>
            <w:r>
              <w:rPr>
                <w:rFonts w:ascii="Arial Narrow" w:hAnsi="Arial Narrow" w:cs="Open Sans"/>
                <w:b/>
                <w:bCs/>
                <w:color w:val="333333"/>
                <w:sz w:val="18"/>
                <w:szCs w:val="18"/>
                <w:bdr w:val="none" w:sz="0" w:space="0" w:color="auto" w:frame="1"/>
              </w:rPr>
              <w:t xml:space="preserve"> </w:t>
            </w:r>
            <w:r w:rsidRPr="00D17F00">
              <w:rPr>
                <w:rFonts w:ascii="Arial Narrow" w:hAnsi="Arial Narrow" w:cs="Open Sans"/>
                <w:color w:val="333333"/>
                <w:sz w:val="18"/>
                <w:szCs w:val="18"/>
              </w:rPr>
              <w:t>Severe Crohn disease</w:t>
            </w:r>
          </w:p>
        </w:tc>
      </w:tr>
      <w:tr w:rsidR="004E5B84" w:rsidRPr="00D17F00" w14:paraId="45DB9249" w14:textId="77777777" w:rsidTr="00B43184">
        <w:tblPrEx>
          <w:tblLook w:val="04A0" w:firstRow="1" w:lastRow="0" w:firstColumn="1" w:lastColumn="0" w:noHBand="0" w:noVBand="1"/>
        </w:tblPrEx>
        <w:tc>
          <w:tcPr>
            <w:tcW w:w="1134" w:type="dxa"/>
          </w:tcPr>
          <w:p w14:paraId="493F45A6" w14:textId="77777777" w:rsidR="004E5B84" w:rsidRPr="00D17F00" w:rsidRDefault="004E5B84" w:rsidP="00B43184">
            <w:pPr>
              <w:jc w:val="center"/>
              <w:textAlignment w:val="baseline"/>
              <w:rPr>
                <w:rFonts w:ascii="Arial Narrow" w:hAnsi="Arial Narrow" w:cs="Open Sans"/>
                <w:color w:val="333333"/>
                <w:sz w:val="18"/>
                <w:szCs w:val="18"/>
              </w:rPr>
            </w:pPr>
          </w:p>
        </w:tc>
        <w:tc>
          <w:tcPr>
            <w:tcW w:w="8080" w:type="dxa"/>
          </w:tcPr>
          <w:p w14:paraId="1B5FD0D7" w14:textId="77777777" w:rsidR="004E5B84" w:rsidRPr="00D17F00"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D17F00" w14:paraId="6B24FAF2" w14:textId="77777777" w:rsidTr="00962CCF">
        <w:tblPrEx>
          <w:tblLook w:val="04A0" w:firstRow="1" w:lastRow="0" w:firstColumn="1" w:lastColumn="0" w:noHBand="0" w:noVBand="1"/>
        </w:tblPrEx>
        <w:tc>
          <w:tcPr>
            <w:tcW w:w="1134" w:type="dxa"/>
          </w:tcPr>
          <w:p w14:paraId="1387CD9E" w14:textId="77777777" w:rsidR="004E5B84" w:rsidRPr="00D17F00" w:rsidRDefault="004E5B84" w:rsidP="00B43184">
            <w:pPr>
              <w:jc w:val="center"/>
              <w:rPr>
                <w:rFonts w:ascii="Arial Narrow" w:hAnsi="Arial Narrow" w:cs="Open Sans"/>
                <w:color w:val="333333"/>
                <w:sz w:val="18"/>
                <w:szCs w:val="18"/>
              </w:rPr>
            </w:pPr>
          </w:p>
        </w:tc>
        <w:tc>
          <w:tcPr>
            <w:tcW w:w="8080" w:type="dxa"/>
            <w:hideMark/>
          </w:tcPr>
          <w:p w14:paraId="5BE7EABB" w14:textId="77777777" w:rsidR="004E5B84" w:rsidRPr="00D17F00" w:rsidRDefault="004E5B84" w:rsidP="00B43184">
            <w:pPr>
              <w:ind w:left="-57"/>
              <w:textAlignment w:val="baseline"/>
              <w:rPr>
                <w:rFonts w:ascii="Arial Narrow" w:hAnsi="Arial Narrow" w:cs="Open Sans"/>
                <w:color w:val="333333"/>
                <w:sz w:val="18"/>
                <w:szCs w:val="18"/>
              </w:rPr>
            </w:pPr>
            <w:r w:rsidRPr="00D17F00">
              <w:rPr>
                <w:rFonts w:ascii="Arial Narrow" w:hAnsi="Arial Narrow" w:cs="Open Sans"/>
                <w:b/>
                <w:bCs/>
                <w:color w:val="333333"/>
                <w:sz w:val="18"/>
                <w:szCs w:val="18"/>
                <w:bdr w:val="none" w:sz="0" w:space="0" w:color="auto" w:frame="1"/>
              </w:rPr>
              <w:t>Treatment Phase:</w:t>
            </w:r>
            <w:r>
              <w:rPr>
                <w:rFonts w:ascii="Arial Narrow" w:hAnsi="Arial Narrow" w:cs="Open Sans"/>
                <w:b/>
                <w:bCs/>
                <w:color w:val="333333"/>
                <w:sz w:val="18"/>
                <w:szCs w:val="18"/>
                <w:bdr w:val="none" w:sz="0" w:space="0" w:color="auto" w:frame="1"/>
              </w:rPr>
              <w:t xml:space="preserve"> </w:t>
            </w:r>
            <w:r w:rsidRPr="00D17F00">
              <w:rPr>
                <w:rFonts w:ascii="Arial Narrow" w:hAnsi="Arial Narrow" w:cs="Open Sans"/>
                <w:color w:val="333333"/>
                <w:sz w:val="18"/>
                <w:szCs w:val="18"/>
              </w:rPr>
              <w:t>Continuing treatment</w:t>
            </w:r>
            <w:r>
              <w:rPr>
                <w:rFonts w:ascii="Arial Narrow" w:hAnsi="Arial Narrow" w:cs="Open Sans"/>
                <w:color w:val="333333"/>
                <w:sz w:val="18"/>
                <w:szCs w:val="18"/>
              </w:rPr>
              <w:t xml:space="preserve"> (maintenance treatment)</w:t>
            </w:r>
          </w:p>
        </w:tc>
      </w:tr>
      <w:tr w:rsidR="004E5B84" w:rsidRPr="00D17F00" w14:paraId="70A95856" w14:textId="77777777" w:rsidTr="00B43184">
        <w:tblPrEx>
          <w:tblLook w:val="04A0" w:firstRow="1" w:lastRow="0" w:firstColumn="1" w:lastColumn="0" w:noHBand="0" w:noVBand="1"/>
        </w:tblPrEx>
        <w:tc>
          <w:tcPr>
            <w:tcW w:w="1134" w:type="dxa"/>
          </w:tcPr>
          <w:p w14:paraId="04BC0F27" w14:textId="77777777" w:rsidR="004E5B84" w:rsidRPr="00D17F00" w:rsidRDefault="004E5B84" w:rsidP="00B43184">
            <w:pPr>
              <w:jc w:val="center"/>
              <w:rPr>
                <w:rFonts w:ascii="Arial Narrow" w:hAnsi="Arial Narrow" w:cs="Open Sans"/>
                <w:color w:val="333333"/>
                <w:sz w:val="18"/>
                <w:szCs w:val="18"/>
              </w:rPr>
            </w:pPr>
          </w:p>
        </w:tc>
        <w:tc>
          <w:tcPr>
            <w:tcW w:w="8080" w:type="dxa"/>
          </w:tcPr>
          <w:p w14:paraId="3D9DFABF" w14:textId="77777777" w:rsidR="004E5B84" w:rsidRPr="00D17F00"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D17F00" w14:paraId="463CB716" w14:textId="77777777" w:rsidTr="00962CCF">
        <w:tblPrEx>
          <w:tblLook w:val="04A0" w:firstRow="1" w:lastRow="0" w:firstColumn="1" w:lastColumn="0" w:noHBand="0" w:noVBand="1"/>
        </w:tblPrEx>
        <w:tc>
          <w:tcPr>
            <w:tcW w:w="1134" w:type="dxa"/>
          </w:tcPr>
          <w:p w14:paraId="2BAECB1D" w14:textId="146EADEA"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6BB2D25A" w14:textId="77777777" w:rsidR="004E5B84" w:rsidRPr="00D17F00" w:rsidRDefault="004E5B84" w:rsidP="00B43184">
            <w:pPr>
              <w:ind w:left="-57"/>
              <w:textAlignment w:val="baseline"/>
              <w:rPr>
                <w:rFonts w:ascii="Arial Narrow" w:hAnsi="Arial Narrow" w:cs="Open Sans"/>
                <w:color w:val="333333"/>
                <w:sz w:val="18"/>
                <w:szCs w:val="18"/>
              </w:rPr>
            </w:pPr>
            <w:r w:rsidRPr="00D17F00">
              <w:rPr>
                <w:rFonts w:ascii="Arial Narrow" w:hAnsi="Arial Narrow" w:cs="Open Sans"/>
                <w:b/>
                <w:bCs/>
                <w:color w:val="333333"/>
                <w:sz w:val="18"/>
                <w:szCs w:val="18"/>
                <w:bdr w:val="none" w:sz="0" w:space="0" w:color="auto" w:frame="1"/>
              </w:rPr>
              <w:t>Treatment criteria:</w:t>
            </w:r>
          </w:p>
        </w:tc>
      </w:tr>
      <w:tr w:rsidR="004E5B84" w:rsidRPr="00D17F00" w14:paraId="306CB34F" w14:textId="77777777" w:rsidTr="00962CCF">
        <w:tblPrEx>
          <w:tblLook w:val="04A0" w:firstRow="1" w:lastRow="0" w:firstColumn="1" w:lastColumn="0" w:noHBand="0" w:noVBand="1"/>
        </w:tblPrEx>
        <w:tc>
          <w:tcPr>
            <w:tcW w:w="1134" w:type="dxa"/>
          </w:tcPr>
          <w:p w14:paraId="2248B284" w14:textId="7512A7E5"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59F53E87" w14:textId="77777777" w:rsidR="004E5B84" w:rsidRPr="00D17F00" w:rsidRDefault="004E5B84" w:rsidP="00B43184">
            <w:pPr>
              <w:ind w:left="-57"/>
              <w:rPr>
                <w:rFonts w:ascii="Arial Narrow" w:hAnsi="Arial Narrow" w:cs="Open Sans"/>
                <w:color w:val="333333"/>
                <w:sz w:val="18"/>
                <w:szCs w:val="18"/>
              </w:rPr>
            </w:pPr>
            <w:r w:rsidRPr="00D17F00">
              <w:rPr>
                <w:rFonts w:ascii="Arial Narrow" w:hAnsi="Arial Narrow" w:cs="Open Sans"/>
                <w:color w:val="333333"/>
                <w:sz w:val="18"/>
                <w:szCs w:val="18"/>
              </w:rPr>
              <w:t>Must be treated by a gastroenterologist (code 87); or</w:t>
            </w:r>
          </w:p>
        </w:tc>
      </w:tr>
      <w:tr w:rsidR="004E5B84" w:rsidRPr="00D17F00" w14:paraId="14C0F41E" w14:textId="77777777" w:rsidTr="00962CCF">
        <w:tblPrEx>
          <w:tblLook w:val="04A0" w:firstRow="1" w:lastRow="0" w:firstColumn="1" w:lastColumn="0" w:noHBand="0" w:noVBand="1"/>
        </w:tblPrEx>
        <w:tc>
          <w:tcPr>
            <w:tcW w:w="1134" w:type="dxa"/>
          </w:tcPr>
          <w:p w14:paraId="5527B79D" w14:textId="67BFFDBE"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6FBBDAAC" w14:textId="77777777" w:rsidR="004E5B84" w:rsidRPr="00D17F00" w:rsidRDefault="004E5B84" w:rsidP="00B43184">
            <w:pPr>
              <w:ind w:left="-57"/>
              <w:rPr>
                <w:rFonts w:ascii="Arial Narrow" w:hAnsi="Arial Narrow" w:cs="Open Sans"/>
                <w:color w:val="333333"/>
                <w:sz w:val="18"/>
                <w:szCs w:val="18"/>
              </w:rPr>
            </w:pPr>
            <w:r w:rsidRPr="00D17F00">
              <w:rPr>
                <w:rFonts w:ascii="Arial Narrow" w:hAnsi="Arial Narrow" w:cs="Open Sans"/>
                <w:color w:val="333333"/>
                <w:sz w:val="18"/>
                <w:szCs w:val="18"/>
              </w:rPr>
              <w:t>Must be treated by a consultant physician [internal medicine specialising in gastroenterology (code 81)]; or</w:t>
            </w:r>
          </w:p>
        </w:tc>
      </w:tr>
      <w:tr w:rsidR="004E5B84" w:rsidRPr="00D17F00" w14:paraId="4CA94E73" w14:textId="77777777" w:rsidTr="00962CCF">
        <w:tblPrEx>
          <w:tblLook w:val="04A0" w:firstRow="1" w:lastRow="0" w:firstColumn="1" w:lastColumn="0" w:noHBand="0" w:noVBand="1"/>
        </w:tblPrEx>
        <w:tc>
          <w:tcPr>
            <w:tcW w:w="1134" w:type="dxa"/>
          </w:tcPr>
          <w:p w14:paraId="4961F1A6" w14:textId="4B763E1C"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4D804379" w14:textId="77777777" w:rsidR="004E5B84" w:rsidRPr="00D17F00" w:rsidRDefault="004E5B84" w:rsidP="00B43184">
            <w:pPr>
              <w:ind w:left="-57"/>
              <w:rPr>
                <w:rFonts w:ascii="Arial Narrow" w:hAnsi="Arial Narrow" w:cs="Open Sans"/>
                <w:color w:val="333333"/>
                <w:sz w:val="18"/>
                <w:szCs w:val="18"/>
              </w:rPr>
            </w:pPr>
            <w:r w:rsidRPr="00D17F00">
              <w:rPr>
                <w:rFonts w:ascii="Arial Narrow" w:hAnsi="Arial Narrow" w:cs="Open Sans"/>
                <w:color w:val="333333"/>
                <w:sz w:val="18"/>
                <w:szCs w:val="18"/>
              </w:rPr>
              <w:t>Must be treated by a consultant physician [general medicine specialising in gastroenterology (code 82)]</w:t>
            </w:r>
          </w:p>
        </w:tc>
      </w:tr>
      <w:tr w:rsidR="004E5B84" w:rsidRPr="00D17F00" w14:paraId="2D050DD3" w14:textId="77777777" w:rsidTr="00B43184">
        <w:tblPrEx>
          <w:tblLook w:val="04A0" w:firstRow="1" w:lastRow="0" w:firstColumn="1" w:lastColumn="0" w:noHBand="0" w:noVBand="1"/>
        </w:tblPrEx>
        <w:tc>
          <w:tcPr>
            <w:tcW w:w="1134" w:type="dxa"/>
          </w:tcPr>
          <w:p w14:paraId="16337549" w14:textId="77777777" w:rsidR="004E5B84" w:rsidRPr="00D17F00" w:rsidRDefault="004E5B84" w:rsidP="00B43184">
            <w:pPr>
              <w:jc w:val="center"/>
              <w:textAlignment w:val="baseline"/>
              <w:rPr>
                <w:rFonts w:ascii="Arial Narrow" w:hAnsi="Arial Narrow" w:cs="Open Sans"/>
                <w:color w:val="333333"/>
                <w:sz w:val="18"/>
                <w:szCs w:val="18"/>
              </w:rPr>
            </w:pPr>
          </w:p>
        </w:tc>
        <w:tc>
          <w:tcPr>
            <w:tcW w:w="8080" w:type="dxa"/>
          </w:tcPr>
          <w:p w14:paraId="4F272D63" w14:textId="77777777" w:rsidR="004E5B84" w:rsidRPr="00D17F00" w:rsidRDefault="004E5B84" w:rsidP="00B43184">
            <w:pPr>
              <w:ind w:left="-57"/>
              <w:rPr>
                <w:rFonts w:ascii="Arial Narrow" w:hAnsi="Arial Narrow" w:cs="Open Sans"/>
                <w:color w:val="333333"/>
                <w:sz w:val="18"/>
                <w:szCs w:val="18"/>
              </w:rPr>
            </w:pPr>
          </w:p>
        </w:tc>
      </w:tr>
      <w:tr w:rsidR="004E5B84" w:rsidRPr="00D17F00" w14:paraId="6CEA5535" w14:textId="77777777" w:rsidTr="00962CCF">
        <w:tblPrEx>
          <w:tblLook w:val="04A0" w:firstRow="1" w:lastRow="0" w:firstColumn="1" w:lastColumn="0" w:noHBand="0" w:noVBand="1"/>
        </w:tblPrEx>
        <w:tc>
          <w:tcPr>
            <w:tcW w:w="1134" w:type="dxa"/>
          </w:tcPr>
          <w:p w14:paraId="35F02FD8" w14:textId="12399B15"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5A68434A" w14:textId="77777777" w:rsidR="004E5B84" w:rsidRPr="00D17F00" w:rsidRDefault="004E5B84" w:rsidP="00B43184">
            <w:pPr>
              <w:ind w:left="-57"/>
              <w:textAlignment w:val="baseline"/>
              <w:rPr>
                <w:rFonts w:ascii="Arial Narrow" w:hAnsi="Arial Narrow" w:cs="Open Sans"/>
                <w:color w:val="333333"/>
                <w:sz w:val="18"/>
                <w:szCs w:val="18"/>
              </w:rPr>
            </w:pPr>
            <w:r w:rsidRPr="00D17F00">
              <w:rPr>
                <w:rFonts w:ascii="Arial Narrow" w:hAnsi="Arial Narrow" w:cs="Open Sans"/>
                <w:b/>
                <w:bCs/>
                <w:color w:val="333333"/>
                <w:sz w:val="18"/>
                <w:szCs w:val="18"/>
                <w:bdr w:val="none" w:sz="0" w:space="0" w:color="auto" w:frame="1"/>
              </w:rPr>
              <w:t>Clinical criteria:</w:t>
            </w:r>
          </w:p>
        </w:tc>
      </w:tr>
      <w:tr w:rsidR="004E5B84" w:rsidRPr="00D17F00" w14:paraId="19F24E88" w14:textId="77777777" w:rsidTr="00962CCF">
        <w:tblPrEx>
          <w:tblLook w:val="04A0" w:firstRow="1" w:lastRow="0" w:firstColumn="1" w:lastColumn="0" w:noHBand="0" w:noVBand="1"/>
        </w:tblPrEx>
        <w:tc>
          <w:tcPr>
            <w:tcW w:w="1134" w:type="dxa"/>
          </w:tcPr>
          <w:p w14:paraId="74D3BE99" w14:textId="46FF1F1D"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7A43E698" w14:textId="77777777" w:rsidR="004E5B84" w:rsidRPr="00D17F00" w:rsidRDefault="004E5B84" w:rsidP="00B43184">
            <w:pPr>
              <w:ind w:left="-57"/>
              <w:rPr>
                <w:rFonts w:ascii="Arial Narrow" w:hAnsi="Arial Narrow" w:cs="Open Sans"/>
                <w:color w:val="333333"/>
                <w:sz w:val="18"/>
                <w:szCs w:val="18"/>
              </w:rPr>
            </w:pPr>
            <w:r w:rsidRPr="00D17F00">
              <w:rPr>
                <w:rFonts w:ascii="Arial Narrow" w:hAnsi="Arial Narrow" w:cs="Open Sans"/>
                <w:color w:val="333333"/>
                <w:sz w:val="18"/>
                <w:szCs w:val="18"/>
              </w:rPr>
              <w:t>Patient must have received this drug as their most recent course of PBS-subsidised biological medicine treatment for this condition</w:t>
            </w:r>
          </w:p>
        </w:tc>
      </w:tr>
      <w:tr w:rsidR="004E5B84" w:rsidRPr="00D17F00" w14:paraId="6182DE18" w14:textId="77777777" w:rsidTr="00962CCF">
        <w:tblPrEx>
          <w:tblLook w:val="04A0" w:firstRow="1" w:lastRow="0" w:firstColumn="1" w:lastColumn="0" w:noHBand="0" w:noVBand="1"/>
        </w:tblPrEx>
        <w:tc>
          <w:tcPr>
            <w:tcW w:w="1134" w:type="dxa"/>
          </w:tcPr>
          <w:p w14:paraId="7FBB6DE0" w14:textId="77777777" w:rsidR="004E5B84" w:rsidRPr="00D17F00" w:rsidRDefault="004E5B84" w:rsidP="00B43184">
            <w:pPr>
              <w:jc w:val="center"/>
              <w:rPr>
                <w:rFonts w:ascii="Arial Narrow" w:hAnsi="Arial Narrow" w:cs="Open Sans"/>
                <w:color w:val="333333"/>
                <w:sz w:val="18"/>
                <w:szCs w:val="18"/>
              </w:rPr>
            </w:pPr>
          </w:p>
        </w:tc>
        <w:tc>
          <w:tcPr>
            <w:tcW w:w="8080" w:type="dxa"/>
            <w:hideMark/>
          </w:tcPr>
          <w:p w14:paraId="54732C99" w14:textId="77777777" w:rsidR="004E5B84" w:rsidRPr="00D17F00" w:rsidRDefault="004E5B84" w:rsidP="00B43184">
            <w:pPr>
              <w:ind w:left="-57"/>
              <w:rPr>
                <w:rFonts w:ascii="Arial Narrow" w:hAnsi="Arial Narrow" w:cs="Open Sans"/>
                <w:color w:val="333333"/>
                <w:sz w:val="18"/>
                <w:szCs w:val="18"/>
              </w:rPr>
            </w:pPr>
            <w:r w:rsidRPr="00D17F00">
              <w:rPr>
                <w:rFonts w:ascii="Arial Narrow" w:hAnsi="Arial Narrow" w:cs="Open Sans"/>
                <w:b/>
                <w:bCs/>
                <w:color w:val="333333"/>
                <w:sz w:val="18"/>
                <w:szCs w:val="18"/>
                <w:bdr w:val="none" w:sz="0" w:space="0" w:color="auto" w:frame="1"/>
              </w:rPr>
              <w:t>AND</w:t>
            </w:r>
          </w:p>
        </w:tc>
      </w:tr>
      <w:tr w:rsidR="004E5B84" w:rsidRPr="00D17F00" w14:paraId="1E8AF4F9" w14:textId="77777777" w:rsidTr="00962CCF">
        <w:tblPrEx>
          <w:tblLook w:val="04A0" w:firstRow="1" w:lastRow="0" w:firstColumn="1" w:lastColumn="0" w:noHBand="0" w:noVBand="1"/>
        </w:tblPrEx>
        <w:tc>
          <w:tcPr>
            <w:tcW w:w="1134" w:type="dxa"/>
          </w:tcPr>
          <w:p w14:paraId="748F29DD" w14:textId="44597500"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3345F9BF" w14:textId="77777777" w:rsidR="004E5B84" w:rsidRPr="00D17F00" w:rsidRDefault="004E5B84" w:rsidP="00B43184">
            <w:pPr>
              <w:ind w:left="-57"/>
              <w:textAlignment w:val="baseline"/>
              <w:rPr>
                <w:rFonts w:ascii="Arial Narrow" w:hAnsi="Arial Narrow" w:cs="Open Sans"/>
                <w:color w:val="333333"/>
                <w:sz w:val="18"/>
                <w:szCs w:val="18"/>
              </w:rPr>
            </w:pPr>
            <w:r w:rsidRPr="00D17F00">
              <w:rPr>
                <w:rFonts w:ascii="Arial Narrow" w:hAnsi="Arial Narrow" w:cs="Open Sans"/>
                <w:b/>
                <w:bCs/>
                <w:color w:val="333333"/>
                <w:sz w:val="18"/>
                <w:szCs w:val="18"/>
                <w:bdr w:val="none" w:sz="0" w:space="0" w:color="auto" w:frame="1"/>
              </w:rPr>
              <w:t>Clinical criteria:</w:t>
            </w:r>
          </w:p>
        </w:tc>
      </w:tr>
      <w:tr w:rsidR="004E5B84" w:rsidRPr="00D17F00" w14:paraId="33A364FC" w14:textId="77777777" w:rsidTr="00962CCF">
        <w:tblPrEx>
          <w:tblLook w:val="04A0" w:firstRow="1" w:lastRow="0" w:firstColumn="1" w:lastColumn="0" w:noHBand="0" w:noVBand="1"/>
        </w:tblPrEx>
        <w:tc>
          <w:tcPr>
            <w:tcW w:w="1134" w:type="dxa"/>
          </w:tcPr>
          <w:p w14:paraId="53E4AD1A" w14:textId="36EA5632"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06D1A494" w14:textId="77777777" w:rsidR="004E5B84" w:rsidRPr="00D17F00" w:rsidRDefault="004E5B84" w:rsidP="00B43184">
            <w:pPr>
              <w:ind w:left="-57"/>
              <w:rPr>
                <w:rFonts w:ascii="Arial Narrow" w:hAnsi="Arial Narrow" w:cs="Open Sans"/>
                <w:color w:val="333333"/>
                <w:sz w:val="18"/>
                <w:szCs w:val="18"/>
              </w:rPr>
            </w:pPr>
            <w:r w:rsidRPr="00D17F00">
              <w:rPr>
                <w:rFonts w:ascii="Arial Narrow" w:hAnsi="Arial Narrow" w:cs="Open Sans"/>
                <w:color w:val="333333"/>
                <w:sz w:val="18"/>
                <w:szCs w:val="18"/>
              </w:rPr>
              <w:t>Patient must have an adequate response to this drug defined as a reduction in Crohn Disease Activity Index (CDAI) Score to a level no greater than 150 if assessed by CDAI or if affected by extensive small intestine disease; or</w:t>
            </w:r>
          </w:p>
        </w:tc>
      </w:tr>
      <w:tr w:rsidR="004E5B84" w:rsidRPr="00D17F00" w14:paraId="055C693F" w14:textId="77777777" w:rsidTr="00962CCF">
        <w:tblPrEx>
          <w:tblLook w:val="04A0" w:firstRow="1" w:lastRow="0" w:firstColumn="1" w:lastColumn="0" w:noHBand="0" w:noVBand="1"/>
        </w:tblPrEx>
        <w:tc>
          <w:tcPr>
            <w:tcW w:w="1134" w:type="dxa"/>
          </w:tcPr>
          <w:p w14:paraId="444C9E48" w14:textId="56F983CB"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4A60F9CF" w14:textId="77777777" w:rsidR="004E5B84" w:rsidRPr="00D17F00" w:rsidRDefault="004E5B84" w:rsidP="00B43184">
            <w:pPr>
              <w:ind w:left="-57"/>
              <w:rPr>
                <w:rFonts w:ascii="Arial Narrow" w:hAnsi="Arial Narrow" w:cs="Open Sans"/>
                <w:color w:val="333333"/>
                <w:sz w:val="18"/>
                <w:szCs w:val="18"/>
              </w:rPr>
            </w:pPr>
            <w:r w:rsidRPr="00D17F00">
              <w:rPr>
                <w:rFonts w:ascii="Arial Narrow" w:hAnsi="Arial Narrow" w:cs="Open Sans"/>
                <w:color w:val="333333"/>
                <w:sz w:val="18"/>
                <w:szCs w:val="18"/>
              </w:rPr>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r>
              <w:rPr>
                <w:rFonts w:ascii="Arial Narrow" w:hAnsi="Arial Narrow" w:cs="Open Sans"/>
                <w:color w:val="333333"/>
                <w:sz w:val="18"/>
                <w:szCs w:val="18"/>
              </w:rPr>
              <w:t xml:space="preserve">; </w:t>
            </w:r>
          </w:p>
        </w:tc>
      </w:tr>
      <w:tr w:rsidR="004E5B84" w:rsidRPr="00D17F00" w14:paraId="743D592D" w14:textId="77777777" w:rsidTr="00B43184">
        <w:tblPrEx>
          <w:tblLook w:val="04A0" w:firstRow="1" w:lastRow="0" w:firstColumn="1" w:lastColumn="0" w:noHBand="0" w:noVBand="1"/>
        </w:tblPrEx>
        <w:tc>
          <w:tcPr>
            <w:tcW w:w="1134" w:type="dxa"/>
          </w:tcPr>
          <w:p w14:paraId="453E50B5" w14:textId="77777777" w:rsidR="004E5B84" w:rsidRPr="00D17F00" w:rsidRDefault="004E5B84" w:rsidP="00B43184">
            <w:pPr>
              <w:jc w:val="center"/>
              <w:textAlignment w:val="baseline"/>
              <w:rPr>
                <w:rFonts w:ascii="Arial Narrow" w:hAnsi="Arial Narrow" w:cs="Open Sans"/>
                <w:color w:val="333333"/>
                <w:sz w:val="18"/>
                <w:szCs w:val="18"/>
              </w:rPr>
            </w:pPr>
          </w:p>
        </w:tc>
        <w:tc>
          <w:tcPr>
            <w:tcW w:w="8080" w:type="dxa"/>
          </w:tcPr>
          <w:p w14:paraId="02AAF9CA" w14:textId="77777777" w:rsidR="004E5B84" w:rsidRPr="00D17F00" w:rsidRDefault="004E5B84" w:rsidP="00B43184">
            <w:pPr>
              <w:ind w:left="-57"/>
              <w:rPr>
                <w:rFonts w:ascii="Arial Narrow" w:hAnsi="Arial Narrow" w:cs="Open Sans"/>
                <w:color w:val="333333"/>
                <w:sz w:val="18"/>
                <w:szCs w:val="18"/>
              </w:rPr>
            </w:pPr>
          </w:p>
        </w:tc>
      </w:tr>
      <w:tr w:rsidR="004E5B84" w:rsidRPr="00D17F00" w14:paraId="6AB7212C" w14:textId="77777777" w:rsidTr="00B43184">
        <w:tblPrEx>
          <w:tblLook w:val="04A0" w:firstRow="1" w:lastRow="0" w:firstColumn="1" w:lastColumn="0" w:noHBand="0" w:noVBand="1"/>
        </w:tblPrEx>
        <w:tc>
          <w:tcPr>
            <w:tcW w:w="1134" w:type="dxa"/>
          </w:tcPr>
          <w:p w14:paraId="7093064A" w14:textId="3D41F576" w:rsidR="004E5B84" w:rsidRPr="00D17F00" w:rsidRDefault="004E5B84" w:rsidP="00B43184">
            <w:pPr>
              <w:jc w:val="center"/>
              <w:textAlignment w:val="baseline"/>
              <w:rPr>
                <w:rFonts w:ascii="Arial Narrow" w:hAnsi="Arial Narrow" w:cs="Open Sans"/>
                <w:color w:val="333333"/>
                <w:sz w:val="18"/>
                <w:szCs w:val="18"/>
              </w:rPr>
            </w:pPr>
          </w:p>
        </w:tc>
        <w:tc>
          <w:tcPr>
            <w:tcW w:w="8080" w:type="dxa"/>
          </w:tcPr>
          <w:p w14:paraId="536527DD" w14:textId="77777777" w:rsidR="004E5B84" w:rsidRPr="00D17F00" w:rsidRDefault="004E5B84" w:rsidP="00B43184">
            <w:pPr>
              <w:ind w:left="-57"/>
              <w:textAlignment w:val="baseline"/>
              <w:rPr>
                <w:rFonts w:ascii="Arial Narrow" w:hAnsi="Arial Narrow" w:cs="Open Sans"/>
                <w:color w:val="333333"/>
                <w:sz w:val="18"/>
                <w:szCs w:val="18"/>
              </w:rPr>
            </w:pPr>
            <w:r w:rsidRPr="00786E88">
              <w:rPr>
                <w:rFonts w:ascii="Arial Narrow" w:hAnsi="Arial Narrow" w:cs="Open Sans"/>
                <w:b/>
                <w:bCs/>
                <w:color w:val="333333"/>
                <w:sz w:val="18"/>
                <w:szCs w:val="18"/>
                <w:bdr w:val="none" w:sz="0" w:space="0" w:color="auto" w:frame="1"/>
              </w:rPr>
              <w:t>Population criteria:</w:t>
            </w:r>
          </w:p>
        </w:tc>
      </w:tr>
      <w:tr w:rsidR="004E5B84" w:rsidRPr="00D17F00" w14:paraId="1CD1C5F5" w14:textId="77777777" w:rsidTr="00B43184">
        <w:tblPrEx>
          <w:tblLook w:val="04A0" w:firstRow="1" w:lastRow="0" w:firstColumn="1" w:lastColumn="0" w:noHBand="0" w:noVBand="1"/>
        </w:tblPrEx>
        <w:tc>
          <w:tcPr>
            <w:tcW w:w="1134" w:type="dxa"/>
          </w:tcPr>
          <w:p w14:paraId="0E8097AA" w14:textId="26728D3B" w:rsidR="004E5B84" w:rsidRPr="00D17F00" w:rsidRDefault="004E5B84" w:rsidP="00B43184">
            <w:pPr>
              <w:jc w:val="center"/>
              <w:textAlignment w:val="baseline"/>
              <w:rPr>
                <w:rFonts w:ascii="Arial Narrow" w:hAnsi="Arial Narrow" w:cs="Open Sans"/>
                <w:color w:val="333333"/>
                <w:sz w:val="18"/>
                <w:szCs w:val="18"/>
              </w:rPr>
            </w:pPr>
          </w:p>
        </w:tc>
        <w:tc>
          <w:tcPr>
            <w:tcW w:w="8080" w:type="dxa"/>
          </w:tcPr>
          <w:p w14:paraId="7646FFD7" w14:textId="77777777" w:rsidR="004E5B84" w:rsidRPr="00D17F00" w:rsidRDefault="004E5B84" w:rsidP="00B43184">
            <w:pPr>
              <w:ind w:left="-57"/>
              <w:rPr>
                <w:rFonts w:ascii="Arial Narrow" w:hAnsi="Arial Narrow" w:cs="Open Sans"/>
                <w:color w:val="333333"/>
                <w:sz w:val="18"/>
                <w:szCs w:val="18"/>
              </w:rPr>
            </w:pPr>
            <w:r w:rsidRPr="00786E88">
              <w:rPr>
                <w:rFonts w:ascii="Arial Narrow" w:hAnsi="Arial Narrow" w:cs="Open Sans"/>
                <w:color w:val="333333"/>
                <w:sz w:val="18"/>
                <w:szCs w:val="18"/>
              </w:rPr>
              <w:t xml:space="preserve">Patient must be </w:t>
            </w:r>
            <w:r>
              <w:rPr>
                <w:rFonts w:ascii="Arial Narrow" w:hAnsi="Arial Narrow" w:cs="Open Sans"/>
                <w:color w:val="333333"/>
                <w:sz w:val="18"/>
                <w:szCs w:val="18"/>
              </w:rPr>
              <w:t>at least</w:t>
            </w:r>
            <w:r w:rsidRPr="00786E88">
              <w:rPr>
                <w:rFonts w:ascii="Arial Narrow" w:hAnsi="Arial Narrow" w:cs="Open Sans"/>
                <w:color w:val="333333"/>
                <w:sz w:val="18"/>
                <w:szCs w:val="18"/>
              </w:rPr>
              <w:t xml:space="preserve"> 18 years </w:t>
            </w:r>
            <w:r>
              <w:rPr>
                <w:rFonts w:ascii="Arial Narrow" w:hAnsi="Arial Narrow" w:cs="Open Sans"/>
                <w:color w:val="333333"/>
                <w:sz w:val="18"/>
                <w:szCs w:val="18"/>
              </w:rPr>
              <w:t>of age</w:t>
            </w:r>
          </w:p>
        </w:tc>
      </w:tr>
      <w:tr w:rsidR="004E5B84" w:rsidRPr="00D17F00" w14:paraId="0050C624" w14:textId="77777777" w:rsidTr="00B43184">
        <w:tblPrEx>
          <w:tblLook w:val="04A0" w:firstRow="1" w:lastRow="0" w:firstColumn="1" w:lastColumn="0" w:noHBand="0" w:noVBand="1"/>
        </w:tblPrEx>
        <w:tc>
          <w:tcPr>
            <w:tcW w:w="1134" w:type="dxa"/>
          </w:tcPr>
          <w:p w14:paraId="36A3FC61" w14:textId="77777777" w:rsidR="004E5B84" w:rsidRPr="00D17F00" w:rsidRDefault="004E5B84" w:rsidP="00B43184">
            <w:pPr>
              <w:jc w:val="center"/>
              <w:textAlignment w:val="baseline"/>
              <w:rPr>
                <w:rFonts w:ascii="Arial Narrow" w:hAnsi="Arial Narrow" w:cs="Open Sans"/>
                <w:color w:val="333333"/>
                <w:sz w:val="18"/>
                <w:szCs w:val="18"/>
              </w:rPr>
            </w:pPr>
          </w:p>
        </w:tc>
        <w:tc>
          <w:tcPr>
            <w:tcW w:w="8080" w:type="dxa"/>
          </w:tcPr>
          <w:p w14:paraId="4C15EDCE" w14:textId="77777777" w:rsidR="004E5B84" w:rsidRPr="00D17F00" w:rsidRDefault="004E5B84" w:rsidP="00B43184">
            <w:pPr>
              <w:ind w:left="-57"/>
              <w:rPr>
                <w:rFonts w:ascii="Arial Narrow" w:hAnsi="Arial Narrow" w:cs="Open Sans"/>
                <w:color w:val="333333"/>
                <w:sz w:val="18"/>
                <w:szCs w:val="18"/>
              </w:rPr>
            </w:pPr>
          </w:p>
        </w:tc>
      </w:tr>
      <w:tr w:rsidR="004E5B84" w:rsidRPr="00D17F00" w14:paraId="5F3A61F5" w14:textId="77777777" w:rsidTr="00B43184">
        <w:tblPrEx>
          <w:tblLook w:val="04A0" w:firstRow="1" w:lastRow="0" w:firstColumn="1" w:lastColumn="0" w:noHBand="0" w:noVBand="1"/>
        </w:tblPrEx>
        <w:tc>
          <w:tcPr>
            <w:tcW w:w="1134" w:type="dxa"/>
          </w:tcPr>
          <w:p w14:paraId="30327048" w14:textId="1B65BDDA" w:rsidR="004E5B84" w:rsidRPr="00D17F00" w:rsidRDefault="004E5B84" w:rsidP="00B43184">
            <w:pPr>
              <w:jc w:val="center"/>
              <w:textAlignment w:val="baseline"/>
              <w:rPr>
                <w:rFonts w:ascii="Arial Narrow" w:hAnsi="Arial Narrow" w:cs="Open Sans"/>
                <w:color w:val="333333"/>
                <w:sz w:val="18"/>
                <w:szCs w:val="18"/>
              </w:rPr>
            </w:pPr>
          </w:p>
        </w:tc>
        <w:tc>
          <w:tcPr>
            <w:tcW w:w="8080" w:type="dxa"/>
          </w:tcPr>
          <w:p w14:paraId="1A0A49A8" w14:textId="77777777" w:rsidR="004E5B84" w:rsidRDefault="004E5B84" w:rsidP="00B43184">
            <w:pPr>
              <w:ind w:left="-57"/>
              <w:rPr>
                <w:rFonts w:ascii="Arial Narrow" w:hAnsi="Arial Narrow" w:cs="Arial Narrow"/>
                <w:b/>
                <w:iCs/>
                <w:sz w:val="18"/>
                <w:szCs w:val="18"/>
              </w:rPr>
            </w:pPr>
            <w:r>
              <w:rPr>
                <w:rFonts w:ascii="Arial Narrow" w:hAnsi="Arial Narrow" w:cs="Arial Narrow"/>
                <w:b/>
                <w:iCs/>
                <w:sz w:val="18"/>
                <w:szCs w:val="18"/>
              </w:rPr>
              <w:t>Prescribing Instructions:</w:t>
            </w:r>
          </w:p>
          <w:p w14:paraId="17B88129" w14:textId="77777777" w:rsidR="004E5B84" w:rsidRPr="0058294C" w:rsidRDefault="004E5B84" w:rsidP="00B43184">
            <w:pPr>
              <w:ind w:left="-57"/>
              <w:rPr>
                <w:rFonts w:ascii="Arial Narrow" w:hAnsi="Arial Narrow"/>
                <w:sz w:val="18"/>
                <w:szCs w:val="18"/>
              </w:rPr>
            </w:pPr>
            <w:r w:rsidRPr="0058294C">
              <w:rPr>
                <w:rFonts w:ascii="Arial Narrow" w:hAnsi="Arial Narrow"/>
                <w:sz w:val="18"/>
                <w:szCs w:val="18"/>
              </w:rPr>
              <w:t>The authority application must be made in writing and must include:</w:t>
            </w:r>
          </w:p>
          <w:p w14:paraId="1C3FAE2E" w14:textId="77777777" w:rsidR="004E5B84" w:rsidRPr="0058294C" w:rsidRDefault="004E5B84" w:rsidP="00B43184">
            <w:pPr>
              <w:ind w:left="-57"/>
              <w:rPr>
                <w:rFonts w:ascii="Arial Narrow" w:hAnsi="Arial Narrow"/>
                <w:sz w:val="18"/>
                <w:szCs w:val="18"/>
              </w:rPr>
            </w:pPr>
            <w:r w:rsidRPr="0058294C">
              <w:rPr>
                <w:rFonts w:ascii="Arial Narrow" w:hAnsi="Arial Narrow"/>
                <w:sz w:val="18"/>
                <w:szCs w:val="18"/>
              </w:rPr>
              <w:t>(1) a completed authority prescription form; and</w:t>
            </w:r>
          </w:p>
          <w:p w14:paraId="5209DB99" w14:textId="77777777" w:rsidR="004E5B84" w:rsidRPr="00D17F00" w:rsidRDefault="004E5B84" w:rsidP="00B43184">
            <w:pPr>
              <w:ind w:left="-57"/>
              <w:rPr>
                <w:rFonts w:ascii="Arial Narrow" w:hAnsi="Arial Narrow" w:cs="Open Sans"/>
                <w:color w:val="333333"/>
                <w:sz w:val="18"/>
                <w:szCs w:val="18"/>
              </w:rPr>
            </w:pPr>
            <w:r w:rsidRPr="0058294C">
              <w:rPr>
                <w:rFonts w:ascii="Arial Narrow" w:hAnsi="Arial Narrow"/>
                <w:sz w:val="18"/>
                <w:szCs w:val="18"/>
              </w:rPr>
              <w:t>(2) a completed authority application form relevant to the indication and treatment phase (the latest version is located on the website specified in the Administrative Advice).</w:t>
            </w:r>
          </w:p>
        </w:tc>
      </w:tr>
      <w:tr w:rsidR="004E5B84" w:rsidRPr="00D17F00" w14:paraId="76C7A89F" w14:textId="77777777" w:rsidTr="00B43184">
        <w:tblPrEx>
          <w:tblLook w:val="04A0" w:firstRow="1" w:lastRow="0" w:firstColumn="1" w:lastColumn="0" w:noHBand="0" w:noVBand="1"/>
        </w:tblPrEx>
        <w:tc>
          <w:tcPr>
            <w:tcW w:w="1134" w:type="dxa"/>
          </w:tcPr>
          <w:p w14:paraId="77FBDFB1" w14:textId="59E618CF" w:rsidR="004E5B84" w:rsidRPr="00D17F00" w:rsidRDefault="004E5B84" w:rsidP="00B43184">
            <w:pPr>
              <w:jc w:val="center"/>
              <w:textAlignment w:val="baseline"/>
              <w:rPr>
                <w:rFonts w:ascii="Arial Narrow" w:hAnsi="Arial Narrow" w:cs="Open Sans"/>
                <w:color w:val="333333"/>
                <w:sz w:val="18"/>
                <w:szCs w:val="18"/>
              </w:rPr>
            </w:pPr>
          </w:p>
        </w:tc>
        <w:tc>
          <w:tcPr>
            <w:tcW w:w="8080" w:type="dxa"/>
          </w:tcPr>
          <w:p w14:paraId="14C18695" w14:textId="77777777" w:rsidR="004E5B84" w:rsidRPr="00786E88" w:rsidRDefault="004E5B84" w:rsidP="00B43184">
            <w:pPr>
              <w:ind w:left="-57"/>
              <w:textAlignment w:val="baseline"/>
              <w:rPr>
                <w:rFonts w:ascii="Arial Narrow" w:hAnsi="Arial Narrow" w:cs="Open Sans"/>
                <w:color w:val="333333"/>
                <w:sz w:val="18"/>
                <w:szCs w:val="18"/>
              </w:rPr>
            </w:pPr>
            <w:r w:rsidRPr="00786E88">
              <w:rPr>
                <w:rFonts w:ascii="Arial Narrow" w:hAnsi="Arial Narrow" w:cs="Open Sans"/>
                <w:b/>
                <w:bCs/>
                <w:color w:val="333333"/>
                <w:sz w:val="18"/>
                <w:szCs w:val="18"/>
                <w:bdr w:val="none" w:sz="0" w:space="0" w:color="auto" w:frame="1"/>
              </w:rPr>
              <w:t>Prescribing Instructions:</w:t>
            </w:r>
          </w:p>
          <w:p w14:paraId="5F54D094" w14:textId="77777777" w:rsidR="004E5B84" w:rsidRDefault="004E5B84" w:rsidP="00B43184">
            <w:pPr>
              <w:ind w:left="-57"/>
              <w:textAlignment w:val="baseline"/>
              <w:rPr>
                <w:rFonts w:ascii="Arial Narrow" w:hAnsi="Arial Narrow" w:cs="Open Sans"/>
                <w:color w:val="333333"/>
                <w:sz w:val="18"/>
                <w:szCs w:val="18"/>
              </w:rPr>
            </w:pPr>
            <w:r>
              <w:rPr>
                <w:rFonts w:ascii="Arial Narrow" w:hAnsi="Arial Narrow" w:cs="Open Sans"/>
                <w:color w:val="333333"/>
                <w:sz w:val="18"/>
                <w:szCs w:val="18"/>
              </w:rPr>
              <w:t>In relation to the immediately preceding supply of this biological medicine, provide at least one of the following which is not more than 4 weeks from the last administered dose:</w:t>
            </w:r>
          </w:p>
          <w:p w14:paraId="53D29E6C" w14:textId="77777777" w:rsidR="004E5B84" w:rsidRPr="00786E88" w:rsidRDefault="004E5B84" w:rsidP="00B43184">
            <w:pPr>
              <w:ind w:left="-57"/>
              <w:textAlignment w:val="baseline"/>
              <w:rPr>
                <w:rFonts w:ascii="Arial Narrow" w:hAnsi="Arial Narrow" w:cs="Open Sans"/>
                <w:color w:val="333333"/>
                <w:sz w:val="18"/>
                <w:szCs w:val="18"/>
              </w:rPr>
            </w:pPr>
            <w:r w:rsidRPr="00786E88">
              <w:rPr>
                <w:rFonts w:ascii="Arial Narrow" w:hAnsi="Arial Narrow" w:cs="Open Sans"/>
                <w:color w:val="333333"/>
                <w:sz w:val="18"/>
                <w:szCs w:val="18"/>
              </w:rPr>
              <w:t xml:space="preserve">(i) the Crohn Disease Activity Index (CDAI) </w:t>
            </w:r>
            <w:r>
              <w:rPr>
                <w:rFonts w:ascii="Arial Narrow" w:hAnsi="Arial Narrow" w:cs="Open Sans"/>
                <w:color w:val="333333"/>
                <w:sz w:val="18"/>
                <w:szCs w:val="18"/>
              </w:rPr>
              <w:t>s</w:t>
            </w:r>
            <w:r w:rsidRPr="00786E88">
              <w:rPr>
                <w:rFonts w:ascii="Arial Narrow" w:hAnsi="Arial Narrow" w:cs="Open Sans"/>
                <w:color w:val="333333"/>
                <w:sz w:val="18"/>
                <w:szCs w:val="18"/>
              </w:rPr>
              <w:t>core</w:t>
            </w:r>
            <w:r>
              <w:rPr>
                <w:rFonts w:ascii="Arial Narrow" w:hAnsi="Arial Narrow" w:cs="Open Sans"/>
                <w:color w:val="333333"/>
                <w:sz w:val="18"/>
                <w:szCs w:val="18"/>
              </w:rPr>
              <w:t>,</w:t>
            </w:r>
            <w:r w:rsidRPr="00786E88">
              <w:rPr>
                <w:rFonts w:ascii="Arial Narrow" w:hAnsi="Arial Narrow" w:cs="Open Sans"/>
                <w:color w:val="333333"/>
                <w:sz w:val="18"/>
                <w:szCs w:val="18"/>
              </w:rPr>
              <w:t xml:space="preserve"> including the date</w:t>
            </w:r>
            <w:r>
              <w:rPr>
                <w:rFonts w:ascii="Arial Narrow" w:hAnsi="Arial Narrow" w:cs="Open Sans"/>
                <w:color w:val="333333"/>
                <w:sz w:val="18"/>
                <w:szCs w:val="18"/>
              </w:rPr>
              <w:t xml:space="preserve"> the score was calculated on;</w:t>
            </w:r>
            <w:r w:rsidRPr="00786E88">
              <w:rPr>
                <w:rFonts w:ascii="Arial Narrow" w:hAnsi="Arial Narrow" w:cs="Open Sans"/>
                <w:color w:val="333333"/>
                <w:sz w:val="18"/>
                <w:szCs w:val="18"/>
              </w:rPr>
              <w:t xml:space="preserve"> or</w:t>
            </w:r>
          </w:p>
          <w:p w14:paraId="52147B36" w14:textId="77777777" w:rsidR="004E5B84" w:rsidRPr="00D17F00" w:rsidRDefault="004E5B84" w:rsidP="00B43184">
            <w:pPr>
              <w:ind w:left="-57"/>
              <w:textAlignment w:val="baseline"/>
              <w:rPr>
                <w:rFonts w:ascii="Arial Narrow" w:hAnsi="Arial Narrow" w:cs="Open Sans"/>
                <w:color w:val="333333"/>
                <w:sz w:val="18"/>
                <w:szCs w:val="18"/>
              </w:rPr>
            </w:pPr>
            <w:r w:rsidRPr="00786E88">
              <w:rPr>
                <w:rFonts w:ascii="Arial Narrow" w:hAnsi="Arial Narrow" w:cs="Open Sans"/>
                <w:color w:val="333333"/>
                <w:sz w:val="18"/>
                <w:szCs w:val="18"/>
              </w:rPr>
              <w:t xml:space="preserve">(ii) </w:t>
            </w:r>
            <w:r>
              <w:rPr>
                <w:rFonts w:ascii="Arial Narrow" w:hAnsi="Arial Narrow" w:cs="Open Sans"/>
                <w:color w:val="333333"/>
                <w:sz w:val="18"/>
                <w:szCs w:val="18"/>
              </w:rPr>
              <w:t>the unique serial/identifying number and</w:t>
            </w:r>
            <w:r w:rsidRPr="00786E88">
              <w:rPr>
                <w:rFonts w:ascii="Arial Narrow" w:hAnsi="Arial Narrow" w:cs="Open Sans"/>
                <w:color w:val="333333"/>
                <w:sz w:val="18"/>
                <w:szCs w:val="18"/>
              </w:rPr>
              <w:t xml:space="preserve"> date</w:t>
            </w:r>
            <w:r>
              <w:rPr>
                <w:rFonts w:ascii="Arial Narrow" w:hAnsi="Arial Narrow" w:cs="Open Sans"/>
                <w:color w:val="333333"/>
                <w:sz w:val="18"/>
                <w:szCs w:val="18"/>
              </w:rPr>
              <w:t>(s)</w:t>
            </w:r>
            <w:r w:rsidRPr="00786E88">
              <w:rPr>
                <w:rFonts w:ascii="Arial Narrow" w:hAnsi="Arial Narrow" w:cs="Open Sans"/>
                <w:color w:val="333333"/>
                <w:sz w:val="18"/>
                <w:szCs w:val="18"/>
              </w:rPr>
              <w:t xml:space="preserve"> of pathology or diagnostic imaging test(s) used to assess response to therapy for patients with short gut syndrome, extensive small intestine disease or an ostomy, if relevant;</w:t>
            </w:r>
            <w:r>
              <w:rPr>
                <w:rFonts w:ascii="Arial Narrow" w:hAnsi="Arial Narrow" w:cs="Open Sans"/>
                <w:color w:val="333333"/>
                <w:sz w:val="18"/>
                <w:szCs w:val="18"/>
              </w:rPr>
              <w:t xml:space="preserve"> </w:t>
            </w:r>
          </w:p>
        </w:tc>
      </w:tr>
      <w:tr w:rsidR="004E5B84" w:rsidRPr="00D17F00" w14:paraId="415ECBDC" w14:textId="77777777" w:rsidTr="00B43184">
        <w:tblPrEx>
          <w:tblLook w:val="04A0" w:firstRow="1" w:lastRow="0" w:firstColumn="1" w:lastColumn="0" w:noHBand="0" w:noVBand="1"/>
        </w:tblPrEx>
        <w:tc>
          <w:tcPr>
            <w:tcW w:w="9214" w:type="dxa"/>
            <w:gridSpan w:val="2"/>
          </w:tcPr>
          <w:p w14:paraId="6E4DFFE4" w14:textId="77777777" w:rsidR="004E5B84" w:rsidRPr="00D17F00" w:rsidRDefault="004E5B84" w:rsidP="00B43184">
            <w:pPr>
              <w:ind w:left="-57"/>
              <w:textAlignment w:val="baseline"/>
              <w:rPr>
                <w:rFonts w:ascii="Arial Narrow" w:hAnsi="Arial Narrow" w:cs="Open Sans"/>
                <w:color w:val="333333"/>
                <w:sz w:val="18"/>
                <w:szCs w:val="18"/>
              </w:rPr>
            </w:pPr>
          </w:p>
        </w:tc>
      </w:tr>
      <w:tr w:rsidR="004E5B84" w:rsidRPr="00786E88" w14:paraId="5B7D3FCE" w14:textId="77777777" w:rsidTr="00B43184">
        <w:tblPrEx>
          <w:tblLook w:val="04A0" w:firstRow="1" w:lastRow="0" w:firstColumn="1" w:lastColumn="0" w:noHBand="0" w:noVBand="1"/>
        </w:tblPrEx>
        <w:tc>
          <w:tcPr>
            <w:tcW w:w="9214" w:type="dxa"/>
            <w:gridSpan w:val="2"/>
          </w:tcPr>
          <w:p w14:paraId="6CBF7E7A" w14:textId="333FAC1B" w:rsidR="004E5B84" w:rsidRPr="00E05CB5" w:rsidRDefault="004E5B84" w:rsidP="00B43184">
            <w:pPr>
              <w:ind w:left="-57"/>
              <w:textAlignment w:val="baseline"/>
              <w:rPr>
                <w:rFonts w:ascii="Arial Narrow" w:hAnsi="Arial Narrow" w:cs="Open Sans"/>
                <w:b/>
                <w:bCs/>
                <w:color w:val="333333"/>
                <w:sz w:val="18"/>
                <w:szCs w:val="18"/>
                <w:bdr w:val="none" w:sz="0" w:space="0" w:color="auto" w:frame="1"/>
              </w:rPr>
            </w:pPr>
            <w:r w:rsidRPr="00E05CB5">
              <w:rPr>
                <w:rFonts w:ascii="Arial Narrow" w:hAnsi="Arial Narrow" w:cs="Open Sans"/>
                <w:b/>
                <w:bCs/>
                <w:color w:val="333333"/>
                <w:sz w:val="18"/>
                <w:szCs w:val="18"/>
                <w:bdr w:val="none" w:sz="0" w:space="0" w:color="auto" w:frame="1"/>
              </w:rPr>
              <w:t xml:space="preserve">Restriction </w:t>
            </w:r>
            <w:proofErr w:type="gramStart"/>
            <w:r w:rsidRPr="00E05CB5">
              <w:rPr>
                <w:rFonts w:ascii="Arial Narrow" w:hAnsi="Arial Narrow" w:cs="Open Sans"/>
                <w:b/>
                <w:bCs/>
                <w:color w:val="333333"/>
                <w:sz w:val="18"/>
                <w:szCs w:val="18"/>
                <w:bdr w:val="none" w:sz="0" w:space="0" w:color="auto" w:frame="1"/>
              </w:rPr>
              <w:t>Summary  /</w:t>
            </w:r>
            <w:proofErr w:type="gramEnd"/>
            <w:r w:rsidRPr="00E05CB5">
              <w:rPr>
                <w:rFonts w:ascii="Arial Narrow" w:hAnsi="Arial Narrow" w:cs="Open Sans"/>
                <w:b/>
                <w:bCs/>
                <w:color w:val="333333"/>
                <w:sz w:val="18"/>
                <w:szCs w:val="18"/>
                <w:bdr w:val="none" w:sz="0" w:space="0" w:color="auto" w:frame="1"/>
              </w:rPr>
              <w:t xml:space="preserve"> Treatment of Concept: : Authority Required</w:t>
            </w:r>
            <w:r w:rsidRPr="00E05CB5">
              <w:rPr>
                <w:rFonts w:ascii="Arial Narrow" w:hAnsi="Arial Narrow" w:cs="Open Sans"/>
                <w:i/>
                <w:iCs/>
                <w:color w:val="333333"/>
                <w:sz w:val="18"/>
                <w:szCs w:val="18"/>
                <w:bdr w:val="none" w:sz="0" w:space="0" w:color="auto" w:frame="1"/>
              </w:rPr>
              <w:t xml:space="preserve"> </w:t>
            </w:r>
          </w:p>
          <w:p w14:paraId="0963FA12" w14:textId="77777777" w:rsidR="004E5B84" w:rsidRPr="00786E88"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BD2734" w14:paraId="25AF08D8" w14:textId="77777777" w:rsidTr="00962CCF">
        <w:tblPrEx>
          <w:tblLook w:val="04A0" w:firstRow="1" w:lastRow="0" w:firstColumn="1" w:lastColumn="0" w:noHBand="0" w:noVBand="1"/>
        </w:tblPrEx>
        <w:tc>
          <w:tcPr>
            <w:tcW w:w="1134" w:type="dxa"/>
          </w:tcPr>
          <w:p w14:paraId="6F05B5AC" w14:textId="2CBA5B35"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491780A5"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Indication:</w:t>
            </w:r>
            <w:r>
              <w:rPr>
                <w:rFonts w:ascii="Arial Narrow" w:hAnsi="Arial Narrow" w:cs="Open Sans"/>
                <w:b/>
                <w:bCs/>
                <w:color w:val="333333"/>
                <w:sz w:val="18"/>
                <w:szCs w:val="18"/>
                <w:bdr w:val="none" w:sz="0" w:space="0" w:color="auto" w:frame="1"/>
              </w:rPr>
              <w:t xml:space="preserve"> </w:t>
            </w:r>
            <w:r w:rsidRPr="00BD2734">
              <w:rPr>
                <w:rFonts w:ascii="Arial Narrow" w:hAnsi="Arial Narrow" w:cs="Open Sans"/>
                <w:color w:val="333333"/>
                <w:sz w:val="18"/>
                <w:szCs w:val="18"/>
              </w:rPr>
              <w:t>Severe Crohn disease</w:t>
            </w:r>
          </w:p>
        </w:tc>
      </w:tr>
      <w:tr w:rsidR="004E5B84" w:rsidRPr="00BD2734" w14:paraId="265F20E8" w14:textId="77777777" w:rsidTr="00B43184">
        <w:tblPrEx>
          <w:tblLook w:val="04A0" w:firstRow="1" w:lastRow="0" w:firstColumn="1" w:lastColumn="0" w:noHBand="0" w:noVBand="1"/>
        </w:tblPrEx>
        <w:tc>
          <w:tcPr>
            <w:tcW w:w="1134" w:type="dxa"/>
          </w:tcPr>
          <w:p w14:paraId="46F30436" w14:textId="77777777" w:rsidR="004E5B84" w:rsidRPr="00BD2734" w:rsidRDefault="004E5B84" w:rsidP="00B43184">
            <w:pPr>
              <w:jc w:val="center"/>
              <w:textAlignment w:val="baseline"/>
              <w:rPr>
                <w:rFonts w:ascii="Arial Narrow" w:hAnsi="Arial Narrow" w:cs="Open Sans"/>
                <w:color w:val="333333"/>
                <w:sz w:val="18"/>
                <w:szCs w:val="18"/>
              </w:rPr>
            </w:pPr>
          </w:p>
        </w:tc>
        <w:tc>
          <w:tcPr>
            <w:tcW w:w="8080" w:type="dxa"/>
          </w:tcPr>
          <w:p w14:paraId="73F558DE" w14:textId="77777777" w:rsidR="004E5B84" w:rsidRPr="00BD2734"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BD2734" w14:paraId="6B9DB401" w14:textId="77777777" w:rsidTr="00962CCF">
        <w:tblPrEx>
          <w:tblLook w:val="04A0" w:firstRow="1" w:lastRow="0" w:firstColumn="1" w:lastColumn="0" w:noHBand="0" w:noVBand="1"/>
        </w:tblPrEx>
        <w:tc>
          <w:tcPr>
            <w:tcW w:w="1134" w:type="dxa"/>
          </w:tcPr>
          <w:p w14:paraId="2A7E1942" w14:textId="77777777" w:rsidR="004E5B84" w:rsidRPr="00BD2734" w:rsidRDefault="004E5B84" w:rsidP="00B43184">
            <w:pPr>
              <w:jc w:val="center"/>
              <w:rPr>
                <w:rFonts w:ascii="Arial Narrow" w:hAnsi="Arial Narrow" w:cs="Open Sans"/>
                <w:color w:val="333333"/>
                <w:sz w:val="18"/>
                <w:szCs w:val="18"/>
              </w:rPr>
            </w:pPr>
          </w:p>
        </w:tc>
        <w:tc>
          <w:tcPr>
            <w:tcW w:w="8080" w:type="dxa"/>
            <w:hideMark/>
          </w:tcPr>
          <w:p w14:paraId="429BBC90"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Treatment Phase:</w:t>
            </w:r>
            <w:r>
              <w:rPr>
                <w:rFonts w:ascii="Arial Narrow" w:hAnsi="Arial Narrow" w:cs="Open Sans"/>
                <w:b/>
                <w:bCs/>
                <w:color w:val="333333"/>
                <w:sz w:val="18"/>
                <w:szCs w:val="18"/>
                <w:bdr w:val="none" w:sz="0" w:space="0" w:color="auto" w:frame="1"/>
              </w:rPr>
              <w:t xml:space="preserve"> </w:t>
            </w:r>
            <w:r w:rsidRPr="00E05CB5">
              <w:rPr>
                <w:rFonts w:ascii="Arial Narrow" w:hAnsi="Arial Narrow" w:cs="Open Sans"/>
                <w:color w:val="333333"/>
                <w:sz w:val="18"/>
                <w:szCs w:val="18"/>
                <w:bdr w:val="none" w:sz="0" w:space="0" w:color="auto" w:frame="1"/>
              </w:rPr>
              <w:t>Transitioning from non-PBS to PBS-subsidised supply – ‘grandfather’ arrangements</w:t>
            </w:r>
          </w:p>
        </w:tc>
      </w:tr>
      <w:tr w:rsidR="004E5B84" w:rsidRPr="00BD2734" w14:paraId="5D63A5BC" w14:textId="77777777" w:rsidTr="00B43184">
        <w:tblPrEx>
          <w:tblLook w:val="04A0" w:firstRow="1" w:lastRow="0" w:firstColumn="1" w:lastColumn="0" w:noHBand="0" w:noVBand="1"/>
        </w:tblPrEx>
        <w:tc>
          <w:tcPr>
            <w:tcW w:w="1134" w:type="dxa"/>
          </w:tcPr>
          <w:p w14:paraId="1C0F8672" w14:textId="77777777" w:rsidR="004E5B84" w:rsidRPr="00BD2734" w:rsidRDefault="004E5B84" w:rsidP="00B43184">
            <w:pPr>
              <w:jc w:val="center"/>
              <w:rPr>
                <w:rFonts w:ascii="Arial Narrow" w:hAnsi="Arial Narrow" w:cs="Open Sans"/>
                <w:color w:val="333333"/>
                <w:sz w:val="18"/>
                <w:szCs w:val="18"/>
              </w:rPr>
            </w:pPr>
          </w:p>
        </w:tc>
        <w:tc>
          <w:tcPr>
            <w:tcW w:w="8080" w:type="dxa"/>
          </w:tcPr>
          <w:p w14:paraId="1AA59577" w14:textId="77777777" w:rsidR="004E5B84" w:rsidRPr="00BD2734"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BD2734" w14:paraId="33175964" w14:textId="77777777" w:rsidTr="00B43184">
        <w:tblPrEx>
          <w:tblLook w:val="04A0" w:firstRow="1" w:lastRow="0" w:firstColumn="1" w:lastColumn="0" w:noHBand="0" w:noVBand="1"/>
        </w:tblPrEx>
        <w:tc>
          <w:tcPr>
            <w:tcW w:w="1134" w:type="dxa"/>
          </w:tcPr>
          <w:p w14:paraId="52D9FD47" w14:textId="77777777" w:rsidR="004E5B84" w:rsidRPr="00BD2734" w:rsidRDefault="004E5B84" w:rsidP="00B43184">
            <w:pPr>
              <w:jc w:val="center"/>
              <w:textAlignment w:val="baseline"/>
              <w:rPr>
                <w:rFonts w:ascii="Arial Narrow" w:hAnsi="Arial Narrow" w:cs="Open Sans"/>
                <w:color w:val="333333"/>
                <w:sz w:val="18"/>
                <w:szCs w:val="18"/>
              </w:rPr>
            </w:pPr>
          </w:p>
        </w:tc>
        <w:tc>
          <w:tcPr>
            <w:tcW w:w="8080" w:type="dxa"/>
          </w:tcPr>
          <w:p w14:paraId="0FD680C9"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Clinical criteria:</w:t>
            </w:r>
          </w:p>
        </w:tc>
      </w:tr>
      <w:tr w:rsidR="004E5B84" w:rsidRPr="00BD2734" w14:paraId="302EE2BD" w14:textId="77777777" w:rsidTr="00B43184">
        <w:tblPrEx>
          <w:tblLook w:val="04A0" w:firstRow="1" w:lastRow="0" w:firstColumn="1" w:lastColumn="0" w:noHBand="0" w:noVBand="1"/>
        </w:tblPrEx>
        <w:tc>
          <w:tcPr>
            <w:tcW w:w="1134" w:type="dxa"/>
          </w:tcPr>
          <w:p w14:paraId="21CD17EA" w14:textId="0449BA1A" w:rsidR="004E5B84" w:rsidRPr="00BD2734" w:rsidRDefault="004E5B84" w:rsidP="00B43184">
            <w:pPr>
              <w:jc w:val="center"/>
              <w:textAlignment w:val="baseline"/>
              <w:rPr>
                <w:rFonts w:ascii="Arial Narrow" w:hAnsi="Arial Narrow" w:cs="Open Sans"/>
                <w:color w:val="333333"/>
                <w:sz w:val="18"/>
                <w:szCs w:val="18"/>
              </w:rPr>
            </w:pPr>
          </w:p>
        </w:tc>
        <w:tc>
          <w:tcPr>
            <w:tcW w:w="8080" w:type="dxa"/>
          </w:tcPr>
          <w:p w14:paraId="541B2387" w14:textId="77777777" w:rsidR="004E5B84" w:rsidRPr="00BD2734" w:rsidRDefault="004E5B84" w:rsidP="00B43184">
            <w:pPr>
              <w:ind w:left="-57"/>
              <w:rPr>
                <w:rFonts w:ascii="Arial Narrow" w:hAnsi="Arial Narrow" w:cs="Open Sans"/>
                <w:color w:val="333333"/>
                <w:sz w:val="18"/>
                <w:szCs w:val="18"/>
              </w:rPr>
            </w:pPr>
            <w:r>
              <w:rPr>
                <w:rFonts w:ascii="Arial Narrow" w:hAnsi="Arial Narrow" w:cs="Open Sans"/>
                <w:color w:val="333333"/>
                <w:sz w:val="18"/>
                <w:szCs w:val="18"/>
              </w:rPr>
              <w:t>Patient must have commenced non-PBS supply prior to [insert listing date here]</w:t>
            </w:r>
          </w:p>
        </w:tc>
      </w:tr>
      <w:tr w:rsidR="004E5B84" w:rsidRPr="00E05CB5" w14:paraId="679154DB" w14:textId="77777777" w:rsidTr="00B43184">
        <w:tblPrEx>
          <w:tblLook w:val="04A0" w:firstRow="1" w:lastRow="0" w:firstColumn="1" w:lastColumn="0" w:noHBand="0" w:noVBand="1"/>
        </w:tblPrEx>
        <w:tc>
          <w:tcPr>
            <w:tcW w:w="1134" w:type="dxa"/>
          </w:tcPr>
          <w:p w14:paraId="11BD2755" w14:textId="77777777" w:rsidR="004E5B84" w:rsidRPr="00BD2734" w:rsidRDefault="004E5B84" w:rsidP="00B43184">
            <w:pPr>
              <w:jc w:val="center"/>
              <w:textAlignment w:val="baseline"/>
              <w:rPr>
                <w:rFonts w:ascii="Arial Narrow" w:hAnsi="Arial Narrow" w:cs="Open Sans"/>
                <w:color w:val="333333"/>
                <w:sz w:val="18"/>
                <w:szCs w:val="18"/>
              </w:rPr>
            </w:pPr>
          </w:p>
        </w:tc>
        <w:tc>
          <w:tcPr>
            <w:tcW w:w="8080" w:type="dxa"/>
          </w:tcPr>
          <w:p w14:paraId="209AA3F9" w14:textId="77777777" w:rsidR="004E5B84" w:rsidRPr="00E05CB5" w:rsidRDefault="004E5B84" w:rsidP="00B43184">
            <w:pPr>
              <w:ind w:left="-57"/>
              <w:rPr>
                <w:rFonts w:ascii="Arial Narrow" w:hAnsi="Arial Narrow" w:cs="Open Sans"/>
                <w:b/>
                <w:bCs/>
                <w:color w:val="333333"/>
                <w:sz w:val="18"/>
                <w:szCs w:val="18"/>
              </w:rPr>
            </w:pPr>
            <w:r w:rsidRPr="00E05CB5">
              <w:rPr>
                <w:rFonts w:ascii="Arial Narrow" w:hAnsi="Arial Narrow" w:cs="Open Sans"/>
                <w:b/>
                <w:bCs/>
                <w:color w:val="333333"/>
                <w:sz w:val="18"/>
                <w:szCs w:val="18"/>
              </w:rPr>
              <w:t>AND</w:t>
            </w:r>
          </w:p>
        </w:tc>
      </w:tr>
      <w:tr w:rsidR="004E5B84" w:rsidRPr="00BD2734" w14:paraId="0E2F806E" w14:textId="77777777" w:rsidTr="00962CCF">
        <w:tblPrEx>
          <w:tblLook w:val="04A0" w:firstRow="1" w:lastRow="0" w:firstColumn="1" w:lastColumn="0" w:noHBand="0" w:noVBand="1"/>
        </w:tblPrEx>
        <w:tc>
          <w:tcPr>
            <w:tcW w:w="1134" w:type="dxa"/>
          </w:tcPr>
          <w:p w14:paraId="4D7147C0" w14:textId="1B75339E"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0DDA63B3"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Clinical criteria:</w:t>
            </w:r>
          </w:p>
        </w:tc>
      </w:tr>
      <w:tr w:rsidR="004E5B84" w:rsidRPr="00BD2734" w14:paraId="351AAF07" w14:textId="77777777" w:rsidTr="00962CCF">
        <w:tblPrEx>
          <w:tblLook w:val="04A0" w:firstRow="1" w:lastRow="0" w:firstColumn="1" w:lastColumn="0" w:noHBand="0" w:noVBand="1"/>
        </w:tblPrEx>
        <w:tc>
          <w:tcPr>
            <w:tcW w:w="1134" w:type="dxa"/>
          </w:tcPr>
          <w:p w14:paraId="4F5EAA7E" w14:textId="7A49E267"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7DBF75E4" w14:textId="77777777" w:rsidR="004E5B84" w:rsidRPr="00BD2734" w:rsidRDefault="004E5B84" w:rsidP="00B43184">
            <w:pPr>
              <w:ind w:left="-57"/>
              <w:rPr>
                <w:rFonts w:ascii="Arial Narrow" w:hAnsi="Arial Narrow" w:cs="Open Sans"/>
                <w:color w:val="333333"/>
                <w:sz w:val="18"/>
                <w:szCs w:val="18"/>
              </w:rPr>
            </w:pPr>
            <w:r w:rsidRPr="00BD2734">
              <w:rPr>
                <w:rFonts w:ascii="Arial Narrow" w:hAnsi="Arial Narrow" w:cs="Open Sans"/>
                <w:color w:val="333333"/>
                <w:sz w:val="18"/>
                <w:szCs w:val="18"/>
              </w:rPr>
              <w:t>Patient must have confirmed severe Crohn disease, defined by standard clinical, endoscopic and/or imaging features, including histological evidence, with the diagnosis confirmed by a gastroenterologist or a consultant physician</w:t>
            </w:r>
          </w:p>
        </w:tc>
      </w:tr>
      <w:tr w:rsidR="004E5B84" w:rsidRPr="00BD2734" w14:paraId="52E3C9C2" w14:textId="77777777" w:rsidTr="00962CCF">
        <w:tblPrEx>
          <w:tblLook w:val="04A0" w:firstRow="1" w:lastRow="0" w:firstColumn="1" w:lastColumn="0" w:noHBand="0" w:noVBand="1"/>
        </w:tblPrEx>
        <w:tc>
          <w:tcPr>
            <w:tcW w:w="1134" w:type="dxa"/>
          </w:tcPr>
          <w:p w14:paraId="5BB97B7B" w14:textId="77777777" w:rsidR="004E5B84" w:rsidRPr="00BD2734" w:rsidRDefault="004E5B84" w:rsidP="00B43184">
            <w:pPr>
              <w:jc w:val="center"/>
              <w:rPr>
                <w:rFonts w:ascii="Arial Narrow" w:hAnsi="Arial Narrow" w:cs="Open Sans"/>
                <w:color w:val="333333"/>
                <w:sz w:val="18"/>
                <w:szCs w:val="18"/>
              </w:rPr>
            </w:pPr>
          </w:p>
        </w:tc>
        <w:tc>
          <w:tcPr>
            <w:tcW w:w="8080" w:type="dxa"/>
            <w:hideMark/>
          </w:tcPr>
          <w:p w14:paraId="75C2F2A6" w14:textId="77777777" w:rsidR="004E5B84" w:rsidRPr="00BD2734" w:rsidRDefault="004E5B84" w:rsidP="00B43184">
            <w:pPr>
              <w:ind w:left="-57"/>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AND</w:t>
            </w:r>
          </w:p>
        </w:tc>
      </w:tr>
      <w:tr w:rsidR="004E5B84" w:rsidRPr="00BD2734" w14:paraId="39470801" w14:textId="77777777" w:rsidTr="00962CCF">
        <w:tblPrEx>
          <w:tblLook w:val="04A0" w:firstRow="1" w:lastRow="0" w:firstColumn="1" w:lastColumn="0" w:noHBand="0" w:noVBand="1"/>
        </w:tblPrEx>
        <w:tc>
          <w:tcPr>
            <w:tcW w:w="1134" w:type="dxa"/>
          </w:tcPr>
          <w:p w14:paraId="07BFF045" w14:textId="7F7F777C"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697143E8"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Clinical criteria:</w:t>
            </w:r>
          </w:p>
        </w:tc>
      </w:tr>
      <w:tr w:rsidR="004E5B84" w:rsidRPr="00BD2734" w14:paraId="1FBC3061" w14:textId="77777777" w:rsidTr="00962CCF">
        <w:tblPrEx>
          <w:tblLook w:val="04A0" w:firstRow="1" w:lastRow="0" w:firstColumn="1" w:lastColumn="0" w:noHBand="0" w:noVBand="1"/>
        </w:tblPrEx>
        <w:tc>
          <w:tcPr>
            <w:tcW w:w="1134" w:type="dxa"/>
          </w:tcPr>
          <w:p w14:paraId="750AD757" w14:textId="5817C9CE"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3BF421A9" w14:textId="77777777" w:rsidR="004E5B84" w:rsidRPr="00BD2734" w:rsidRDefault="004E5B84" w:rsidP="00B43184">
            <w:pPr>
              <w:ind w:left="-57"/>
              <w:rPr>
                <w:rFonts w:ascii="Arial Narrow" w:hAnsi="Arial Narrow" w:cs="Open Sans"/>
                <w:color w:val="333333"/>
                <w:sz w:val="18"/>
                <w:szCs w:val="18"/>
              </w:rPr>
            </w:pPr>
            <w:r w:rsidRPr="00BD2734">
              <w:rPr>
                <w:rFonts w:ascii="Arial Narrow" w:hAnsi="Arial Narrow" w:cs="Open Sans"/>
                <w:color w:val="333333"/>
                <w:sz w:val="18"/>
                <w:szCs w:val="18"/>
              </w:rPr>
              <w:t xml:space="preserve">Patient must have failed to achieve an adequate response to prior systemic therapy with a tapered course of steroids, starting at a dose of at least 40 mg prednisolone (or equivalent), over a </w:t>
            </w:r>
            <w:proofErr w:type="gramStart"/>
            <w:r w:rsidRPr="00BD2734">
              <w:rPr>
                <w:rFonts w:ascii="Arial Narrow" w:hAnsi="Arial Narrow" w:cs="Open Sans"/>
                <w:color w:val="333333"/>
                <w:sz w:val="18"/>
                <w:szCs w:val="18"/>
              </w:rPr>
              <w:t>6 week</w:t>
            </w:r>
            <w:proofErr w:type="gramEnd"/>
            <w:r w:rsidRPr="00BD2734">
              <w:rPr>
                <w:rFonts w:ascii="Arial Narrow" w:hAnsi="Arial Narrow" w:cs="Open Sans"/>
                <w:color w:val="333333"/>
                <w:sz w:val="18"/>
                <w:szCs w:val="18"/>
              </w:rPr>
              <w:t xml:space="preserve"> period</w:t>
            </w:r>
          </w:p>
        </w:tc>
      </w:tr>
      <w:tr w:rsidR="004E5B84" w:rsidRPr="00BD2734" w14:paraId="23BE9F67" w14:textId="77777777" w:rsidTr="00962CCF">
        <w:tblPrEx>
          <w:tblLook w:val="04A0" w:firstRow="1" w:lastRow="0" w:firstColumn="1" w:lastColumn="0" w:noHBand="0" w:noVBand="1"/>
        </w:tblPrEx>
        <w:tc>
          <w:tcPr>
            <w:tcW w:w="1134" w:type="dxa"/>
          </w:tcPr>
          <w:p w14:paraId="1198C6DE" w14:textId="77777777" w:rsidR="004E5B84" w:rsidRPr="00BD2734" w:rsidRDefault="004E5B84" w:rsidP="00B43184">
            <w:pPr>
              <w:jc w:val="center"/>
              <w:rPr>
                <w:rFonts w:ascii="Arial Narrow" w:hAnsi="Arial Narrow" w:cs="Open Sans"/>
                <w:color w:val="333333"/>
                <w:sz w:val="18"/>
                <w:szCs w:val="18"/>
              </w:rPr>
            </w:pPr>
          </w:p>
        </w:tc>
        <w:tc>
          <w:tcPr>
            <w:tcW w:w="8080" w:type="dxa"/>
            <w:hideMark/>
          </w:tcPr>
          <w:p w14:paraId="2D11ED05" w14:textId="77777777" w:rsidR="004E5B84" w:rsidRPr="00BD2734" w:rsidRDefault="004E5B84" w:rsidP="00B43184">
            <w:pPr>
              <w:ind w:left="-57"/>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AND</w:t>
            </w:r>
          </w:p>
        </w:tc>
      </w:tr>
      <w:tr w:rsidR="004E5B84" w:rsidRPr="00BD2734" w14:paraId="555574C5" w14:textId="77777777" w:rsidTr="00962CCF">
        <w:tblPrEx>
          <w:tblLook w:val="04A0" w:firstRow="1" w:lastRow="0" w:firstColumn="1" w:lastColumn="0" w:noHBand="0" w:noVBand="1"/>
        </w:tblPrEx>
        <w:tc>
          <w:tcPr>
            <w:tcW w:w="1134" w:type="dxa"/>
          </w:tcPr>
          <w:p w14:paraId="62F5E9F0" w14:textId="23A5C41F"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0F1C8CE2"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Clinical criteria:</w:t>
            </w:r>
          </w:p>
        </w:tc>
      </w:tr>
      <w:tr w:rsidR="004E5B84" w:rsidRPr="00BD2734" w14:paraId="3C0E12F5" w14:textId="77777777" w:rsidTr="00962CCF">
        <w:tblPrEx>
          <w:tblLook w:val="04A0" w:firstRow="1" w:lastRow="0" w:firstColumn="1" w:lastColumn="0" w:noHBand="0" w:noVBand="1"/>
        </w:tblPrEx>
        <w:tc>
          <w:tcPr>
            <w:tcW w:w="1134" w:type="dxa"/>
          </w:tcPr>
          <w:p w14:paraId="4A6D8C06" w14:textId="29619C66"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67A18F94" w14:textId="77777777" w:rsidR="004E5B84" w:rsidRPr="00BD2734" w:rsidRDefault="004E5B84" w:rsidP="00B43184">
            <w:pPr>
              <w:ind w:left="-57"/>
              <w:rPr>
                <w:rFonts w:ascii="Arial Narrow" w:hAnsi="Arial Narrow" w:cs="Open Sans"/>
                <w:color w:val="333333"/>
                <w:sz w:val="18"/>
                <w:szCs w:val="18"/>
              </w:rPr>
            </w:pPr>
            <w:r w:rsidRPr="00BD2734">
              <w:rPr>
                <w:rFonts w:ascii="Arial Narrow" w:hAnsi="Arial Narrow" w:cs="Open Sans"/>
                <w:color w:val="333333"/>
                <w:sz w:val="18"/>
                <w:szCs w:val="18"/>
              </w:rPr>
              <w:t>Patient must have failed to achieve adequate response to prior systemic immunosuppressive therapy with azathioprine at a dose of at least 2 mg per kg daily for 3 or more consecutive months; or</w:t>
            </w:r>
          </w:p>
        </w:tc>
      </w:tr>
      <w:tr w:rsidR="004E5B84" w:rsidRPr="00BD2734" w14:paraId="6FDF0A87" w14:textId="77777777" w:rsidTr="00962CCF">
        <w:tblPrEx>
          <w:tblLook w:val="04A0" w:firstRow="1" w:lastRow="0" w:firstColumn="1" w:lastColumn="0" w:noHBand="0" w:noVBand="1"/>
        </w:tblPrEx>
        <w:tc>
          <w:tcPr>
            <w:tcW w:w="1134" w:type="dxa"/>
          </w:tcPr>
          <w:p w14:paraId="02FA13F4" w14:textId="20B9C54E"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4EDC2E0A" w14:textId="77777777" w:rsidR="004E5B84" w:rsidRPr="00BD2734" w:rsidRDefault="004E5B84" w:rsidP="00B43184">
            <w:pPr>
              <w:ind w:left="-57"/>
              <w:rPr>
                <w:rFonts w:ascii="Arial Narrow" w:hAnsi="Arial Narrow" w:cs="Open Sans"/>
                <w:color w:val="333333"/>
                <w:sz w:val="18"/>
                <w:szCs w:val="18"/>
              </w:rPr>
            </w:pPr>
            <w:r w:rsidRPr="00BD2734">
              <w:rPr>
                <w:rFonts w:ascii="Arial Narrow" w:hAnsi="Arial Narrow" w:cs="Open Sans"/>
                <w:color w:val="333333"/>
                <w:sz w:val="18"/>
                <w:szCs w:val="18"/>
              </w:rPr>
              <w:t>Patient must have failed to achieve adequate response to prior systemic immunosuppressive therapy with 6-mercaptopurine at a dose of at least 1 mg per kg daily for 3 or more consecutive months; or</w:t>
            </w:r>
          </w:p>
        </w:tc>
      </w:tr>
      <w:tr w:rsidR="004E5B84" w:rsidRPr="00BD2734" w14:paraId="1B213FE3" w14:textId="77777777" w:rsidTr="00962CCF">
        <w:tblPrEx>
          <w:tblLook w:val="04A0" w:firstRow="1" w:lastRow="0" w:firstColumn="1" w:lastColumn="0" w:noHBand="0" w:noVBand="1"/>
        </w:tblPrEx>
        <w:tc>
          <w:tcPr>
            <w:tcW w:w="1134" w:type="dxa"/>
          </w:tcPr>
          <w:p w14:paraId="5AA3C62B" w14:textId="11D3096C"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57F63377" w14:textId="77777777" w:rsidR="004E5B84" w:rsidRPr="00BD2734" w:rsidRDefault="004E5B84" w:rsidP="00B43184">
            <w:pPr>
              <w:ind w:left="-57"/>
              <w:rPr>
                <w:rFonts w:ascii="Arial Narrow" w:hAnsi="Arial Narrow" w:cs="Open Sans"/>
                <w:color w:val="333333"/>
                <w:sz w:val="18"/>
                <w:szCs w:val="18"/>
              </w:rPr>
            </w:pPr>
            <w:r w:rsidRPr="00BD2734">
              <w:rPr>
                <w:rFonts w:ascii="Arial Narrow" w:hAnsi="Arial Narrow" w:cs="Open Sans"/>
                <w:color w:val="333333"/>
                <w:sz w:val="18"/>
                <w:szCs w:val="18"/>
              </w:rPr>
              <w:t>Patient must have failed to achieve adequate response to prior systemic immunosuppressive therapy with methotrexate at a dose of at least 15 mg weekly for 3 or more consecutive months</w:t>
            </w:r>
          </w:p>
        </w:tc>
      </w:tr>
      <w:tr w:rsidR="004E5B84" w:rsidRPr="00BD2734" w14:paraId="68F46483" w14:textId="77777777" w:rsidTr="00962CCF">
        <w:tblPrEx>
          <w:tblLook w:val="04A0" w:firstRow="1" w:lastRow="0" w:firstColumn="1" w:lastColumn="0" w:noHBand="0" w:noVBand="1"/>
        </w:tblPrEx>
        <w:tc>
          <w:tcPr>
            <w:tcW w:w="1134" w:type="dxa"/>
          </w:tcPr>
          <w:p w14:paraId="659CB144" w14:textId="77777777" w:rsidR="004E5B84" w:rsidRPr="00BD2734" w:rsidRDefault="004E5B84" w:rsidP="00B43184">
            <w:pPr>
              <w:jc w:val="center"/>
              <w:rPr>
                <w:rFonts w:ascii="Arial Narrow" w:hAnsi="Arial Narrow" w:cs="Open Sans"/>
                <w:color w:val="333333"/>
                <w:sz w:val="18"/>
                <w:szCs w:val="18"/>
              </w:rPr>
            </w:pPr>
          </w:p>
        </w:tc>
        <w:tc>
          <w:tcPr>
            <w:tcW w:w="8080" w:type="dxa"/>
            <w:hideMark/>
          </w:tcPr>
          <w:p w14:paraId="47497AAF" w14:textId="77777777" w:rsidR="004E5B84" w:rsidRPr="00BD2734" w:rsidRDefault="004E5B84" w:rsidP="00B43184">
            <w:pPr>
              <w:ind w:left="-57"/>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AND</w:t>
            </w:r>
          </w:p>
        </w:tc>
      </w:tr>
      <w:tr w:rsidR="004E5B84" w:rsidRPr="00BD2734" w14:paraId="38F8443E" w14:textId="77777777" w:rsidTr="00962CCF">
        <w:tblPrEx>
          <w:tblLook w:val="04A0" w:firstRow="1" w:lastRow="0" w:firstColumn="1" w:lastColumn="0" w:noHBand="0" w:noVBand="1"/>
        </w:tblPrEx>
        <w:tc>
          <w:tcPr>
            <w:tcW w:w="1134" w:type="dxa"/>
          </w:tcPr>
          <w:p w14:paraId="02C0E6BC" w14:textId="681D1DAB"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3D60786A"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Clinical criteria:</w:t>
            </w:r>
          </w:p>
        </w:tc>
      </w:tr>
      <w:tr w:rsidR="004E5B84" w:rsidRPr="00BD2734" w14:paraId="1FA10A2E" w14:textId="77777777" w:rsidTr="00962CCF">
        <w:tblPrEx>
          <w:tblLook w:val="04A0" w:firstRow="1" w:lastRow="0" w:firstColumn="1" w:lastColumn="0" w:noHBand="0" w:noVBand="1"/>
        </w:tblPrEx>
        <w:tc>
          <w:tcPr>
            <w:tcW w:w="1134" w:type="dxa"/>
          </w:tcPr>
          <w:p w14:paraId="275EBED0" w14:textId="4008141E"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78CB058E" w14:textId="77777777" w:rsidR="004E5B84" w:rsidRPr="00BD2734" w:rsidRDefault="004E5B84" w:rsidP="00B43184">
            <w:pPr>
              <w:ind w:left="-57"/>
              <w:rPr>
                <w:rFonts w:ascii="Arial Narrow" w:hAnsi="Arial Narrow" w:cs="Open Sans"/>
                <w:color w:val="333333"/>
                <w:sz w:val="18"/>
                <w:szCs w:val="18"/>
              </w:rPr>
            </w:pPr>
            <w:r w:rsidRPr="00E03247">
              <w:rPr>
                <w:rFonts w:ascii="Arial Narrow" w:hAnsi="Arial Narrow" w:cs="Open Sans"/>
                <w:color w:val="333333"/>
                <w:sz w:val="18"/>
                <w:szCs w:val="18"/>
              </w:rPr>
              <w:t>Patient must have had a Crohn Disease Activity Index (CDAI) Score of greater than or equal to 300 prior to commencing treatment with this drug; or</w:t>
            </w:r>
          </w:p>
        </w:tc>
      </w:tr>
      <w:tr w:rsidR="004E5B84" w:rsidRPr="00BD2734" w14:paraId="330D7002" w14:textId="77777777" w:rsidTr="00962CCF">
        <w:tblPrEx>
          <w:tblLook w:val="04A0" w:firstRow="1" w:lastRow="0" w:firstColumn="1" w:lastColumn="0" w:noHBand="0" w:noVBand="1"/>
        </w:tblPrEx>
        <w:tc>
          <w:tcPr>
            <w:tcW w:w="1134" w:type="dxa"/>
          </w:tcPr>
          <w:p w14:paraId="00104847" w14:textId="10F8AB6D"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0BB17CCD" w14:textId="77777777" w:rsidR="004E5B84" w:rsidRPr="00BD2734" w:rsidRDefault="004E5B84" w:rsidP="00B43184">
            <w:pPr>
              <w:ind w:left="-57"/>
              <w:rPr>
                <w:rFonts w:ascii="Arial Narrow" w:hAnsi="Arial Narrow" w:cs="Open Sans"/>
                <w:color w:val="333333"/>
                <w:sz w:val="18"/>
                <w:szCs w:val="18"/>
              </w:rPr>
            </w:pPr>
            <w:r w:rsidRPr="00E03247">
              <w:rPr>
                <w:rFonts w:ascii="Arial Narrow" w:hAnsi="Arial Narrow" w:cs="Open Sans"/>
                <w:color w:val="333333"/>
                <w:sz w:val="18"/>
                <w:szCs w:val="18"/>
              </w:rPr>
              <w:t>Patient must have a documented history of intestinal inflammation and have diagnostic imaging or surgical evidence of short gut syndrome if affected by the syndrome or has an ileostomy or colostomy; or</w:t>
            </w:r>
          </w:p>
        </w:tc>
      </w:tr>
      <w:tr w:rsidR="004E5B84" w:rsidRPr="00BD2734" w14:paraId="40766076" w14:textId="77777777" w:rsidTr="00962CCF">
        <w:tblPrEx>
          <w:tblLook w:val="04A0" w:firstRow="1" w:lastRow="0" w:firstColumn="1" w:lastColumn="0" w:noHBand="0" w:noVBand="1"/>
        </w:tblPrEx>
        <w:tc>
          <w:tcPr>
            <w:tcW w:w="1134" w:type="dxa"/>
          </w:tcPr>
          <w:p w14:paraId="258ED251" w14:textId="2ED536FC"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732729AA" w14:textId="77777777" w:rsidR="004E5B84" w:rsidRPr="00BD2734" w:rsidRDefault="004E5B84" w:rsidP="00B43184">
            <w:pPr>
              <w:ind w:left="-57"/>
              <w:rPr>
                <w:rFonts w:ascii="Arial Narrow" w:hAnsi="Arial Narrow" w:cs="Open Sans"/>
                <w:color w:val="333333"/>
                <w:sz w:val="18"/>
                <w:szCs w:val="18"/>
              </w:rPr>
            </w:pPr>
            <w:r w:rsidRPr="00E03247">
              <w:rPr>
                <w:rFonts w:ascii="Arial Narrow" w:hAnsi="Arial Narrow" w:cs="Open Sans"/>
                <w:color w:val="333333"/>
                <w:sz w:val="18"/>
                <w:szCs w:val="18"/>
              </w:rPr>
              <w:t>Patient must have a documented history and radiological evidence of intestinal inflammation if the patient has extensive small intestinal disease affecting more than 50 cm of the small intestine.</w:t>
            </w:r>
          </w:p>
        </w:tc>
      </w:tr>
      <w:tr w:rsidR="004E5B84" w:rsidRPr="00BD2734" w14:paraId="0FABF45B" w14:textId="77777777" w:rsidTr="00B43184">
        <w:tblPrEx>
          <w:tblLook w:val="04A0" w:firstRow="1" w:lastRow="0" w:firstColumn="1" w:lastColumn="0" w:noHBand="0" w:noVBand="1"/>
        </w:tblPrEx>
        <w:tc>
          <w:tcPr>
            <w:tcW w:w="1134" w:type="dxa"/>
          </w:tcPr>
          <w:p w14:paraId="185F5288" w14:textId="77777777" w:rsidR="004E5B84" w:rsidRDefault="004E5B84" w:rsidP="00B43184">
            <w:pPr>
              <w:jc w:val="center"/>
              <w:textAlignment w:val="baseline"/>
              <w:rPr>
                <w:rFonts w:ascii="Arial Narrow" w:hAnsi="Arial Narrow" w:cs="Open Sans"/>
                <w:color w:val="333333"/>
                <w:sz w:val="18"/>
                <w:szCs w:val="18"/>
              </w:rPr>
            </w:pPr>
          </w:p>
        </w:tc>
        <w:tc>
          <w:tcPr>
            <w:tcW w:w="8080" w:type="dxa"/>
          </w:tcPr>
          <w:p w14:paraId="1BEDDFB5" w14:textId="77777777" w:rsidR="004E5B84" w:rsidRPr="00BD2734" w:rsidRDefault="004E5B84" w:rsidP="00B43184">
            <w:pPr>
              <w:ind w:left="-57"/>
              <w:rPr>
                <w:rFonts w:ascii="Arial Narrow" w:hAnsi="Arial Narrow" w:cs="Open Sans"/>
                <w:color w:val="333333"/>
                <w:sz w:val="18"/>
                <w:szCs w:val="18"/>
              </w:rPr>
            </w:pPr>
          </w:p>
        </w:tc>
      </w:tr>
      <w:tr w:rsidR="004E5B84" w:rsidRPr="00BD2734" w14:paraId="685D7443" w14:textId="77777777" w:rsidTr="00B43184">
        <w:tblPrEx>
          <w:tblLook w:val="04A0" w:firstRow="1" w:lastRow="0" w:firstColumn="1" w:lastColumn="0" w:noHBand="0" w:noVBand="1"/>
        </w:tblPrEx>
        <w:tc>
          <w:tcPr>
            <w:tcW w:w="1134" w:type="dxa"/>
          </w:tcPr>
          <w:p w14:paraId="52C9F31E" w14:textId="44AB38D7" w:rsidR="004E5B84" w:rsidRDefault="004E5B84" w:rsidP="00B43184">
            <w:pPr>
              <w:jc w:val="center"/>
              <w:textAlignment w:val="baseline"/>
              <w:rPr>
                <w:rFonts w:ascii="Arial Narrow" w:hAnsi="Arial Narrow" w:cs="Open Sans"/>
                <w:color w:val="333333"/>
                <w:sz w:val="18"/>
                <w:szCs w:val="18"/>
              </w:rPr>
            </w:pPr>
          </w:p>
        </w:tc>
        <w:tc>
          <w:tcPr>
            <w:tcW w:w="8080" w:type="dxa"/>
          </w:tcPr>
          <w:p w14:paraId="2880983F" w14:textId="77777777" w:rsidR="004E5B84" w:rsidRPr="00BD2734" w:rsidRDefault="004E5B84" w:rsidP="00B43184">
            <w:pPr>
              <w:ind w:left="-57"/>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Treatment criteria:</w:t>
            </w:r>
          </w:p>
        </w:tc>
      </w:tr>
      <w:tr w:rsidR="004E5B84" w:rsidRPr="00BD2734" w14:paraId="68E7A219" w14:textId="77777777" w:rsidTr="00B43184">
        <w:tblPrEx>
          <w:tblLook w:val="04A0" w:firstRow="1" w:lastRow="0" w:firstColumn="1" w:lastColumn="0" w:noHBand="0" w:noVBand="1"/>
        </w:tblPrEx>
        <w:tc>
          <w:tcPr>
            <w:tcW w:w="1134" w:type="dxa"/>
          </w:tcPr>
          <w:p w14:paraId="64422433" w14:textId="77B05B08" w:rsidR="004E5B84" w:rsidRDefault="004E5B84" w:rsidP="00B43184">
            <w:pPr>
              <w:jc w:val="center"/>
              <w:textAlignment w:val="baseline"/>
              <w:rPr>
                <w:rFonts w:ascii="Arial Narrow" w:hAnsi="Arial Narrow" w:cs="Open Sans"/>
                <w:color w:val="333333"/>
                <w:sz w:val="18"/>
                <w:szCs w:val="18"/>
              </w:rPr>
            </w:pPr>
          </w:p>
        </w:tc>
        <w:tc>
          <w:tcPr>
            <w:tcW w:w="8080" w:type="dxa"/>
          </w:tcPr>
          <w:p w14:paraId="5873AE04" w14:textId="77777777" w:rsidR="004E5B84" w:rsidRPr="00BD2734" w:rsidRDefault="004E5B84" w:rsidP="00B43184">
            <w:pPr>
              <w:ind w:left="-57"/>
              <w:rPr>
                <w:rFonts w:ascii="Arial Narrow" w:hAnsi="Arial Narrow" w:cs="Open Sans"/>
                <w:color w:val="333333"/>
                <w:sz w:val="18"/>
                <w:szCs w:val="18"/>
              </w:rPr>
            </w:pPr>
            <w:r w:rsidRPr="00BD2734">
              <w:rPr>
                <w:rFonts w:ascii="Arial Narrow" w:hAnsi="Arial Narrow" w:cs="Open Sans"/>
                <w:color w:val="333333"/>
                <w:sz w:val="18"/>
                <w:szCs w:val="18"/>
              </w:rPr>
              <w:t>Must be treated by a gastroenterologist (code 87); or</w:t>
            </w:r>
          </w:p>
        </w:tc>
      </w:tr>
      <w:tr w:rsidR="004E5B84" w:rsidRPr="00BD2734" w14:paraId="2F290E9A" w14:textId="77777777" w:rsidTr="00B43184">
        <w:tblPrEx>
          <w:tblLook w:val="04A0" w:firstRow="1" w:lastRow="0" w:firstColumn="1" w:lastColumn="0" w:noHBand="0" w:noVBand="1"/>
        </w:tblPrEx>
        <w:tc>
          <w:tcPr>
            <w:tcW w:w="1134" w:type="dxa"/>
          </w:tcPr>
          <w:p w14:paraId="19428056" w14:textId="43A13452" w:rsidR="004E5B84" w:rsidRDefault="004E5B84" w:rsidP="00B43184">
            <w:pPr>
              <w:jc w:val="center"/>
              <w:textAlignment w:val="baseline"/>
              <w:rPr>
                <w:rFonts w:ascii="Arial Narrow" w:hAnsi="Arial Narrow" w:cs="Open Sans"/>
                <w:color w:val="333333"/>
                <w:sz w:val="18"/>
                <w:szCs w:val="18"/>
              </w:rPr>
            </w:pPr>
          </w:p>
        </w:tc>
        <w:tc>
          <w:tcPr>
            <w:tcW w:w="8080" w:type="dxa"/>
          </w:tcPr>
          <w:p w14:paraId="27422242" w14:textId="77777777" w:rsidR="004E5B84" w:rsidRPr="00BD2734" w:rsidRDefault="004E5B84" w:rsidP="00B43184">
            <w:pPr>
              <w:ind w:left="-57"/>
              <w:rPr>
                <w:rFonts w:ascii="Arial Narrow" w:hAnsi="Arial Narrow" w:cs="Open Sans"/>
                <w:color w:val="333333"/>
                <w:sz w:val="18"/>
                <w:szCs w:val="18"/>
              </w:rPr>
            </w:pPr>
            <w:r w:rsidRPr="00BD2734">
              <w:rPr>
                <w:rFonts w:ascii="Arial Narrow" w:hAnsi="Arial Narrow" w:cs="Open Sans"/>
                <w:color w:val="333333"/>
                <w:sz w:val="18"/>
                <w:szCs w:val="18"/>
              </w:rPr>
              <w:t>Must be treated by a consultant physician [internal medicine specialising in gastroenterology (code 81)]; or</w:t>
            </w:r>
          </w:p>
        </w:tc>
      </w:tr>
      <w:tr w:rsidR="004E5B84" w:rsidRPr="00BD2734" w14:paraId="342E71BE" w14:textId="77777777" w:rsidTr="00B43184">
        <w:tblPrEx>
          <w:tblLook w:val="04A0" w:firstRow="1" w:lastRow="0" w:firstColumn="1" w:lastColumn="0" w:noHBand="0" w:noVBand="1"/>
        </w:tblPrEx>
        <w:tc>
          <w:tcPr>
            <w:tcW w:w="1134" w:type="dxa"/>
          </w:tcPr>
          <w:p w14:paraId="5521EE81" w14:textId="1A6115B8" w:rsidR="004E5B84" w:rsidRDefault="004E5B84" w:rsidP="00B43184">
            <w:pPr>
              <w:jc w:val="center"/>
              <w:textAlignment w:val="baseline"/>
              <w:rPr>
                <w:rFonts w:ascii="Arial Narrow" w:hAnsi="Arial Narrow" w:cs="Open Sans"/>
                <w:color w:val="333333"/>
                <w:sz w:val="18"/>
                <w:szCs w:val="18"/>
              </w:rPr>
            </w:pPr>
          </w:p>
        </w:tc>
        <w:tc>
          <w:tcPr>
            <w:tcW w:w="8080" w:type="dxa"/>
          </w:tcPr>
          <w:p w14:paraId="11C7AC6C" w14:textId="77777777" w:rsidR="004E5B84" w:rsidRPr="00BD2734" w:rsidRDefault="004E5B84" w:rsidP="00B43184">
            <w:pPr>
              <w:ind w:left="-57"/>
              <w:rPr>
                <w:rFonts w:ascii="Arial Narrow" w:hAnsi="Arial Narrow" w:cs="Open Sans"/>
                <w:color w:val="333333"/>
                <w:sz w:val="18"/>
                <w:szCs w:val="18"/>
              </w:rPr>
            </w:pPr>
            <w:r w:rsidRPr="00BD2734">
              <w:rPr>
                <w:rFonts w:ascii="Arial Narrow" w:hAnsi="Arial Narrow" w:cs="Open Sans"/>
                <w:color w:val="333333"/>
                <w:sz w:val="18"/>
                <w:szCs w:val="18"/>
              </w:rPr>
              <w:t>Must be treated by a consultant physician [general medicine specialising in gastroenterology (code 82)]</w:t>
            </w:r>
          </w:p>
        </w:tc>
      </w:tr>
      <w:tr w:rsidR="004E5B84" w:rsidRPr="00BD2734" w14:paraId="72CCD8BB" w14:textId="77777777" w:rsidTr="00B43184">
        <w:tblPrEx>
          <w:tblLook w:val="04A0" w:firstRow="1" w:lastRow="0" w:firstColumn="1" w:lastColumn="0" w:noHBand="0" w:noVBand="1"/>
        </w:tblPrEx>
        <w:tc>
          <w:tcPr>
            <w:tcW w:w="1134" w:type="dxa"/>
          </w:tcPr>
          <w:p w14:paraId="74CE5CF0" w14:textId="77777777" w:rsidR="004E5B84" w:rsidRDefault="004E5B84" w:rsidP="00B43184">
            <w:pPr>
              <w:jc w:val="center"/>
              <w:textAlignment w:val="baseline"/>
              <w:rPr>
                <w:rFonts w:ascii="Arial Narrow" w:hAnsi="Arial Narrow" w:cs="Open Sans"/>
                <w:color w:val="333333"/>
                <w:sz w:val="18"/>
                <w:szCs w:val="18"/>
              </w:rPr>
            </w:pPr>
          </w:p>
        </w:tc>
        <w:tc>
          <w:tcPr>
            <w:tcW w:w="8080" w:type="dxa"/>
          </w:tcPr>
          <w:p w14:paraId="2BD05801" w14:textId="77777777" w:rsidR="004E5B84" w:rsidRPr="00BD2734" w:rsidRDefault="004E5B84" w:rsidP="00B43184">
            <w:pPr>
              <w:ind w:left="-57"/>
              <w:rPr>
                <w:rFonts w:ascii="Arial Narrow" w:hAnsi="Arial Narrow" w:cs="Open Sans"/>
                <w:color w:val="333333"/>
                <w:sz w:val="18"/>
                <w:szCs w:val="18"/>
              </w:rPr>
            </w:pPr>
          </w:p>
        </w:tc>
      </w:tr>
      <w:tr w:rsidR="004E5B84" w:rsidRPr="00BD2734" w14:paraId="4FC4DF32" w14:textId="77777777" w:rsidTr="00B43184">
        <w:tblPrEx>
          <w:tblLook w:val="04A0" w:firstRow="1" w:lastRow="0" w:firstColumn="1" w:lastColumn="0" w:noHBand="0" w:noVBand="1"/>
        </w:tblPrEx>
        <w:tc>
          <w:tcPr>
            <w:tcW w:w="1134" w:type="dxa"/>
          </w:tcPr>
          <w:p w14:paraId="37A36AE1" w14:textId="198AE4D9" w:rsidR="004E5B84" w:rsidRDefault="004E5B84" w:rsidP="00B43184">
            <w:pPr>
              <w:jc w:val="center"/>
              <w:textAlignment w:val="baseline"/>
              <w:rPr>
                <w:rFonts w:ascii="Arial Narrow" w:hAnsi="Arial Narrow" w:cs="Open Sans"/>
                <w:color w:val="333333"/>
                <w:sz w:val="18"/>
                <w:szCs w:val="18"/>
              </w:rPr>
            </w:pPr>
          </w:p>
        </w:tc>
        <w:tc>
          <w:tcPr>
            <w:tcW w:w="8080" w:type="dxa"/>
          </w:tcPr>
          <w:p w14:paraId="134817C7" w14:textId="77777777" w:rsidR="004E5B84" w:rsidRPr="00BD2734" w:rsidRDefault="004E5B84" w:rsidP="00B43184">
            <w:pPr>
              <w:ind w:left="-57"/>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Population criteria:</w:t>
            </w:r>
          </w:p>
        </w:tc>
      </w:tr>
      <w:tr w:rsidR="004E5B84" w:rsidRPr="00BD2734" w14:paraId="6DBBF330" w14:textId="77777777" w:rsidTr="00B43184">
        <w:tblPrEx>
          <w:tblLook w:val="04A0" w:firstRow="1" w:lastRow="0" w:firstColumn="1" w:lastColumn="0" w:noHBand="0" w:noVBand="1"/>
        </w:tblPrEx>
        <w:tc>
          <w:tcPr>
            <w:tcW w:w="1134" w:type="dxa"/>
          </w:tcPr>
          <w:p w14:paraId="4EB359F4" w14:textId="007A2ABC" w:rsidR="004E5B84" w:rsidRDefault="004E5B84" w:rsidP="00B43184">
            <w:pPr>
              <w:jc w:val="center"/>
              <w:textAlignment w:val="baseline"/>
              <w:rPr>
                <w:rFonts w:ascii="Arial Narrow" w:hAnsi="Arial Narrow" w:cs="Open Sans"/>
                <w:color w:val="333333"/>
                <w:sz w:val="18"/>
                <w:szCs w:val="18"/>
              </w:rPr>
            </w:pPr>
          </w:p>
        </w:tc>
        <w:tc>
          <w:tcPr>
            <w:tcW w:w="8080" w:type="dxa"/>
          </w:tcPr>
          <w:p w14:paraId="518EC8D8" w14:textId="77777777" w:rsidR="004E5B84" w:rsidRPr="00BD2734" w:rsidRDefault="004E5B84" w:rsidP="00B43184">
            <w:pPr>
              <w:ind w:left="-57"/>
              <w:rPr>
                <w:rFonts w:ascii="Arial Narrow" w:hAnsi="Arial Narrow" w:cs="Open Sans"/>
                <w:color w:val="333333"/>
                <w:sz w:val="18"/>
                <w:szCs w:val="18"/>
              </w:rPr>
            </w:pPr>
            <w:r w:rsidRPr="00BD2734">
              <w:rPr>
                <w:rFonts w:ascii="Arial Narrow" w:hAnsi="Arial Narrow" w:cs="Open Sans"/>
                <w:color w:val="333333"/>
                <w:sz w:val="18"/>
                <w:szCs w:val="18"/>
              </w:rPr>
              <w:t xml:space="preserve">Patient must be </w:t>
            </w:r>
            <w:r>
              <w:rPr>
                <w:rFonts w:ascii="Arial Narrow" w:hAnsi="Arial Narrow" w:cs="Open Sans"/>
                <w:color w:val="333333"/>
                <w:sz w:val="18"/>
                <w:szCs w:val="18"/>
              </w:rPr>
              <w:t>at least</w:t>
            </w:r>
            <w:r w:rsidRPr="00BD2734">
              <w:rPr>
                <w:rFonts w:ascii="Arial Narrow" w:hAnsi="Arial Narrow" w:cs="Open Sans"/>
                <w:color w:val="333333"/>
                <w:sz w:val="18"/>
                <w:szCs w:val="18"/>
              </w:rPr>
              <w:t xml:space="preserve"> 18 years o</w:t>
            </w:r>
            <w:r>
              <w:rPr>
                <w:rFonts w:ascii="Arial Narrow" w:hAnsi="Arial Narrow" w:cs="Open Sans"/>
                <w:color w:val="333333"/>
                <w:sz w:val="18"/>
                <w:szCs w:val="18"/>
              </w:rPr>
              <w:t>f age</w:t>
            </w:r>
          </w:p>
        </w:tc>
      </w:tr>
      <w:tr w:rsidR="004E5B84" w:rsidRPr="00BD2734" w14:paraId="165807FC" w14:textId="77777777" w:rsidTr="00B43184">
        <w:tblPrEx>
          <w:tblLook w:val="04A0" w:firstRow="1" w:lastRow="0" w:firstColumn="1" w:lastColumn="0" w:noHBand="0" w:noVBand="1"/>
        </w:tblPrEx>
        <w:tc>
          <w:tcPr>
            <w:tcW w:w="1134" w:type="dxa"/>
          </w:tcPr>
          <w:p w14:paraId="5E6D67C8" w14:textId="77777777" w:rsidR="004E5B84" w:rsidRDefault="004E5B84" w:rsidP="00B43184">
            <w:pPr>
              <w:jc w:val="center"/>
              <w:textAlignment w:val="baseline"/>
              <w:rPr>
                <w:rFonts w:ascii="Arial Narrow" w:hAnsi="Arial Narrow" w:cs="Open Sans"/>
                <w:color w:val="333333"/>
                <w:sz w:val="18"/>
                <w:szCs w:val="18"/>
              </w:rPr>
            </w:pPr>
          </w:p>
        </w:tc>
        <w:tc>
          <w:tcPr>
            <w:tcW w:w="8080" w:type="dxa"/>
          </w:tcPr>
          <w:p w14:paraId="26333A80" w14:textId="77777777" w:rsidR="004E5B84" w:rsidRPr="00BD2734" w:rsidRDefault="004E5B84" w:rsidP="00B43184">
            <w:pPr>
              <w:ind w:left="-57"/>
              <w:rPr>
                <w:rFonts w:ascii="Arial Narrow" w:hAnsi="Arial Narrow" w:cs="Open Sans"/>
                <w:color w:val="333333"/>
                <w:sz w:val="18"/>
                <w:szCs w:val="18"/>
              </w:rPr>
            </w:pPr>
          </w:p>
        </w:tc>
      </w:tr>
      <w:tr w:rsidR="004E5B84" w:rsidRPr="00BD2734" w14:paraId="576928AE" w14:textId="77777777" w:rsidTr="00B43184">
        <w:tblPrEx>
          <w:tblLook w:val="04A0" w:firstRow="1" w:lastRow="0" w:firstColumn="1" w:lastColumn="0" w:noHBand="0" w:noVBand="1"/>
        </w:tblPrEx>
        <w:tc>
          <w:tcPr>
            <w:tcW w:w="1134" w:type="dxa"/>
          </w:tcPr>
          <w:p w14:paraId="174CB353" w14:textId="6E5B7982" w:rsidR="004E5B84" w:rsidRPr="00BD2734" w:rsidRDefault="004E5B84" w:rsidP="00B43184">
            <w:pPr>
              <w:jc w:val="center"/>
              <w:rPr>
                <w:rFonts w:ascii="Arial Narrow" w:hAnsi="Arial Narrow"/>
                <w:sz w:val="18"/>
                <w:szCs w:val="18"/>
              </w:rPr>
            </w:pPr>
          </w:p>
        </w:tc>
        <w:tc>
          <w:tcPr>
            <w:tcW w:w="8080" w:type="dxa"/>
          </w:tcPr>
          <w:p w14:paraId="74883377" w14:textId="77777777" w:rsidR="004E5B84" w:rsidRDefault="004E5B84" w:rsidP="00B43184">
            <w:pPr>
              <w:ind w:left="-57"/>
              <w:rPr>
                <w:rFonts w:ascii="Arial Narrow" w:hAnsi="Arial Narrow" w:cs="Arial Narrow"/>
                <w:b/>
                <w:iCs/>
                <w:sz w:val="18"/>
                <w:szCs w:val="18"/>
              </w:rPr>
            </w:pPr>
            <w:r>
              <w:rPr>
                <w:rFonts w:ascii="Arial Narrow" w:hAnsi="Arial Narrow" w:cs="Arial Narrow"/>
                <w:b/>
                <w:iCs/>
                <w:sz w:val="18"/>
                <w:szCs w:val="18"/>
              </w:rPr>
              <w:t>Prescribing Instructions:</w:t>
            </w:r>
          </w:p>
          <w:p w14:paraId="282B64E7" w14:textId="77777777" w:rsidR="004E5B84" w:rsidRPr="0058294C" w:rsidRDefault="004E5B84" w:rsidP="00B43184">
            <w:pPr>
              <w:ind w:left="-57"/>
              <w:rPr>
                <w:rFonts w:ascii="Arial Narrow" w:hAnsi="Arial Narrow"/>
                <w:sz w:val="18"/>
                <w:szCs w:val="18"/>
              </w:rPr>
            </w:pPr>
            <w:r w:rsidRPr="0058294C">
              <w:rPr>
                <w:rFonts w:ascii="Arial Narrow" w:hAnsi="Arial Narrow"/>
                <w:sz w:val="18"/>
                <w:szCs w:val="18"/>
              </w:rPr>
              <w:t>The authority application must be made in writing and must include:</w:t>
            </w:r>
          </w:p>
          <w:p w14:paraId="23CAB162" w14:textId="77777777" w:rsidR="004E5B84" w:rsidRPr="0058294C" w:rsidRDefault="004E5B84" w:rsidP="00B43184">
            <w:pPr>
              <w:ind w:left="-57"/>
              <w:rPr>
                <w:rFonts w:ascii="Arial Narrow" w:hAnsi="Arial Narrow"/>
                <w:sz w:val="18"/>
                <w:szCs w:val="18"/>
              </w:rPr>
            </w:pPr>
            <w:r w:rsidRPr="0058294C">
              <w:rPr>
                <w:rFonts w:ascii="Arial Narrow" w:hAnsi="Arial Narrow"/>
                <w:sz w:val="18"/>
                <w:szCs w:val="18"/>
              </w:rPr>
              <w:t>(1) a completed authority prescription form; and</w:t>
            </w:r>
          </w:p>
          <w:p w14:paraId="3203D0AC" w14:textId="77777777" w:rsidR="004E5B84" w:rsidRPr="00BD2734" w:rsidRDefault="004E5B84" w:rsidP="00B43184">
            <w:pPr>
              <w:ind w:left="-57"/>
              <w:textAlignment w:val="baseline"/>
              <w:rPr>
                <w:rFonts w:ascii="Arial Narrow" w:hAnsi="Arial Narrow" w:cs="Open Sans"/>
                <w:color w:val="333333"/>
                <w:sz w:val="18"/>
                <w:szCs w:val="18"/>
              </w:rPr>
            </w:pPr>
            <w:r w:rsidRPr="0058294C">
              <w:rPr>
                <w:rFonts w:ascii="Arial Narrow" w:hAnsi="Arial Narrow"/>
                <w:sz w:val="18"/>
                <w:szCs w:val="18"/>
              </w:rPr>
              <w:t>(2) a completed authority application form relevant to the indication and treatment phase (the latest version is located on the website specified in the Administrative Advice).</w:t>
            </w:r>
          </w:p>
        </w:tc>
      </w:tr>
      <w:tr w:rsidR="004E5B84" w:rsidRPr="00BD2734" w14:paraId="661E1837" w14:textId="77777777" w:rsidTr="00962CCF">
        <w:tblPrEx>
          <w:tblLook w:val="04A0" w:firstRow="1" w:lastRow="0" w:firstColumn="1" w:lastColumn="0" w:noHBand="0" w:noVBand="1"/>
        </w:tblPrEx>
        <w:tc>
          <w:tcPr>
            <w:tcW w:w="1134" w:type="dxa"/>
          </w:tcPr>
          <w:p w14:paraId="6482F0CC" w14:textId="3D19804B"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0E5CB26E"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Prescribing Instructions:</w:t>
            </w:r>
          </w:p>
          <w:p w14:paraId="1535E428"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color w:val="333333"/>
                <w:sz w:val="18"/>
                <w:szCs w:val="18"/>
              </w:rPr>
              <w:t>Evidence of failure to achieve an adequate response to prior therapy must include at least one of the following:</w:t>
            </w:r>
          </w:p>
          <w:p w14:paraId="4F7E7CDD"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color w:val="333333"/>
                <w:sz w:val="18"/>
                <w:szCs w:val="18"/>
              </w:rPr>
              <w:t xml:space="preserve">(a) patient must have evidence of intestinal </w:t>
            </w:r>
            <w:proofErr w:type="gramStart"/>
            <w:r w:rsidRPr="00BD2734">
              <w:rPr>
                <w:rFonts w:ascii="Arial Narrow" w:hAnsi="Arial Narrow" w:cs="Open Sans"/>
                <w:color w:val="333333"/>
                <w:sz w:val="18"/>
                <w:szCs w:val="18"/>
              </w:rPr>
              <w:t>inflammation;</w:t>
            </w:r>
            <w:proofErr w:type="gramEnd"/>
          </w:p>
          <w:p w14:paraId="42891C2D"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color w:val="333333"/>
                <w:sz w:val="18"/>
                <w:szCs w:val="18"/>
              </w:rPr>
              <w:t xml:space="preserve">(b) patient must be assessed clinically as being in a high faecal output </w:t>
            </w:r>
            <w:proofErr w:type="gramStart"/>
            <w:r w:rsidRPr="00BD2734">
              <w:rPr>
                <w:rFonts w:ascii="Arial Narrow" w:hAnsi="Arial Narrow" w:cs="Open Sans"/>
                <w:color w:val="333333"/>
                <w:sz w:val="18"/>
                <w:szCs w:val="18"/>
              </w:rPr>
              <w:t>state;</w:t>
            </w:r>
            <w:proofErr w:type="gramEnd"/>
          </w:p>
          <w:p w14:paraId="210AC7C9"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color w:val="333333"/>
                <w:sz w:val="18"/>
                <w:szCs w:val="18"/>
              </w:rPr>
              <w:t>(c) patient must be assessed clinically as requiring surgery or total parenteral nutrition (TPN) as the next therapeutic option, in the absence of this drug, if affected by short gut syndrome, extensive small intestine disease or is an ostomy patient.</w:t>
            </w:r>
          </w:p>
          <w:p w14:paraId="359F30E7" w14:textId="77777777" w:rsidR="004E5B84" w:rsidRDefault="004E5B84" w:rsidP="00B43184">
            <w:pPr>
              <w:ind w:left="-57"/>
              <w:textAlignment w:val="baseline"/>
              <w:rPr>
                <w:rFonts w:ascii="Arial Narrow" w:hAnsi="Arial Narrow" w:cs="Open Sans"/>
                <w:color w:val="333333"/>
                <w:sz w:val="18"/>
                <w:szCs w:val="18"/>
              </w:rPr>
            </w:pPr>
          </w:p>
          <w:p w14:paraId="3723E150"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color w:val="333333"/>
                <w:sz w:val="18"/>
                <w:szCs w:val="18"/>
              </w:rPr>
              <w:t>Evidence of intestinal inflammation includes:</w:t>
            </w:r>
          </w:p>
          <w:p w14:paraId="76879A44"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color w:val="333333"/>
                <w:sz w:val="18"/>
                <w:szCs w:val="18"/>
              </w:rPr>
              <w:t xml:space="preserve">(i) blood: higher than normal platelet count, </w:t>
            </w:r>
            <w:proofErr w:type="gramStart"/>
            <w:r w:rsidRPr="00BD2734">
              <w:rPr>
                <w:rFonts w:ascii="Arial Narrow" w:hAnsi="Arial Narrow" w:cs="Open Sans"/>
                <w:color w:val="333333"/>
                <w:sz w:val="18"/>
                <w:szCs w:val="18"/>
              </w:rPr>
              <w:t>or,</w:t>
            </w:r>
            <w:proofErr w:type="gramEnd"/>
            <w:r w:rsidRPr="00BD2734">
              <w:rPr>
                <w:rFonts w:ascii="Arial Narrow" w:hAnsi="Arial Narrow" w:cs="Open Sans"/>
                <w:color w:val="333333"/>
                <w:sz w:val="18"/>
                <w:szCs w:val="18"/>
              </w:rPr>
              <w:t xml:space="preserve"> an elevated erythrocyte sedimentation rate (ESR) greater than 25 mm per hour, or, a C-reactive protein (CRP) level greater than 15 mg per L; or</w:t>
            </w:r>
          </w:p>
          <w:p w14:paraId="4B362B99"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color w:val="333333"/>
                <w:sz w:val="18"/>
                <w:szCs w:val="18"/>
              </w:rPr>
              <w:t>(ii) faeces: higher than normal lactoferrin or calprotectin level; or</w:t>
            </w:r>
          </w:p>
          <w:p w14:paraId="78336106"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color w:val="333333"/>
                <w:sz w:val="18"/>
                <w:szCs w:val="18"/>
              </w:rPr>
              <w:t>(iii) diagnostic imaging: demonstration of increased uptake of intravenous contrast with thickening of the bowel wall or mesenteric lymphadenopathy or fat streaking in the mesentery.</w:t>
            </w:r>
          </w:p>
        </w:tc>
      </w:tr>
      <w:tr w:rsidR="004E5B84" w:rsidRPr="00BD2734" w14:paraId="619A9F11" w14:textId="77777777" w:rsidTr="00962CCF">
        <w:tblPrEx>
          <w:tblLook w:val="04A0" w:firstRow="1" w:lastRow="0" w:firstColumn="1" w:lastColumn="0" w:noHBand="0" w:noVBand="1"/>
        </w:tblPrEx>
        <w:tc>
          <w:tcPr>
            <w:tcW w:w="1134" w:type="dxa"/>
          </w:tcPr>
          <w:p w14:paraId="61976C68" w14:textId="77777777"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0926CB9E"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Prescribing Instructions:</w:t>
            </w:r>
          </w:p>
          <w:p w14:paraId="305E2D36" w14:textId="4D01050A" w:rsidR="004E5B84" w:rsidRDefault="004E5B84" w:rsidP="00B43184">
            <w:pPr>
              <w:ind w:left="-57"/>
              <w:textAlignment w:val="baseline"/>
              <w:rPr>
                <w:rFonts w:ascii="Arial Narrow" w:hAnsi="Arial Narrow" w:cs="Open Sans"/>
                <w:color w:val="333333"/>
                <w:sz w:val="18"/>
                <w:szCs w:val="18"/>
              </w:rPr>
            </w:pPr>
            <w:r w:rsidRPr="00FC45D5">
              <w:rPr>
                <w:rFonts w:ascii="Arial Narrow" w:hAnsi="Arial Narrow" w:cs="Open Sans"/>
                <w:color w:val="333333"/>
                <w:sz w:val="18"/>
                <w:szCs w:val="18"/>
              </w:rPr>
              <w:t xml:space="preserve">All assessments, pathology tests and diagnostic imaging studies </w:t>
            </w:r>
            <w:r>
              <w:rPr>
                <w:rFonts w:ascii="Arial Narrow" w:hAnsi="Arial Narrow" w:cs="Open Sans"/>
                <w:color w:val="333333"/>
                <w:sz w:val="18"/>
                <w:szCs w:val="18"/>
              </w:rPr>
              <w:t xml:space="preserve">were to have been </w:t>
            </w:r>
            <w:r w:rsidRPr="00FC45D5">
              <w:rPr>
                <w:rFonts w:ascii="Arial Narrow" w:hAnsi="Arial Narrow" w:cs="Open Sans"/>
                <w:color w:val="333333"/>
                <w:sz w:val="18"/>
                <w:szCs w:val="18"/>
              </w:rPr>
              <w:t xml:space="preserve">within 4 weeks </w:t>
            </w:r>
            <w:r>
              <w:rPr>
                <w:rFonts w:ascii="Arial Narrow" w:hAnsi="Arial Narrow" w:cs="Open Sans"/>
                <w:color w:val="333333"/>
                <w:sz w:val="18"/>
                <w:szCs w:val="18"/>
              </w:rPr>
              <w:t>leading up to</w:t>
            </w:r>
            <w:r w:rsidR="000C52FF">
              <w:rPr>
                <w:rFonts w:ascii="Arial Narrow" w:hAnsi="Arial Narrow" w:cs="Open Sans"/>
                <w:color w:val="333333"/>
                <w:sz w:val="18"/>
                <w:szCs w:val="18"/>
              </w:rPr>
              <w:t xml:space="preserve"> </w:t>
            </w:r>
            <w:r>
              <w:rPr>
                <w:rFonts w:ascii="Arial Narrow" w:hAnsi="Arial Narrow" w:cs="Open Sans"/>
                <w:color w:val="333333"/>
                <w:sz w:val="18"/>
                <w:szCs w:val="18"/>
              </w:rPr>
              <w:t>commencing the non-PBS subsidised supply of this drug</w:t>
            </w:r>
            <w:r w:rsidRPr="00FC45D5">
              <w:rPr>
                <w:rFonts w:ascii="Arial Narrow" w:hAnsi="Arial Narrow" w:cs="Open Sans"/>
                <w:color w:val="333333"/>
                <w:sz w:val="18"/>
                <w:szCs w:val="18"/>
              </w:rPr>
              <w:t xml:space="preserve"> and should </w:t>
            </w:r>
            <w:r>
              <w:rPr>
                <w:rFonts w:ascii="Arial Narrow" w:hAnsi="Arial Narrow" w:cs="Open Sans"/>
                <w:color w:val="333333"/>
                <w:sz w:val="18"/>
                <w:szCs w:val="18"/>
              </w:rPr>
              <w:t xml:space="preserve">have been </w:t>
            </w:r>
            <w:r w:rsidRPr="00FC45D5">
              <w:rPr>
                <w:rFonts w:ascii="Arial Narrow" w:hAnsi="Arial Narrow" w:cs="Open Sans"/>
                <w:color w:val="333333"/>
                <w:sz w:val="18"/>
                <w:szCs w:val="18"/>
              </w:rPr>
              <w:t xml:space="preserve">performed preferably whilst still on conventional treatment, but no longer than 4 weeks following </w:t>
            </w:r>
            <w:r>
              <w:rPr>
                <w:rFonts w:ascii="Arial Narrow" w:hAnsi="Arial Narrow" w:cs="Open Sans"/>
                <w:color w:val="333333"/>
                <w:sz w:val="18"/>
                <w:szCs w:val="18"/>
              </w:rPr>
              <w:t>the last dose of conventional treatment</w:t>
            </w:r>
            <w:r w:rsidRPr="00FC45D5">
              <w:rPr>
                <w:rFonts w:ascii="Arial Narrow" w:hAnsi="Arial Narrow" w:cs="Open Sans"/>
                <w:color w:val="333333"/>
                <w:sz w:val="18"/>
                <w:szCs w:val="18"/>
              </w:rPr>
              <w:t>.</w:t>
            </w:r>
          </w:p>
          <w:p w14:paraId="27F94F07" w14:textId="77777777" w:rsidR="004E5B84" w:rsidRDefault="004E5B84" w:rsidP="00B43184">
            <w:pPr>
              <w:textAlignment w:val="baseline"/>
              <w:rPr>
                <w:rFonts w:ascii="Arial Narrow" w:hAnsi="Arial Narrow" w:cs="Open Sans"/>
                <w:color w:val="333333"/>
                <w:sz w:val="18"/>
                <w:szCs w:val="18"/>
              </w:rPr>
            </w:pPr>
          </w:p>
          <w:p w14:paraId="2259944A" w14:textId="11A1BE12" w:rsidR="004E5B84" w:rsidRPr="00BD2734" w:rsidRDefault="004E5B84" w:rsidP="00B43184">
            <w:pPr>
              <w:ind w:left="-57"/>
              <w:textAlignment w:val="baseline"/>
              <w:rPr>
                <w:rFonts w:ascii="Arial Narrow" w:hAnsi="Arial Narrow" w:cs="Open Sans"/>
                <w:color w:val="333333"/>
                <w:sz w:val="18"/>
                <w:szCs w:val="18"/>
              </w:rPr>
            </w:pPr>
            <w:r>
              <w:rPr>
                <w:rFonts w:ascii="Arial Narrow" w:hAnsi="Arial Narrow" w:cs="Open Sans"/>
                <w:color w:val="333333"/>
                <w:sz w:val="18"/>
                <w:szCs w:val="18"/>
              </w:rPr>
              <w:t xml:space="preserve">Where </w:t>
            </w:r>
            <w:r w:rsidRPr="00E03247">
              <w:rPr>
                <w:rFonts w:ascii="Arial Narrow" w:hAnsi="Arial Narrow" w:cs="Open Sans"/>
                <w:color w:val="333333"/>
                <w:sz w:val="18"/>
                <w:szCs w:val="18"/>
              </w:rPr>
              <w:t>extensive small intestinal disease affecting more than 50 cm of the small intestine</w:t>
            </w:r>
            <w:r>
              <w:rPr>
                <w:rFonts w:ascii="Arial Narrow" w:hAnsi="Arial Narrow" w:cs="Open Sans"/>
                <w:color w:val="333333"/>
                <w:sz w:val="18"/>
                <w:szCs w:val="18"/>
              </w:rPr>
              <w:t xml:space="preserve"> applies, the CDAI must have been at least 220 prior to commencing the non-PBS subsidised supply of this drug.</w:t>
            </w:r>
            <w:r w:rsidR="000C52FF">
              <w:rPr>
                <w:rFonts w:ascii="Arial Narrow" w:hAnsi="Arial Narrow" w:cs="Open Sans"/>
                <w:color w:val="333333"/>
                <w:sz w:val="18"/>
                <w:szCs w:val="18"/>
              </w:rPr>
              <w:t xml:space="preserve"> </w:t>
            </w:r>
          </w:p>
        </w:tc>
      </w:tr>
      <w:tr w:rsidR="004E5B84" w:rsidRPr="00BD2734" w14:paraId="69999850" w14:textId="77777777" w:rsidTr="00962CCF">
        <w:tblPrEx>
          <w:tblLook w:val="04A0" w:firstRow="1" w:lastRow="0" w:firstColumn="1" w:lastColumn="0" w:noHBand="0" w:noVBand="1"/>
        </w:tblPrEx>
        <w:tc>
          <w:tcPr>
            <w:tcW w:w="1134" w:type="dxa"/>
          </w:tcPr>
          <w:p w14:paraId="25427CBA" w14:textId="7CB97014"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02B7C09E"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Prescribing Instructions:</w:t>
            </w:r>
          </w:p>
          <w:p w14:paraId="5E652717"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color w:val="333333"/>
                <w:sz w:val="18"/>
                <w:szCs w:val="18"/>
              </w:rPr>
              <w:t>If treatment with any of the specified prior conventional drugs is contraindicated according to the relevant TGA-approved Product Information, please provide details at the time of application.</w:t>
            </w:r>
          </w:p>
        </w:tc>
      </w:tr>
      <w:tr w:rsidR="004E5B84" w:rsidRPr="00BD2734" w14:paraId="7D65D138" w14:textId="77777777" w:rsidTr="00962CCF">
        <w:tblPrEx>
          <w:tblLook w:val="04A0" w:firstRow="1" w:lastRow="0" w:firstColumn="1" w:lastColumn="0" w:noHBand="0" w:noVBand="1"/>
        </w:tblPrEx>
        <w:tc>
          <w:tcPr>
            <w:tcW w:w="1134" w:type="dxa"/>
          </w:tcPr>
          <w:p w14:paraId="5DA6591A" w14:textId="332B9646"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51B515A2"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Prescribing Instructions:</w:t>
            </w:r>
          </w:p>
          <w:p w14:paraId="2B0BC3DD"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color w:val="333333"/>
                <w:sz w:val="18"/>
                <w:szCs w:val="18"/>
              </w:rPr>
              <w:t>If intolerance to treatment develops during the relevant period of use, which is of a severity necessitating permanent treatment withdrawal, details of this toxicity must be provided at the time of application.</w:t>
            </w:r>
          </w:p>
        </w:tc>
      </w:tr>
      <w:tr w:rsidR="004E5B84" w:rsidRPr="00BD2734" w14:paraId="1240276B" w14:textId="77777777" w:rsidTr="00962CCF">
        <w:tblPrEx>
          <w:tblLook w:val="04A0" w:firstRow="1" w:lastRow="0" w:firstColumn="1" w:lastColumn="0" w:noHBand="0" w:noVBand="1"/>
        </w:tblPrEx>
        <w:tc>
          <w:tcPr>
            <w:tcW w:w="1134" w:type="dxa"/>
          </w:tcPr>
          <w:p w14:paraId="2D426217" w14:textId="77777777"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66B9CCA4"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Prescribing Instructions:</w:t>
            </w:r>
          </w:p>
          <w:p w14:paraId="00ECA9F1" w14:textId="77777777" w:rsidR="004E5B84" w:rsidRPr="00BD2734" w:rsidRDefault="004E5B84" w:rsidP="00B43184">
            <w:pPr>
              <w:ind w:left="-57"/>
              <w:textAlignment w:val="baseline"/>
              <w:rPr>
                <w:rFonts w:ascii="Arial Narrow" w:hAnsi="Arial Narrow" w:cs="Open Sans"/>
                <w:color w:val="333333"/>
                <w:sz w:val="18"/>
                <w:szCs w:val="18"/>
              </w:rPr>
            </w:pPr>
            <w:r w:rsidRPr="00FC45D5">
              <w:rPr>
                <w:rFonts w:ascii="Arial Narrow" w:hAnsi="Arial Narrow" w:cs="Open Sans"/>
                <w:color w:val="333333"/>
                <w:sz w:val="18"/>
                <w:szCs w:val="18"/>
              </w:rPr>
              <w:t>Details of the accepted toxicities including severity can be found on the Services Australia website.</w:t>
            </w:r>
          </w:p>
        </w:tc>
      </w:tr>
      <w:tr w:rsidR="004E5B84" w:rsidRPr="00BD2734" w14:paraId="3C9D9BDA" w14:textId="77777777" w:rsidTr="00962CCF">
        <w:tblPrEx>
          <w:tblLook w:val="04A0" w:firstRow="1" w:lastRow="0" w:firstColumn="1" w:lastColumn="0" w:noHBand="0" w:noVBand="1"/>
        </w:tblPrEx>
        <w:tc>
          <w:tcPr>
            <w:tcW w:w="1134" w:type="dxa"/>
          </w:tcPr>
          <w:p w14:paraId="3600E64F" w14:textId="2B9E2A54" w:rsidR="004E5B84" w:rsidRPr="00BD2734" w:rsidRDefault="004E5B84" w:rsidP="00B43184">
            <w:pPr>
              <w:jc w:val="center"/>
              <w:textAlignment w:val="baseline"/>
              <w:rPr>
                <w:rFonts w:ascii="Arial Narrow" w:hAnsi="Arial Narrow" w:cs="Open Sans"/>
                <w:color w:val="333333"/>
                <w:sz w:val="18"/>
                <w:szCs w:val="18"/>
              </w:rPr>
            </w:pPr>
          </w:p>
        </w:tc>
        <w:tc>
          <w:tcPr>
            <w:tcW w:w="8080" w:type="dxa"/>
            <w:hideMark/>
          </w:tcPr>
          <w:p w14:paraId="5B903CBD"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b/>
                <w:bCs/>
                <w:color w:val="333333"/>
                <w:sz w:val="18"/>
                <w:szCs w:val="18"/>
                <w:bdr w:val="none" w:sz="0" w:space="0" w:color="auto" w:frame="1"/>
              </w:rPr>
              <w:t>Prescribing Instructions:</w:t>
            </w:r>
          </w:p>
          <w:p w14:paraId="477708E9" w14:textId="77777777" w:rsidR="004E5B84" w:rsidRPr="00BD2734" w:rsidRDefault="004E5B84" w:rsidP="00B43184">
            <w:pPr>
              <w:ind w:left="-57"/>
              <w:textAlignment w:val="baseline"/>
              <w:rPr>
                <w:rFonts w:ascii="Arial Narrow" w:hAnsi="Arial Narrow" w:cs="Open Sans"/>
                <w:color w:val="333333"/>
                <w:sz w:val="18"/>
                <w:szCs w:val="18"/>
              </w:rPr>
            </w:pPr>
            <w:r w:rsidRPr="00BD2734">
              <w:rPr>
                <w:rFonts w:ascii="Arial Narrow" w:hAnsi="Arial Narrow" w:cs="Open Sans"/>
                <w:color w:val="333333"/>
                <w:sz w:val="18"/>
                <w:szCs w:val="18"/>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tc>
      </w:tr>
      <w:tr w:rsidR="004E5B84" w:rsidRPr="00BD2734" w14:paraId="5208ED02" w14:textId="77777777" w:rsidTr="00B43184">
        <w:tblPrEx>
          <w:tblLook w:val="04A0" w:firstRow="1" w:lastRow="0" w:firstColumn="1" w:lastColumn="0" w:noHBand="0" w:noVBand="1"/>
        </w:tblPrEx>
        <w:tc>
          <w:tcPr>
            <w:tcW w:w="1134" w:type="dxa"/>
          </w:tcPr>
          <w:p w14:paraId="0570BF6F" w14:textId="77777777" w:rsidR="004E5B84" w:rsidRDefault="004E5B84" w:rsidP="00B43184">
            <w:pPr>
              <w:jc w:val="center"/>
              <w:textAlignment w:val="baseline"/>
              <w:rPr>
                <w:rFonts w:ascii="Arial Narrow" w:hAnsi="Arial Narrow" w:cs="Open Sans"/>
                <w:color w:val="333333"/>
                <w:sz w:val="18"/>
                <w:szCs w:val="18"/>
              </w:rPr>
            </w:pPr>
          </w:p>
        </w:tc>
        <w:tc>
          <w:tcPr>
            <w:tcW w:w="8080" w:type="dxa"/>
          </w:tcPr>
          <w:p w14:paraId="516CB281" w14:textId="77777777" w:rsidR="004E5B84" w:rsidRPr="00BD2734"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BD2734" w14:paraId="7149974A" w14:textId="77777777" w:rsidTr="00B43184">
        <w:tblPrEx>
          <w:tblLook w:val="04A0" w:firstRow="1" w:lastRow="0" w:firstColumn="1" w:lastColumn="0" w:noHBand="0" w:noVBand="1"/>
        </w:tblPrEx>
        <w:tc>
          <w:tcPr>
            <w:tcW w:w="1134" w:type="dxa"/>
          </w:tcPr>
          <w:p w14:paraId="3599AE93" w14:textId="6DCAB49A" w:rsidR="004E5B84" w:rsidRDefault="004E5B84" w:rsidP="00B43184">
            <w:pPr>
              <w:jc w:val="center"/>
              <w:textAlignment w:val="baseline"/>
              <w:rPr>
                <w:rFonts w:ascii="Arial Narrow" w:hAnsi="Arial Narrow" w:cs="Open Sans"/>
                <w:color w:val="333333"/>
                <w:sz w:val="18"/>
                <w:szCs w:val="18"/>
              </w:rPr>
            </w:pPr>
          </w:p>
        </w:tc>
        <w:tc>
          <w:tcPr>
            <w:tcW w:w="8080" w:type="dxa"/>
          </w:tcPr>
          <w:p w14:paraId="63CAFE10" w14:textId="77777777" w:rsidR="004E5B84" w:rsidRDefault="004E5B84" w:rsidP="00B43184">
            <w:pPr>
              <w:ind w:left="-57"/>
              <w:rPr>
                <w:rFonts w:ascii="Arial Narrow" w:hAnsi="Arial Narrow"/>
                <w:b/>
                <w:bCs/>
                <w:sz w:val="18"/>
                <w:szCs w:val="18"/>
              </w:rPr>
            </w:pPr>
            <w:r>
              <w:rPr>
                <w:rFonts w:ascii="Arial Narrow" w:hAnsi="Arial Narrow"/>
                <w:b/>
                <w:bCs/>
                <w:sz w:val="18"/>
                <w:szCs w:val="18"/>
              </w:rPr>
              <w:t xml:space="preserve">Administrative advice: </w:t>
            </w:r>
          </w:p>
          <w:p w14:paraId="7D81A2A5" w14:textId="77777777" w:rsidR="004E5B84" w:rsidRPr="00BD2734" w:rsidRDefault="004E5B84" w:rsidP="00B43184">
            <w:pPr>
              <w:ind w:left="-57"/>
              <w:textAlignment w:val="baseline"/>
              <w:rPr>
                <w:rFonts w:ascii="Arial Narrow" w:hAnsi="Arial Narrow" w:cs="Open Sans"/>
                <w:b/>
                <w:bCs/>
                <w:color w:val="333333"/>
                <w:sz w:val="18"/>
                <w:szCs w:val="18"/>
                <w:bdr w:val="none" w:sz="0" w:space="0" w:color="auto" w:frame="1"/>
              </w:rPr>
            </w:pPr>
            <w:r w:rsidRPr="00006F8F">
              <w:rPr>
                <w:rFonts w:ascii="Arial Narrow" w:hAnsi="Arial Narrow"/>
                <w:bCs/>
                <w:sz w:val="18"/>
                <w:szCs w:val="18"/>
              </w:rPr>
              <w:t>Patients may qualify for PBS-subsidised treatment under this restriction once only. For continuing PBS-subsidised treatment, a 'Grandfathered' patient must qualify under the 'Continuing treatment' criteria.</w:t>
            </w:r>
          </w:p>
        </w:tc>
      </w:tr>
      <w:tr w:rsidR="004E5B84" w:rsidRPr="00BD2734" w14:paraId="4F17337F" w14:textId="77777777" w:rsidTr="00B43184">
        <w:tblPrEx>
          <w:tblLook w:val="04A0" w:firstRow="1" w:lastRow="0" w:firstColumn="1" w:lastColumn="0" w:noHBand="0" w:noVBand="1"/>
        </w:tblPrEx>
        <w:tc>
          <w:tcPr>
            <w:tcW w:w="1134" w:type="dxa"/>
          </w:tcPr>
          <w:p w14:paraId="2F3DDBC2" w14:textId="147F5ADB" w:rsidR="004E5B84" w:rsidRDefault="004E5B84" w:rsidP="00B43184">
            <w:pPr>
              <w:jc w:val="center"/>
              <w:textAlignment w:val="baseline"/>
              <w:rPr>
                <w:rFonts w:ascii="Arial Narrow" w:hAnsi="Arial Narrow" w:cs="Open Sans"/>
                <w:color w:val="333333"/>
                <w:sz w:val="18"/>
                <w:szCs w:val="18"/>
              </w:rPr>
            </w:pPr>
          </w:p>
        </w:tc>
        <w:tc>
          <w:tcPr>
            <w:tcW w:w="8080" w:type="dxa"/>
          </w:tcPr>
          <w:p w14:paraId="73246E46" w14:textId="77777777" w:rsidR="004E5B84" w:rsidRDefault="004E5B84" w:rsidP="00B43184">
            <w:pPr>
              <w:ind w:left="-57"/>
              <w:rPr>
                <w:rFonts w:ascii="Arial Narrow" w:hAnsi="Arial Narrow"/>
                <w:b/>
                <w:bCs/>
                <w:sz w:val="18"/>
                <w:szCs w:val="18"/>
              </w:rPr>
            </w:pPr>
            <w:r>
              <w:rPr>
                <w:rFonts w:ascii="Arial Narrow" w:hAnsi="Arial Narrow"/>
                <w:b/>
                <w:bCs/>
                <w:sz w:val="18"/>
                <w:szCs w:val="18"/>
              </w:rPr>
              <w:t xml:space="preserve">Administrative advice: </w:t>
            </w:r>
          </w:p>
          <w:p w14:paraId="57A77A99" w14:textId="77777777" w:rsidR="004E5B84" w:rsidRPr="00BD2734" w:rsidRDefault="004E5B84" w:rsidP="00B43184">
            <w:pPr>
              <w:ind w:left="-57"/>
              <w:textAlignment w:val="baseline"/>
              <w:rPr>
                <w:rFonts w:ascii="Arial Narrow" w:hAnsi="Arial Narrow" w:cs="Open Sans"/>
                <w:b/>
                <w:bCs/>
                <w:color w:val="333333"/>
                <w:sz w:val="18"/>
                <w:szCs w:val="18"/>
                <w:bdr w:val="none" w:sz="0" w:space="0" w:color="auto" w:frame="1"/>
              </w:rPr>
            </w:pPr>
            <w:r w:rsidRPr="00006F8F">
              <w:rPr>
                <w:rFonts w:ascii="Arial Narrow" w:hAnsi="Arial Narrow"/>
                <w:bCs/>
                <w:sz w:val="18"/>
                <w:szCs w:val="18"/>
              </w:rPr>
              <w:t>This grandfather restriction will cease to operate from 12 months after the date specified in the clinical criteria.</w:t>
            </w:r>
          </w:p>
        </w:tc>
      </w:tr>
      <w:tr w:rsidR="004E5B84" w:rsidRPr="00BD2734" w14:paraId="2AD4C182" w14:textId="77777777" w:rsidTr="00B43184">
        <w:tblPrEx>
          <w:tblLook w:val="04A0" w:firstRow="1" w:lastRow="0" w:firstColumn="1" w:lastColumn="0" w:noHBand="0" w:noVBand="1"/>
        </w:tblPrEx>
        <w:tc>
          <w:tcPr>
            <w:tcW w:w="1134" w:type="dxa"/>
          </w:tcPr>
          <w:p w14:paraId="7808309E" w14:textId="74CD2E0A" w:rsidR="004E5B84" w:rsidRDefault="004E5B84" w:rsidP="00B43184">
            <w:pPr>
              <w:jc w:val="center"/>
              <w:textAlignment w:val="baseline"/>
              <w:rPr>
                <w:rFonts w:ascii="Arial Narrow" w:hAnsi="Arial Narrow"/>
                <w:bCs/>
                <w:sz w:val="18"/>
                <w:szCs w:val="18"/>
              </w:rPr>
            </w:pPr>
          </w:p>
        </w:tc>
        <w:tc>
          <w:tcPr>
            <w:tcW w:w="8080" w:type="dxa"/>
          </w:tcPr>
          <w:p w14:paraId="6D3E2145" w14:textId="77777777" w:rsidR="004E5B84" w:rsidRDefault="004E5B84" w:rsidP="00B43184">
            <w:pPr>
              <w:ind w:left="-57"/>
              <w:rPr>
                <w:rFonts w:ascii="Arial Narrow" w:hAnsi="Arial Narrow"/>
                <w:b/>
                <w:bCs/>
                <w:sz w:val="18"/>
                <w:szCs w:val="18"/>
              </w:rPr>
            </w:pPr>
            <w:r>
              <w:rPr>
                <w:rFonts w:ascii="Arial Narrow" w:hAnsi="Arial Narrow"/>
                <w:b/>
                <w:bCs/>
                <w:sz w:val="18"/>
                <w:szCs w:val="18"/>
              </w:rPr>
              <w:t xml:space="preserve">Administrative advice: </w:t>
            </w:r>
          </w:p>
          <w:p w14:paraId="038F4849" w14:textId="77777777" w:rsidR="004E5B84" w:rsidRDefault="004E5B84" w:rsidP="00B43184">
            <w:pPr>
              <w:ind w:left="-57"/>
              <w:rPr>
                <w:rFonts w:ascii="Arial Narrow" w:hAnsi="Arial Narrow"/>
                <w:b/>
                <w:bCs/>
                <w:sz w:val="18"/>
                <w:szCs w:val="18"/>
              </w:rPr>
            </w:pPr>
            <w:r>
              <w:rPr>
                <w:rFonts w:ascii="Arial Narrow" w:hAnsi="Arial Narrow"/>
                <w:bCs/>
                <w:sz w:val="18"/>
                <w:szCs w:val="18"/>
              </w:rPr>
              <w:t>Where prior systemic treatments are specified in this restriction, this is in the context of the time period leading up to the initiation of non-PBS subsidised supply of this drug.</w:t>
            </w:r>
          </w:p>
        </w:tc>
      </w:tr>
      <w:tr w:rsidR="004E5B84" w:rsidRPr="00BD2734" w14:paraId="35259332" w14:textId="77777777" w:rsidTr="00962CCF">
        <w:tblPrEx>
          <w:tblLook w:val="04A0" w:firstRow="1" w:lastRow="0" w:firstColumn="1" w:lastColumn="0" w:noHBand="0" w:noVBand="1"/>
        </w:tblPrEx>
        <w:trPr>
          <w:trHeight w:val="227"/>
        </w:trPr>
        <w:tc>
          <w:tcPr>
            <w:tcW w:w="9214" w:type="dxa"/>
            <w:gridSpan w:val="2"/>
          </w:tcPr>
          <w:p w14:paraId="71431265" w14:textId="77777777" w:rsidR="004E5B84" w:rsidRDefault="004E5B84" w:rsidP="00B43184">
            <w:pPr>
              <w:ind w:left="-57"/>
              <w:rPr>
                <w:rFonts w:ascii="Arial Narrow" w:hAnsi="Arial Narrow"/>
                <w:b/>
                <w:bCs/>
                <w:sz w:val="18"/>
                <w:szCs w:val="18"/>
              </w:rPr>
            </w:pPr>
          </w:p>
        </w:tc>
      </w:tr>
      <w:tr w:rsidR="004E5B84" w:rsidRPr="00D17F00" w14:paraId="207C0EAD" w14:textId="77777777" w:rsidTr="00B43184">
        <w:tblPrEx>
          <w:tblLook w:val="04A0" w:firstRow="1" w:lastRow="0" w:firstColumn="1" w:lastColumn="0" w:noHBand="0" w:noVBand="1"/>
        </w:tblPrEx>
        <w:tc>
          <w:tcPr>
            <w:tcW w:w="9214" w:type="dxa"/>
            <w:gridSpan w:val="2"/>
          </w:tcPr>
          <w:p w14:paraId="7D8CAB38" w14:textId="7315A487" w:rsidR="004E5B84" w:rsidRDefault="004E5B84" w:rsidP="00B43184">
            <w:pPr>
              <w:ind w:left="-57"/>
              <w:textAlignment w:val="baseline"/>
              <w:rPr>
                <w:rFonts w:ascii="Arial Narrow" w:hAnsi="Arial Narrow" w:cs="Open Sans"/>
                <w:b/>
                <w:bCs/>
                <w:color w:val="333333"/>
                <w:sz w:val="18"/>
                <w:szCs w:val="18"/>
                <w:bdr w:val="none" w:sz="0" w:space="0" w:color="auto" w:frame="1"/>
              </w:rPr>
            </w:pPr>
            <w:r w:rsidRPr="007C1E4E">
              <w:rPr>
                <w:rFonts w:ascii="Arial Narrow" w:hAnsi="Arial Narrow" w:cs="Open Sans"/>
                <w:b/>
                <w:bCs/>
                <w:color w:val="333333"/>
                <w:sz w:val="18"/>
                <w:szCs w:val="18"/>
                <w:bdr w:val="none" w:sz="0" w:space="0" w:color="auto" w:frame="1"/>
              </w:rPr>
              <w:t xml:space="preserve">Restriction </w:t>
            </w:r>
            <w:proofErr w:type="gramStart"/>
            <w:r w:rsidRPr="007C1E4E">
              <w:rPr>
                <w:rFonts w:ascii="Arial Narrow" w:hAnsi="Arial Narrow" w:cs="Open Sans"/>
                <w:b/>
                <w:bCs/>
                <w:color w:val="333333"/>
                <w:sz w:val="18"/>
                <w:szCs w:val="18"/>
                <w:bdr w:val="none" w:sz="0" w:space="0" w:color="auto" w:frame="1"/>
              </w:rPr>
              <w:t>Summary  /</w:t>
            </w:r>
            <w:proofErr w:type="gramEnd"/>
            <w:r w:rsidRPr="007C1E4E">
              <w:rPr>
                <w:rFonts w:ascii="Arial Narrow" w:hAnsi="Arial Narrow" w:cs="Open Sans"/>
                <w:b/>
                <w:bCs/>
                <w:color w:val="333333"/>
                <w:sz w:val="18"/>
                <w:szCs w:val="18"/>
                <w:bdr w:val="none" w:sz="0" w:space="0" w:color="auto" w:frame="1"/>
              </w:rPr>
              <w:t xml:space="preserve"> Treatment of Concept: : Authority Required</w:t>
            </w:r>
          </w:p>
          <w:p w14:paraId="18917D2E" w14:textId="77777777" w:rsidR="004E5B84" w:rsidRPr="00D17F00"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D17F00" w14:paraId="65BF2609" w14:textId="77777777" w:rsidTr="00962CCF">
        <w:tblPrEx>
          <w:tblLook w:val="04A0" w:firstRow="1" w:lastRow="0" w:firstColumn="1" w:lastColumn="0" w:noHBand="0" w:noVBand="1"/>
        </w:tblPrEx>
        <w:tc>
          <w:tcPr>
            <w:tcW w:w="1134" w:type="dxa"/>
          </w:tcPr>
          <w:p w14:paraId="524BC8D4" w14:textId="2055C68E"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40645FE2" w14:textId="77777777" w:rsidR="004E5B84" w:rsidRPr="00D17F00" w:rsidRDefault="004E5B84" w:rsidP="00B43184">
            <w:pPr>
              <w:ind w:left="-57"/>
              <w:textAlignment w:val="baseline"/>
              <w:rPr>
                <w:rFonts w:ascii="Arial Narrow" w:hAnsi="Arial Narrow" w:cs="Open Sans"/>
                <w:color w:val="333333"/>
                <w:sz w:val="18"/>
                <w:szCs w:val="18"/>
              </w:rPr>
            </w:pPr>
            <w:r w:rsidRPr="00D17F00">
              <w:rPr>
                <w:rFonts w:ascii="Arial Narrow" w:hAnsi="Arial Narrow" w:cs="Open Sans"/>
                <w:b/>
                <w:bCs/>
                <w:color w:val="333333"/>
                <w:sz w:val="18"/>
                <w:szCs w:val="18"/>
                <w:bdr w:val="none" w:sz="0" w:space="0" w:color="auto" w:frame="1"/>
              </w:rPr>
              <w:t>Indication:</w:t>
            </w:r>
            <w:r>
              <w:rPr>
                <w:rFonts w:ascii="Arial Narrow" w:hAnsi="Arial Narrow" w:cs="Open Sans"/>
                <w:b/>
                <w:bCs/>
                <w:color w:val="333333"/>
                <w:sz w:val="18"/>
                <w:szCs w:val="18"/>
                <w:bdr w:val="none" w:sz="0" w:space="0" w:color="auto" w:frame="1"/>
              </w:rPr>
              <w:t xml:space="preserve"> </w:t>
            </w:r>
            <w:r w:rsidRPr="00D17F00">
              <w:rPr>
                <w:rFonts w:ascii="Arial Narrow" w:hAnsi="Arial Narrow" w:cs="Open Sans"/>
                <w:color w:val="333333"/>
                <w:sz w:val="18"/>
                <w:szCs w:val="18"/>
              </w:rPr>
              <w:t>Severe Crohn disease</w:t>
            </w:r>
          </w:p>
        </w:tc>
      </w:tr>
      <w:tr w:rsidR="004E5B84" w:rsidRPr="00D17F00" w14:paraId="016D41E4" w14:textId="77777777" w:rsidTr="00B43184">
        <w:tblPrEx>
          <w:tblLook w:val="04A0" w:firstRow="1" w:lastRow="0" w:firstColumn="1" w:lastColumn="0" w:noHBand="0" w:noVBand="1"/>
        </w:tblPrEx>
        <w:tc>
          <w:tcPr>
            <w:tcW w:w="1134" w:type="dxa"/>
          </w:tcPr>
          <w:p w14:paraId="7123054D" w14:textId="77777777" w:rsidR="004E5B84" w:rsidRPr="00D17F00" w:rsidRDefault="004E5B84" w:rsidP="00B43184">
            <w:pPr>
              <w:jc w:val="center"/>
              <w:textAlignment w:val="baseline"/>
              <w:rPr>
                <w:rFonts w:ascii="Arial Narrow" w:hAnsi="Arial Narrow" w:cs="Open Sans"/>
                <w:color w:val="333333"/>
                <w:sz w:val="18"/>
                <w:szCs w:val="18"/>
              </w:rPr>
            </w:pPr>
          </w:p>
        </w:tc>
        <w:tc>
          <w:tcPr>
            <w:tcW w:w="8080" w:type="dxa"/>
          </w:tcPr>
          <w:p w14:paraId="678F5999" w14:textId="77777777" w:rsidR="004E5B84" w:rsidRPr="00D17F00"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D17F00" w14:paraId="0993DA8F" w14:textId="77777777" w:rsidTr="00962CCF">
        <w:tblPrEx>
          <w:tblLook w:val="04A0" w:firstRow="1" w:lastRow="0" w:firstColumn="1" w:lastColumn="0" w:noHBand="0" w:noVBand="1"/>
        </w:tblPrEx>
        <w:tc>
          <w:tcPr>
            <w:tcW w:w="1134" w:type="dxa"/>
          </w:tcPr>
          <w:p w14:paraId="57856C3E" w14:textId="77777777" w:rsidR="004E5B84" w:rsidRPr="00D17F00" w:rsidRDefault="004E5B84" w:rsidP="00B43184">
            <w:pPr>
              <w:jc w:val="center"/>
              <w:rPr>
                <w:rFonts w:ascii="Arial Narrow" w:hAnsi="Arial Narrow" w:cs="Open Sans"/>
                <w:color w:val="333333"/>
                <w:sz w:val="18"/>
                <w:szCs w:val="18"/>
              </w:rPr>
            </w:pPr>
          </w:p>
        </w:tc>
        <w:tc>
          <w:tcPr>
            <w:tcW w:w="8080" w:type="dxa"/>
            <w:hideMark/>
          </w:tcPr>
          <w:p w14:paraId="34966B01" w14:textId="77777777" w:rsidR="004E5B84" w:rsidRPr="00D17F00" w:rsidRDefault="004E5B84" w:rsidP="00B43184">
            <w:pPr>
              <w:ind w:left="-57"/>
              <w:textAlignment w:val="baseline"/>
              <w:rPr>
                <w:rFonts w:ascii="Arial Narrow" w:hAnsi="Arial Narrow" w:cs="Open Sans"/>
                <w:color w:val="333333"/>
                <w:sz w:val="18"/>
                <w:szCs w:val="18"/>
              </w:rPr>
            </w:pPr>
            <w:r w:rsidRPr="00D17F00">
              <w:rPr>
                <w:rFonts w:ascii="Arial Narrow" w:hAnsi="Arial Narrow" w:cs="Open Sans"/>
                <w:b/>
                <w:bCs/>
                <w:color w:val="333333"/>
                <w:sz w:val="18"/>
                <w:szCs w:val="18"/>
                <w:bdr w:val="none" w:sz="0" w:space="0" w:color="auto" w:frame="1"/>
              </w:rPr>
              <w:t>Treatment Phase:</w:t>
            </w:r>
            <w:r>
              <w:rPr>
                <w:rFonts w:ascii="Arial Narrow" w:hAnsi="Arial Narrow" w:cs="Open Sans"/>
                <w:b/>
                <w:bCs/>
                <w:color w:val="333333"/>
                <w:sz w:val="18"/>
                <w:szCs w:val="18"/>
                <w:bdr w:val="none" w:sz="0" w:space="0" w:color="auto" w:frame="1"/>
              </w:rPr>
              <w:t xml:space="preserve"> </w:t>
            </w:r>
            <w:r w:rsidRPr="00D17F00">
              <w:rPr>
                <w:rFonts w:ascii="Arial Narrow" w:hAnsi="Arial Narrow" w:cs="Open Sans"/>
                <w:color w:val="333333"/>
                <w:sz w:val="18"/>
                <w:szCs w:val="18"/>
              </w:rPr>
              <w:t>Balance of supply</w:t>
            </w:r>
            <w:r>
              <w:rPr>
                <w:rFonts w:ascii="Arial Narrow" w:hAnsi="Arial Narrow" w:cs="Open Sans"/>
                <w:color w:val="333333"/>
                <w:sz w:val="18"/>
                <w:szCs w:val="18"/>
              </w:rPr>
              <w:t xml:space="preserve"> for the Continuing (maintenance) treatment phase</w:t>
            </w:r>
          </w:p>
        </w:tc>
      </w:tr>
      <w:tr w:rsidR="004E5B84" w:rsidRPr="00D17F00" w14:paraId="27D1CB0C" w14:textId="77777777" w:rsidTr="00B43184">
        <w:tblPrEx>
          <w:tblLook w:val="04A0" w:firstRow="1" w:lastRow="0" w:firstColumn="1" w:lastColumn="0" w:noHBand="0" w:noVBand="1"/>
        </w:tblPrEx>
        <w:tc>
          <w:tcPr>
            <w:tcW w:w="1134" w:type="dxa"/>
          </w:tcPr>
          <w:p w14:paraId="08346796" w14:textId="77777777" w:rsidR="004E5B84" w:rsidRPr="00D17F00" w:rsidRDefault="004E5B84" w:rsidP="00B43184">
            <w:pPr>
              <w:jc w:val="center"/>
              <w:rPr>
                <w:rFonts w:ascii="Arial Narrow" w:hAnsi="Arial Narrow" w:cs="Open Sans"/>
                <w:color w:val="333333"/>
                <w:sz w:val="18"/>
                <w:szCs w:val="18"/>
              </w:rPr>
            </w:pPr>
          </w:p>
        </w:tc>
        <w:tc>
          <w:tcPr>
            <w:tcW w:w="8080" w:type="dxa"/>
          </w:tcPr>
          <w:p w14:paraId="5D768B7B" w14:textId="77777777" w:rsidR="004E5B84" w:rsidRPr="00D17F00" w:rsidRDefault="004E5B84" w:rsidP="00B43184">
            <w:pPr>
              <w:ind w:left="-57"/>
              <w:textAlignment w:val="baseline"/>
              <w:rPr>
                <w:rFonts w:ascii="Arial Narrow" w:hAnsi="Arial Narrow" w:cs="Open Sans"/>
                <w:b/>
                <w:bCs/>
                <w:color w:val="333333"/>
                <w:sz w:val="18"/>
                <w:szCs w:val="18"/>
                <w:bdr w:val="none" w:sz="0" w:space="0" w:color="auto" w:frame="1"/>
              </w:rPr>
            </w:pPr>
          </w:p>
        </w:tc>
      </w:tr>
      <w:tr w:rsidR="004E5B84" w:rsidRPr="00D17F00" w14:paraId="579B8ABF" w14:textId="77777777" w:rsidTr="00962CCF">
        <w:tblPrEx>
          <w:tblLook w:val="04A0" w:firstRow="1" w:lastRow="0" w:firstColumn="1" w:lastColumn="0" w:noHBand="0" w:noVBand="1"/>
        </w:tblPrEx>
        <w:tc>
          <w:tcPr>
            <w:tcW w:w="1134" w:type="dxa"/>
          </w:tcPr>
          <w:p w14:paraId="36674B46" w14:textId="15AF04A3"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33BF93F2" w14:textId="77777777" w:rsidR="004E5B84" w:rsidRPr="00D17F00" w:rsidRDefault="004E5B84" w:rsidP="00B43184">
            <w:pPr>
              <w:ind w:left="-57"/>
              <w:textAlignment w:val="baseline"/>
              <w:rPr>
                <w:rFonts w:ascii="Arial Narrow" w:hAnsi="Arial Narrow" w:cs="Open Sans"/>
                <w:color w:val="333333"/>
                <w:sz w:val="18"/>
                <w:szCs w:val="18"/>
              </w:rPr>
            </w:pPr>
            <w:r w:rsidRPr="00D17F00">
              <w:rPr>
                <w:rFonts w:ascii="Arial Narrow" w:hAnsi="Arial Narrow" w:cs="Open Sans"/>
                <w:b/>
                <w:bCs/>
                <w:color w:val="333333"/>
                <w:sz w:val="18"/>
                <w:szCs w:val="18"/>
                <w:bdr w:val="none" w:sz="0" w:space="0" w:color="auto" w:frame="1"/>
              </w:rPr>
              <w:t>Treatment criteria:</w:t>
            </w:r>
          </w:p>
        </w:tc>
      </w:tr>
      <w:tr w:rsidR="004E5B84" w:rsidRPr="00D17F00" w14:paraId="0AD9AB98" w14:textId="77777777" w:rsidTr="00962CCF">
        <w:tblPrEx>
          <w:tblLook w:val="04A0" w:firstRow="1" w:lastRow="0" w:firstColumn="1" w:lastColumn="0" w:noHBand="0" w:noVBand="1"/>
        </w:tblPrEx>
        <w:tc>
          <w:tcPr>
            <w:tcW w:w="1134" w:type="dxa"/>
          </w:tcPr>
          <w:p w14:paraId="0526A771" w14:textId="7651ACE4"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36F25CAA" w14:textId="77777777" w:rsidR="004E5B84" w:rsidRPr="00D17F00" w:rsidRDefault="004E5B84" w:rsidP="00B43184">
            <w:pPr>
              <w:ind w:left="-57"/>
              <w:rPr>
                <w:rFonts w:ascii="Arial Narrow" w:hAnsi="Arial Narrow" w:cs="Open Sans"/>
                <w:color w:val="333333"/>
                <w:sz w:val="18"/>
                <w:szCs w:val="18"/>
              </w:rPr>
            </w:pPr>
            <w:r w:rsidRPr="00D17F00">
              <w:rPr>
                <w:rFonts w:ascii="Arial Narrow" w:hAnsi="Arial Narrow" w:cs="Open Sans"/>
                <w:color w:val="333333"/>
                <w:sz w:val="18"/>
                <w:szCs w:val="18"/>
              </w:rPr>
              <w:t>Must be treated by a gastroenterologist (code 87); or</w:t>
            </w:r>
          </w:p>
        </w:tc>
      </w:tr>
      <w:tr w:rsidR="004E5B84" w:rsidRPr="00D17F00" w14:paraId="50A0DB73" w14:textId="77777777" w:rsidTr="00962CCF">
        <w:tblPrEx>
          <w:tblLook w:val="04A0" w:firstRow="1" w:lastRow="0" w:firstColumn="1" w:lastColumn="0" w:noHBand="0" w:noVBand="1"/>
        </w:tblPrEx>
        <w:tc>
          <w:tcPr>
            <w:tcW w:w="1134" w:type="dxa"/>
          </w:tcPr>
          <w:p w14:paraId="5B98A4C8" w14:textId="36629234"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09F68033" w14:textId="77777777" w:rsidR="004E5B84" w:rsidRPr="00D17F00" w:rsidRDefault="004E5B84" w:rsidP="00B43184">
            <w:pPr>
              <w:ind w:left="-57"/>
              <w:rPr>
                <w:rFonts w:ascii="Arial Narrow" w:hAnsi="Arial Narrow" w:cs="Open Sans"/>
                <w:color w:val="333333"/>
                <w:sz w:val="18"/>
                <w:szCs w:val="18"/>
              </w:rPr>
            </w:pPr>
            <w:r w:rsidRPr="00D17F00">
              <w:rPr>
                <w:rFonts w:ascii="Arial Narrow" w:hAnsi="Arial Narrow" w:cs="Open Sans"/>
                <w:color w:val="333333"/>
                <w:sz w:val="18"/>
                <w:szCs w:val="18"/>
              </w:rPr>
              <w:t>Must be treated by a consultant physician [internal medicine specialising in gastroenterology (code 81)]; or</w:t>
            </w:r>
          </w:p>
        </w:tc>
      </w:tr>
      <w:tr w:rsidR="004E5B84" w:rsidRPr="00D17F00" w14:paraId="3E9BA4F3" w14:textId="77777777" w:rsidTr="00962CCF">
        <w:tblPrEx>
          <w:tblLook w:val="04A0" w:firstRow="1" w:lastRow="0" w:firstColumn="1" w:lastColumn="0" w:noHBand="0" w:noVBand="1"/>
        </w:tblPrEx>
        <w:tc>
          <w:tcPr>
            <w:tcW w:w="1134" w:type="dxa"/>
          </w:tcPr>
          <w:p w14:paraId="460FAA16" w14:textId="7E8F939A"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61FCE9A1" w14:textId="77777777" w:rsidR="004E5B84" w:rsidRPr="00D17F00" w:rsidRDefault="004E5B84" w:rsidP="00B43184">
            <w:pPr>
              <w:ind w:left="-57"/>
              <w:rPr>
                <w:rFonts w:ascii="Arial Narrow" w:hAnsi="Arial Narrow" w:cs="Open Sans"/>
                <w:color w:val="333333"/>
                <w:sz w:val="18"/>
                <w:szCs w:val="18"/>
              </w:rPr>
            </w:pPr>
            <w:r w:rsidRPr="00D17F00">
              <w:rPr>
                <w:rFonts w:ascii="Arial Narrow" w:hAnsi="Arial Narrow" w:cs="Open Sans"/>
                <w:color w:val="333333"/>
                <w:sz w:val="18"/>
                <w:szCs w:val="18"/>
              </w:rPr>
              <w:t>Must be treated by a consultant physician [general medicine specialising in gastroenterology (code 82)]</w:t>
            </w:r>
          </w:p>
        </w:tc>
      </w:tr>
      <w:tr w:rsidR="004E5B84" w:rsidRPr="00D17F00" w14:paraId="5D487772" w14:textId="77777777" w:rsidTr="00B43184">
        <w:tblPrEx>
          <w:tblLook w:val="04A0" w:firstRow="1" w:lastRow="0" w:firstColumn="1" w:lastColumn="0" w:noHBand="0" w:noVBand="1"/>
        </w:tblPrEx>
        <w:tc>
          <w:tcPr>
            <w:tcW w:w="1134" w:type="dxa"/>
          </w:tcPr>
          <w:p w14:paraId="7413C17C" w14:textId="77777777" w:rsidR="004E5B84" w:rsidRPr="00D17F00" w:rsidRDefault="004E5B84" w:rsidP="00B43184">
            <w:pPr>
              <w:jc w:val="center"/>
              <w:textAlignment w:val="baseline"/>
              <w:rPr>
                <w:rFonts w:ascii="Arial Narrow" w:hAnsi="Arial Narrow" w:cs="Open Sans"/>
                <w:color w:val="333333"/>
                <w:sz w:val="18"/>
                <w:szCs w:val="18"/>
              </w:rPr>
            </w:pPr>
          </w:p>
        </w:tc>
        <w:tc>
          <w:tcPr>
            <w:tcW w:w="8080" w:type="dxa"/>
          </w:tcPr>
          <w:p w14:paraId="34F2AFA1" w14:textId="77777777" w:rsidR="004E5B84" w:rsidRPr="00D17F00" w:rsidRDefault="004E5B84" w:rsidP="00B43184">
            <w:pPr>
              <w:ind w:left="-57"/>
              <w:rPr>
                <w:rFonts w:ascii="Arial Narrow" w:hAnsi="Arial Narrow" w:cs="Open Sans"/>
                <w:color w:val="333333"/>
                <w:sz w:val="18"/>
                <w:szCs w:val="18"/>
              </w:rPr>
            </w:pPr>
          </w:p>
        </w:tc>
      </w:tr>
      <w:tr w:rsidR="004E5B84" w:rsidRPr="00D17F00" w14:paraId="0032230A" w14:textId="77777777" w:rsidTr="00962CCF">
        <w:tblPrEx>
          <w:tblLook w:val="04A0" w:firstRow="1" w:lastRow="0" w:firstColumn="1" w:lastColumn="0" w:noHBand="0" w:noVBand="1"/>
        </w:tblPrEx>
        <w:tc>
          <w:tcPr>
            <w:tcW w:w="1134" w:type="dxa"/>
          </w:tcPr>
          <w:p w14:paraId="401B46F3" w14:textId="651E7C6B"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717DBFC0" w14:textId="77777777" w:rsidR="004E5B84" w:rsidRPr="00D17F00" w:rsidRDefault="004E5B84" w:rsidP="00B43184">
            <w:pPr>
              <w:ind w:left="-57"/>
              <w:textAlignment w:val="baseline"/>
              <w:rPr>
                <w:rFonts w:ascii="Arial Narrow" w:hAnsi="Arial Narrow" w:cs="Open Sans"/>
                <w:color w:val="333333"/>
                <w:sz w:val="18"/>
                <w:szCs w:val="18"/>
              </w:rPr>
            </w:pPr>
            <w:r w:rsidRPr="00D17F00">
              <w:rPr>
                <w:rFonts w:ascii="Arial Narrow" w:hAnsi="Arial Narrow" w:cs="Open Sans"/>
                <w:b/>
                <w:bCs/>
                <w:color w:val="333333"/>
                <w:sz w:val="18"/>
                <w:szCs w:val="18"/>
                <w:bdr w:val="none" w:sz="0" w:space="0" w:color="auto" w:frame="1"/>
              </w:rPr>
              <w:t>Clinical criteria:</w:t>
            </w:r>
          </w:p>
        </w:tc>
      </w:tr>
      <w:tr w:rsidR="004E5B84" w:rsidRPr="00D17F00" w14:paraId="33B5F6BC" w14:textId="77777777" w:rsidTr="00962CCF">
        <w:tblPrEx>
          <w:tblLook w:val="04A0" w:firstRow="1" w:lastRow="0" w:firstColumn="1" w:lastColumn="0" w:noHBand="0" w:noVBand="1"/>
        </w:tblPrEx>
        <w:tc>
          <w:tcPr>
            <w:tcW w:w="1134" w:type="dxa"/>
          </w:tcPr>
          <w:p w14:paraId="1E76D488" w14:textId="5D981047"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4FC42B17" w14:textId="77777777" w:rsidR="004E5B84" w:rsidRPr="00D17F00" w:rsidRDefault="004E5B84" w:rsidP="00B43184">
            <w:pPr>
              <w:ind w:left="-57"/>
              <w:rPr>
                <w:rFonts w:ascii="Arial Narrow" w:hAnsi="Arial Narrow" w:cs="Open Sans"/>
                <w:color w:val="333333"/>
                <w:sz w:val="18"/>
                <w:szCs w:val="18"/>
              </w:rPr>
            </w:pPr>
            <w:r>
              <w:rPr>
                <w:rFonts w:ascii="Arial Narrow" w:hAnsi="Arial Narrow" w:cs="Open Sans"/>
                <w:color w:val="333333"/>
                <w:sz w:val="18"/>
                <w:szCs w:val="18"/>
              </w:rPr>
              <w:t xml:space="preserve">The treatment must have been prescribed in a quantity in the most recent prescription which did not seek the full quantity available </w:t>
            </w:r>
            <w:proofErr w:type="gramStart"/>
            <w:r>
              <w:rPr>
                <w:rFonts w:ascii="Arial Narrow" w:hAnsi="Arial Narrow" w:cs="Open Sans"/>
                <w:color w:val="333333"/>
                <w:sz w:val="18"/>
                <w:szCs w:val="18"/>
              </w:rPr>
              <w:t>in regards to</w:t>
            </w:r>
            <w:proofErr w:type="gramEnd"/>
            <w:r>
              <w:rPr>
                <w:rFonts w:ascii="Arial Narrow" w:hAnsi="Arial Narrow" w:cs="Open Sans"/>
                <w:color w:val="333333"/>
                <w:sz w:val="18"/>
                <w:szCs w:val="18"/>
              </w:rPr>
              <w:t xml:space="preserve"> any of: (i) the quantity per dispensing, (ii) repeat prescriptions </w:t>
            </w:r>
          </w:p>
        </w:tc>
      </w:tr>
      <w:tr w:rsidR="004E5B84" w:rsidRPr="00D17F00" w14:paraId="269822CE" w14:textId="77777777" w:rsidTr="00962CCF">
        <w:tblPrEx>
          <w:tblLook w:val="04A0" w:firstRow="1" w:lastRow="0" w:firstColumn="1" w:lastColumn="0" w:noHBand="0" w:noVBand="1"/>
        </w:tblPrEx>
        <w:tc>
          <w:tcPr>
            <w:tcW w:w="1134" w:type="dxa"/>
          </w:tcPr>
          <w:p w14:paraId="66C75AEB" w14:textId="77777777" w:rsidR="004E5B84" w:rsidRPr="00D17F00" w:rsidRDefault="004E5B84" w:rsidP="00B43184">
            <w:pPr>
              <w:jc w:val="center"/>
              <w:rPr>
                <w:rFonts w:ascii="Arial Narrow" w:hAnsi="Arial Narrow" w:cs="Open Sans"/>
                <w:color w:val="333333"/>
                <w:sz w:val="18"/>
                <w:szCs w:val="18"/>
              </w:rPr>
            </w:pPr>
          </w:p>
        </w:tc>
        <w:tc>
          <w:tcPr>
            <w:tcW w:w="8080" w:type="dxa"/>
            <w:hideMark/>
          </w:tcPr>
          <w:p w14:paraId="08F7D44C" w14:textId="77777777" w:rsidR="004E5B84" w:rsidRPr="00D17F00" w:rsidRDefault="004E5B84" w:rsidP="00B43184">
            <w:pPr>
              <w:ind w:left="-57"/>
              <w:rPr>
                <w:rFonts w:ascii="Arial Narrow" w:hAnsi="Arial Narrow" w:cs="Open Sans"/>
                <w:color w:val="333333"/>
                <w:sz w:val="18"/>
                <w:szCs w:val="18"/>
              </w:rPr>
            </w:pPr>
            <w:r w:rsidRPr="00D17F00">
              <w:rPr>
                <w:rFonts w:ascii="Arial Narrow" w:hAnsi="Arial Narrow" w:cs="Open Sans"/>
                <w:b/>
                <w:bCs/>
                <w:color w:val="333333"/>
                <w:sz w:val="18"/>
                <w:szCs w:val="18"/>
                <w:bdr w:val="none" w:sz="0" w:space="0" w:color="auto" w:frame="1"/>
              </w:rPr>
              <w:t>AND</w:t>
            </w:r>
          </w:p>
        </w:tc>
      </w:tr>
      <w:tr w:rsidR="004E5B84" w:rsidRPr="00D17F00" w14:paraId="1B2537EB" w14:textId="77777777" w:rsidTr="00962CCF">
        <w:tblPrEx>
          <w:tblLook w:val="04A0" w:firstRow="1" w:lastRow="0" w:firstColumn="1" w:lastColumn="0" w:noHBand="0" w:noVBand="1"/>
        </w:tblPrEx>
        <w:tc>
          <w:tcPr>
            <w:tcW w:w="1134" w:type="dxa"/>
          </w:tcPr>
          <w:p w14:paraId="357BFF58" w14:textId="2DB553DA"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70FFA9E2" w14:textId="77777777" w:rsidR="004E5B84" w:rsidRPr="00D17F00" w:rsidRDefault="004E5B84" w:rsidP="00B43184">
            <w:pPr>
              <w:ind w:left="-57"/>
              <w:textAlignment w:val="baseline"/>
              <w:rPr>
                <w:rFonts w:ascii="Arial Narrow" w:hAnsi="Arial Narrow" w:cs="Open Sans"/>
                <w:color w:val="333333"/>
                <w:sz w:val="18"/>
                <w:szCs w:val="18"/>
              </w:rPr>
            </w:pPr>
            <w:r w:rsidRPr="00D17F00">
              <w:rPr>
                <w:rFonts w:ascii="Arial Narrow" w:hAnsi="Arial Narrow" w:cs="Open Sans"/>
                <w:b/>
                <w:bCs/>
                <w:color w:val="333333"/>
                <w:sz w:val="18"/>
                <w:szCs w:val="18"/>
                <w:bdr w:val="none" w:sz="0" w:space="0" w:color="auto" w:frame="1"/>
              </w:rPr>
              <w:t>Clinical criteria:</w:t>
            </w:r>
          </w:p>
        </w:tc>
      </w:tr>
      <w:tr w:rsidR="004E5B84" w:rsidRPr="00D17F00" w14:paraId="14BD4759" w14:textId="77777777" w:rsidTr="00962CCF">
        <w:tblPrEx>
          <w:tblLook w:val="04A0" w:firstRow="1" w:lastRow="0" w:firstColumn="1" w:lastColumn="0" w:noHBand="0" w:noVBand="1"/>
        </w:tblPrEx>
        <w:tc>
          <w:tcPr>
            <w:tcW w:w="1134" w:type="dxa"/>
          </w:tcPr>
          <w:p w14:paraId="7DDEECBD" w14:textId="6A316FFE"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6C2CFB9B" w14:textId="77777777" w:rsidR="004E5B84" w:rsidRPr="00D17F00" w:rsidRDefault="004E5B84" w:rsidP="00B43184">
            <w:pPr>
              <w:ind w:left="-57"/>
              <w:rPr>
                <w:rFonts w:ascii="Arial Narrow" w:hAnsi="Arial Narrow" w:cs="Open Sans"/>
                <w:color w:val="333333"/>
                <w:sz w:val="18"/>
                <w:szCs w:val="18"/>
              </w:rPr>
            </w:pPr>
            <w:r w:rsidRPr="00D17F00">
              <w:rPr>
                <w:rFonts w:ascii="Arial Narrow" w:hAnsi="Arial Narrow" w:cs="Open Sans"/>
                <w:color w:val="333333"/>
                <w:sz w:val="18"/>
                <w:szCs w:val="18"/>
              </w:rPr>
              <w:t xml:space="preserve">The treatment must provide no more than the balance </w:t>
            </w:r>
            <w:r>
              <w:rPr>
                <w:rFonts w:ascii="Arial Narrow" w:hAnsi="Arial Narrow" w:cs="Open Sans"/>
                <w:color w:val="333333"/>
                <w:sz w:val="18"/>
                <w:szCs w:val="18"/>
              </w:rPr>
              <w:t>available under the treatment phase from which the immediately preceding supply was obtained under</w:t>
            </w:r>
          </w:p>
        </w:tc>
      </w:tr>
      <w:tr w:rsidR="004E5B84" w:rsidRPr="00D17F00" w14:paraId="619F3096" w14:textId="77777777" w:rsidTr="00B43184">
        <w:tblPrEx>
          <w:tblLook w:val="04A0" w:firstRow="1" w:lastRow="0" w:firstColumn="1" w:lastColumn="0" w:noHBand="0" w:noVBand="1"/>
        </w:tblPrEx>
        <w:tc>
          <w:tcPr>
            <w:tcW w:w="1134" w:type="dxa"/>
          </w:tcPr>
          <w:p w14:paraId="3C66D34F" w14:textId="77777777" w:rsidR="004E5B84" w:rsidRPr="00D17F00" w:rsidRDefault="004E5B84" w:rsidP="00B43184">
            <w:pPr>
              <w:jc w:val="center"/>
              <w:textAlignment w:val="baseline"/>
              <w:rPr>
                <w:rFonts w:ascii="Arial Narrow" w:hAnsi="Arial Narrow" w:cs="Open Sans"/>
                <w:color w:val="333333"/>
                <w:sz w:val="18"/>
                <w:szCs w:val="18"/>
              </w:rPr>
            </w:pPr>
          </w:p>
        </w:tc>
        <w:tc>
          <w:tcPr>
            <w:tcW w:w="8080" w:type="dxa"/>
          </w:tcPr>
          <w:p w14:paraId="4FC55D75" w14:textId="77777777" w:rsidR="004E5B84" w:rsidRPr="00D17F00" w:rsidRDefault="004E5B84" w:rsidP="00B43184">
            <w:pPr>
              <w:ind w:left="-57"/>
              <w:rPr>
                <w:rFonts w:ascii="Arial Narrow" w:hAnsi="Arial Narrow" w:cs="Open Sans"/>
                <w:color w:val="333333"/>
                <w:sz w:val="18"/>
                <w:szCs w:val="18"/>
              </w:rPr>
            </w:pPr>
          </w:p>
        </w:tc>
      </w:tr>
      <w:tr w:rsidR="004E5B84" w:rsidRPr="00D17F00" w14:paraId="02B61C9F" w14:textId="77777777" w:rsidTr="00962CCF">
        <w:tblPrEx>
          <w:tblLook w:val="04A0" w:firstRow="1" w:lastRow="0" w:firstColumn="1" w:lastColumn="0" w:noHBand="0" w:noVBand="1"/>
        </w:tblPrEx>
        <w:trPr>
          <w:trHeight w:val="661"/>
        </w:trPr>
        <w:tc>
          <w:tcPr>
            <w:tcW w:w="1134" w:type="dxa"/>
          </w:tcPr>
          <w:p w14:paraId="3B5200ED" w14:textId="77777777" w:rsidR="004E5B84" w:rsidRPr="00D17F00" w:rsidRDefault="004E5B84" w:rsidP="00B43184">
            <w:pPr>
              <w:jc w:val="center"/>
              <w:textAlignment w:val="baseline"/>
              <w:rPr>
                <w:rFonts w:ascii="Arial Narrow" w:hAnsi="Arial Narrow" w:cs="Open Sans"/>
                <w:color w:val="333333"/>
                <w:sz w:val="18"/>
                <w:szCs w:val="18"/>
              </w:rPr>
            </w:pPr>
          </w:p>
        </w:tc>
        <w:tc>
          <w:tcPr>
            <w:tcW w:w="8080" w:type="dxa"/>
            <w:hideMark/>
          </w:tcPr>
          <w:p w14:paraId="53FA4EA7" w14:textId="77777777" w:rsidR="004E5B84" w:rsidRPr="00D17F00" w:rsidRDefault="004E5B84" w:rsidP="00B43184">
            <w:pPr>
              <w:ind w:left="-57"/>
              <w:textAlignment w:val="baseline"/>
              <w:rPr>
                <w:rFonts w:ascii="Arial Narrow" w:hAnsi="Arial Narrow" w:cs="Open Sans"/>
                <w:color w:val="333333"/>
                <w:sz w:val="18"/>
                <w:szCs w:val="18"/>
              </w:rPr>
            </w:pPr>
            <w:r w:rsidRPr="00D17F00">
              <w:rPr>
                <w:rFonts w:ascii="Arial Narrow" w:hAnsi="Arial Narrow" w:cs="Open Sans"/>
                <w:b/>
                <w:bCs/>
                <w:color w:val="333333"/>
                <w:sz w:val="18"/>
                <w:szCs w:val="18"/>
                <w:bdr w:val="none" w:sz="0" w:space="0" w:color="auto" w:frame="1"/>
              </w:rPr>
              <w:t>Administrative Advice:</w:t>
            </w:r>
          </w:p>
          <w:p w14:paraId="44A82C3E" w14:textId="77777777" w:rsidR="004E5B84" w:rsidRPr="00D17F00" w:rsidRDefault="004E5B84" w:rsidP="00B43184">
            <w:pPr>
              <w:ind w:left="-57"/>
              <w:textAlignment w:val="baseline"/>
              <w:rPr>
                <w:rFonts w:ascii="Arial Narrow" w:hAnsi="Arial Narrow" w:cs="Open Sans"/>
                <w:color w:val="333333"/>
                <w:sz w:val="18"/>
                <w:szCs w:val="18"/>
              </w:rPr>
            </w:pPr>
            <w:r w:rsidRPr="00672101">
              <w:rPr>
                <w:rFonts w:ascii="Arial Narrow" w:hAnsi="Arial Narrow" w:cs="Open Sans"/>
                <w:color w:val="333333"/>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4E5B84" w:rsidRPr="003055D7" w14:paraId="10C3F249" w14:textId="77777777" w:rsidTr="00B43184">
        <w:tblPrEx>
          <w:tblLook w:val="04A0" w:firstRow="1" w:lastRow="0" w:firstColumn="1" w:lastColumn="0" w:noHBand="0" w:noVBand="1"/>
        </w:tblPrEx>
        <w:tc>
          <w:tcPr>
            <w:tcW w:w="1134" w:type="dxa"/>
          </w:tcPr>
          <w:p w14:paraId="1F74A7ED" w14:textId="327B7D38" w:rsidR="004E5B84" w:rsidRPr="009658FC" w:rsidRDefault="004E5B84" w:rsidP="00B43184">
            <w:pPr>
              <w:jc w:val="center"/>
              <w:textAlignment w:val="baseline"/>
              <w:rPr>
                <w:rFonts w:ascii="Arial Narrow" w:hAnsi="Arial Narrow"/>
                <w:bCs/>
                <w:sz w:val="18"/>
                <w:szCs w:val="18"/>
              </w:rPr>
            </w:pPr>
          </w:p>
        </w:tc>
        <w:tc>
          <w:tcPr>
            <w:tcW w:w="8080" w:type="dxa"/>
          </w:tcPr>
          <w:p w14:paraId="595AF05C" w14:textId="568DE579" w:rsidR="004E5B84" w:rsidRPr="00557AD7" w:rsidRDefault="004E5B84" w:rsidP="00B43184">
            <w:pPr>
              <w:ind w:left="-57"/>
              <w:textAlignment w:val="baseline"/>
              <w:rPr>
                <w:rFonts w:ascii="Arial Narrow" w:hAnsi="Arial Narrow"/>
                <w:b/>
                <w:bCs/>
                <w:sz w:val="18"/>
                <w:szCs w:val="18"/>
              </w:rPr>
            </w:pPr>
            <w:r w:rsidRPr="004D57D6">
              <w:rPr>
                <w:rFonts w:ascii="Arial Narrow" w:hAnsi="Arial Narrow"/>
                <w:b/>
                <w:bCs/>
                <w:sz w:val="18"/>
                <w:szCs w:val="18"/>
              </w:rPr>
              <w:t xml:space="preserve">Administrative </w:t>
            </w:r>
            <w:r>
              <w:rPr>
                <w:rFonts w:ascii="Arial Narrow" w:hAnsi="Arial Narrow"/>
                <w:b/>
                <w:bCs/>
                <w:sz w:val="18"/>
                <w:szCs w:val="18"/>
              </w:rPr>
              <w:t>A</w:t>
            </w:r>
            <w:r w:rsidRPr="004D57D6">
              <w:rPr>
                <w:rFonts w:ascii="Arial Narrow" w:hAnsi="Arial Narrow"/>
                <w:b/>
                <w:bCs/>
                <w:sz w:val="18"/>
                <w:szCs w:val="18"/>
              </w:rPr>
              <w:t>dvice:</w:t>
            </w:r>
            <w:r w:rsidR="000C52FF">
              <w:rPr>
                <w:rFonts w:ascii="Arial Narrow" w:hAnsi="Arial Narrow"/>
                <w:b/>
                <w:bCs/>
                <w:sz w:val="18"/>
                <w:szCs w:val="18"/>
              </w:rPr>
              <w:t xml:space="preserve"> </w:t>
            </w:r>
            <w:r>
              <w:rPr>
                <w:rFonts w:ascii="Arial Narrow" w:hAnsi="Arial Narrow"/>
                <w:sz w:val="18"/>
                <w:szCs w:val="18"/>
              </w:rPr>
              <w:t xml:space="preserve">Continuing (maintenance) treatment aims to provide 24 weeks. </w:t>
            </w:r>
          </w:p>
        </w:tc>
      </w:tr>
    </w:tbl>
    <w:p w14:paraId="566A2236" w14:textId="6167C7E6" w:rsidR="004E5B84" w:rsidRPr="009658FC" w:rsidRDefault="004E5B84" w:rsidP="004E5B84">
      <w:pPr>
        <w:ind w:left="360"/>
      </w:pPr>
      <w:r w:rsidRPr="009658FC">
        <w:t> </w:t>
      </w:r>
    </w:p>
    <w:tbl>
      <w:tblPr>
        <w:tblStyle w:val="TableGrid"/>
        <w:tblW w:w="9214" w:type="dxa"/>
        <w:tblInd w:w="-5" w:type="dxa"/>
        <w:tblLayout w:type="fixed"/>
        <w:tblLook w:val="04A0" w:firstRow="1" w:lastRow="0" w:firstColumn="1" w:lastColumn="0" w:noHBand="0" w:noVBand="1"/>
      </w:tblPr>
      <w:tblGrid>
        <w:gridCol w:w="993"/>
        <w:gridCol w:w="8221"/>
      </w:tblGrid>
      <w:tr w:rsidR="004E5B84" w:rsidRPr="00363957" w14:paraId="74F00EFD" w14:textId="77777777" w:rsidTr="00B43184">
        <w:tc>
          <w:tcPr>
            <w:tcW w:w="993" w:type="dxa"/>
            <w:hideMark/>
          </w:tcPr>
          <w:p w14:paraId="28F9C9DD" w14:textId="25D99A50" w:rsidR="004E5B84" w:rsidRPr="00363957" w:rsidRDefault="004E5B84" w:rsidP="00B43184">
            <w:pPr>
              <w:jc w:val="center"/>
              <w:textAlignment w:val="baseline"/>
              <w:rPr>
                <w:rFonts w:ascii="Arial Narrow" w:hAnsi="Arial Narrow" w:cs="Open Sans"/>
                <w:color w:val="333333"/>
                <w:sz w:val="18"/>
                <w:szCs w:val="18"/>
              </w:rPr>
            </w:pPr>
          </w:p>
        </w:tc>
        <w:tc>
          <w:tcPr>
            <w:tcW w:w="8221" w:type="dxa"/>
            <w:hideMark/>
          </w:tcPr>
          <w:p w14:paraId="11C1F137" w14:textId="77777777" w:rsidR="004E5B84" w:rsidRPr="00363957" w:rsidRDefault="004E5B84" w:rsidP="00B43184">
            <w:pPr>
              <w:ind w:left="-57"/>
              <w:textAlignment w:val="baseline"/>
              <w:rPr>
                <w:rFonts w:ascii="Arial Narrow" w:hAnsi="Arial Narrow" w:cs="Open Sans"/>
                <w:color w:val="333333"/>
                <w:sz w:val="18"/>
                <w:szCs w:val="18"/>
              </w:rPr>
            </w:pPr>
            <w:r w:rsidRPr="00363957">
              <w:rPr>
                <w:rFonts w:ascii="Arial Narrow" w:hAnsi="Arial Narrow" w:cs="Open Sans"/>
                <w:b/>
                <w:bCs/>
                <w:color w:val="333333"/>
                <w:sz w:val="18"/>
                <w:szCs w:val="18"/>
                <w:bdr w:val="none" w:sz="0" w:space="0" w:color="auto" w:frame="1"/>
              </w:rPr>
              <w:t>Administrative Advice:</w:t>
            </w:r>
          </w:p>
          <w:p w14:paraId="584F7ADC" w14:textId="77777777" w:rsidR="004E5B84" w:rsidRPr="00363957" w:rsidRDefault="004E5B84" w:rsidP="00B43184">
            <w:pPr>
              <w:ind w:left="-57"/>
              <w:textAlignment w:val="baseline"/>
              <w:rPr>
                <w:rFonts w:ascii="Arial Narrow" w:hAnsi="Arial Narrow" w:cs="Open Sans"/>
                <w:color w:val="333333"/>
                <w:sz w:val="18"/>
                <w:szCs w:val="18"/>
              </w:rPr>
            </w:pPr>
            <w:r w:rsidRPr="00363957">
              <w:rPr>
                <w:rFonts w:ascii="Arial Narrow" w:hAnsi="Arial Narrow" w:cs="Open Sans"/>
                <w:b/>
                <w:bCs/>
                <w:color w:val="333333"/>
                <w:sz w:val="18"/>
                <w:szCs w:val="18"/>
                <w:bdr w:val="none" w:sz="0" w:space="0" w:color="auto" w:frame="1"/>
              </w:rPr>
              <w:t>SEVERE CROHN DISEASE</w:t>
            </w:r>
            <w:r>
              <w:rPr>
                <w:rFonts w:ascii="Arial Narrow" w:hAnsi="Arial Narrow" w:cs="Open Sans"/>
                <w:b/>
                <w:bCs/>
                <w:color w:val="333333"/>
                <w:sz w:val="18"/>
                <w:szCs w:val="18"/>
                <w:bdr w:val="none" w:sz="0" w:space="0" w:color="auto" w:frame="1"/>
              </w:rPr>
              <w:t xml:space="preserve"> – TREATMENT PHASES AND CYCLES</w:t>
            </w:r>
          </w:p>
          <w:p w14:paraId="7C292661"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The following information applies to the prescribing under the Pharmaceutical Benefits Scheme (PBS) of benefits that contain the words: ‘severe Crohn disease’ in the stated PBS indication. Some of these benefits are not biological medicines, but are small molecules (</w:t>
            </w:r>
            <w:proofErr w:type="gramStart"/>
            <w:r w:rsidRPr="0025649B">
              <w:rPr>
                <w:rFonts w:ascii="Arial Narrow" w:hAnsi="Arial Narrow" w:cs="Open Sans"/>
                <w:color w:val="333333"/>
                <w:sz w:val="18"/>
                <w:szCs w:val="18"/>
              </w:rPr>
              <w:t>e.g.</w:t>
            </w:r>
            <w:proofErr w:type="gramEnd"/>
            <w:r w:rsidRPr="0025649B">
              <w:rPr>
                <w:rFonts w:ascii="Arial Narrow" w:hAnsi="Arial Narrow" w:cs="Open Sans"/>
                <w:color w:val="333333"/>
                <w:sz w:val="18"/>
                <w:szCs w:val="18"/>
              </w:rPr>
              <w:t xml:space="preserve"> a Janus-kinase inhibitor). Where the term ‘biological medicine’ appears in the restriction, it includes such benefits for PBS administrative purposes. </w:t>
            </w:r>
          </w:p>
          <w:p w14:paraId="51B25CFC" w14:textId="77777777" w:rsidR="004E5B84" w:rsidRPr="0025649B" w:rsidRDefault="004E5B84" w:rsidP="00B43184">
            <w:pPr>
              <w:ind w:left="-57"/>
              <w:textAlignment w:val="baseline"/>
              <w:rPr>
                <w:rFonts w:ascii="Arial Narrow" w:hAnsi="Arial Narrow" w:cs="Open Sans"/>
                <w:color w:val="333333"/>
                <w:sz w:val="18"/>
                <w:szCs w:val="18"/>
              </w:rPr>
            </w:pPr>
          </w:p>
          <w:p w14:paraId="42A6123A"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A patient is eligible for PBS-subsidised treatment with only one PBS-subsidised biological medicine at any one time.</w:t>
            </w:r>
          </w:p>
          <w:p w14:paraId="78161D60" w14:textId="77777777" w:rsidR="004E5B84" w:rsidRPr="0025649B" w:rsidRDefault="004E5B84" w:rsidP="00B43184">
            <w:pPr>
              <w:ind w:left="-57"/>
              <w:textAlignment w:val="baseline"/>
              <w:rPr>
                <w:rFonts w:ascii="Arial Narrow" w:hAnsi="Arial Narrow" w:cs="Open Sans"/>
                <w:color w:val="333333"/>
                <w:sz w:val="18"/>
                <w:szCs w:val="18"/>
              </w:rPr>
            </w:pPr>
          </w:p>
          <w:p w14:paraId="0371D1B5"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Treatment cycle:</w:t>
            </w:r>
          </w:p>
          <w:p w14:paraId="4086BA89" w14:textId="77777777" w:rsidR="004E5B84"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 xml:space="preserve">A treatment cycle begins when an authority application is approved under an Initial 1 or Initial 3 type restriction. Once commenced, where biological medicine fails to provide the patient with an adequate response on 3 occasions, the current treatment cycle ends and there must be an absence of PBS-subsidy for a period of 5 years. The </w:t>
            </w:r>
            <w:proofErr w:type="gramStart"/>
            <w:r w:rsidRPr="0025649B">
              <w:rPr>
                <w:rFonts w:ascii="Arial Narrow" w:hAnsi="Arial Narrow" w:cs="Open Sans"/>
                <w:color w:val="333333"/>
                <w:sz w:val="18"/>
                <w:szCs w:val="18"/>
              </w:rPr>
              <w:t>5 year</w:t>
            </w:r>
            <w:proofErr w:type="gramEnd"/>
            <w:r w:rsidRPr="0025649B">
              <w:rPr>
                <w:rFonts w:ascii="Arial Narrow" w:hAnsi="Arial Narrow" w:cs="Open Sans"/>
                <w:color w:val="333333"/>
                <w:sz w:val="18"/>
                <w:szCs w:val="18"/>
              </w:rPr>
              <w:t xml:space="preserve"> break is measured from the date of the last approval for PBS-subsidised biological medicine treatment in the most recent cycle to the date of the first application for initial treatment with a biological medicine under the new treatment cycle. </w:t>
            </w:r>
          </w:p>
          <w:p w14:paraId="0BAEF2F0" w14:textId="77777777" w:rsidR="004E5B84" w:rsidRDefault="004E5B84" w:rsidP="00B43184">
            <w:pPr>
              <w:ind w:left="-57"/>
              <w:textAlignment w:val="baseline"/>
              <w:rPr>
                <w:rFonts w:ascii="Arial Narrow" w:hAnsi="Arial Narrow" w:cs="Open Sans"/>
                <w:color w:val="333333"/>
                <w:sz w:val="18"/>
                <w:szCs w:val="18"/>
              </w:rPr>
            </w:pPr>
          </w:p>
          <w:p w14:paraId="51AA9A82"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 xml:space="preserve">An exception to this </w:t>
            </w:r>
            <w:proofErr w:type="gramStart"/>
            <w:r w:rsidRPr="0025649B">
              <w:rPr>
                <w:rFonts w:ascii="Arial Narrow" w:hAnsi="Arial Narrow" w:cs="Open Sans"/>
                <w:color w:val="333333"/>
                <w:sz w:val="18"/>
                <w:szCs w:val="18"/>
              </w:rPr>
              <w:t>5 year</w:t>
            </w:r>
            <w:proofErr w:type="gramEnd"/>
            <w:r w:rsidRPr="0025649B">
              <w:rPr>
                <w:rFonts w:ascii="Arial Narrow" w:hAnsi="Arial Narrow" w:cs="Open Sans"/>
                <w:color w:val="333333"/>
                <w:sz w:val="18"/>
                <w:szCs w:val="18"/>
              </w:rPr>
              <w:t xml:space="preserve"> break clause applies where:</w:t>
            </w:r>
          </w:p>
          <w:p w14:paraId="18F64558"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(i) since the commencement of the break, an additional biological medicine has since become PBS-listed with a different pharmacological mechanism of action (</w:t>
            </w:r>
            <w:proofErr w:type="gramStart"/>
            <w:r w:rsidRPr="0025649B">
              <w:rPr>
                <w:rFonts w:ascii="Arial Narrow" w:hAnsi="Arial Narrow" w:cs="Open Sans"/>
                <w:color w:val="333333"/>
                <w:sz w:val="18"/>
                <w:szCs w:val="18"/>
              </w:rPr>
              <w:t>i.e.</w:t>
            </w:r>
            <w:proofErr w:type="gramEnd"/>
            <w:r w:rsidRPr="0025649B">
              <w:rPr>
                <w:rFonts w:ascii="Arial Narrow" w:hAnsi="Arial Narrow" w:cs="Open Sans"/>
                <w:color w:val="333333"/>
                <w:sz w:val="18"/>
                <w:szCs w:val="18"/>
              </w:rPr>
              <w:t xml:space="preserve"> the newly listed biological medicine) relative to those available on the PBS at the time of commencing the 5 year break; and</w:t>
            </w:r>
          </w:p>
          <w:p w14:paraId="3ACF0BD3"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(ii) the patient has never been prescribed the newly listed biological medicine; and</w:t>
            </w:r>
          </w:p>
          <w:p w14:paraId="340562BD"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(iii) the prescribed biological medicine is the newly listed biological medicine.</w:t>
            </w:r>
          </w:p>
          <w:p w14:paraId="4DA9B245"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Prescribing of the newly listed biological medicine is to occur through the ‘Initial 2’ treatment phase listing and the patient will not be in a new treatment cycle (</w:t>
            </w:r>
            <w:proofErr w:type="gramStart"/>
            <w:r w:rsidRPr="0025649B">
              <w:rPr>
                <w:rFonts w:ascii="Arial Narrow" w:hAnsi="Arial Narrow" w:cs="Open Sans"/>
                <w:color w:val="333333"/>
                <w:sz w:val="18"/>
                <w:szCs w:val="18"/>
              </w:rPr>
              <w:t>i.e.</w:t>
            </w:r>
            <w:proofErr w:type="gramEnd"/>
            <w:r w:rsidRPr="0025649B">
              <w:rPr>
                <w:rFonts w:ascii="Arial Narrow" w:hAnsi="Arial Narrow" w:cs="Open Sans"/>
                <w:color w:val="333333"/>
                <w:sz w:val="18"/>
                <w:szCs w:val="18"/>
              </w:rPr>
              <w:t xml:space="preserve"> where this newly listed biological medicine fails to provide an adequate response, the current treatment cycle ends and there must be an absence of PBS-subsidised biological medicine for a period of 5 years unless the exception outlined above is triggered again).</w:t>
            </w:r>
          </w:p>
          <w:p w14:paraId="0228D118" w14:textId="77777777" w:rsidR="004E5B84" w:rsidRPr="0025649B" w:rsidRDefault="004E5B84" w:rsidP="00B43184">
            <w:pPr>
              <w:ind w:left="-57"/>
              <w:textAlignment w:val="baseline"/>
              <w:rPr>
                <w:rFonts w:ascii="Arial Narrow" w:hAnsi="Arial Narrow" w:cs="Open Sans"/>
                <w:color w:val="333333"/>
                <w:sz w:val="18"/>
                <w:szCs w:val="18"/>
              </w:rPr>
            </w:pPr>
          </w:p>
          <w:p w14:paraId="72EA38E4" w14:textId="122EC1D0"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Within the same treatment cycle, the same PBS-subsidised biological medicine cannot continue to be subsidised where it has resulted in an inadequate response. An inadequate response is one which does not meet the minimum improvements in disease measures stated in the Continuing treatment restriction.</w:t>
            </w:r>
            <w:r w:rsidR="000C52FF">
              <w:rPr>
                <w:rFonts w:ascii="Arial Narrow" w:hAnsi="Arial Narrow" w:cs="Open Sans"/>
                <w:color w:val="333333"/>
                <w:sz w:val="18"/>
                <w:szCs w:val="18"/>
              </w:rPr>
              <w:t xml:space="preserve"> </w:t>
            </w:r>
            <w:r w:rsidRPr="0025649B">
              <w:rPr>
                <w:rFonts w:ascii="Arial Narrow" w:hAnsi="Arial Narrow" w:cs="Open Sans"/>
                <w:color w:val="333333"/>
                <w:sz w:val="18"/>
                <w:szCs w:val="18"/>
              </w:rPr>
              <w:t>A serious adverse reaction leading to treatment discontinuation will be exempted from being counted as an inadequate response.</w:t>
            </w:r>
          </w:p>
          <w:p w14:paraId="1E95855C" w14:textId="77777777" w:rsidR="004E5B84" w:rsidRPr="0025649B" w:rsidRDefault="004E5B84" w:rsidP="00B43184">
            <w:pPr>
              <w:textAlignment w:val="baseline"/>
              <w:rPr>
                <w:rFonts w:ascii="Arial Narrow" w:hAnsi="Arial Narrow" w:cs="Open Sans"/>
                <w:color w:val="333333"/>
                <w:sz w:val="18"/>
                <w:szCs w:val="18"/>
              </w:rPr>
            </w:pPr>
          </w:p>
          <w:p w14:paraId="6929CEA5"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 xml:space="preserve">There is no limit to the number of </w:t>
            </w:r>
            <w:proofErr w:type="gramStart"/>
            <w:r w:rsidRPr="0025649B">
              <w:rPr>
                <w:rFonts w:ascii="Arial Narrow" w:hAnsi="Arial Narrow" w:cs="Open Sans"/>
                <w:color w:val="333333"/>
                <w:sz w:val="18"/>
                <w:szCs w:val="18"/>
              </w:rPr>
              <w:t>treatment</w:t>
            </w:r>
            <w:proofErr w:type="gramEnd"/>
            <w:r w:rsidRPr="0025649B">
              <w:rPr>
                <w:rFonts w:ascii="Arial Narrow" w:hAnsi="Arial Narrow" w:cs="Open Sans"/>
                <w:color w:val="333333"/>
                <w:sz w:val="18"/>
                <w:szCs w:val="18"/>
              </w:rPr>
              <w:t xml:space="preserve"> cycles a patient may undertake in their lifetime.</w:t>
            </w:r>
          </w:p>
          <w:p w14:paraId="03E980F0" w14:textId="77777777" w:rsidR="004E5B84" w:rsidRPr="0025649B" w:rsidRDefault="004E5B84" w:rsidP="00B43184">
            <w:pPr>
              <w:textAlignment w:val="baseline"/>
              <w:rPr>
                <w:rFonts w:ascii="Arial Narrow" w:hAnsi="Arial Narrow" w:cs="Open Sans"/>
                <w:strike/>
                <w:color w:val="333333"/>
                <w:sz w:val="18"/>
                <w:szCs w:val="18"/>
              </w:rPr>
            </w:pPr>
          </w:p>
          <w:p w14:paraId="3004275E" w14:textId="77777777" w:rsidR="004E5B84" w:rsidRPr="0025649B" w:rsidRDefault="004E5B84" w:rsidP="00B43184">
            <w:pPr>
              <w:ind w:left="-57"/>
              <w:textAlignment w:val="baseline"/>
              <w:rPr>
                <w:rFonts w:ascii="Arial Narrow" w:hAnsi="Arial Narrow" w:cs="Open Sans"/>
                <w:strike/>
                <w:color w:val="333333"/>
                <w:sz w:val="18"/>
                <w:szCs w:val="18"/>
              </w:rPr>
            </w:pPr>
            <w:r w:rsidRPr="0025649B">
              <w:rPr>
                <w:rFonts w:ascii="Arial Narrow" w:hAnsi="Arial Narrow" w:cs="Open Sans"/>
                <w:color w:val="333333"/>
                <w:sz w:val="18"/>
                <w:szCs w:val="18"/>
              </w:rPr>
              <w:t>Treatment phases:</w:t>
            </w:r>
          </w:p>
          <w:p w14:paraId="2A67131F"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(a) Initial 1</w:t>
            </w:r>
          </w:p>
          <w:p w14:paraId="4F555B29"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Apply through this treatment phase where the patient has never been treated with PBS-subsidised biological medicine for this indication.</w:t>
            </w:r>
          </w:p>
          <w:p w14:paraId="18971800" w14:textId="77777777" w:rsidR="004E5B84" w:rsidRPr="0025649B" w:rsidRDefault="004E5B84" w:rsidP="00B43184">
            <w:pPr>
              <w:ind w:left="-57"/>
              <w:textAlignment w:val="baseline"/>
              <w:rPr>
                <w:rFonts w:ascii="Arial Narrow" w:hAnsi="Arial Narrow" w:cs="Open Sans"/>
                <w:color w:val="333333"/>
                <w:sz w:val="18"/>
                <w:szCs w:val="18"/>
              </w:rPr>
            </w:pPr>
          </w:p>
          <w:p w14:paraId="7780853F"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(b) Initial 2</w:t>
            </w:r>
          </w:p>
          <w:p w14:paraId="1884CC82"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Apply through this treatment phase where the prescribed treatment is changing (other than dose/form), or, where there has been a break in therapy of less than 5 years and treatment is resuming; authority applications through this treatment phase do not require prior response to conventional therapies to be re-established and do not require baseline disease activity to be re-demonstrated. An assessment of response to the preceding supply must be provided – where it is not, it will be assumed that the preceding supply provided an inadequate response.</w:t>
            </w:r>
          </w:p>
          <w:p w14:paraId="39A64C34" w14:textId="77777777" w:rsidR="004E5B84" w:rsidRPr="0025649B" w:rsidRDefault="004E5B84" w:rsidP="00B43184">
            <w:pPr>
              <w:ind w:left="-57"/>
              <w:textAlignment w:val="baseline"/>
              <w:rPr>
                <w:rFonts w:ascii="Arial Narrow" w:hAnsi="Arial Narrow" w:cs="Open Sans"/>
                <w:color w:val="333333"/>
                <w:sz w:val="18"/>
                <w:szCs w:val="18"/>
              </w:rPr>
            </w:pPr>
          </w:p>
          <w:p w14:paraId="3BC62A7A"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(c) Initial 3</w:t>
            </w:r>
          </w:p>
          <w:p w14:paraId="3C585E04"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Apply through this treatment phase where treatment is resuming after an absence of PBS-subsidy for at least 5 years; authority applications through this treatment phase do not require a re-trial of conventional therapies.</w:t>
            </w:r>
          </w:p>
          <w:p w14:paraId="251B952C" w14:textId="77777777" w:rsidR="004E5B84" w:rsidRPr="0025649B" w:rsidRDefault="004E5B84" w:rsidP="00B43184">
            <w:pPr>
              <w:ind w:left="-57"/>
              <w:textAlignment w:val="baseline"/>
              <w:rPr>
                <w:rFonts w:ascii="Arial Narrow" w:hAnsi="Arial Narrow" w:cs="Open Sans"/>
                <w:color w:val="333333"/>
                <w:sz w:val="18"/>
                <w:szCs w:val="18"/>
              </w:rPr>
            </w:pPr>
          </w:p>
          <w:p w14:paraId="2E368B08"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(d) Continuing treatment</w:t>
            </w:r>
          </w:p>
          <w:p w14:paraId="7D8087C5"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Apply through this treatment phase where an adequate response to the preceding supply is observed (or where the dose is increasing where multiple strengths exist). It is recommended that a patient be reviewed in the 4 weeks prior to exhausting the current supply to ensure uninterrupted supply. Continuing treatment authority applications are not to be made on the same day as Initial treatment authority applications.</w:t>
            </w:r>
          </w:p>
          <w:p w14:paraId="46E596EA" w14:textId="77777777" w:rsidR="004E5B84" w:rsidRPr="0025649B" w:rsidRDefault="004E5B84" w:rsidP="00B43184">
            <w:pPr>
              <w:ind w:left="-57"/>
              <w:textAlignment w:val="baseline"/>
              <w:rPr>
                <w:rFonts w:ascii="Arial Narrow" w:hAnsi="Arial Narrow" w:cs="Open Sans"/>
                <w:color w:val="333333"/>
                <w:sz w:val="18"/>
                <w:szCs w:val="18"/>
              </w:rPr>
            </w:pPr>
          </w:p>
          <w:p w14:paraId="70DB5CB5" w14:textId="77777777" w:rsidR="004E5B84" w:rsidRPr="0025649B" w:rsidRDefault="004E5B84" w:rsidP="00B43184">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(e) Balance of supply</w:t>
            </w:r>
          </w:p>
          <w:p w14:paraId="1CDA11F8" w14:textId="2801C887" w:rsidR="004E5B84" w:rsidRPr="00DC0A41" w:rsidRDefault="004E5B84" w:rsidP="00962CCF">
            <w:pPr>
              <w:ind w:left="-57"/>
              <w:textAlignment w:val="baseline"/>
              <w:rPr>
                <w:rFonts w:ascii="Arial Narrow" w:hAnsi="Arial Narrow" w:cs="Open Sans"/>
                <w:color w:val="333333"/>
                <w:sz w:val="18"/>
                <w:szCs w:val="18"/>
              </w:rPr>
            </w:pPr>
            <w:r w:rsidRPr="0025649B">
              <w:rPr>
                <w:rFonts w:ascii="Arial Narrow" w:hAnsi="Arial Narrow" w:cs="Open Sans"/>
                <w:color w:val="333333"/>
                <w:sz w:val="18"/>
                <w:szCs w:val="18"/>
              </w:rPr>
              <w:t>Apply through this type of treatment phase only where the benefit was not requested in the full amount available in the preceding supply – this may be because the maximum quantity was not prescribed and/or the full number of repeat prescriptions was not prescribed.</w:t>
            </w:r>
            <w:r w:rsidR="000C52FF">
              <w:rPr>
                <w:rFonts w:ascii="Arial Narrow" w:hAnsi="Arial Narrow" w:cs="Open Sans"/>
                <w:color w:val="333333"/>
                <w:sz w:val="18"/>
                <w:szCs w:val="18"/>
              </w:rPr>
              <w:t xml:space="preserve"> </w:t>
            </w:r>
            <w:r w:rsidRPr="0025649B">
              <w:rPr>
                <w:rFonts w:ascii="Arial Narrow" w:hAnsi="Arial Narrow" w:cs="Open Sans"/>
                <w:color w:val="333333"/>
                <w:sz w:val="18"/>
                <w:szCs w:val="18"/>
              </w:rPr>
              <w:t>The intent of this treatment phase listing is to: (i) provide the balance of what could have been obtained had the full quantity and number of repeats been prescribed in the preceding authority application, (ii) allow further time for an adequate response to treatment to be demonstrated where it may not have already, and (iii) provide more immediate access to PBS-subsidy via a telephone/online authority application relative to an ‘in-writing only’ application where the preceding supply was obtained through such.</w:t>
            </w:r>
          </w:p>
        </w:tc>
      </w:tr>
      <w:tr w:rsidR="004E5B84" w:rsidRPr="00363957" w14:paraId="4FF2EFBC" w14:textId="77777777" w:rsidTr="00B43184">
        <w:tc>
          <w:tcPr>
            <w:tcW w:w="9214" w:type="dxa"/>
            <w:gridSpan w:val="2"/>
          </w:tcPr>
          <w:p w14:paraId="387BED15" w14:textId="77777777" w:rsidR="004E5B84" w:rsidRDefault="004E5B84" w:rsidP="00B43184">
            <w:pPr>
              <w:ind w:left="-57"/>
              <w:textAlignment w:val="baseline"/>
              <w:rPr>
                <w:rFonts w:ascii="Arial Narrow" w:hAnsi="Arial Narrow" w:cs="Open Sans"/>
                <w:color w:val="333333"/>
                <w:sz w:val="18"/>
                <w:szCs w:val="18"/>
                <w:bdr w:val="none" w:sz="0" w:space="0" w:color="auto" w:frame="1"/>
              </w:rPr>
            </w:pPr>
          </w:p>
          <w:p w14:paraId="05430B22" w14:textId="77777777" w:rsidR="004E5B84" w:rsidRDefault="004E5B84" w:rsidP="00B43184">
            <w:pPr>
              <w:ind w:left="-57"/>
              <w:textAlignment w:val="baseline"/>
              <w:rPr>
                <w:rFonts w:ascii="Arial Narrow" w:hAnsi="Arial Narrow" w:cs="Open Sans"/>
                <w:b/>
                <w:bCs/>
                <w:color w:val="333333"/>
                <w:sz w:val="18"/>
                <w:szCs w:val="18"/>
                <w:bdr w:val="none" w:sz="0" w:space="0" w:color="auto" w:frame="1"/>
              </w:rPr>
            </w:pPr>
            <w:r w:rsidRPr="00DC0A41">
              <w:rPr>
                <w:rFonts w:ascii="Arial Narrow" w:hAnsi="Arial Narrow" w:cs="Open Sans"/>
                <w:b/>
                <w:bCs/>
                <w:color w:val="333333"/>
                <w:sz w:val="18"/>
                <w:szCs w:val="18"/>
                <w:bdr w:val="none" w:sz="0" w:space="0" w:color="auto" w:frame="1"/>
              </w:rPr>
              <w:t xml:space="preserve">27712 Concept lineage (as </w:t>
            </w:r>
            <w:proofErr w:type="gramStart"/>
            <w:r w:rsidRPr="00DC0A41">
              <w:rPr>
                <w:rFonts w:ascii="Arial Narrow" w:hAnsi="Arial Narrow" w:cs="Open Sans"/>
                <w:b/>
                <w:bCs/>
                <w:color w:val="333333"/>
                <w:sz w:val="18"/>
                <w:szCs w:val="18"/>
                <w:bdr w:val="none" w:sz="0" w:space="0" w:color="auto" w:frame="1"/>
              </w:rPr>
              <w:t>at</w:t>
            </w:r>
            <w:proofErr w:type="gramEnd"/>
            <w:r w:rsidRPr="00DC0A41">
              <w:rPr>
                <w:rFonts w:ascii="Arial Narrow" w:hAnsi="Arial Narrow" w:cs="Open Sans"/>
                <w:b/>
                <w:bCs/>
                <w:color w:val="333333"/>
                <w:sz w:val="18"/>
                <w:szCs w:val="18"/>
                <w:bdr w:val="none" w:sz="0" w:space="0" w:color="auto" w:frame="1"/>
              </w:rPr>
              <w:t xml:space="preserve"> 1 December 2022):</w:t>
            </w:r>
          </w:p>
          <w:p w14:paraId="780EDC48" w14:textId="77777777" w:rsidR="004E5B84" w:rsidRDefault="004E5B84" w:rsidP="00B43184">
            <w:pPr>
              <w:ind w:left="-57"/>
              <w:textAlignment w:val="baseline"/>
              <w:rPr>
                <w:rFonts w:ascii="Arial Narrow" w:hAnsi="Arial Narrow" w:cs="Open Sans"/>
                <w:b/>
                <w:bCs/>
                <w:color w:val="333333"/>
                <w:sz w:val="18"/>
                <w:szCs w:val="18"/>
                <w:bdr w:val="none" w:sz="0" w:space="0" w:color="auto" w:frame="1"/>
              </w:rPr>
            </w:pPr>
          </w:p>
          <w:p w14:paraId="6D25BA8D" w14:textId="77777777" w:rsidR="004E5B84" w:rsidRPr="00DC0A41" w:rsidRDefault="004E5B84" w:rsidP="00B43184">
            <w:pPr>
              <w:ind w:left="-57"/>
              <w:textAlignment w:val="baseline"/>
              <w:rPr>
                <w:rFonts w:ascii="Arial Narrow" w:hAnsi="Arial Narrow" w:cs="Open Sans"/>
                <w:b/>
                <w:bCs/>
                <w:color w:val="333333"/>
                <w:sz w:val="18"/>
                <w:szCs w:val="18"/>
                <w:bdr w:val="none" w:sz="0" w:space="0" w:color="auto" w:frame="1"/>
              </w:rPr>
            </w:pPr>
            <w:r>
              <w:rPr>
                <w:rFonts w:ascii="Arial Narrow" w:hAnsi="Arial Narrow" w:cs="Open Sans"/>
                <w:b/>
                <w:bCs/>
                <w:color w:val="333333"/>
                <w:sz w:val="18"/>
                <w:szCs w:val="18"/>
                <w:bdr w:val="none" w:sz="0" w:space="0" w:color="auto" w:frame="1"/>
              </w:rPr>
              <w:t>PBS item code / medicinal product pack:</w:t>
            </w:r>
          </w:p>
          <w:p w14:paraId="5B72B1ED" w14:textId="77777777" w:rsidR="004E5B84" w:rsidRDefault="004E5B84" w:rsidP="00B43184">
            <w:pPr>
              <w:ind w:left="-57"/>
              <w:textAlignment w:val="baseline"/>
              <w:rPr>
                <w:rFonts w:ascii="Arial Narrow" w:hAnsi="Arial Narrow" w:cs="Open Sans"/>
                <w:color w:val="333333"/>
                <w:sz w:val="18"/>
                <w:szCs w:val="18"/>
                <w:bdr w:val="none" w:sz="0" w:space="0" w:color="auto" w:frame="1"/>
              </w:rPr>
            </w:pPr>
          </w:p>
          <w:p w14:paraId="5A20B0EE"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Pr>
                <w:rFonts w:ascii="Arial Narrow" w:hAnsi="Arial Narrow" w:cs="Open Sans"/>
                <w:color w:val="333333"/>
                <w:sz w:val="18"/>
                <w:szCs w:val="18"/>
                <w:bdr w:val="none" w:sz="0" w:space="0" w:color="auto" w:frame="1"/>
              </w:rPr>
              <w:t>9</w:t>
            </w:r>
            <w:r w:rsidRPr="00DC0A41">
              <w:rPr>
                <w:rFonts w:ascii="Arial Narrow" w:hAnsi="Arial Narrow" w:cs="Open Sans"/>
                <w:color w:val="333333"/>
                <w:sz w:val="18"/>
                <w:szCs w:val="18"/>
                <w:bdr w:val="none" w:sz="0" w:space="0" w:color="auto" w:frame="1"/>
              </w:rPr>
              <w:t>188N / adalimumab 40 mg/0.8 mL injection, 2 x 0.8 mL syringes</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33308084"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9189P / adalimumab 40 mg/0.8 mL injection, 2 x 0.8 mL syringes</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66BF0A90"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9190Q / adalimumab 40 mg/0.8 mL injection, 2 x 0.8 mL pen devices</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4A052282"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9191R / adalimumab 40 mg/0.8 mL injection, 2 x 0.8 mL pen devices</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4209BA28"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12419P / adalimumab 80 mg/0.8 mL injection, 0.8 mL pen device</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0A375DB6"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12372E / adalimumab 80 mg/0.8 mL injection, 0.8 mL syringe</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0912C60B"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12352D / adalimumab 40 mg/0.8 mL injection, 2 x 0.8 mL pen devices</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30444CF1"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12402R / adalimumab 40 mg/0.8 mL injection, 2 x 0.8 mL pen devices</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47489530"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12437N / adalimumab 40 mg/0.8 mL injection, 2 x 0.8 mL syringes</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469031E5"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12345R / adalimumab 40 mg/0.4 mL injection, 2 x 0.4 mL pen devices</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24D707C4"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12389C / adalimumab 40 mg/0.4 mL injection, 2 x 0.4 mL pen devices</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6851C16B"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12451H / adalimumab 40 mg/0.4 mL injection, 2 x 0.4 mL syringes</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23761032"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12410E / adalimumab 40 mg/0.4 mL injection, 2 x 0.4 mL syringes</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03581E57"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12387Y / adalimumab 40 mg/0.8 mL injection, 2 x 0.8 mL syringes</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6690B0B7"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12433J / adalimumab 40 mg/0.4 mL injection, 2 x 0.4 mL pen devices</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57D856C3"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12453K / adalimumab 40 mg/0.4 mL injection, 2 x 0.4 mL syringes</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21856177" w14:textId="77777777" w:rsidR="004E5B84" w:rsidRDefault="004E5B84" w:rsidP="00B43184">
            <w:pPr>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14F8D7EB" w14:textId="77777777" w:rsidR="004E5B84" w:rsidRPr="0011200D" w:rsidRDefault="004E5B84" w:rsidP="00B43184">
            <w:pPr>
              <w:ind w:left="-57"/>
              <w:textAlignment w:val="baseline"/>
              <w:rPr>
                <w:rFonts w:ascii="Arial Narrow" w:hAnsi="Arial Narrow" w:cs="Open Sans"/>
                <w:color w:val="333333"/>
                <w:sz w:val="18"/>
                <w:szCs w:val="18"/>
                <w:bdr w:val="none" w:sz="0" w:space="0" w:color="auto" w:frame="1"/>
              </w:rPr>
            </w:pPr>
            <w:r w:rsidRPr="0011200D">
              <w:rPr>
                <w:rFonts w:ascii="Arial Narrow" w:hAnsi="Arial Narrow" w:cs="Open Sans"/>
                <w:color w:val="333333"/>
                <w:sz w:val="18"/>
                <w:szCs w:val="18"/>
                <w:bdr w:val="none" w:sz="0" w:space="0" w:color="auto" w:frame="1"/>
              </w:rPr>
              <w:t xml:space="preserve">5754W / infliximab 100 mg injection, 1 </w:t>
            </w:r>
            <w:proofErr w:type="gramStart"/>
            <w:r w:rsidRPr="0011200D">
              <w:rPr>
                <w:rFonts w:ascii="Arial Narrow" w:hAnsi="Arial Narrow" w:cs="Open Sans"/>
                <w:color w:val="333333"/>
                <w:sz w:val="18"/>
                <w:szCs w:val="18"/>
                <w:bdr w:val="none" w:sz="0" w:space="0" w:color="auto" w:frame="1"/>
              </w:rPr>
              <w:t>vial</w:t>
            </w:r>
            <w:proofErr w:type="gramEnd"/>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p>
          <w:p w14:paraId="29800300" w14:textId="77777777" w:rsidR="004E5B84" w:rsidRDefault="004E5B84" w:rsidP="00B43184">
            <w:pPr>
              <w:ind w:left="-57"/>
              <w:textAlignment w:val="baseline"/>
              <w:rPr>
                <w:rFonts w:ascii="Arial Narrow" w:hAnsi="Arial Narrow" w:cs="Open Sans"/>
                <w:color w:val="333333"/>
                <w:sz w:val="18"/>
                <w:szCs w:val="18"/>
                <w:bdr w:val="none" w:sz="0" w:space="0" w:color="auto" w:frame="1"/>
              </w:rPr>
            </w:pPr>
            <w:r w:rsidRPr="0011200D">
              <w:rPr>
                <w:rFonts w:ascii="Arial Narrow" w:hAnsi="Arial Narrow" w:cs="Open Sans"/>
                <w:color w:val="333333"/>
                <w:sz w:val="18"/>
                <w:szCs w:val="18"/>
                <w:bdr w:val="none" w:sz="0" w:space="0" w:color="auto" w:frame="1"/>
              </w:rPr>
              <w:t xml:space="preserve">9613Y / infliximab 100 mg injection, 1 </w:t>
            </w:r>
            <w:proofErr w:type="gramStart"/>
            <w:r w:rsidRPr="0011200D">
              <w:rPr>
                <w:rFonts w:ascii="Arial Narrow" w:hAnsi="Arial Narrow" w:cs="Open Sans"/>
                <w:color w:val="333333"/>
                <w:sz w:val="18"/>
                <w:szCs w:val="18"/>
                <w:bdr w:val="none" w:sz="0" w:space="0" w:color="auto" w:frame="1"/>
              </w:rPr>
              <w:t>vial</w:t>
            </w:r>
            <w:proofErr w:type="gramEnd"/>
          </w:p>
          <w:p w14:paraId="2EFFEC6B" w14:textId="77777777" w:rsidR="004E5B84" w:rsidRPr="0011200D" w:rsidRDefault="004E5B84" w:rsidP="00B43184">
            <w:pPr>
              <w:ind w:left="-57"/>
              <w:textAlignment w:val="baseline"/>
              <w:rPr>
                <w:rFonts w:ascii="Arial Narrow" w:hAnsi="Arial Narrow" w:cs="Open Sans"/>
                <w:color w:val="333333"/>
                <w:sz w:val="18"/>
                <w:szCs w:val="18"/>
                <w:bdr w:val="none" w:sz="0" w:space="0" w:color="auto" w:frame="1"/>
              </w:rPr>
            </w:pPr>
            <w:r w:rsidRPr="0011200D">
              <w:rPr>
                <w:rFonts w:ascii="Arial Narrow" w:hAnsi="Arial Narrow" w:cs="Open Sans"/>
                <w:color w:val="333333"/>
                <w:sz w:val="18"/>
                <w:szCs w:val="18"/>
                <w:bdr w:val="none" w:sz="0" w:space="0" w:color="auto" w:frame="1"/>
              </w:rPr>
              <w:t xml:space="preserve">11400B / infliximab 100 mg injection, 1 </w:t>
            </w:r>
            <w:proofErr w:type="gramStart"/>
            <w:r w:rsidRPr="0011200D">
              <w:rPr>
                <w:rFonts w:ascii="Arial Narrow" w:hAnsi="Arial Narrow" w:cs="Open Sans"/>
                <w:color w:val="333333"/>
                <w:sz w:val="18"/>
                <w:szCs w:val="18"/>
                <w:bdr w:val="none" w:sz="0" w:space="0" w:color="auto" w:frame="1"/>
              </w:rPr>
              <w:t>vial</w:t>
            </w:r>
            <w:proofErr w:type="gramEnd"/>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p>
          <w:p w14:paraId="2B1DA169" w14:textId="77777777" w:rsidR="004E5B84" w:rsidRPr="0011200D" w:rsidRDefault="004E5B84" w:rsidP="00B43184">
            <w:pPr>
              <w:ind w:left="-57"/>
              <w:textAlignment w:val="baseline"/>
              <w:rPr>
                <w:rFonts w:ascii="Arial Narrow" w:hAnsi="Arial Narrow" w:cs="Open Sans"/>
                <w:color w:val="333333"/>
                <w:sz w:val="18"/>
                <w:szCs w:val="18"/>
                <w:bdr w:val="none" w:sz="0" w:space="0" w:color="auto" w:frame="1"/>
              </w:rPr>
            </w:pPr>
            <w:r w:rsidRPr="0011200D">
              <w:rPr>
                <w:rFonts w:ascii="Arial Narrow" w:hAnsi="Arial Narrow" w:cs="Open Sans"/>
                <w:color w:val="333333"/>
                <w:sz w:val="18"/>
                <w:szCs w:val="18"/>
                <w:bdr w:val="none" w:sz="0" w:space="0" w:color="auto" w:frame="1"/>
              </w:rPr>
              <w:t xml:space="preserve">11396T / infliximab 100 mg injection, 1 </w:t>
            </w:r>
            <w:proofErr w:type="gramStart"/>
            <w:r w:rsidRPr="0011200D">
              <w:rPr>
                <w:rFonts w:ascii="Arial Narrow" w:hAnsi="Arial Narrow" w:cs="Open Sans"/>
                <w:color w:val="333333"/>
                <w:sz w:val="18"/>
                <w:szCs w:val="18"/>
                <w:bdr w:val="none" w:sz="0" w:space="0" w:color="auto" w:frame="1"/>
              </w:rPr>
              <w:t>vial</w:t>
            </w:r>
            <w:proofErr w:type="gramEnd"/>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p>
          <w:p w14:paraId="2AC5F923" w14:textId="77777777" w:rsidR="004E5B84" w:rsidRPr="0011200D" w:rsidRDefault="004E5B84" w:rsidP="00B43184">
            <w:pPr>
              <w:ind w:left="-57"/>
              <w:textAlignment w:val="baseline"/>
              <w:rPr>
                <w:rFonts w:ascii="Arial Narrow" w:hAnsi="Arial Narrow" w:cs="Open Sans"/>
                <w:color w:val="333333"/>
                <w:sz w:val="18"/>
                <w:szCs w:val="18"/>
                <w:bdr w:val="none" w:sz="0" w:space="0" w:color="auto" w:frame="1"/>
              </w:rPr>
            </w:pPr>
            <w:r w:rsidRPr="0011200D">
              <w:rPr>
                <w:rFonts w:ascii="Arial Narrow" w:hAnsi="Arial Narrow" w:cs="Open Sans"/>
                <w:color w:val="333333"/>
                <w:sz w:val="18"/>
                <w:szCs w:val="18"/>
                <w:bdr w:val="none" w:sz="0" w:space="0" w:color="auto" w:frame="1"/>
              </w:rPr>
              <w:t xml:space="preserve">11389K / infliximab 100 mg injection, 1 </w:t>
            </w:r>
            <w:proofErr w:type="gramStart"/>
            <w:r w:rsidRPr="0011200D">
              <w:rPr>
                <w:rFonts w:ascii="Arial Narrow" w:hAnsi="Arial Narrow" w:cs="Open Sans"/>
                <w:color w:val="333333"/>
                <w:sz w:val="18"/>
                <w:szCs w:val="18"/>
                <w:bdr w:val="none" w:sz="0" w:space="0" w:color="auto" w:frame="1"/>
              </w:rPr>
              <w:t>vial</w:t>
            </w:r>
            <w:proofErr w:type="gramEnd"/>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p>
          <w:p w14:paraId="07F36BD7" w14:textId="77777777" w:rsidR="004E5B84" w:rsidRDefault="004E5B84" w:rsidP="00B43184">
            <w:pPr>
              <w:ind w:left="-57"/>
              <w:textAlignment w:val="baseline"/>
              <w:rPr>
                <w:rFonts w:ascii="Arial Narrow" w:hAnsi="Arial Narrow" w:cs="Open Sans"/>
                <w:color w:val="333333"/>
                <w:sz w:val="18"/>
                <w:szCs w:val="18"/>
                <w:bdr w:val="none" w:sz="0" w:space="0" w:color="auto" w:frame="1"/>
              </w:rPr>
            </w:pPr>
            <w:r w:rsidRPr="0011200D">
              <w:rPr>
                <w:rFonts w:ascii="Arial Narrow" w:hAnsi="Arial Narrow" w:cs="Open Sans"/>
                <w:color w:val="333333"/>
                <w:sz w:val="18"/>
                <w:szCs w:val="18"/>
                <w:bdr w:val="none" w:sz="0" w:space="0" w:color="auto" w:frame="1"/>
              </w:rPr>
              <w:t xml:space="preserve">11399Y / infliximab 100 mg injection, 1 </w:t>
            </w:r>
            <w:proofErr w:type="gramStart"/>
            <w:r w:rsidRPr="0011200D">
              <w:rPr>
                <w:rFonts w:ascii="Arial Narrow" w:hAnsi="Arial Narrow" w:cs="Open Sans"/>
                <w:color w:val="333333"/>
                <w:sz w:val="18"/>
                <w:szCs w:val="18"/>
                <w:bdr w:val="none" w:sz="0" w:space="0" w:color="auto" w:frame="1"/>
              </w:rPr>
              <w:t>vial</w:t>
            </w:r>
            <w:proofErr w:type="gramEnd"/>
            <w:r w:rsidRPr="0011200D">
              <w:rPr>
                <w:rFonts w:ascii="Arial Narrow" w:hAnsi="Arial Narrow" w:cs="Open Sans"/>
                <w:color w:val="333333"/>
                <w:sz w:val="18"/>
                <w:szCs w:val="18"/>
                <w:bdr w:val="none" w:sz="0" w:space="0" w:color="auto" w:frame="1"/>
              </w:rPr>
              <w:tab/>
            </w:r>
          </w:p>
          <w:p w14:paraId="207CCC75"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12551N / infliximab 120 mg/mL injection, 1 mL pen device</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6EBC6491"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12585J / infliximab 120 mg/mL injection, 1 mL syringe</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4C6AF421"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12560C / infliximab 120 mg/mL injection, 1 mL pen device</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3E246DBB"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12586K / infliximab 120 mg/mL injection, 1 mL syringe</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16926D50" w14:textId="77777777" w:rsidR="004E5B84" w:rsidRPr="00DC0A41"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12567K / infliximab 120 mg/mL injection, 1 mL pen device</w:t>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r w:rsidRPr="00DC0A41">
              <w:rPr>
                <w:rFonts w:ascii="Arial Narrow" w:hAnsi="Arial Narrow" w:cs="Open Sans"/>
                <w:color w:val="333333"/>
                <w:sz w:val="18"/>
                <w:szCs w:val="18"/>
                <w:bdr w:val="none" w:sz="0" w:space="0" w:color="auto" w:frame="1"/>
              </w:rPr>
              <w:tab/>
            </w:r>
          </w:p>
          <w:p w14:paraId="0A784964" w14:textId="77777777" w:rsidR="004E5B84" w:rsidRDefault="004E5B84" w:rsidP="00B43184">
            <w:pPr>
              <w:ind w:left="-57"/>
              <w:textAlignment w:val="baseline"/>
              <w:rPr>
                <w:rFonts w:ascii="Arial Narrow" w:hAnsi="Arial Narrow" w:cs="Open Sans"/>
                <w:color w:val="333333"/>
                <w:sz w:val="18"/>
                <w:szCs w:val="18"/>
                <w:bdr w:val="none" w:sz="0" w:space="0" w:color="auto" w:frame="1"/>
              </w:rPr>
            </w:pPr>
            <w:r w:rsidRPr="00DC0A41">
              <w:rPr>
                <w:rFonts w:ascii="Arial Narrow" w:hAnsi="Arial Narrow" w:cs="Open Sans"/>
                <w:color w:val="333333"/>
                <w:sz w:val="18"/>
                <w:szCs w:val="18"/>
                <w:bdr w:val="none" w:sz="0" w:space="0" w:color="auto" w:frame="1"/>
              </w:rPr>
              <w:t>12597B / infliximab 120 mg/mL injection, 1 mL syringe</w:t>
            </w:r>
          </w:p>
          <w:p w14:paraId="43A44510" w14:textId="77777777" w:rsidR="004E5B84" w:rsidRDefault="004E5B84" w:rsidP="00B43184">
            <w:pPr>
              <w:textAlignment w:val="baseline"/>
              <w:rPr>
                <w:rFonts w:ascii="Arial Narrow" w:hAnsi="Arial Narrow" w:cs="Open Sans"/>
                <w:color w:val="333333"/>
                <w:sz w:val="18"/>
                <w:szCs w:val="18"/>
                <w:bdr w:val="none" w:sz="0" w:space="0" w:color="auto" w:frame="1"/>
              </w:rPr>
            </w:pPr>
          </w:p>
          <w:p w14:paraId="0FFA5873" w14:textId="77777777" w:rsidR="004E5B84" w:rsidRPr="0011200D" w:rsidRDefault="004E5B84" w:rsidP="00B43184">
            <w:pPr>
              <w:ind w:left="-57"/>
              <w:textAlignment w:val="baseline"/>
              <w:rPr>
                <w:rFonts w:ascii="Arial Narrow" w:hAnsi="Arial Narrow" w:cs="Open Sans"/>
                <w:color w:val="333333"/>
                <w:sz w:val="18"/>
                <w:szCs w:val="18"/>
                <w:bdr w:val="none" w:sz="0" w:space="0" w:color="auto" w:frame="1"/>
              </w:rPr>
            </w:pPr>
            <w:r w:rsidRPr="0011200D">
              <w:rPr>
                <w:rFonts w:ascii="Arial Narrow" w:hAnsi="Arial Narrow" w:cs="Open Sans"/>
                <w:color w:val="333333"/>
                <w:sz w:val="18"/>
                <w:szCs w:val="18"/>
                <w:bdr w:val="none" w:sz="0" w:space="0" w:color="auto" w:frame="1"/>
              </w:rPr>
              <w:lastRenderedPageBreak/>
              <w:t>11182M / ustekinumab 130 mg/26 mL injection, 26 mL vial</w:t>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p>
          <w:p w14:paraId="121FDAE5" w14:textId="77777777" w:rsidR="004E5B84" w:rsidRPr="0011200D" w:rsidRDefault="004E5B84" w:rsidP="00B43184">
            <w:pPr>
              <w:ind w:left="-57"/>
              <w:textAlignment w:val="baseline"/>
              <w:rPr>
                <w:rFonts w:ascii="Arial Narrow" w:hAnsi="Arial Narrow" w:cs="Open Sans"/>
                <w:color w:val="333333"/>
                <w:sz w:val="18"/>
                <w:szCs w:val="18"/>
                <w:bdr w:val="none" w:sz="0" w:space="0" w:color="auto" w:frame="1"/>
              </w:rPr>
            </w:pPr>
            <w:r w:rsidRPr="0011200D">
              <w:rPr>
                <w:rFonts w:ascii="Arial Narrow" w:hAnsi="Arial Narrow" w:cs="Open Sans"/>
                <w:color w:val="333333"/>
                <w:sz w:val="18"/>
                <w:szCs w:val="18"/>
                <w:bdr w:val="none" w:sz="0" w:space="0" w:color="auto" w:frame="1"/>
              </w:rPr>
              <w:t>11164N / ustekinumab 130 mg/26 mL injection, 26 mL vial</w:t>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p>
          <w:p w14:paraId="6B1D2F9F" w14:textId="77777777" w:rsidR="004E5B84" w:rsidRDefault="004E5B84" w:rsidP="00B43184">
            <w:pPr>
              <w:ind w:left="-57"/>
              <w:textAlignment w:val="baseline"/>
              <w:rPr>
                <w:rFonts w:ascii="Arial Narrow" w:hAnsi="Arial Narrow" w:cs="Open Sans"/>
                <w:color w:val="333333"/>
                <w:sz w:val="18"/>
                <w:szCs w:val="18"/>
                <w:bdr w:val="none" w:sz="0" w:space="0" w:color="auto" w:frame="1"/>
              </w:rPr>
            </w:pPr>
            <w:r w:rsidRPr="0011200D">
              <w:rPr>
                <w:rFonts w:ascii="Arial Narrow" w:hAnsi="Arial Narrow" w:cs="Open Sans"/>
                <w:color w:val="333333"/>
                <w:sz w:val="18"/>
                <w:szCs w:val="18"/>
                <w:bdr w:val="none" w:sz="0" w:space="0" w:color="auto" w:frame="1"/>
              </w:rPr>
              <w:t>11178H / ustekinumab 45 mg/0.5 mL injection, 0.5 mL vial</w:t>
            </w:r>
          </w:p>
          <w:p w14:paraId="59B8DBF3" w14:textId="77777777" w:rsidR="004E5B84" w:rsidRDefault="004E5B84" w:rsidP="00B43184">
            <w:pPr>
              <w:ind w:left="-57"/>
              <w:textAlignment w:val="baseline"/>
              <w:rPr>
                <w:rFonts w:ascii="Arial Narrow" w:hAnsi="Arial Narrow" w:cs="Open Sans"/>
                <w:color w:val="333333"/>
                <w:sz w:val="18"/>
                <w:szCs w:val="18"/>
                <w:bdr w:val="none" w:sz="0" w:space="0" w:color="auto" w:frame="1"/>
              </w:rPr>
            </w:pPr>
          </w:p>
          <w:p w14:paraId="23DAD66A" w14:textId="77777777" w:rsidR="004E5B84" w:rsidRPr="0011200D" w:rsidRDefault="004E5B84" w:rsidP="00B43184">
            <w:pPr>
              <w:ind w:left="-57"/>
              <w:textAlignment w:val="baseline"/>
              <w:rPr>
                <w:rFonts w:ascii="Arial Narrow" w:hAnsi="Arial Narrow" w:cs="Open Sans"/>
                <w:color w:val="333333"/>
                <w:sz w:val="18"/>
                <w:szCs w:val="18"/>
                <w:bdr w:val="none" w:sz="0" w:space="0" w:color="auto" w:frame="1"/>
              </w:rPr>
            </w:pPr>
            <w:r w:rsidRPr="0011200D">
              <w:rPr>
                <w:rFonts w:ascii="Arial Narrow" w:hAnsi="Arial Narrow" w:cs="Open Sans"/>
                <w:color w:val="333333"/>
                <w:sz w:val="18"/>
                <w:szCs w:val="18"/>
                <w:bdr w:val="none" w:sz="0" w:space="0" w:color="auto" w:frame="1"/>
              </w:rPr>
              <w:t xml:space="preserve">10390W / vedolizumab 300 mg injection, 1 </w:t>
            </w:r>
            <w:proofErr w:type="gramStart"/>
            <w:r w:rsidRPr="0011200D">
              <w:rPr>
                <w:rFonts w:ascii="Arial Narrow" w:hAnsi="Arial Narrow" w:cs="Open Sans"/>
                <w:color w:val="333333"/>
                <w:sz w:val="18"/>
                <w:szCs w:val="18"/>
                <w:bdr w:val="none" w:sz="0" w:space="0" w:color="auto" w:frame="1"/>
              </w:rPr>
              <w:t>vial</w:t>
            </w:r>
            <w:proofErr w:type="gramEnd"/>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p>
          <w:p w14:paraId="1D6071E2" w14:textId="77777777" w:rsidR="004E5B84" w:rsidRPr="0011200D" w:rsidRDefault="004E5B84" w:rsidP="00B43184">
            <w:pPr>
              <w:ind w:left="-57"/>
              <w:textAlignment w:val="baseline"/>
              <w:rPr>
                <w:rFonts w:ascii="Arial Narrow" w:hAnsi="Arial Narrow" w:cs="Open Sans"/>
                <w:color w:val="333333"/>
                <w:sz w:val="18"/>
                <w:szCs w:val="18"/>
                <w:bdr w:val="none" w:sz="0" w:space="0" w:color="auto" w:frame="1"/>
              </w:rPr>
            </w:pPr>
            <w:r w:rsidRPr="0011200D">
              <w:rPr>
                <w:rFonts w:ascii="Arial Narrow" w:hAnsi="Arial Narrow" w:cs="Open Sans"/>
                <w:color w:val="333333"/>
                <w:sz w:val="18"/>
                <w:szCs w:val="18"/>
                <w:bdr w:val="none" w:sz="0" w:space="0" w:color="auto" w:frame="1"/>
              </w:rPr>
              <w:t xml:space="preserve">10415E / vedolizumab 300 mg injection, 1 </w:t>
            </w:r>
            <w:proofErr w:type="gramStart"/>
            <w:r w:rsidRPr="0011200D">
              <w:rPr>
                <w:rFonts w:ascii="Arial Narrow" w:hAnsi="Arial Narrow" w:cs="Open Sans"/>
                <w:color w:val="333333"/>
                <w:sz w:val="18"/>
                <w:szCs w:val="18"/>
                <w:bdr w:val="none" w:sz="0" w:space="0" w:color="auto" w:frame="1"/>
              </w:rPr>
              <w:t>vial</w:t>
            </w:r>
            <w:proofErr w:type="gramEnd"/>
          </w:p>
          <w:p w14:paraId="17FDA89F" w14:textId="77777777" w:rsidR="004E5B84" w:rsidRPr="0011200D" w:rsidRDefault="004E5B84" w:rsidP="00B43184">
            <w:pPr>
              <w:ind w:left="-57"/>
              <w:textAlignment w:val="baseline"/>
              <w:rPr>
                <w:rFonts w:ascii="Arial Narrow" w:hAnsi="Arial Narrow" w:cs="Open Sans"/>
                <w:color w:val="333333"/>
                <w:sz w:val="18"/>
                <w:szCs w:val="18"/>
                <w:bdr w:val="none" w:sz="0" w:space="0" w:color="auto" w:frame="1"/>
              </w:rPr>
            </w:pPr>
            <w:r w:rsidRPr="0011200D">
              <w:rPr>
                <w:rFonts w:ascii="Arial Narrow" w:hAnsi="Arial Narrow" w:cs="Open Sans"/>
                <w:color w:val="333333"/>
                <w:sz w:val="18"/>
                <w:szCs w:val="18"/>
                <w:bdr w:val="none" w:sz="0" w:space="0" w:color="auto" w:frame="1"/>
              </w:rPr>
              <w:t>12638E / vedolizumab 108 mg/0.68 mL injection, 2 x 0.68 mL pen devices</w:t>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p>
          <w:p w14:paraId="793A941B" w14:textId="77777777" w:rsidR="004E5B84" w:rsidRPr="0011200D" w:rsidRDefault="004E5B84" w:rsidP="00B43184">
            <w:pPr>
              <w:ind w:left="-57"/>
              <w:textAlignment w:val="baseline"/>
              <w:rPr>
                <w:rFonts w:ascii="Arial Narrow" w:hAnsi="Arial Narrow" w:cs="Open Sans"/>
                <w:color w:val="333333"/>
                <w:sz w:val="18"/>
                <w:szCs w:val="18"/>
                <w:bdr w:val="none" w:sz="0" w:space="0" w:color="auto" w:frame="1"/>
              </w:rPr>
            </w:pPr>
            <w:r w:rsidRPr="0011200D">
              <w:rPr>
                <w:rFonts w:ascii="Arial Narrow" w:hAnsi="Arial Narrow" w:cs="Open Sans"/>
                <w:color w:val="333333"/>
                <w:sz w:val="18"/>
                <w:szCs w:val="18"/>
                <w:bdr w:val="none" w:sz="0" w:space="0" w:color="auto" w:frame="1"/>
              </w:rPr>
              <w:t>12654B / vedolizumab 108 mg/0.68 mL injection, 2 x 0.68 mL pen devices</w:t>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r w:rsidRPr="0011200D">
              <w:rPr>
                <w:rFonts w:ascii="Arial Narrow" w:hAnsi="Arial Narrow" w:cs="Open Sans"/>
                <w:color w:val="333333"/>
                <w:sz w:val="18"/>
                <w:szCs w:val="18"/>
                <w:bdr w:val="none" w:sz="0" w:space="0" w:color="auto" w:frame="1"/>
              </w:rPr>
              <w:tab/>
            </w:r>
          </w:p>
          <w:p w14:paraId="5750C06D" w14:textId="77777777" w:rsidR="004E5B84" w:rsidRPr="00363957" w:rsidRDefault="004E5B84" w:rsidP="00B43184">
            <w:pPr>
              <w:ind w:left="-57"/>
              <w:textAlignment w:val="baseline"/>
              <w:rPr>
                <w:rFonts w:ascii="Arial Narrow" w:hAnsi="Arial Narrow" w:cs="Open Sans"/>
                <w:b/>
                <w:bCs/>
                <w:color w:val="333333"/>
                <w:sz w:val="18"/>
                <w:szCs w:val="18"/>
                <w:bdr w:val="none" w:sz="0" w:space="0" w:color="auto" w:frame="1"/>
              </w:rPr>
            </w:pPr>
            <w:r w:rsidRPr="0011200D">
              <w:rPr>
                <w:rFonts w:ascii="Arial Narrow" w:hAnsi="Arial Narrow" w:cs="Open Sans"/>
                <w:color w:val="333333"/>
                <w:sz w:val="18"/>
                <w:szCs w:val="18"/>
                <w:bdr w:val="none" w:sz="0" w:space="0" w:color="auto" w:frame="1"/>
              </w:rPr>
              <w:t>12620F / vedolizumab 108 mg/0.68 mL injection, 2 x 0.68 mL pen devices</w:t>
            </w:r>
          </w:p>
        </w:tc>
      </w:tr>
    </w:tbl>
    <w:p w14:paraId="35E3ECD8" w14:textId="77777777" w:rsidR="004E5B84" w:rsidRPr="009658FC" w:rsidRDefault="004E5B84" w:rsidP="004E5B84">
      <w:pPr>
        <w:ind w:left="360"/>
      </w:pPr>
    </w:p>
    <w:p w14:paraId="00AC3D5F" w14:textId="4E7BDB79" w:rsidR="009F1285" w:rsidRPr="00740BCD" w:rsidRDefault="007A723C" w:rsidP="00FC6769">
      <w:r w:rsidRPr="00BB6D30">
        <w:rPr>
          <w:rFonts w:asciiTheme="minorHAnsi" w:hAnsiTheme="minorHAnsi"/>
          <w:b/>
          <w:bCs/>
          <w:i/>
          <w:szCs w:val="22"/>
        </w:rPr>
        <w:t>This restriction may be subject to further review. Should there be any changes made to the restriction the sponsor will be informed</w:t>
      </w:r>
      <w:r w:rsidRPr="007F262A">
        <w:rPr>
          <w:rFonts w:asciiTheme="minorHAnsi" w:hAnsiTheme="minorHAnsi"/>
          <w:szCs w:val="22"/>
        </w:rPr>
        <w:t>.</w:t>
      </w:r>
    </w:p>
    <w:p w14:paraId="0E171DA1" w14:textId="50619F31" w:rsidR="0016492D" w:rsidRDefault="0016492D" w:rsidP="004D2EE7">
      <w:pPr>
        <w:pStyle w:val="Bodytextitalics"/>
        <w:ind w:left="0" w:firstLine="0"/>
      </w:pPr>
      <w:bookmarkStart w:id="132" w:name="_Toc22898865"/>
      <w:bookmarkEnd w:id="115"/>
      <w:bookmarkEnd w:id="116"/>
      <w:bookmarkEnd w:id="117"/>
    </w:p>
    <w:bookmarkEnd w:id="132"/>
    <w:p w14:paraId="656C9FB0" w14:textId="77777777" w:rsidR="00D42558" w:rsidRDefault="00D42558" w:rsidP="00D42558">
      <w:pPr>
        <w:pStyle w:val="2-SectionHeading"/>
        <w:rPr>
          <w:bCs/>
          <w:lang w:val="en-GB"/>
        </w:rPr>
      </w:pPr>
      <w:r w:rsidRPr="00C07617">
        <w:t>Context for Decision</w:t>
      </w:r>
    </w:p>
    <w:p w14:paraId="13371AAD" w14:textId="77777777" w:rsidR="00D42558" w:rsidRPr="007129F2" w:rsidRDefault="00D42558" w:rsidP="00D42558">
      <w:pPr>
        <w:spacing w:after="120"/>
        <w:ind w:left="720"/>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7129F2">
        <w:rPr>
          <w:rFonts w:asciiTheme="minorHAnsi" w:hAnsiTheme="minorHAnsi"/>
          <w:bCs/>
          <w:lang w:val="en-GB"/>
        </w:rPr>
        <w:t>be made</w:t>
      </w:r>
      <w:proofErr w:type="gramEnd"/>
      <w:r w:rsidRPr="007129F2">
        <w:rPr>
          <w:rFonts w:asciiTheme="minorHAnsi" w:hAnsiTheme="minorHAnsi"/>
          <w:bCs/>
          <w:lang w:val="en-GB"/>
        </w:rPr>
        <w:t xml:space="preserve"> available through the PBS. The PBAC welcomes applications containing </w:t>
      </w:r>
      <w:proofErr w:type="gramStart"/>
      <w:r w:rsidRPr="007129F2">
        <w:rPr>
          <w:rFonts w:asciiTheme="minorHAnsi" w:hAnsiTheme="minorHAnsi"/>
          <w:bCs/>
          <w:lang w:val="en-GB"/>
        </w:rPr>
        <w:t>new information</w:t>
      </w:r>
      <w:proofErr w:type="gramEnd"/>
      <w:r w:rsidRPr="007129F2">
        <w:rPr>
          <w:rFonts w:asciiTheme="minorHAnsi" w:hAnsiTheme="minorHAnsi"/>
          <w:bCs/>
          <w:lang w:val="en-GB"/>
        </w:rPr>
        <w:t xml:space="preserve"> at any time.</w:t>
      </w:r>
    </w:p>
    <w:p w14:paraId="44071C5D" w14:textId="0FE06069" w:rsidR="00D42558" w:rsidRPr="00C07617" w:rsidRDefault="00D42558" w:rsidP="00D42558">
      <w:pPr>
        <w:pStyle w:val="2-SectionHeading"/>
      </w:pPr>
      <w:r>
        <w:t>Sponsor’s Comment</w:t>
      </w:r>
    </w:p>
    <w:p w14:paraId="7352B896" w14:textId="5AB72E7B" w:rsidR="00572C05" w:rsidRPr="00D42558" w:rsidRDefault="00D42558" w:rsidP="00D42558">
      <w:pPr>
        <w:spacing w:after="120"/>
        <w:ind w:left="426" w:firstLine="294"/>
        <w:rPr>
          <w:rFonts w:asciiTheme="minorHAnsi" w:hAnsiTheme="minorHAnsi"/>
          <w:bCs/>
        </w:rPr>
      </w:pPr>
      <w:r w:rsidRPr="00C07617">
        <w:rPr>
          <w:rFonts w:asciiTheme="minorHAnsi" w:hAnsiTheme="minorHAnsi"/>
          <w:bCs/>
        </w:rPr>
        <w:t>The sponsor had no comment.</w:t>
      </w:r>
    </w:p>
    <w:sectPr w:rsidR="00572C05" w:rsidRPr="00D42558" w:rsidSect="00EF202F">
      <w:headerReference w:type="default"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9F5E" w14:textId="77777777" w:rsidR="00754876" w:rsidRDefault="00754876" w:rsidP="00124A51">
      <w:r>
        <w:separator/>
      </w:r>
    </w:p>
    <w:p w14:paraId="2F93B024" w14:textId="77777777" w:rsidR="00754876" w:rsidRDefault="00754876"/>
  </w:endnote>
  <w:endnote w:type="continuationSeparator" w:id="0">
    <w:p w14:paraId="594026AC" w14:textId="77777777" w:rsidR="00754876" w:rsidRDefault="00754876" w:rsidP="00124A51">
      <w:r>
        <w:continuationSeparator/>
      </w:r>
    </w:p>
    <w:p w14:paraId="0D187AD7" w14:textId="77777777" w:rsidR="00754876" w:rsidRDefault="00754876"/>
  </w:endnote>
  <w:endnote w:type="continuationNotice" w:id="1">
    <w:p w14:paraId="065286C9" w14:textId="77777777" w:rsidR="00754876" w:rsidRDefault="00754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9FA2" w14:textId="77777777" w:rsidR="00EF202F" w:rsidRDefault="00EF202F" w:rsidP="00F207E0">
    <w:pPr>
      <w:pStyle w:val="Footer"/>
      <w:jc w:val="center"/>
    </w:pPr>
  </w:p>
  <w:bookmarkStart w:id="134" w:name="_Hlk76375156"/>
  <w:p w14:paraId="253AA139" w14:textId="4D1F3C44" w:rsidR="000307A2" w:rsidRPr="00E50289" w:rsidRDefault="00E50289" w:rsidP="00E50289">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13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3FF3" w14:textId="291AEBE0" w:rsidR="00F207E0" w:rsidRPr="00B02BF7" w:rsidRDefault="00B02BF7" w:rsidP="00B02BF7">
    <w:pPr>
      <w:pStyle w:val="Footer"/>
      <w:jc w:val="center"/>
    </w:pPr>
    <w:r w:rsidRPr="00B02BF7">
      <w:t>March 2023 PBAC meeting – Commercial-In-Confidence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C0DA" w14:textId="77777777" w:rsidR="00754876" w:rsidRDefault="00754876" w:rsidP="00124A51">
      <w:r>
        <w:separator/>
      </w:r>
    </w:p>
    <w:p w14:paraId="21142E69" w14:textId="77777777" w:rsidR="00754876" w:rsidRDefault="00754876"/>
  </w:footnote>
  <w:footnote w:type="continuationSeparator" w:id="0">
    <w:p w14:paraId="5D5C7AF5" w14:textId="77777777" w:rsidR="00754876" w:rsidRDefault="00754876" w:rsidP="00124A51">
      <w:r>
        <w:continuationSeparator/>
      </w:r>
    </w:p>
    <w:p w14:paraId="3FE5FF8A" w14:textId="77777777" w:rsidR="00754876" w:rsidRDefault="00754876"/>
  </w:footnote>
  <w:footnote w:type="continuationNotice" w:id="1">
    <w:p w14:paraId="2C4D8C98" w14:textId="77777777" w:rsidR="00754876" w:rsidRDefault="00754876"/>
  </w:footnote>
  <w:footnote w:id="2">
    <w:p w14:paraId="5D44263A" w14:textId="4DD37163" w:rsidR="0059604F" w:rsidRPr="00BF3250" w:rsidRDefault="0059604F">
      <w:pPr>
        <w:pStyle w:val="FootnoteText"/>
        <w:rPr>
          <w:sz w:val="18"/>
          <w:szCs w:val="18"/>
          <w:lang w:val="en-US"/>
        </w:rPr>
      </w:pPr>
      <w:r w:rsidRPr="00BF3250">
        <w:rPr>
          <w:rStyle w:val="FootnoteReference"/>
          <w:sz w:val="18"/>
          <w:szCs w:val="18"/>
        </w:rPr>
        <w:footnoteRef/>
      </w:r>
      <w:r w:rsidRPr="00BF3250">
        <w:rPr>
          <w:sz w:val="18"/>
          <w:szCs w:val="18"/>
        </w:rPr>
        <w:t xml:space="preserve"> Paragraph 6.11. Risankizumab, Public Summary Document, July 2022 PBAC meeting.</w:t>
      </w:r>
      <w:r w:rsidR="000C52FF">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37E1" w14:textId="27DC7B3B" w:rsidR="00E50289" w:rsidRPr="00D42558" w:rsidRDefault="00D42558" w:rsidP="00E50289">
    <w:pPr>
      <w:pStyle w:val="Header"/>
      <w:ind w:left="360"/>
      <w:rPr>
        <w:rFonts w:asciiTheme="minorHAnsi" w:hAnsiTheme="minorHAnsi"/>
        <w:i/>
      </w:rPr>
    </w:pPr>
    <w:bookmarkStart w:id="133" w:name="_Hlk76375146"/>
    <w:r w:rsidRPr="00D42558">
      <w:rPr>
        <w:rFonts w:asciiTheme="minorHAnsi" w:hAnsiTheme="minorHAnsi"/>
        <w:i/>
      </w:rPr>
      <w:t>Public Summary Document</w:t>
    </w:r>
    <w:r w:rsidR="00E50289" w:rsidRPr="00D42558">
      <w:rPr>
        <w:rFonts w:asciiTheme="minorHAnsi" w:hAnsiTheme="minorHAnsi"/>
        <w:i/>
      </w:rPr>
      <w:t xml:space="preserve"> – July 2023 PBAC Meeting</w:t>
    </w:r>
  </w:p>
  <w:bookmarkEnd w:id="133"/>
  <w:p w14:paraId="2FD25A1C" w14:textId="77777777" w:rsidR="00FF0BCD" w:rsidRPr="00FF0BCD" w:rsidRDefault="00FF0BCD" w:rsidP="00FF0BCD">
    <w:pPr>
      <w:pStyle w:val="Header"/>
      <w:rPr>
        <w:rFonts w:asciiTheme="minorHAnsi" w:hAnsiTheme="minorHAnsi"/>
        <w:i/>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3683" w14:textId="19E7D9DD" w:rsidR="00F207E0" w:rsidRDefault="00B02BF7" w:rsidP="00B02BF7">
    <w:pPr>
      <w:tabs>
        <w:tab w:val="left" w:pos="142"/>
        <w:tab w:val="right" w:pos="9026"/>
      </w:tabs>
      <w:jc w:val="left"/>
    </w:pPr>
    <w:r>
      <w:t>UPADACITINIB</w:t>
    </w:r>
    <w:r>
      <w:tab/>
      <w:t>X.XX.COM.</w:t>
    </w:r>
    <w:r>
      <w:fldChar w:fldCharType="begin"/>
    </w:r>
    <w:r>
      <w:instrText xml:space="preserve"> PAGE   \* MERGEFORMAT </w:instrText>
    </w:r>
    <w:r>
      <w:fldChar w:fldCharType="separate"/>
    </w:r>
    <w:r>
      <w:t>138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2D21E5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9E445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FC65AA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EA0ADD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1886289"/>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9D2EAE"/>
    <w:multiLevelType w:val="multilevel"/>
    <w:tmpl w:val="611E4A24"/>
    <w:styleLink w:val="CurrentList4"/>
    <w:lvl w:ilvl="0">
      <w:start w:val="1"/>
      <w:numFmt w:val="none"/>
      <w:lvlText w:val=""/>
      <w:lvlJc w:val="left"/>
      <w:pPr>
        <w:ind w:left="432" w:hanging="432"/>
      </w:pPr>
      <w:rPr>
        <w:rFonts w:hint="default"/>
      </w:rPr>
    </w:lvl>
    <w:lvl w:ilvl="1">
      <w:start w:val="1"/>
      <w:numFmt w:val="decimal"/>
      <w:lvlText w:val="Section %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E.%3"/>
      <w:lvlJc w:val="left"/>
      <w:pPr>
        <w:ind w:left="720" w:hanging="720"/>
      </w:pPr>
      <w:rPr>
        <w:rFonts w:hint="default"/>
      </w:rPr>
    </w:lvl>
    <w:lvl w:ilvl="3">
      <w:start w:val="1"/>
      <w:numFmt w:val="decimal"/>
      <w:lvlText w:val="E.%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DF4206"/>
    <w:multiLevelType w:val="hybridMultilevel"/>
    <w:tmpl w:val="AAE6D9B6"/>
    <w:styleLink w:val="CurrentList151"/>
    <w:lvl w:ilvl="0" w:tplc="399A3B2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F01499D"/>
    <w:multiLevelType w:val="hybridMultilevel"/>
    <w:tmpl w:val="AFDE4292"/>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0" w15:restartNumberingAfterBreak="0">
    <w:nsid w:val="11743C87"/>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894DEE"/>
    <w:multiLevelType w:val="hybridMultilevel"/>
    <w:tmpl w:val="AC50F8F4"/>
    <w:lvl w:ilvl="0" w:tplc="DF64973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B573D5"/>
    <w:multiLevelType w:val="multilevel"/>
    <w:tmpl w:val="C844666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612AB1"/>
    <w:multiLevelType w:val="hybridMultilevel"/>
    <w:tmpl w:val="03B81D9C"/>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F7622F"/>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3B6274A"/>
    <w:multiLevelType w:val="hybridMultilevel"/>
    <w:tmpl w:val="E07A47CC"/>
    <w:lvl w:ilvl="0" w:tplc="E1B6BF4A">
      <w:start w:val="1"/>
      <w:numFmt w:val="decimal"/>
      <w:lvlText w:val="%1."/>
      <w:lvlJc w:val="left"/>
      <w:pPr>
        <w:ind w:left="1778"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3DB3717"/>
    <w:multiLevelType w:val="multilevel"/>
    <w:tmpl w:val="249031CC"/>
    <w:styleLink w:val="CurrentList5"/>
    <w:lvl w:ilvl="0">
      <w:start w:val="1"/>
      <w:numFmt w:val="none"/>
      <w:lvlText w:val=""/>
      <w:lvlJc w:val="left"/>
      <w:pPr>
        <w:ind w:left="432" w:hanging="432"/>
      </w:pPr>
      <w:rPr>
        <w:rFonts w:hint="default"/>
      </w:rPr>
    </w:lvl>
    <w:lvl w:ilvl="1">
      <w:start w:val="1"/>
      <w:numFmt w:val="decimal"/>
      <w:lvlText w:val="Section %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7B3E50"/>
    <w:multiLevelType w:val="multilevel"/>
    <w:tmpl w:val="714CEC08"/>
    <w:styleLink w:val="CurrentList6"/>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B0519B1"/>
    <w:multiLevelType w:val="multilevel"/>
    <w:tmpl w:val="A48054F4"/>
    <w:styleLink w:val="CurrentList19"/>
    <w:lvl w:ilvl="0">
      <w:start w:val="1"/>
      <w:numFmt w:val="none"/>
      <w:lvlText w:val=""/>
      <w:lvlJc w:val="left"/>
      <w:pPr>
        <w:ind w:left="432" w:hanging="432"/>
      </w:pPr>
      <w:rPr>
        <w:rFonts w:hint="default"/>
      </w:rPr>
    </w:lvl>
    <w:lvl w:ilvl="1">
      <w:start w:val="1"/>
      <w:numFmt w:val="decimal"/>
      <w:lvlText w:val="Section %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ES.%3"/>
      <w:lvlJc w:val="left"/>
      <w:pPr>
        <w:ind w:left="720" w:hanging="720"/>
      </w:pPr>
      <w:rPr>
        <w:rFonts w:hint="default"/>
      </w:rPr>
    </w:lvl>
    <w:lvl w:ilvl="3">
      <w:start w:val="1"/>
      <w:numFmt w:val="decimal"/>
      <w:lvlText w:val="E.%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A6126F"/>
    <w:multiLevelType w:val="multilevel"/>
    <w:tmpl w:val="8956382C"/>
    <w:styleLink w:val="CurrentList7"/>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364AE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7F10D6"/>
    <w:multiLevelType w:val="multilevel"/>
    <w:tmpl w:val="611E4A24"/>
    <w:styleLink w:val="CurrentList3"/>
    <w:lvl w:ilvl="0">
      <w:start w:val="1"/>
      <w:numFmt w:val="none"/>
      <w:lvlText w:val=""/>
      <w:lvlJc w:val="left"/>
      <w:pPr>
        <w:ind w:left="432" w:hanging="432"/>
      </w:pPr>
      <w:rPr>
        <w:rFonts w:hint="default"/>
      </w:rPr>
    </w:lvl>
    <w:lvl w:ilvl="1">
      <w:start w:val="1"/>
      <w:numFmt w:val="decimal"/>
      <w:lvlText w:val="Section %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E.%3"/>
      <w:lvlJc w:val="left"/>
      <w:pPr>
        <w:ind w:left="720" w:hanging="720"/>
      </w:pPr>
      <w:rPr>
        <w:rFonts w:hint="default"/>
      </w:rPr>
    </w:lvl>
    <w:lvl w:ilvl="3">
      <w:start w:val="1"/>
      <w:numFmt w:val="decimal"/>
      <w:lvlText w:val="E.%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D82567A"/>
    <w:multiLevelType w:val="multilevel"/>
    <w:tmpl w:val="BC4A0B36"/>
    <w:styleLink w:val="CurrentList16"/>
    <w:lvl w:ilvl="0">
      <w:start w:val="1"/>
      <w:numFmt w:val="decimal"/>
      <w:lvlText w:val="Section %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EB143C7"/>
    <w:multiLevelType w:val="multilevel"/>
    <w:tmpl w:val="D7AEBBC0"/>
    <w:styleLink w:val="CurrentList2"/>
    <w:lvl w:ilvl="0">
      <w:start w:val="1"/>
      <w:numFmt w:val="none"/>
      <w:lvlText w:val=""/>
      <w:lvlJc w:val="left"/>
      <w:pPr>
        <w:ind w:left="432" w:hanging="432"/>
      </w:pPr>
      <w:rPr>
        <w:rFonts w:hint="default"/>
      </w:rPr>
    </w:lvl>
    <w:lvl w:ilvl="1">
      <w:start w:val="1"/>
      <w:numFmt w:val="decimal"/>
      <w:lvlText w:val="Section %2"/>
      <w:lvlJc w:val="left"/>
      <w:pPr>
        <w:ind w:left="576" w:hanging="576"/>
      </w:pPr>
      <w:rPr>
        <w:rFonts w:hint="default"/>
      </w:rPr>
    </w:lvl>
    <w:lvl w:ilvl="2">
      <w:start w:val="1"/>
      <w:numFmt w:val="decimal"/>
      <w:lvlText w:val="%1E.%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13727E5"/>
    <w:multiLevelType w:val="multilevel"/>
    <w:tmpl w:val="4E86C55E"/>
    <w:styleLink w:val="CurrentList18"/>
    <w:lvl w:ilvl="0">
      <w:start w:val="1"/>
      <w:numFmt w:val="none"/>
      <w:lvlText w:val=""/>
      <w:lvlJc w:val="left"/>
      <w:pPr>
        <w:ind w:left="432" w:hanging="432"/>
      </w:pPr>
      <w:rPr>
        <w:rFonts w:hint="default"/>
      </w:rPr>
    </w:lvl>
    <w:lvl w:ilvl="1">
      <w:start w:val="1"/>
      <w:numFmt w:val="decimal"/>
      <w:lvlText w:val="Section %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E.%3"/>
      <w:lvlJc w:val="left"/>
      <w:pPr>
        <w:ind w:left="720" w:hanging="720"/>
      </w:pPr>
      <w:rPr>
        <w:rFonts w:hint="default"/>
      </w:rPr>
    </w:lvl>
    <w:lvl w:ilvl="3">
      <w:start w:val="1"/>
      <w:numFmt w:val="decimal"/>
      <w:lvlText w:val="E.%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8D67A6"/>
    <w:multiLevelType w:val="hybridMultilevel"/>
    <w:tmpl w:val="51CA1480"/>
    <w:lvl w:ilvl="0" w:tplc="04090001">
      <w:start w:val="1"/>
      <w:numFmt w:val="bullet"/>
      <w:pStyle w:val="ListParagraph"/>
      <w:lvlText w:val=""/>
      <w:lvlJc w:val="left"/>
      <w:pPr>
        <w:ind w:left="107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26E2D"/>
    <w:multiLevelType w:val="multilevel"/>
    <w:tmpl w:val="824AE24E"/>
    <w:styleLink w:val="CurrentList1"/>
    <w:lvl w:ilvl="0">
      <w:start w:val="1"/>
      <w:numFmt w:val="none"/>
      <w:lvlText w:val=""/>
      <w:lvlJc w:val="left"/>
      <w:pPr>
        <w:ind w:left="432" w:hanging="432"/>
      </w:pPr>
      <w:rPr>
        <w:rFonts w:hint="default"/>
      </w:rPr>
    </w:lvl>
    <w:lvl w:ilvl="1">
      <w:start w:val="1"/>
      <w:numFmt w:val="decimal"/>
      <w:lvlText w:val="Section %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7A026B"/>
    <w:multiLevelType w:val="multilevel"/>
    <w:tmpl w:val="3732F718"/>
    <w:styleLink w:val="CurrentList9"/>
    <w:lvl w:ilvl="0">
      <w:start w:val="1"/>
      <w:numFmt w:val="none"/>
      <w:lvlText w:val=""/>
      <w:lvlJc w:val="left"/>
      <w:pPr>
        <w:ind w:left="432" w:hanging="432"/>
      </w:pPr>
      <w:rPr>
        <w:rFonts w:hint="default"/>
      </w:rPr>
    </w:lvl>
    <w:lvl w:ilvl="1">
      <w:start w:val="1"/>
      <w:numFmt w:val="decimal"/>
      <w:lvlText w:val="Section %2"/>
      <w:lvlJc w:val="left"/>
      <w:pPr>
        <w:ind w:left="576" w:hanging="576"/>
      </w:pPr>
      <w:rPr>
        <w:rFonts w:hint="default"/>
      </w:rPr>
    </w:lvl>
    <w:lvl w:ilvl="2">
      <w:start w:val="1"/>
      <w:numFmt w:val="decimal"/>
      <w:lvlText w:val="%1E.%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4E6A5B"/>
    <w:multiLevelType w:val="multilevel"/>
    <w:tmpl w:val="8A6E0AF8"/>
    <w:styleLink w:val="CurrentList17"/>
    <w:lvl w:ilvl="0">
      <w:start w:val="1"/>
      <w:numFmt w:val="decimal"/>
      <w:lvlText w:val="Section %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8055C9"/>
    <w:multiLevelType w:val="multilevel"/>
    <w:tmpl w:val="8304A480"/>
    <w:styleLink w:val="CurrentList8"/>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60A775B"/>
    <w:multiLevelType w:val="hybridMultilevel"/>
    <w:tmpl w:val="C4848DD8"/>
    <w:lvl w:ilvl="0" w:tplc="49B2B0E4">
      <w:numFmt w:val="bullet"/>
      <w:lvlText w:val="•"/>
      <w:lvlJc w:val="left"/>
      <w:pPr>
        <w:ind w:left="1080" w:hanging="72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C05DF8"/>
    <w:multiLevelType w:val="multilevel"/>
    <w:tmpl w:val="3C74A664"/>
    <w:lvl w:ilvl="0">
      <w:start w:val="1"/>
      <w:numFmt w:val="none"/>
      <w:lvlText w:val=""/>
      <w:lvlJc w:val="left"/>
      <w:pPr>
        <w:ind w:left="432" w:hanging="432"/>
      </w:pPr>
      <w:rPr>
        <w:rFonts w:hint="default"/>
      </w:rPr>
    </w:lvl>
    <w:lvl w:ilvl="1">
      <w:start w:val="1"/>
      <w:numFmt w:val="decimal"/>
      <w:lvlText w:val="Section %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ESHeading3"/>
      <w:lvlText w:val="%1ES.%3"/>
      <w:lvlJc w:val="left"/>
      <w:pPr>
        <w:ind w:left="720" w:hanging="720"/>
      </w:pPr>
      <w:rPr>
        <w:rFonts w:hint="default"/>
      </w:rPr>
    </w:lvl>
    <w:lvl w:ilvl="3">
      <w:start w:val="1"/>
      <w:numFmt w:val="decimal"/>
      <w:pStyle w:val="ESHeading4"/>
      <w:lvlText w:val="ES.%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A6B0AB7"/>
    <w:multiLevelType w:val="hybridMultilevel"/>
    <w:tmpl w:val="B2561848"/>
    <w:lvl w:ilvl="0" w:tplc="84EE3A80">
      <w:start w:val="1"/>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6814129C"/>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982A37"/>
    <w:multiLevelType w:val="hybridMultilevel"/>
    <w:tmpl w:val="75CA20B2"/>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4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F5A2F4F"/>
    <w:multiLevelType w:val="multilevel"/>
    <w:tmpl w:val="08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EC272B"/>
    <w:multiLevelType w:val="hybridMultilevel"/>
    <w:tmpl w:val="F38A98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start w:val="1"/>
      <w:numFmt w:val="decimal"/>
      <w:lvlText w:val="%4."/>
      <w:lvlJc w:val="left"/>
      <w:pPr>
        <w:ind w:left="2989" w:hanging="360"/>
      </w:pPr>
    </w:lvl>
    <w:lvl w:ilvl="4" w:tplc="0C090019">
      <w:start w:val="1"/>
      <w:numFmt w:val="lowerLetter"/>
      <w:lvlText w:val="%5."/>
      <w:lvlJc w:val="left"/>
      <w:pPr>
        <w:ind w:left="3709" w:hanging="360"/>
      </w:pPr>
    </w:lvl>
    <w:lvl w:ilvl="5" w:tplc="0C09001B">
      <w:start w:val="1"/>
      <w:numFmt w:val="lowerRoman"/>
      <w:lvlText w:val="%6."/>
      <w:lvlJc w:val="right"/>
      <w:pPr>
        <w:ind w:left="4429" w:hanging="180"/>
      </w:pPr>
    </w:lvl>
    <w:lvl w:ilvl="6" w:tplc="0C09000F">
      <w:start w:val="1"/>
      <w:numFmt w:val="decimal"/>
      <w:lvlText w:val="%7."/>
      <w:lvlJc w:val="left"/>
      <w:pPr>
        <w:ind w:left="5149" w:hanging="360"/>
      </w:pPr>
    </w:lvl>
    <w:lvl w:ilvl="7" w:tplc="0C090019">
      <w:start w:val="1"/>
      <w:numFmt w:val="lowerLetter"/>
      <w:lvlText w:val="%8."/>
      <w:lvlJc w:val="left"/>
      <w:pPr>
        <w:ind w:left="5869" w:hanging="360"/>
      </w:pPr>
    </w:lvl>
    <w:lvl w:ilvl="8" w:tplc="0C09001B">
      <w:start w:val="1"/>
      <w:numFmt w:val="lowerRoman"/>
      <w:lvlText w:val="%9."/>
      <w:lvlJc w:val="right"/>
      <w:pPr>
        <w:ind w:left="6589" w:hanging="180"/>
      </w:pPr>
    </w:lvl>
  </w:abstractNum>
  <w:num w:numId="1" w16cid:durableId="1028724459">
    <w:abstractNumId w:val="45"/>
  </w:num>
  <w:num w:numId="2" w16cid:durableId="2104832847">
    <w:abstractNumId w:val="28"/>
  </w:num>
  <w:num w:numId="3" w16cid:durableId="568811152">
    <w:abstractNumId w:val="29"/>
  </w:num>
  <w:num w:numId="4" w16cid:durableId="1184630551">
    <w:abstractNumId w:val="3"/>
  </w:num>
  <w:num w:numId="5" w16cid:durableId="2006130298">
    <w:abstractNumId w:val="46"/>
  </w:num>
  <w:num w:numId="6" w16cid:durableId="1696733941">
    <w:abstractNumId w:val="40"/>
  </w:num>
  <w:num w:numId="7" w16cid:durableId="794370540">
    <w:abstractNumId w:val="8"/>
  </w:num>
  <w:num w:numId="8" w16cid:durableId="1070075076">
    <w:abstractNumId w:val="10"/>
  </w:num>
  <w:num w:numId="9" w16cid:durableId="1302539540">
    <w:abstractNumId w:val="0"/>
  </w:num>
  <w:num w:numId="10" w16cid:durableId="10689565">
    <w:abstractNumId w:val="1"/>
  </w:num>
  <w:num w:numId="11" w16cid:durableId="605430251">
    <w:abstractNumId w:val="2"/>
  </w:num>
  <w:num w:numId="12" w16cid:durableId="205260143">
    <w:abstractNumId w:val="30"/>
  </w:num>
  <w:num w:numId="13" w16cid:durableId="787309404">
    <w:abstractNumId w:val="26"/>
  </w:num>
  <w:num w:numId="14" w16cid:durableId="1831561017">
    <w:abstractNumId w:val="37"/>
  </w:num>
  <w:num w:numId="15" w16cid:durableId="242029878">
    <w:abstractNumId w:val="24"/>
  </w:num>
  <w:num w:numId="16" w16cid:durableId="754517759">
    <w:abstractNumId w:val="6"/>
  </w:num>
  <w:num w:numId="17" w16cid:durableId="384721153">
    <w:abstractNumId w:val="17"/>
  </w:num>
  <w:num w:numId="18" w16cid:durableId="501748822">
    <w:abstractNumId w:val="19"/>
  </w:num>
  <w:num w:numId="19" w16cid:durableId="1326544225">
    <w:abstractNumId w:val="22"/>
  </w:num>
  <w:num w:numId="20" w16cid:durableId="678702126">
    <w:abstractNumId w:val="35"/>
  </w:num>
  <w:num w:numId="21" w16cid:durableId="750397719">
    <w:abstractNumId w:val="31"/>
  </w:num>
  <w:num w:numId="22" w16cid:durableId="68313796">
    <w:abstractNumId w:val="5"/>
  </w:num>
  <w:num w:numId="23" w16cid:durableId="1761952575">
    <w:abstractNumId w:val="41"/>
  </w:num>
  <w:num w:numId="24" w16cid:durableId="148912599">
    <w:abstractNumId w:val="23"/>
  </w:num>
  <w:num w:numId="25" w16cid:durableId="1891575098">
    <w:abstractNumId w:val="14"/>
  </w:num>
  <w:num w:numId="26" w16cid:durableId="849293625">
    <w:abstractNumId w:val="44"/>
  </w:num>
  <w:num w:numId="27" w16cid:durableId="286548954">
    <w:abstractNumId w:val="25"/>
  </w:num>
  <w:num w:numId="28" w16cid:durableId="466898412">
    <w:abstractNumId w:val="34"/>
  </w:num>
  <w:num w:numId="29" w16cid:durableId="1299066610">
    <w:abstractNumId w:val="27"/>
  </w:num>
  <w:num w:numId="30" w16cid:durableId="229730837">
    <w:abstractNumId w:val="20"/>
  </w:num>
  <w:num w:numId="31" w16cid:durableId="496654866">
    <w:abstractNumId w:val="36"/>
  </w:num>
  <w:num w:numId="32" w16cid:durableId="603538807">
    <w:abstractNumId w:val="12"/>
  </w:num>
  <w:num w:numId="33" w16cid:durableId="547693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175039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0527420">
    <w:abstractNumId w:val="32"/>
  </w:num>
  <w:num w:numId="36" w16cid:durableId="1959985583">
    <w:abstractNumId w:val="33"/>
  </w:num>
  <w:num w:numId="37" w16cid:durableId="1496922420">
    <w:abstractNumId w:val="7"/>
  </w:num>
  <w:num w:numId="38" w16cid:durableId="646979971">
    <w:abstractNumId w:val="4"/>
  </w:num>
  <w:num w:numId="39" w16cid:durableId="2123455567">
    <w:abstractNumId w:val="18"/>
  </w:num>
  <w:num w:numId="40" w16cid:durableId="784621084">
    <w:abstractNumId w:val="21"/>
  </w:num>
  <w:num w:numId="41" w16cid:durableId="237791970">
    <w:abstractNumId w:val="15"/>
  </w:num>
  <w:num w:numId="42" w16cid:durableId="111216877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6549480">
    <w:abstractNumId w:val="43"/>
  </w:num>
  <w:num w:numId="44" w16cid:durableId="876620368">
    <w:abstractNumId w:val="16"/>
  </w:num>
  <w:num w:numId="45" w16cid:durableId="593319436">
    <w:abstractNumId w:val="13"/>
  </w:num>
  <w:num w:numId="46" w16cid:durableId="1023240301">
    <w:abstractNumId w:val="38"/>
  </w:num>
  <w:num w:numId="47" w16cid:durableId="1061632229">
    <w:abstractNumId w:val="9"/>
  </w:num>
  <w:num w:numId="48" w16cid:durableId="1898054918">
    <w:abstractNumId w:val="42"/>
  </w:num>
  <w:num w:numId="49" w16cid:durableId="122619402">
    <w:abstractNumId w:val="11"/>
  </w:num>
  <w:num w:numId="50" w16cid:durableId="1434935976">
    <w:abstractNumId w:val="45"/>
  </w:num>
  <w:num w:numId="51" w16cid:durableId="1500072991">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NTE0NDM2NzI2MjBV0lEKTi0uzszPAykwtDSrBQD6CVMXLgAAAA=="/>
  </w:docVars>
  <w:rsids>
    <w:rsidRoot w:val="00E65E79"/>
    <w:rsid w:val="00000790"/>
    <w:rsid w:val="0000110B"/>
    <w:rsid w:val="00001C8C"/>
    <w:rsid w:val="00002038"/>
    <w:rsid w:val="00002521"/>
    <w:rsid w:val="00002963"/>
    <w:rsid w:val="00003499"/>
    <w:rsid w:val="000039B7"/>
    <w:rsid w:val="0000440C"/>
    <w:rsid w:val="00004A91"/>
    <w:rsid w:val="00006293"/>
    <w:rsid w:val="0000639A"/>
    <w:rsid w:val="000069AD"/>
    <w:rsid w:val="00006F6E"/>
    <w:rsid w:val="000073E7"/>
    <w:rsid w:val="00010A02"/>
    <w:rsid w:val="00010FBA"/>
    <w:rsid w:val="00011086"/>
    <w:rsid w:val="000112F6"/>
    <w:rsid w:val="000122D0"/>
    <w:rsid w:val="00013247"/>
    <w:rsid w:val="000135FB"/>
    <w:rsid w:val="00013B87"/>
    <w:rsid w:val="00013F98"/>
    <w:rsid w:val="00014AB7"/>
    <w:rsid w:val="00014C53"/>
    <w:rsid w:val="000153EA"/>
    <w:rsid w:val="00015886"/>
    <w:rsid w:val="00015BC4"/>
    <w:rsid w:val="00016225"/>
    <w:rsid w:val="000162EF"/>
    <w:rsid w:val="00016F38"/>
    <w:rsid w:val="000175FD"/>
    <w:rsid w:val="000178CA"/>
    <w:rsid w:val="00017D53"/>
    <w:rsid w:val="000207C9"/>
    <w:rsid w:val="00020A0D"/>
    <w:rsid w:val="00020D0E"/>
    <w:rsid w:val="000211F4"/>
    <w:rsid w:val="0002225F"/>
    <w:rsid w:val="00022974"/>
    <w:rsid w:val="00022BA5"/>
    <w:rsid w:val="00023763"/>
    <w:rsid w:val="000256FF"/>
    <w:rsid w:val="00026D14"/>
    <w:rsid w:val="00026F9C"/>
    <w:rsid w:val="000274B8"/>
    <w:rsid w:val="000307A2"/>
    <w:rsid w:val="000309C0"/>
    <w:rsid w:val="000317D3"/>
    <w:rsid w:val="00032411"/>
    <w:rsid w:val="000327D0"/>
    <w:rsid w:val="000329F1"/>
    <w:rsid w:val="00032CD3"/>
    <w:rsid w:val="00033863"/>
    <w:rsid w:val="000345AE"/>
    <w:rsid w:val="00035059"/>
    <w:rsid w:val="00035DC0"/>
    <w:rsid w:val="00036829"/>
    <w:rsid w:val="0003684A"/>
    <w:rsid w:val="00036F5C"/>
    <w:rsid w:val="000376EA"/>
    <w:rsid w:val="00040200"/>
    <w:rsid w:val="00040338"/>
    <w:rsid w:val="00040895"/>
    <w:rsid w:val="000417D2"/>
    <w:rsid w:val="0004332C"/>
    <w:rsid w:val="000435EE"/>
    <w:rsid w:val="00043C37"/>
    <w:rsid w:val="0004432B"/>
    <w:rsid w:val="0004495B"/>
    <w:rsid w:val="00044F60"/>
    <w:rsid w:val="00045017"/>
    <w:rsid w:val="000456B1"/>
    <w:rsid w:val="00045A2B"/>
    <w:rsid w:val="00045D3D"/>
    <w:rsid w:val="0004698F"/>
    <w:rsid w:val="00046A88"/>
    <w:rsid w:val="0004720E"/>
    <w:rsid w:val="00050E8A"/>
    <w:rsid w:val="00050FB0"/>
    <w:rsid w:val="0005102A"/>
    <w:rsid w:val="00051AC9"/>
    <w:rsid w:val="00052ECA"/>
    <w:rsid w:val="00053757"/>
    <w:rsid w:val="000539D0"/>
    <w:rsid w:val="00053F05"/>
    <w:rsid w:val="00053FD3"/>
    <w:rsid w:val="000540F3"/>
    <w:rsid w:val="00054621"/>
    <w:rsid w:val="000546D7"/>
    <w:rsid w:val="00055C0D"/>
    <w:rsid w:val="000565B3"/>
    <w:rsid w:val="00056ECF"/>
    <w:rsid w:val="000604DF"/>
    <w:rsid w:val="00061F7D"/>
    <w:rsid w:val="000625E1"/>
    <w:rsid w:val="00063803"/>
    <w:rsid w:val="0006480B"/>
    <w:rsid w:val="00064C43"/>
    <w:rsid w:val="00064C55"/>
    <w:rsid w:val="00064F0B"/>
    <w:rsid w:val="000653B5"/>
    <w:rsid w:val="00065B56"/>
    <w:rsid w:val="0006627C"/>
    <w:rsid w:val="00066360"/>
    <w:rsid w:val="000669B6"/>
    <w:rsid w:val="00066AF8"/>
    <w:rsid w:val="00066E8B"/>
    <w:rsid w:val="0006778A"/>
    <w:rsid w:val="00071248"/>
    <w:rsid w:val="000716E9"/>
    <w:rsid w:val="00071C3D"/>
    <w:rsid w:val="000720B9"/>
    <w:rsid w:val="00073735"/>
    <w:rsid w:val="000737F7"/>
    <w:rsid w:val="00073A49"/>
    <w:rsid w:val="00075E64"/>
    <w:rsid w:val="00075F0B"/>
    <w:rsid w:val="0007672F"/>
    <w:rsid w:val="00076B54"/>
    <w:rsid w:val="000774F0"/>
    <w:rsid w:val="000779B8"/>
    <w:rsid w:val="00080909"/>
    <w:rsid w:val="00080C0D"/>
    <w:rsid w:val="0008116D"/>
    <w:rsid w:val="000812CA"/>
    <w:rsid w:val="00081A43"/>
    <w:rsid w:val="00081CF9"/>
    <w:rsid w:val="00081E63"/>
    <w:rsid w:val="0008258D"/>
    <w:rsid w:val="00082D75"/>
    <w:rsid w:val="00083606"/>
    <w:rsid w:val="00083D22"/>
    <w:rsid w:val="00083E99"/>
    <w:rsid w:val="00084485"/>
    <w:rsid w:val="00084A47"/>
    <w:rsid w:val="00084F34"/>
    <w:rsid w:val="00084FA8"/>
    <w:rsid w:val="000856C5"/>
    <w:rsid w:val="00085C31"/>
    <w:rsid w:val="0008656A"/>
    <w:rsid w:val="00086ED1"/>
    <w:rsid w:val="00087BEF"/>
    <w:rsid w:val="000902D9"/>
    <w:rsid w:val="00090C7E"/>
    <w:rsid w:val="00091A63"/>
    <w:rsid w:val="00092600"/>
    <w:rsid w:val="0009262B"/>
    <w:rsid w:val="00092D19"/>
    <w:rsid w:val="00093310"/>
    <w:rsid w:val="000942E7"/>
    <w:rsid w:val="0009445C"/>
    <w:rsid w:val="00094E07"/>
    <w:rsid w:val="00095200"/>
    <w:rsid w:val="0009561F"/>
    <w:rsid w:val="00095DF0"/>
    <w:rsid w:val="00095FE5"/>
    <w:rsid w:val="00096284"/>
    <w:rsid w:val="00096641"/>
    <w:rsid w:val="00096DE4"/>
    <w:rsid w:val="000971CE"/>
    <w:rsid w:val="00097C1E"/>
    <w:rsid w:val="000A050E"/>
    <w:rsid w:val="000A078D"/>
    <w:rsid w:val="000A1BC0"/>
    <w:rsid w:val="000A242A"/>
    <w:rsid w:val="000A279E"/>
    <w:rsid w:val="000A44F7"/>
    <w:rsid w:val="000A4B1F"/>
    <w:rsid w:val="000A4EBE"/>
    <w:rsid w:val="000A5438"/>
    <w:rsid w:val="000A5C4D"/>
    <w:rsid w:val="000A6039"/>
    <w:rsid w:val="000A6539"/>
    <w:rsid w:val="000A6827"/>
    <w:rsid w:val="000A7453"/>
    <w:rsid w:val="000A7A0D"/>
    <w:rsid w:val="000A7D08"/>
    <w:rsid w:val="000B0121"/>
    <w:rsid w:val="000B0670"/>
    <w:rsid w:val="000B0E75"/>
    <w:rsid w:val="000B1694"/>
    <w:rsid w:val="000B1E4E"/>
    <w:rsid w:val="000B203F"/>
    <w:rsid w:val="000B2612"/>
    <w:rsid w:val="000B2DCB"/>
    <w:rsid w:val="000B48A7"/>
    <w:rsid w:val="000B4D91"/>
    <w:rsid w:val="000B53C4"/>
    <w:rsid w:val="000B555C"/>
    <w:rsid w:val="000B578B"/>
    <w:rsid w:val="000B5CE0"/>
    <w:rsid w:val="000B60DC"/>
    <w:rsid w:val="000B6C2F"/>
    <w:rsid w:val="000B6CAC"/>
    <w:rsid w:val="000B7612"/>
    <w:rsid w:val="000B78AE"/>
    <w:rsid w:val="000C018E"/>
    <w:rsid w:val="000C24B5"/>
    <w:rsid w:val="000C29D3"/>
    <w:rsid w:val="000C3DD4"/>
    <w:rsid w:val="000C3DF9"/>
    <w:rsid w:val="000C4788"/>
    <w:rsid w:val="000C4954"/>
    <w:rsid w:val="000C52FF"/>
    <w:rsid w:val="000C58D2"/>
    <w:rsid w:val="000C5D1F"/>
    <w:rsid w:val="000C6713"/>
    <w:rsid w:val="000C6766"/>
    <w:rsid w:val="000C67A4"/>
    <w:rsid w:val="000C7D34"/>
    <w:rsid w:val="000D0A31"/>
    <w:rsid w:val="000D1BFC"/>
    <w:rsid w:val="000D1C71"/>
    <w:rsid w:val="000D1D5D"/>
    <w:rsid w:val="000D20F7"/>
    <w:rsid w:val="000D281A"/>
    <w:rsid w:val="000D2848"/>
    <w:rsid w:val="000D326A"/>
    <w:rsid w:val="000D35B1"/>
    <w:rsid w:val="000D361B"/>
    <w:rsid w:val="000D51FB"/>
    <w:rsid w:val="000D57AD"/>
    <w:rsid w:val="000D6268"/>
    <w:rsid w:val="000D7915"/>
    <w:rsid w:val="000D7B73"/>
    <w:rsid w:val="000D7F7E"/>
    <w:rsid w:val="000E0640"/>
    <w:rsid w:val="000E0CF2"/>
    <w:rsid w:val="000E0E14"/>
    <w:rsid w:val="000E106F"/>
    <w:rsid w:val="000E135D"/>
    <w:rsid w:val="000E13B3"/>
    <w:rsid w:val="000E1409"/>
    <w:rsid w:val="000E16FD"/>
    <w:rsid w:val="000E1B0D"/>
    <w:rsid w:val="000E1FCA"/>
    <w:rsid w:val="000E24A5"/>
    <w:rsid w:val="000E26EB"/>
    <w:rsid w:val="000E2CBC"/>
    <w:rsid w:val="000E34ED"/>
    <w:rsid w:val="000E4712"/>
    <w:rsid w:val="000E72BD"/>
    <w:rsid w:val="000F00BA"/>
    <w:rsid w:val="000F22CB"/>
    <w:rsid w:val="000F316A"/>
    <w:rsid w:val="000F33B7"/>
    <w:rsid w:val="000F3C04"/>
    <w:rsid w:val="000F3C74"/>
    <w:rsid w:val="000F3E34"/>
    <w:rsid w:val="000F4B8F"/>
    <w:rsid w:val="000F4BB8"/>
    <w:rsid w:val="000F4FA9"/>
    <w:rsid w:val="000F53FB"/>
    <w:rsid w:val="000F557E"/>
    <w:rsid w:val="000F7127"/>
    <w:rsid w:val="000F7B54"/>
    <w:rsid w:val="000F7CDC"/>
    <w:rsid w:val="0010034B"/>
    <w:rsid w:val="00100F8A"/>
    <w:rsid w:val="0010138E"/>
    <w:rsid w:val="00101A5F"/>
    <w:rsid w:val="00101D01"/>
    <w:rsid w:val="001028D0"/>
    <w:rsid w:val="0010347E"/>
    <w:rsid w:val="00103654"/>
    <w:rsid w:val="0010390C"/>
    <w:rsid w:val="001044E5"/>
    <w:rsid w:val="0010452E"/>
    <w:rsid w:val="0010478F"/>
    <w:rsid w:val="001057EF"/>
    <w:rsid w:val="00105AE2"/>
    <w:rsid w:val="001060C6"/>
    <w:rsid w:val="0010618B"/>
    <w:rsid w:val="0010698A"/>
    <w:rsid w:val="00106B80"/>
    <w:rsid w:val="00107BC5"/>
    <w:rsid w:val="0011032E"/>
    <w:rsid w:val="0011143A"/>
    <w:rsid w:val="001115F3"/>
    <w:rsid w:val="0011230C"/>
    <w:rsid w:val="00112325"/>
    <w:rsid w:val="001127FB"/>
    <w:rsid w:val="0011348B"/>
    <w:rsid w:val="00113927"/>
    <w:rsid w:val="00114F77"/>
    <w:rsid w:val="00115982"/>
    <w:rsid w:val="00115D1E"/>
    <w:rsid w:val="00116C53"/>
    <w:rsid w:val="0011703F"/>
    <w:rsid w:val="00117A6B"/>
    <w:rsid w:val="00121799"/>
    <w:rsid w:val="00121EEF"/>
    <w:rsid w:val="001222FC"/>
    <w:rsid w:val="00122812"/>
    <w:rsid w:val="00122F9C"/>
    <w:rsid w:val="001230D4"/>
    <w:rsid w:val="00123902"/>
    <w:rsid w:val="00123F88"/>
    <w:rsid w:val="00123FBB"/>
    <w:rsid w:val="00124690"/>
    <w:rsid w:val="00124A51"/>
    <w:rsid w:val="00124D22"/>
    <w:rsid w:val="0012516C"/>
    <w:rsid w:val="001257B6"/>
    <w:rsid w:val="00126621"/>
    <w:rsid w:val="00126B1D"/>
    <w:rsid w:val="001279F2"/>
    <w:rsid w:val="00127E40"/>
    <w:rsid w:val="0013003E"/>
    <w:rsid w:val="001300FA"/>
    <w:rsid w:val="001301E9"/>
    <w:rsid w:val="0013039E"/>
    <w:rsid w:val="001303E2"/>
    <w:rsid w:val="00131D82"/>
    <w:rsid w:val="00131DFA"/>
    <w:rsid w:val="001320BF"/>
    <w:rsid w:val="00132B22"/>
    <w:rsid w:val="00133754"/>
    <w:rsid w:val="00133A38"/>
    <w:rsid w:val="00133D36"/>
    <w:rsid w:val="0013436A"/>
    <w:rsid w:val="00134F52"/>
    <w:rsid w:val="00135C3F"/>
    <w:rsid w:val="00137645"/>
    <w:rsid w:val="00137FF3"/>
    <w:rsid w:val="0014015A"/>
    <w:rsid w:val="00140AAE"/>
    <w:rsid w:val="00140D81"/>
    <w:rsid w:val="00140E99"/>
    <w:rsid w:val="00141952"/>
    <w:rsid w:val="00141C4A"/>
    <w:rsid w:val="001421F7"/>
    <w:rsid w:val="00143401"/>
    <w:rsid w:val="00143F34"/>
    <w:rsid w:val="00143F67"/>
    <w:rsid w:val="00144356"/>
    <w:rsid w:val="00144BC5"/>
    <w:rsid w:val="00145540"/>
    <w:rsid w:val="001456B0"/>
    <w:rsid w:val="00146E36"/>
    <w:rsid w:val="00147A9F"/>
    <w:rsid w:val="00150101"/>
    <w:rsid w:val="00150329"/>
    <w:rsid w:val="00150642"/>
    <w:rsid w:val="00150D9B"/>
    <w:rsid w:val="00151467"/>
    <w:rsid w:val="00151827"/>
    <w:rsid w:val="00151BBB"/>
    <w:rsid w:val="00152F01"/>
    <w:rsid w:val="001536DB"/>
    <w:rsid w:val="001538FE"/>
    <w:rsid w:val="001539F3"/>
    <w:rsid w:val="001546BA"/>
    <w:rsid w:val="00154FF6"/>
    <w:rsid w:val="001550B4"/>
    <w:rsid w:val="00155D93"/>
    <w:rsid w:val="00156500"/>
    <w:rsid w:val="0015694F"/>
    <w:rsid w:val="00156F8F"/>
    <w:rsid w:val="00157130"/>
    <w:rsid w:val="001576B1"/>
    <w:rsid w:val="00157913"/>
    <w:rsid w:val="00157F81"/>
    <w:rsid w:val="00160046"/>
    <w:rsid w:val="0016047B"/>
    <w:rsid w:val="001606F0"/>
    <w:rsid w:val="00160A4C"/>
    <w:rsid w:val="001616A6"/>
    <w:rsid w:val="001623F9"/>
    <w:rsid w:val="00162913"/>
    <w:rsid w:val="00163EFF"/>
    <w:rsid w:val="00163F66"/>
    <w:rsid w:val="0016492D"/>
    <w:rsid w:val="00164942"/>
    <w:rsid w:val="00164968"/>
    <w:rsid w:val="001652AC"/>
    <w:rsid w:val="00165384"/>
    <w:rsid w:val="001661BE"/>
    <w:rsid w:val="001661FB"/>
    <w:rsid w:val="0016637F"/>
    <w:rsid w:val="00166D4C"/>
    <w:rsid w:val="001671A0"/>
    <w:rsid w:val="0016767F"/>
    <w:rsid w:val="0017205A"/>
    <w:rsid w:val="0017350E"/>
    <w:rsid w:val="00173565"/>
    <w:rsid w:val="00173B07"/>
    <w:rsid w:val="0017406C"/>
    <w:rsid w:val="0017438E"/>
    <w:rsid w:val="00174CFC"/>
    <w:rsid w:val="001751FA"/>
    <w:rsid w:val="0017530D"/>
    <w:rsid w:val="001775F4"/>
    <w:rsid w:val="00181D0C"/>
    <w:rsid w:val="00181D9C"/>
    <w:rsid w:val="00181E6C"/>
    <w:rsid w:val="00181FDC"/>
    <w:rsid w:val="00183772"/>
    <w:rsid w:val="0018419F"/>
    <w:rsid w:val="0018435D"/>
    <w:rsid w:val="00184655"/>
    <w:rsid w:val="00184B0E"/>
    <w:rsid w:val="0018752F"/>
    <w:rsid w:val="0019015C"/>
    <w:rsid w:val="0019017D"/>
    <w:rsid w:val="00190C3E"/>
    <w:rsid w:val="00190D37"/>
    <w:rsid w:val="00191158"/>
    <w:rsid w:val="0019148B"/>
    <w:rsid w:val="0019163E"/>
    <w:rsid w:val="00191AC2"/>
    <w:rsid w:val="00191EDE"/>
    <w:rsid w:val="00192BB8"/>
    <w:rsid w:val="001936E2"/>
    <w:rsid w:val="00193838"/>
    <w:rsid w:val="00193FD4"/>
    <w:rsid w:val="00194AD8"/>
    <w:rsid w:val="00195222"/>
    <w:rsid w:val="001965BC"/>
    <w:rsid w:val="00196D9D"/>
    <w:rsid w:val="001974A2"/>
    <w:rsid w:val="001975D8"/>
    <w:rsid w:val="00197796"/>
    <w:rsid w:val="001A0F3B"/>
    <w:rsid w:val="001A10A3"/>
    <w:rsid w:val="001A12EB"/>
    <w:rsid w:val="001A178E"/>
    <w:rsid w:val="001A1A70"/>
    <w:rsid w:val="001A31B0"/>
    <w:rsid w:val="001A3D39"/>
    <w:rsid w:val="001A43FA"/>
    <w:rsid w:val="001A47C5"/>
    <w:rsid w:val="001A5943"/>
    <w:rsid w:val="001A59FB"/>
    <w:rsid w:val="001A5E9E"/>
    <w:rsid w:val="001A6354"/>
    <w:rsid w:val="001A6366"/>
    <w:rsid w:val="001A6715"/>
    <w:rsid w:val="001A79A4"/>
    <w:rsid w:val="001A7AE8"/>
    <w:rsid w:val="001B0594"/>
    <w:rsid w:val="001B1058"/>
    <w:rsid w:val="001B134F"/>
    <w:rsid w:val="001B204E"/>
    <w:rsid w:val="001B2372"/>
    <w:rsid w:val="001B3443"/>
    <w:rsid w:val="001B4CA5"/>
    <w:rsid w:val="001B4D20"/>
    <w:rsid w:val="001B58CB"/>
    <w:rsid w:val="001B5939"/>
    <w:rsid w:val="001B61AA"/>
    <w:rsid w:val="001B64D8"/>
    <w:rsid w:val="001B6F67"/>
    <w:rsid w:val="001B6FD1"/>
    <w:rsid w:val="001C0029"/>
    <w:rsid w:val="001C0359"/>
    <w:rsid w:val="001C0E21"/>
    <w:rsid w:val="001C0F0B"/>
    <w:rsid w:val="001C0F2D"/>
    <w:rsid w:val="001C2146"/>
    <w:rsid w:val="001C276D"/>
    <w:rsid w:val="001C29FA"/>
    <w:rsid w:val="001C2A9B"/>
    <w:rsid w:val="001C2E01"/>
    <w:rsid w:val="001C3243"/>
    <w:rsid w:val="001C3920"/>
    <w:rsid w:val="001C4299"/>
    <w:rsid w:val="001C4874"/>
    <w:rsid w:val="001C4985"/>
    <w:rsid w:val="001C4D35"/>
    <w:rsid w:val="001C5E34"/>
    <w:rsid w:val="001C5F94"/>
    <w:rsid w:val="001C610A"/>
    <w:rsid w:val="001C6E66"/>
    <w:rsid w:val="001C7292"/>
    <w:rsid w:val="001C7A4B"/>
    <w:rsid w:val="001C7D6E"/>
    <w:rsid w:val="001D051B"/>
    <w:rsid w:val="001D1100"/>
    <w:rsid w:val="001D1391"/>
    <w:rsid w:val="001D23F0"/>
    <w:rsid w:val="001D25D7"/>
    <w:rsid w:val="001D318D"/>
    <w:rsid w:val="001D32D8"/>
    <w:rsid w:val="001D50B2"/>
    <w:rsid w:val="001D5B85"/>
    <w:rsid w:val="001D6CD0"/>
    <w:rsid w:val="001D6CDE"/>
    <w:rsid w:val="001D7151"/>
    <w:rsid w:val="001D75E0"/>
    <w:rsid w:val="001D7645"/>
    <w:rsid w:val="001D7F86"/>
    <w:rsid w:val="001D7FB7"/>
    <w:rsid w:val="001E1E86"/>
    <w:rsid w:val="001E21AB"/>
    <w:rsid w:val="001E238E"/>
    <w:rsid w:val="001E2483"/>
    <w:rsid w:val="001E2B1E"/>
    <w:rsid w:val="001E2CFF"/>
    <w:rsid w:val="001E2F24"/>
    <w:rsid w:val="001E30D4"/>
    <w:rsid w:val="001E33DE"/>
    <w:rsid w:val="001E34DF"/>
    <w:rsid w:val="001E4244"/>
    <w:rsid w:val="001E4FD8"/>
    <w:rsid w:val="001E51A3"/>
    <w:rsid w:val="001E52EB"/>
    <w:rsid w:val="001E5326"/>
    <w:rsid w:val="001E61D2"/>
    <w:rsid w:val="001E6948"/>
    <w:rsid w:val="001E740C"/>
    <w:rsid w:val="001F096B"/>
    <w:rsid w:val="001F1235"/>
    <w:rsid w:val="001F1CB3"/>
    <w:rsid w:val="001F1D47"/>
    <w:rsid w:val="001F2344"/>
    <w:rsid w:val="001F38B5"/>
    <w:rsid w:val="001F4081"/>
    <w:rsid w:val="001F476F"/>
    <w:rsid w:val="001F4CBC"/>
    <w:rsid w:val="001F5115"/>
    <w:rsid w:val="001F55B6"/>
    <w:rsid w:val="001F63FF"/>
    <w:rsid w:val="001F6E1B"/>
    <w:rsid w:val="001F6F48"/>
    <w:rsid w:val="001F7361"/>
    <w:rsid w:val="001F774B"/>
    <w:rsid w:val="002000A9"/>
    <w:rsid w:val="00200C01"/>
    <w:rsid w:val="00200C90"/>
    <w:rsid w:val="00200F18"/>
    <w:rsid w:val="002011B0"/>
    <w:rsid w:val="00203181"/>
    <w:rsid w:val="002035DE"/>
    <w:rsid w:val="00203783"/>
    <w:rsid w:val="0020385F"/>
    <w:rsid w:val="002040E1"/>
    <w:rsid w:val="00204373"/>
    <w:rsid w:val="002054CA"/>
    <w:rsid w:val="002068A0"/>
    <w:rsid w:val="00207021"/>
    <w:rsid w:val="00207203"/>
    <w:rsid w:val="00207263"/>
    <w:rsid w:val="0020732F"/>
    <w:rsid w:val="002076F6"/>
    <w:rsid w:val="00207D00"/>
    <w:rsid w:val="002102A1"/>
    <w:rsid w:val="00210366"/>
    <w:rsid w:val="002105C1"/>
    <w:rsid w:val="00211A5A"/>
    <w:rsid w:val="00211DC5"/>
    <w:rsid w:val="00212F9C"/>
    <w:rsid w:val="002139EF"/>
    <w:rsid w:val="00213EF5"/>
    <w:rsid w:val="00214E3B"/>
    <w:rsid w:val="00215057"/>
    <w:rsid w:val="00215C76"/>
    <w:rsid w:val="00216559"/>
    <w:rsid w:val="0021681C"/>
    <w:rsid w:val="00216BF5"/>
    <w:rsid w:val="00217012"/>
    <w:rsid w:val="0021771C"/>
    <w:rsid w:val="00217AB1"/>
    <w:rsid w:val="002203A9"/>
    <w:rsid w:val="002213BF"/>
    <w:rsid w:val="002224BB"/>
    <w:rsid w:val="00222DA3"/>
    <w:rsid w:val="00222F23"/>
    <w:rsid w:val="00223B49"/>
    <w:rsid w:val="00223D5A"/>
    <w:rsid w:val="00223EB4"/>
    <w:rsid w:val="00224468"/>
    <w:rsid w:val="002248DA"/>
    <w:rsid w:val="00224DD4"/>
    <w:rsid w:val="00225394"/>
    <w:rsid w:val="00225A8A"/>
    <w:rsid w:val="0022678F"/>
    <w:rsid w:val="00226E2E"/>
    <w:rsid w:val="002278A0"/>
    <w:rsid w:val="00227AFA"/>
    <w:rsid w:val="00227CD8"/>
    <w:rsid w:val="002305C8"/>
    <w:rsid w:val="002309CC"/>
    <w:rsid w:val="00230F0D"/>
    <w:rsid w:val="00230FE0"/>
    <w:rsid w:val="0023128A"/>
    <w:rsid w:val="0023209F"/>
    <w:rsid w:val="002325D6"/>
    <w:rsid w:val="00233270"/>
    <w:rsid w:val="00233C01"/>
    <w:rsid w:val="00233EA7"/>
    <w:rsid w:val="0023413C"/>
    <w:rsid w:val="00234484"/>
    <w:rsid w:val="002346F0"/>
    <w:rsid w:val="00234B1A"/>
    <w:rsid w:val="00235708"/>
    <w:rsid w:val="00235A10"/>
    <w:rsid w:val="00235F7B"/>
    <w:rsid w:val="002360D1"/>
    <w:rsid w:val="0023629D"/>
    <w:rsid w:val="00237255"/>
    <w:rsid w:val="002374D6"/>
    <w:rsid w:val="002376A3"/>
    <w:rsid w:val="00240000"/>
    <w:rsid w:val="002410B0"/>
    <w:rsid w:val="002412D8"/>
    <w:rsid w:val="00241BEE"/>
    <w:rsid w:val="00241E55"/>
    <w:rsid w:val="002424AF"/>
    <w:rsid w:val="00242852"/>
    <w:rsid w:val="00242AF2"/>
    <w:rsid w:val="002439DC"/>
    <w:rsid w:val="002441D2"/>
    <w:rsid w:val="00244DC8"/>
    <w:rsid w:val="00244FDB"/>
    <w:rsid w:val="002458BA"/>
    <w:rsid w:val="00245CE9"/>
    <w:rsid w:val="0024627D"/>
    <w:rsid w:val="0024636C"/>
    <w:rsid w:val="00246C91"/>
    <w:rsid w:val="00246E1A"/>
    <w:rsid w:val="0024781A"/>
    <w:rsid w:val="00247925"/>
    <w:rsid w:val="00247C59"/>
    <w:rsid w:val="00247CE7"/>
    <w:rsid w:val="00251006"/>
    <w:rsid w:val="002511EE"/>
    <w:rsid w:val="00251577"/>
    <w:rsid w:val="002521D1"/>
    <w:rsid w:val="002524D5"/>
    <w:rsid w:val="002525CD"/>
    <w:rsid w:val="00252969"/>
    <w:rsid w:val="00252D45"/>
    <w:rsid w:val="00253B1D"/>
    <w:rsid w:val="00253B88"/>
    <w:rsid w:val="00254DCF"/>
    <w:rsid w:val="0025534B"/>
    <w:rsid w:val="00255BB7"/>
    <w:rsid w:val="002560EC"/>
    <w:rsid w:val="00256504"/>
    <w:rsid w:val="00257541"/>
    <w:rsid w:val="00257A39"/>
    <w:rsid w:val="00257AC4"/>
    <w:rsid w:val="00260470"/>
    <w:rsid w:val="002612BC"/>
    <w:rsid w:val="00261C3B"/>
    <w:rsid w:val="00261EEF"/>
    <w:rsid w:val="002620F3"/>
    <w:rsid w:val="00262479"/>
    <w:rsid w:val="00262A1A"/>
    <w:rsid w:val="00262A87"/>
    <w:rsid w:val="00262D4E"/>
    <w:rsid w:val="002636FF"/>
    <w:rsid w:val="00263E79"/>
    <w:rsid w:val="002645A0"/>
    <w:rsid w:val="00264D26"/>
    <w:rsid w:val="00266494"/>
    <w:rsid w:val="002666EF"/>
    <w:rsid w:val="00266826"/>
    <w:rsid w:val="002668F8"/>
    <w:rsid w:val="00267642"/>
    <w:rsid w:val="00267AEA"/>
    <w:rsid w:val="002700E6"/>
    <w:rsid w:val="002709BD"/>
    <w:rsid w:val="0027185F"/>
    <w:rsid w:val="00271D10"/>
    <w:rsid w:val="002722F3"/>
    <w:rsid w:val="0027294B"/>
    <w:rsid w:val="00272BED"/>
    <w:rsid w:val="00273D61"/>
    <w:rsid w:val="00273EB4"/>
    <w:rsid w:val="00274682"/>
    <w:rsid w:val="002747F4"/>
    <w:rsid w:val="00275381"/>
    <w:rsid w:val="002757F3"/>
    <w:rsid w:val="00275C5A"/>
    <w:rsid w:val="002762AA"/>
    <w:rsid w:val="0027641B"/>
    <w:rsid w:val="002764A2"/>
    <w:rsid w:val="0027771F"/>
    <w:rsid w:val="00277E9B"/>
    <w:rsid w:val="00281014"/>
    <w:rsid w:val="0028107D"/>
    <w:rsid w:val="00281A8A"/>
    <w:rsid w:val="002822FE"/>
    <w:rsid w:val="00282E8C"/>
    <w:rsid w:val="00282ECE"/>
    <w:rsid w:val="00282F51"/>
    <w:rsid w:val="002834FF"/>
    <w:rsid w:val="00284361"/>
    <w:rsid w:val="00284635"/>
    <w:rsid w:val="00284C4D"/>
    <w:rsid w:val="00285A3D"/>
    <w:rsid w:val="00286437"/>
    <w:rsid w:val="0028665D"/>
    <w:rsid w:val="00287962"/>
    <w:rsid w:val="00287CEF"/>
    <w:rsid w:val="0029077E"/>
    <w:rsid w:val="00292CCC"/>
    <w:rsid w:val="00292FB5"/>
    <w:rsid w:val="0029343F"/>
    <w:rsid w:val="0029558A"/>
    <w:rsid w:val="002976AB"/>
    <w:rsid w:val="002A0127"/>
    <w:rsid w:val="002A10E4"/>
    <w:rsid w:val="002A14AB"/>
    <w:rsid w:val="002A2629"/>
    <w:rsid w:val="002A2880"/>
    <w:rsid w:val="002A2ADE"/>
    <w:rsid w:val="002A2F50"/>
    <w:rsid w:val="002A427A"/>
    <w:rsid w:val="002A4318"/>
    <w:rsid w:val="002A4571"/>
    <w:rsid w:val="002A4668"/>
    <w:rsid w:val="002A4753"/>
    <w:rsid w:val="002A5B43"/>
    <w:rsid w:val="002A64D7"/>
    <w:rsid w:val="002A6DDF"/>
    <w:rsid w:val="002A6E37"/>
    <w:rsid w:val="002A6F33"/>
    <w:rsid w:val="002A74EB"/>
    <w:rsid w:val="002A7C3B"/>
    <w:rsid w:val="002B0064"/>
    <w:rsid w:val="002B05A1"/>
    <w:rsid w:val="002B09A4"/>
    <w:rsid w:val="002B0A7F"/>
    <w:rsid w:val="002B0F86"/>
    <w:rsid w:val="002B1AA6"/>
    <w:rsid w:val="002B1C1F"/>
    <w:rsid w:val="002B2038"/>
    <w:rsid w:val="002B2434"/>
    <w:rsid w:val="002B27BB"/>
    <w:rsid w:val="002B2DB7"/>
    <w:rsid w:val="002B432F"/>
    <w:rsid w:val="002B4642"/>
    <w:rsid w:val="002B54BD"/>
    <w:rsid w:val="002B5B60"/>
    <w:rsid w:val="002B5E8D"/>
    <w:rsid w:val="002B62B3"/>
    <w:rsid w:val="002B6754"/>
    <w:rsid w:val="002B6CCE"/>
    <w:rsid w:val="002B77AC"/>
    <w:rsid w:val="002B79F6"/>
    <w:rsid w:val="002B7C25"/>
    <w:rsid w:val="002C01C8"/>
    <w:rsid w:val="002C0742"/>
    <w:rsid w:val="002C138C"/>
    <w:rsid w:val="002C1630"/>
    <w:rsid w:val="002C2510"/>
    <w:rsid w:val="002C2775"/>
    <w:rsid w:val="002C27C1"/>
    <w:rsid w:val="002C28DC"/>
    <w:rsid w:val="002C2A50"/>
    <w:rsid w:val="002C5099"/>
    <w:rsid w:val="002C5889"/>
    <w:rsid w:val="002C62BB"/>
    <w:rsid w:val="002C640E"/>
    <w:rsid w:val="002C6B9A"/>
    <w:rsid w:val="002C71CE"/>
    <w:rsid w:val="002C77BC"/>
    <w:rsid w:val="002C7A1D"/>
    <w:rsid w:val="002C7A78"/>
    <w:rsid w:val="002D0256"/>
    <w:rsid w:val="002D08F8"/>
    <w:rsid w:val="002D141C"/>
    <w:rsid w:val="002D200E"/>
    <w:rsid w:val="002D2FC8"/>
    <w:rsid w:val="002D304F"/>
    <w:rsid w:val="002D3A1B"/>
    <w:rsid w:val="002D4BC9"/>
    <w:rsid w:val="002D577C"/>
    <w:rsid w:val="002D7484"/>
    <w:rsid w:val="002D7744"/>
    <w:rsid w:val="002D7820"/>
    <w:rsid w:val="002E0FDB"/>
    <w:rsid w:val="002E1071"/>
    <w:rsid w:val="002E15B9"/>
    <w:rsid w:val="002E1CE0"/>
    <w:rsid w:val="002E2158"/>
    <w:rsid w:val="002E3031"/>
    <w:rsid w:val="002E38CE"/>
    <w:rsid w:val="002E416C"/>
    <w:rsid w:val="002E4317"/>
    <w:rsid w:val="002E43AB"/>
    <w:rsid w:val="002E4F02"/>
    <w:rsid w:val="002E4FE0"/>
    <w:rsid w:val="002E6985"/>
    <w:rsid w:val="002E6D98"/>
    <w:rsid w:val="002E7722"/>
    <w:rsid w:val="002E7E99"/>
    <w:rsid w:val="002F0454"/>
    <w:rsid w:val="002F06E1"/>
    <w:rsid w:val="002F07BA"/>
    <w:rsid w:val="002F0DA9"/>
    <w:rsid w:val="002F1014"/>
    <w:rsid w:val="002F11C7"/>
    <w:rsid w:val="002F1DE5"/>
    <w:rsid w:val="002F25C6"/>
    <w:rsid w:val="002F25D0"/>
    <w:rsid w:val="002F2C0A"/>
    <w:rsid w:val="002F2D47"/>
    <w:rsid w:val="002F2E7C"/>
    <w:rsid w:val="002F338B"/>
    <w:rsid w:val="002F426A"/>
    <w:rsid w:val="002F429C"/>
    <w:rsid w:val="002F5734"/>
    <w:rsid w:val="002F643C"/>
    <w:rsid w:val="002F6F74"/>
    <w:rsid w:val="002F7150"/>
    <w:rsid w:val="002F71C0"/>
    <w:rsid w:val="002F74F1"/>
    <w:rsid w:val="002F7521"/>
    <w:rsid w:val="00300503"/>
    <w:rsid w:val="00301017"/>
    <w:rsid w:val="0030155F"/>
    <w:rsid w:val="0030587B"/>
    <w:rsid w:val="0030607C"/>
    <w:rsid w:val="00306D98"/>
    <w:rsid w:val="0030744A"/>
    <w:rsid w:val="0030786C"/>
    <w:rsid w:val="00307AFE"/>
    <w:rsid w:val="0031031A"/>
    <w:rsid w:val="003103CD"/>
    <w:rsid w:val="00310981"/>
    <w:rsid w:val="00310EAF"/>
    <w:rsid w:val="00310EF3"/>
    <w:rsid w:val="0031177D"/>
    <w:rsid w:val="003124D9"/>
    <w:rsid w:val="00312594"/>
    <w:rsid w:val="00312A58"/>
    <w:rsid w:val="00312BF1"/>
    <w:rsid w:val="003133CB"/>
    <w:rsid w:val="0031437F"/>
    <w:rsid w:val="003147B2"/>
    <w:rsid w:val="00315498"/>
    <w:rsid w:val="003154AA"/>
    <w:rsid w:val="00316474"/>
    <w:rsid w:val="00317406"/>
    <w:rsid w:val="003174FA"/>
    <w:rsid w:val="00317ACD"/>
    <w:rsid w:val="003200A7"/>
    <w:rsid w:val="00320B80"/>
    <w:rsid w:val="00320E07"/>
    <w:rsid w:val="00320E45"/>
    <w:rsid w:val="00321789"/>
    <w:rsid w:val="00321EB0"/>
    <w:rsid w:val="00322107"/>
    <w:rsid w:val="00322355"/>
    <w:rsid w:val="00322846"/>
    <w:rsid w:val="0032335E"/>
    <w:rsid w:val="00323936"/>
    <w:rsid w:val="003250E9"/>
    <w:rsid w:val="003265C2"/>
    <w:rsid w:val="0032693F"/>
    <w:rsid w:val="00326A3C"/>
    <w:rsid w:val="00326D2E"/>
    <w:rsid w:val="00326DA7"/>
    <w:rsid w:val="00326EE0"/>
    <w:rsid w:val="003270E4"/>
    <w:rsid w:val="00327CA7"/>
    <w:rsid w:val="003307E8"/>
    <w:rsid w:val="00330DAA"/>
    <w:rsid w:val="00330F5C"/>
    <w:rsid w:val="00331756"/>
    <w:rsid w:val="00331B3E"/>
    <w:rsid w:val="003323A7"/>
    <w:rsid w:val="0033335A"/>
    <w:rsid w:val="0033411A"/>
    <w:rsid w:val="0033441F"/>
    <w:rsid w:val="00334CC6"/>
    <w:rsid w:val="0033540A"/>
    <w:rsid w:val="003366C9"/>
    <w:rsid w:val="0033685E"/>
    <w:rsid w:val="003371B0"/>
    <w:rsid w:val="00340AF7"/>
    <w:rsid w:val="00340DF1"/>
    <w:rsid w:val="003416DF"/>
    <w:rsid w:val="00341A21"/>
    <w:rsid w:val="00341BC0"/>
    <w:rsid w:val="003428CD"/>
    <w:rsid w:val="0034364A"/>
    <w:rsid w:val="003439BA"/>
    <w:rsid w:val="00345F31"/>
    <w:rsid w:val="00346299"/>
    <w:rsid w:val="003465D2"/>
    <w:rsid w:val="00346AD7"/>
    <w:rsid w:val="00346B68"/>
    <w:rsid w:val="0035059B"/>
    <w:rsid w:val="00351005"/>
    <w:rsid w:val="003515B4"/>
    <w:rsid w:val="0035171E"/>
    <w:rsid w:val="003517F9"/>
    <w:rsid w:val="00351BA9"/>
    <w:rsid w:val="00352ECC"/>
    <w:rsid w:val="003541F4"/>
    <w:rsid w:val="00354B79"/>
    <w:rsid w:val="00354F64"/>
    <w:rsid w:val="003560BA"/>
    <w:rsid w:val="0035620E"/>
    <w:rsid w:val="00356406"/>
    <w:rsid w:val="00356B3D"/>
    <w:rsid w:val="00356C55"/>
    <w:rsid w:val="00357399"/>
    <w:rsid w:val="00357BAB"/>
    <w:rsid w:val="00360345"/>
    <w:rsid w:val="003610E0"/>
    <w:rsid w:val="003619F5"/>
    <w:rsid w:val="00361A05"/>
    <w:rsid w:val="003624C4"/>
    <w:rsid w:val="00362A5B"/>
    <w:rsid w:val="00363B00"/>
    <w:rsid w:val="00364600"/>
    <w:rsid w:val="003654AC"/>
    <w:rsid w:val="003655D3"/>
    <w:rsid w:val="003655FF"/>
    <w:rsid w:val="00366526"/>
    <w:rsid w:val="00366A92"/>
    <w:rsid w:val="00367348"/>
    <w:rsid w:val="00370C0D"/>
    <w:rsid w:val="0037107F"/>
    <w:rsid w:val="003710CF"/>
    <w:rsid w:val="0037166F"/>
    <w:rsid w:val="00371C3B"/>
    <w:rsid w:val="00373325"/>
    <w:rsid w:val="0037358A"/>
    <w:rsid w:val="003743E4"/>
    <w:rsid w:val="003750F6"/>
    <w:rsid w:val="003757DE"/>
    <w:rsid w:val="003757F9"/>
    <w:rsid w:val="00375C15"/>
    <w:rsid w:val="00375F58"/>
    <w:rsid w:val="003760FC"/>
    <w:rsid w:val="00381FBA"/>
    <w:rsid w:val="003827CD"/>
    <w:rsid w:val="003829B4"/>
    <w:rsid w:val="0038365C"/>
    <w:rsid w:val="0038369B"/>
    <w:rsid w:val="00383B0D"/>
    <w:rsid w:val="00383B78"/>
    <w:rsid w:val="00384E03"/>
    <w:rsid w:val="00385852"/>
    <w:rsid w:val="00385A9D"/>
    <w:rsid w:val="003902B1"/>
    <w:rsid w:val="00390FA8"/>
    <w:rsid w:val="003914D4"/>
    <w:rsid w:val="0039162B"/>
    <w:rsid w:val="0039179C"/>
    <w:rsid w:val="003917D4"/>
    <w:rsid w:val="003926C8"/>
    <w:rsid w:val="003939DB"/>
    <w:rsid w:val="00393A31"/>
    <w:rsid w:val="003949F8"/>
    <w:rsid w:val="0039510A"/>
    <w:rsid w:val="00395C86"/>
    <w:rsid w:val="00396896"/>
    <w:rsid w:val="00396B61"/>
    <w:rsid w:val="00396EF9"/>
    <w:rsid w:val="00396FD0"/>
    <w:rsid w:val="003977E7"/>
    <w:rsid w:val="003A09E8"/>
    <w:rsid w:val="003A1919"/>
    <w:rsid w:val="003A1A7A"/>
    <w:rsid w:val="003A1DE6"/>
    <w:rsid w:val="003A2392"/>
    <w:rsid w:val="003A253D"/>
    <w:rsid w:val="003A2831"/>
    <w:rsid w:val="003A338C"/>
    <w:rsid w:val="003A35F3"/>
    <w:rsid w:val="003A3CB6"/>
    <w:rsid w:val="003A3ED1"/>
    <w:rsid w:val="003A44DB"/>
    <w:rsid w:val="003A4E6D"/>
    <w:rsid w:val="003A6324"/>
    <w:rsid w:val="003A640A"/>
    <w:rsid w:val="003A6480"/>
    <w:rsid w:val="003A6ECA"/>
    <w:rsid w:val="003B2060"/>
    <w:rsid w:val="003B25BF"/>
    <w:rsid w:val="003B3971"/>
    <w:rsid w:val="003B3B13"/>
    <w:rsid w:val="003B4A65"/>
    <w:rsid w:val="003B55D1"/>
    <w:rsid w:val="003B5B61"/>
    <w:rsid w:val="003B5CBF"/>
    <w:rsid w:val="003B696E"/>
    <w:rsid w:val="003B699A"/>
    <w:rsid w:val="003B7285"/>
    <w:rsid w:val="003B76B6"/>
    <w:rsid w:val="003B773B"/>
    <w:rsid w:val="003B7FAD"/>
    <w:rsid w:val="003C1654"/>
    <w:rsid w:val="003C254B"/>
    <w:rsid w:val="003C36B6"/>
    <w:rsid w:val="003C4578"/>
    <w:rsid w:val="003C49C9"/>
    <w:rsid w:val="003C5542"/>
    <w:rsid w:val="003C59A8"/>
    <w:rsid w:val="003C5E41"/>
    <w:rsid w:val="003C6763"/>
    <w:rsid w:val="003C6BE8"/>
    <w:rsid w:val="003C7D19"/>
    <w:rsid w:val="003C7D2F"/>
    <w:rsid w:val="003D00EE"/>
    <w:rsid w:val="003D0184"/>
    <w:rsid w:val="003D0EEC"/>
    <w:rsid w:val="003D1828"/>
    <w:rsid w:val="003D1DE4"/>
    <w:rsid w:val="003D1E9A"/>
    <w:rsid w:val="003D2422"/>
    <w:rsid w:val="003D2FF4"/>
    <w:rsid w:val="003D326B"/>
    <w:rsid w:val="003D3826"/>
    <w:rsid w:val="003D39A1"/>
    <w:rsid w:val="003D3FBF"/>
    <w:rsid w:val="003D4479"/>
    <w:rsid w:val="003D4A30"/>
    <w:rsid w:val="003D544A"/>
    <w:rsid w:val="003D5F9D"/>
    <w:rsid w:val="003D7452"/>
    <w:rsid w:val="003D79BB"/>
    <w:rsid w:val="003D7C98"/>
    <w:rsid w:val="003D7D9D"/>
    <w:rsid w:val="003D7FEB"/>
    <w:rsid w:val="003E0543"/>
    <w:rsid w:val="003E1625"/>
    <w:rsid w:val="003E3DAC"/>
    <w:rsid w:val="003E405A"/>
    <w:rsid w:val="003E43AE"/>
    <w:rsid w:val="003E5617"/>
    <w:rsid w:val="003E63CB"/>
    <w:rsid w:val="003E6420"/>
    <w:rsid w:val="003E658E"/>
    <w:rsid w:val="003E673D"/>
    <w:rsid w:val="003E726D"/>
    <w:rsid w:val="003E749E"/>
    <w:rsid w:val="003E7501"/>
    <w:rsid w:val="003E79F1"/>
    <w:rsid w:val="003E79F5"/>
    <w:rsid w:val="003E7C8B"/>
    <w:rsid w:val="003E7CDD"/>
    <w:rsid w:val="003E7F52"/>
    <w:rsid w:val="003F19B9"/>
    <w:rsid w:val="003F206F"/>
    <w:rsid w:val="003F2446"/>
    <w:rsid w:val="003F2FE2"/>
    <w:rsid w:val="003F4156"/>
    <w:rsid w:val="003F519F"/>
    <w:rsid w:val="003F5ADF"/>
    <w:rsid w:val="003F6BDA"/>
    <w:rsid w:val="003F6E8C"/>
    <w:rsid w:val="003F7519"/>
    <w:rsid w:val="003F7A6E"/>
    <w:rsid w:val="003F7CB8"/>
    <w:rsid w:val="00400B29"/>
    <w:rsid w:val="00401AF3"/>
    <w:rsid w:val="00401C62"/>
    <w:rsid w:val="004024EB"/>
    <w:rsid w:val="00402D90"/>
    <w:rsid w:val="0040504B"/>
    <w:rsid w:val="004059F4"/>
    <w:rsid w:val="00405FE0"/>
    <w:rsid w:val="00406D92"/>
    <w:rsid w:val="00407802"/>
    <w:rsid w:val="00407FE5"/>
    <w:rsid w:val="004101B0"/>
    <w:rsid w:val="00410326"/>
    <w:rsid w:val="00410708"/>
    <w:rsid w:val="00410EC7"/>
    <w:rsid w:val="00411B39"/>
    <w:rsid w:val="004127A7"/>
    <w:rsid w:val="00413A1E"/>
    <w:rsid w:val="00413F15"/>
    <w:rsid w:val="00414476"/>
    <w:rsid w:val="00414C2E"/>
    <w:rsid w:val="004151CF"/>
    <w:rsid w:val="00415240"/>
    <w:rsid w:val="00416364"/>
    <w:rsid w:val="00416420"/>
    <w:rsid w:val="00417E99"/>
    <w:rsid w:val="0042047F"/>
    <w:rsid w:val="00420AA6"/>
    <w:rsid w:val="00420B9F"/>
    <w:rsid w:val="0042192C"/>
    <w:rsid w:val="00421C62"/>
    <w:rsid w:val="00422260"/>
    <w:rsid w:val="004227A4"/>
    <w:rsid w:val="00423176"/>
    <w:rsid w:val="00423DC1"/>
    <w:rsid w:val="0042413F"/>
    <w:rsid w:val="00424927"/>
    <w:rsid w:val="004259F8"/>
    <w:rsid w:val="00426030"/>
    <w:rsid w:val="004263D2"/>
    <w:rsid w:val="004268E1"/>
    <w:rsid w:val="0042728A"/>
    <w:rsid w:val="0042768D"/>
    <w:rsid w:val="004304EB"/>
    <w:rsid w:val="004315F6"/>
    <w:rsid w:val="004319F8"/>
    <w:rsid w:val="00431CD8"/>
    <w:rsid w:val="00431E55"/>
    <w:rsid w:val="00431EB3"/>
    <w:rsid w:val="00432070"/>
    <w:rsid w:val="0043218D"/>
    <w:rsid w:val="004321F6"/>
    <w:rsid w:val="004327F5"/>
    <w:rsid w:val="00433044"/>
    <w:rsid w:val="00433B6B"/>
    <w:rsid w:val="00434088"/>
    <w:rsid w:val="004345DE"/>
    <w:rsid w:val="00435902"/>
    <w:rsid w:val="00435E60"/>
    <w:rsid w:val="00435ED7"/>
    <w:rsid w:val="00435F99"/>
    <w:rsid w:val="00436251"/>
    <w:rsid w:val="004375B9"/>
    <w:rsid w:val="0043789B"/>
    <w:rsid w:val="00437CC3"/>
    <w:rsid w:val="00437F5A"/>
    <w:rsid w:val="004418F1"/>
    <w:rsid w:val="004428D0"/>
    <w:rsid w:val="00442A69"/>
    <w:rsid w:val="004432CB"/>
    <w:rsid w:val="00443419"/>
    <w:rsid w:val="00443931"/>
    <w:rsid w:val="00444185"/>
    <w:rsid w:val="004443A7"/>
    <w:rsid w:val="0044442C"/>
    <w:rsid w:val="00444A08"/>
    <w:rsid w:val="00444FE8"/>
    <w:rsid w:val="00445941"/>
    <w:rsid w:val="00445A5D"/>
    <w:rsid w:val="00445A8E"/>
    <w:rsid w:val="004464EB"/>
    <w:rsid w:val="00446B5C"/>
    <w:rsid w:val="00446E39"/>
    <w:rsid w:val="00447D26"/>
    <w:rsid w:val="00447DFC"/>
    <w:rsid w:val="00450277"/>
    <w:rsid w:val="004518F4"/>
    <w:rsid w:val="00451D32"/>
    <w:rsid w:val="00453CEF"/>
    <w:rsid w:val="00455739"/>
    <w:rsid w:val="00455D45"/>
    <w:rsid w:val="0045600D"/>
    <w:rsid w:val="00457AE2"/>
    <w:rsid w:val="00457FE3"/>
    <w:rsid w:val="00461C15"/>
    <w:rsid w:val="0046232F"/>
    <w:rsid w:val="00462B8C"/>
    <w:rsid w:val="00463349"/>
    <w:rsid w:val="00464595"/>
    <w:rsid w:val="00464702"/>
    <w:rsid w:val="004658B5"/>
    <w:rsid w:val="00467749"/>
    <w:rsid w:val="00470DFF"/>
    <w:rsid w:val="00471061"/>
    <w:rsid w:val="0047179F"/>
    <w:rsid w:val="00471B85"/>
    <w:rsid w:val="00471CBC"/>
    <w:rsid w:val="00471E0D"/>
    <w:rsid w:val="00471EA5"/>
    <w:rsid w:val="00472260"/>
    <w:rsid w:val="00472A79"/>
    <w:rsid w:val="00473F19"/>
    <w:rsid w:val="00475E22"/>
    <w:rsid w:val="0047616A"/>
    <w:rsid w:val="00476533"/>
    <w:rsid w:val="00476662"/>
    <w:rsid w:val="004771C2"/>
    <w:rsid w:val="0048088E"/>
    <w:rsid w:val="00480F2B"/>
    <w:rsid w:val="0048182F"/>
    <w:rsid w:val="00482720"/>
    <w:rsid w:val="00482890"/>
    <w:rsid w:val="0048309E"/>
    <w:rsid w:val="004835E7"/>
    <w:rsid w:val="00484E65"/>
    <w:rsid w:val="0048597A"/>
    <w:rsid w:val="004867E2"/>
    <w:rsid w:val="00487A5E"/>
    <w:rsid w:val="004902AC"/>
    <w:rsid w:val="00490967"/>
    <w:rsid w:val="00490B17"/>
    <w:rsid w:val="0049116E"/>
    <w:rsid w:val="00491B3A"/>
    <w:rsid w:val="0049207F"/>
    <w:rsid w:val="00492CFD"/>
    <w:rsid w:val="00492EA5"/>
    <w:rsid w:val="00493368"/>
    <w:rsid w:val="00493F30"/>
    <w:rsid w:val="00494207"/>
    <w:rsid w:val="00494DD5"/>
    <w:rsid w:val="00495D4B"/>
    <w:rsid w:val="00496018"/>
    <w:rsid w:val="004962D2"/>
    <w:rsid w:val="004974A0"/>
    <w:rsid w:val="00497922"/>
    <w:rsid w:val="004979AF"/>
    <w:rsid w:val="00497B5E"/>
    <w:rsid w:val="00497CC0"/>
    <w:rsid w:val="004A0226"/>
    <w:rsid w:val="004A0DA1"/>
    <w:rsid w:val="004A13D6"/>
    <w:rsid w:val="004A15B7"/>
    <w:rsid w:val="004A19BA"/>
    <w:rsid w:val="004A1CD8"/>
    <w:rsid w:val="004A1D97"/>
    <w:rsid w:val="004A2362"/>
    <w:rsid w:val="004A275A"/>
    <w:rsid w:val="004A4574"/>
    <w:rsid w:val="004A4B45"/>
    <w:rsid w:val="004A4BED"/>
    <w:rsid w:val="004A5262"/>
    <w:rsid w:val="004A52E2"/>
    <w:rsid w:val="004A52E9"/>
    <w:rsid w:val="004A6040"/>
    <w:rsid w:val="004A6597"/>
    <w:rsid w:val="004A6DE0"/>
    <w:rsid w:val="004A76FC"/>
    <w:rsid w:val="004A7848"/>
    <w:rsid w:val="004A7FD9"/>
    <w:rsid w:val="004B00D3"/>
    <w:rsid w:val="004B04A7"/>
    <w:rsid w:val="004B077B"/>
    <w:rsid w:val="004B0BAA"/>
    <w:rsid w:val="004B131A"/>
    <w:rsid w:val="004B1CB4"/>
    <w:rsid w:val="004B2F18"/>
    <w:rsid w:val="004B3DDB"/>
    <w:rsid w:val="004B3E2C"/>
    <w:rsid w:val="004B44FD"/>
    <w:rsid w:val="004B45C4"/>
    <w:rsid w:val="004B4A93"/>
    <w:rsid w:val="004B4E2A"/>
    <w:rsid w:val="004B59F0"/>
    <w:rsid w:val="004B5CFC"/>
    <w:rsid w:val="004B6793"/>
    <w:rsid w:val="004B6F79"/>
    <w:rsid w:val="004B7127"/>
    <w:rsid w:val="004B774D"/>
    <w:rsid w:val="004C00E1"/>
    <w:rsid w:val="004C0B33"/>
    <w:rsid w:val="004C14D0"/>
    <w:rsid w:val="004C2E37"/>
    <w:rsid w:val="004C3EF7"/>
    <w:rsid w:val="004C4AED"/>
    <w:rsid w:val="004C614B"/>
    <w:rsid w:val="004C6B36"/>
    <w:rsid w:val="004C74FD"/>
    <w:rsid w:val="004D075A"/>
    <w:rsid w:val="004D0D0F"/>
    <w:rsid w:val="004D2680"/>
    <w:rsid w:val="004D2C2D"/>
    <w:rsid w:val="004D2EE7"/>
    <w:rsid w:val="004D38DE"/>
    <w:rsid w:val="004D3BDE"/>
    <w:rsid w:val="004D4108"/>
    <w:rsid w:val="004D42B8"/>
    <w:rsid w:val="004D631D"/>
    <w:rsid w:val="004D69B5"/>
    <w:rsid w:val="004D7227"/>
    <w:rsid w:val="004D7890"/>
    <w:rsid w:val="004E0178"/>
    <w:rsid w:val="004E060D"/>
    <w:rsid w:val="004E0AA0"/>
    <w:rsid w:val="004E0E09"/>
    <w:rsid w:val="004E0E7F"/>
    <w:rsid w:val="004E0EB8"/>
    <w:rsid w:val="004E1191"/>
    <w:rsid w:val="004E1289"/>
    <w:rsid w:val="004E18E9"/>
    <w:rsid w:val="004E1CD6"/>
    <w:rsid w:val="004E202C"/>
    <w:rsid w:val="004E21DF"/>
    <w:rsid w:val="004E2485"/>
    <w:rsid w:val="004E2ADC"/>
    <w:rsid w:val="004E357F"/>
    <w:rsid w:val="004E35DA"/>
    <w:rsid w:val="004E3953"/>
    <w:rsid w:val="004E4330"/>
    <w:rsid w:val="004E43B2"/>
    <w:rsid w:val="004E454D"/>
    <w:rsid w:val="004E5B84"/>
    <w:rsid w:val="004E6A3E"/>
    <w:rsid w:val="004E7257"/>
    <w:rsid w:val="004E7E3B"/>
    <w:rsid w:val="004F03DD"/>
    <w:rsid w:val="004F1233"/>
    <w:rsid w:val="004F13E7"/>
    <w:rsid w:val="004F1D02"/>
    <w:rsid w:val="004F2679"/>
    <w:rsid w:val="004F2F21"/>
    <w:rsid w:val="004F2F6D"/>
    <w:rsid w:val="004F3DE5"/>
    <w:rsid w:val="004F4B10"/>
    <w:rsid w:val="004F5241"/>
    <w:rsid w:val="004F56C2"/>
    <w:rsid w:val="004F62DE"/>
    <w:rsid w:val="004F6913"/>
    <w:rsid w:val="004F7865"/>
    <w:rsid w:val="004F7898"/>
    <w:rsid w:val="004F7956"/>
    <w:rsid w:val="004F7E33"/>
    <w:rsid w:val="00500694"/>
    <w:rsid w:val="0050078B"/>
    <w:rsid w:val="0050161F"/>
    <w:rsid w:val="0050174E"/>
    <w:rsid w:val="00501854"/>
    <w:rsid w:val="00501F4E"/>
    <w:rsid w:val="0050219B"/>
    <w:rsid w:val="0050242A"/>
    <w:rsid w:val="00503D6D"/>
    <w:rsid w:val="00503F17"/>
    <w:rsid w:val="00504EB5"/>
    <w:rsid w:val="0050511A"/>
    <w:rsid w:val="005053EB"/>
    <w:rsid w:val="005059E8"/>
    <w:rsid w:val="00506542"/>
    <w:rsid w:val="00506928"/>
    <w:rsid w:val="00507463"/>
    <w:rsid w:val="005077EF"/>
    <w:rsid w:val="00507AC9"/>
    <w:rsid w:val="00507D16"/>
    <w:rsid w:val="00510529"/>
    <w:rsid w:val="00510DE6"/>
    <w:rsid w:val="00511044"/>
    <w:rsid w:val="005116C5"/>
    <w:rsid w:val="00511AD5"/>
    <w:rsid w:val="00511DC7"/>
    <w:rsid w:val="005142C5"/>
    <w:rsid w:val="0051501B"/>
    <w:rsid w:val="0051520A"/>
    <w:rsid w:val="005152B5"/>
    <w:rsid w:val="00516ACF"/>
    <w:rsid w:val="0052083A"/>
    <w:rsid w:val="005208F3"/>
    <w:rsid w:val="0052123C"/>
    <w:rsid w:val="005212F7"/>
    <w:rsid w:val="00521319"/>
    <w:rsid w:val="00521BD1"/>
    <w:rsid w:val="00522BC8"/>
    <w:rsid w:val="0052337E"/>
    <w:rsid w:val="00523C28"/>
    <w:rsid w:val="00523D7B"/>
    <w:rsid w:val="00524F1A"/>
    <w:rsid w:val="00525607"/>
    <w:rsid w:val="00525E1A"/>
    <w:rsid w:val="00526946"/>
    <w:rsid w:val="00526BCE"/>
    <w:rsid w:val="00526CC6"/>
    <w:rsid w:val="005275E2"/>
    <w:rsid w:val="005277E5"/>
    <w:rsid w:val="0053090E"/>
    <w:rsid w:val="0053176B"/>
    <w:rsid w:val="00531833"/>
    <w:rsid w:val="00531FF5"/>
    <w:rsid w:val="00532F52"/>
    <w:rsid w:val="00533AF5"/>
    <w:rsid w:val="00533BDE"/>
    <w:rsid w:val="00534A45"/>
    <w:rsid w:val="00536B40"/>
    <w:rsid w:val="00536F42"/>
    <w:rsid w:val="00537182"/>
    <w:rsid w:val="0054023D"/>
    <w:rsid w:val="0054068D"/>
    <w:rsid w:val="00540FD4"/>
    <w:rsid w:val="005413BD"/>
    <w:rsid w:val="00541EDD"/>
    <w:rsid w:val="00542743"/>
    <w:rsid w:val="00542C2D"/>
    <w:rsid w:val="005433EE"/>
    <w:rsid w:val="005447DE"/>
    <w:rsid w:val="00546A6B"/>
    <w:rsid w:val="005478BD"/>
    <w:rsid w:val="005479E3"/>
    <w:rsid w:val="00550AD9"/>
    <w:rsid w:val="00551985"/>
    <w:rsid w:val="00551BA5"/>
    <w:rsid w:val="00552BD3"/>
    <w:rsid w:val="005532A0"/>
    <w:rsid w:val="00554102"/>
    <w:rsid w:val="00554B33"/>
    <w:rsid w:val="00554C06"/>
    <w:rsid w:val="00554C62"/>
    <w:rsid w:val="00555109"/>
    <w:rsid w:val="00555418"/>
    <w:rsid w:val="00555D51"/>
    <w:rsid w:val="00556B35"/>
    <w:rsid w:val="0055741A"/>
    <w:rsid w:val="00557592"/>
    <w:rsid w:val="0056085C"/>
    <w:rsid w:val="005611B7"/>
    <w:rsid w:val="005618A5"/>
    <w:rsid w:val="005618D4"/>
    <w:rsid w:val="00562EB5"/>
    <w:rsid w:val="00563F7B"/>
    <w:rsid w:val="00565549"/>
    <w:rsid w:val="00565DF0"/>
    <w:rsid w:val="00565EFD"/>
    <w:rsid w:val="005665C7"/>
    <w:rsid w:val="0056696F"/>
    <w:rsid w:val="005670F4"/>
    <w:rsid w:val="005677C2"/>
    <w:rsid w:val="00567D6A"/>
    <w:rsid w:val="005705C9"/>
    <w:rsid w:val="00570A7D"/>
    <w:rsid w:val="00571105"/>
    <w:rsid w:val="005711FD"/>
    <w:rsid w:val="00571D3C"/>
    <w:rsid w:val="00572269"/>
    <w:rsid w:val="0057244A"/>
    <w:rsid w:val="00572C05"/>
    <w:rsid w:val="00572F26"/>
    <w:rsid w:val="00573321"/>
    <w:rsid w:val="005750C5"/>
    <w:rsid w:val="005751A6"/>
    <w:rsid w:val="005752DE"/>
    <w:rsid w:val="0057534A"/>
    <w:rsid w:val="00575D8D"/>
    <w:rsid w:val="0057608D"/>
    <w:rsid w:val="0057665A"/>
    <w:rsid w:val="005767AE"/>
    <w:rsid w:val="00576972"/>
    <w:rsid w:val="0057734A"/>
    <w:rsid w:val="005774FE"/>
    <w:rsid w:val="00577567"/>
    <w:rsid w:val="00580E54"/>
    <w:rsid w:val="00580E6E"/>
    <w:rsid w:val="00581413"/>
    <w:rsid w:val="0058181D"/>
    <w:rsid w:val="0058188B"/>
    <w:rsid w:val="00581BA0"/>
    <w:rsid w:val="00582751"/>
    <w:rsid w:val="00582DF7"/>
    <w:rsid w:val="00583699"/>
    <w:rsid w:val="00583788"/>
    <w:rsid w:val="00584176"/>
    <w:rsid w:val="00585476"/>
    <w:rsid w:val="00585AC8"/>
    <w:rsid w:val="00585AE1"/>
    <w:rsid w:val="00585CDD"/>
    <w:rsid w:val="00586069"/>
    <w:rsid w:val="0058670E"/>
    <w:rsid w:val="005867AC"/>
    <w:rsid w:val="00586A60"/>
    <w:rsid w:val="00587058"/>
    <w:rsid w:val="005904A3"/>
    <w:rsid w:val="00591957"/>
    <w:rsid w:val="00592646"/>
    <w:rsid w:val="0059286E"/>
    <w:rsid w:val="00592A89"/>
    <w:rsid w:val="0059537A"/>
    <w:rsid w:val="0059604F"/>
    <w:rsid w:val="00596C34"/>
    <w:rsid w:val="00596D8C"/>
    <w:rsid w:val="00596FA7"/>
    <w:rsid w:val="0059767D"/>
    <w:rsid w:val="00597BF9"/>
    <w:rsid w:val="005A1B7B"/>
    <w:rsid w:val="005A28F9"/>
    <w:rsid w:val="005A309A"/>
    <w:rsid w:val="005A373D"/>
    <w:rsid w:val="005A3816"/>
    <w:rsid w:val="005A3C13"/>
    <w:rsid w:val="005A3CD5"/>
    <w:rsid w:val="005A43F6"/>
    <w:rsid w:val="005A57D0"/>
    <w:rsid w:val="005A6324"/>
    <w:rsid w:val="005A7CC3"/>
    <w:rsid w:val="005A7E04"/>
    <w:rsid w:val="005B0376"/>
    <w:rsid w:val="005B06F6"/>
    <w:rsid w:val="005B09D1"/>
    <w:rsid w:val="005B0B58"/>
    <w:rsid w:val="005B0FFB"/>
    <w:rsid w:val="005B14A6"/>
    <w:rsid w:val="005B157B"/>
    <w:rsid w:val="005B1A1B"/>
    <w:rsid w:val="005B210B"/>
    <w:rsid w:val="005B49DE"/>
    <w:rsid w:val="005B4E53"/>
    <w:rsid w:val="005B5857"/>
    <w:rsid w:val="005B612E"/>
    <w:rsid w:val="005B694D"/>
    <w:rsid w:val="005B7450"/>
    <w:rsid w:val="005B7538"/>
    <w:rsid w:val="005B75F5"/>
    <w:rsid w:val="005B7F4B"/>
    <w:rsid w:val="005C03B5"/>
    <w:rsid w:val="005C090E"/>
    <w:rsid w:val="005C1B83"/>
    <w:rsid w:val="005C25FF"/>
    <w:rsid w:val="005C2614"/>
    <w:rsid w:val="005C2D55"/>
    <w:rsid w:val="005C2F17"/>
    <w:rsid w:val="005C346B"/>
    <w:rsid w:val="005C402F"/>
    <w:rsid w:val="005C43A6"/>
    <w:rsid w:val="005C505B"/>
    <w:rsid w:val="005C544F"/>
    <w:rsid w:val="005C5A36"/>
    <w:rsid w:val="005C681C"/>
    <w:rsid w:val="005C79F8"/>
    <w:rsid w:val="005D044D"/>
    <w:rsid w:val="005D0ABD"/>
    <w:rsid w:val="005D18AD"/>
    <w:rsid w:val="005D26B4"/>
    <w:rsid w:val="005D3151"/>
    <w:rsid w:val="005D3482"/>
    <w:rsid w:val="005D3C4C"/>
    <w:rsid w:val="005D49C3"/>
    <w:rsid w:val="005D4C16"/>
    <w:rsid w:val="005D663A"/>
    <w:rsid w:val="005D6E27"/>
    <w:rsid w:val="005D78C0"/>
    <w:rsid w:val="005E065D"/>
    <w:rsid w:val="005E0E10"/>
    <w:rsid w:val="005E1059"/>
    <w:rsid w:val="005E23EB"/>
    <w:rsid w:val="005E25A9"/>
    <w:rsid w:val="005E39E7"/>
    <w:rsid w:val="005E6917"/>
    <w:rsid w:val="005E6CBC"/>
    <w:rsid w:val="005E72FF"/>
    <w:rsid w:val="005E73C0"/>
    <w:rsid w:val="005F0915"/>
    <w:rsid w:val="005F1673"/>
    <w:rsid w:val="005F1677"/>
    <w:rsid w:val="005F17CC"/>
    <w:rsid w:val="005F1914"/>
    <w:rsid w:val="005F2179"/>
    <w:rsid w:val="005F2706"/>
    <w:rsid w:val="005F2780"/>
    <w:rsid w:val="005F36BA"/>
    <w:rsid w:val="005F3DEA"/>
    <w:rsid w:val="005F3F5B"/>
    <w:rsid w:val="005F42EF"/>
    <w:rsid w:val="005F4862"/>
    <w:rsid w:val="005F56C3"/>
    <w:rsid w:val="005F6972"/>
    <w:rsid w:val="005F6A8F"/>
    <w:rsid w:val="005F6BB7"/>
    <w:rsid w:val="005F7588"/>
    <w:rsid w:val="005F7A53"/>
    <w:rsid w:val="006011B4"/>
    <w:rsid w:val="0060137D"/>
    <w:rsid w:val="00601997"/>
    <w:rsid w:val="00602A97"/>
    <w:rsid w:val="00603DB9"/>
    <w:rsid w:val="006042BB"/>
    <w:rsid w:val="00604543"/>
    <w:rsid w:val="006051D9"/>
    <w:rsid w:val="00605B0D"/>
    <w:rsid w:val="00605D18"/>
    <w:rsid w:val="00606FBA"/>
    <w:rsid w:val="0060701C"/>
    <w:rsid w:val="00607669"/>
    <w:rsid w:val="006076F4"/>
    <w:rsid w:val="00607AFD"/>
    <w:rsid w:val="00610499"/>
    <w:rsid w:val="00610C4F"/>
    <w:rsid w:val="00611211"/>
    <w:rsid w:val="00612996"/>
    <w:rsid w:val="00612F97"/>
    <w:rsid w:val="00613114"/>
    <w:rsid w:val="0061345D"/>
    <w:rsid w:val="00614AC4"/>
    <w:rsid w:val="006153A1"/>
    <w:rsid w:val="0061549B"/>
    <w:rsid w:val="006159EF"/>
    <w:rsid w:val="00615E7F"/>
    <w:rsid w:val="00615FB8"/>
    <w:rsid w:val="00616802"/>
    <w:rsid w:val="00616A7C"/>
    <w:rsid w:val="00617E12"/>
    <w:rsid w:val="00620C25"/>
    <w:rsid w:val="00621477"/>
    <w:rsid w:val="00621ADA"/>
    <w:rsid w:val="00622084"/>
    <w:rsid w:val="00622B4E"/>
    <w:rsid w:val="00622C93"/>
    <w:rsid w:val="00622E80"/>
    <w:rsid w:val="00623F7B"/>
    <w:rsid w:val="006242CB"/>
    <w:rsid w:val="00624A92"/>
    <w:rsid w:val="006250CB"/>
    <w:rsid w:val="006250F1"/>
    <w:rsid w:val="00625E0C"/>
    <w:rsid w:val="006261E4"/>
    <w:rsid w:val="00626386"/>
    <w:rsid w:val="00627944"/>
    <w:rsid w:val="00627B83"/>
    <w:rsid w:val="00627C3B"/>
    <w:rsid w:val="00627E1C"/>
    <w:rsid w:val="00630413"/>
    <w:rsid w:val="0063158F"/>
    <w:rsid w:val="00631D6B"/>
    <w:rsid w:val="00631ECF"/>
    <w:rsid w:val="00632183"/>
    <w:rsid w:val="006325BD"/>
    <w:rsid w:val="006330A1"/>
    <w:rsid w:val="00633F97"/>
    <w:rsid w:val="0063479F"/>
    <w:rsid w:val="006353F0"/>
    <w:rsid w:val="006357B5"/>
    <w:rsid w:val="006364A1"/>
    <w:rsid w:val="00636618"/>
    <w:rsid w:val="0063678E"/>
    <w:rsid w:val="00637BFD"/>
    <w:rsid w:val="006403AD"/>
    <w:rsid w:val="00640EF4"/>
    <w:rsid w:val="0064105B"/>
    <w:rsid w:val="00641C4E"/>
    <w:rsid w:val="00641FB3"/>
    <w:rsid w:val="00642542"/>
    <w:rsid w:val="00642B5D"/>
    <w:rsid w:val="00642ECE"/>
    <w:rsid w:val="006433AD"/>
    <w:rsid w:val="00643826"/>
    <w:rsid w:val="00643896"/>
    <w:rsid w:val="0064434C"/>
    <w:rsid w:val="00645394"/>
    <w:rsid w:val="00645992"/>
    <w:rsid w:val="00646142"/>
    <w:rsid w:val="006467FF"/>
    <w:rsid w:val="00646DF7"/>
    <w:rsid w:val="006471CC"/>
    <w:rsid w:val="00647A29"/>
    <w:rsid w:val="0065051A"/>
    <w:rsid w:val="0065079F"/>
    <w:rsid w:val="00650F14"/>
    <w:rsid w:val="006528E4"/>
    <w:rsid w:val="00652A28"/>
    <w:rsid w:val="0065379F"/>
    <w:rsid w:val="00653910"/>
    <w:rsid w:val="00653925"/>
    <w:rsid w:val="00654B8B"/>
    <w:rsid w:val="00656016"/>
    <w:rsid w:val="00656188"/>
    <w:rsid w:val="00656F5C"/>
    <w:rsid w:val="0065715A"/>
    <w:rsid w:val="00657627"/>
    <w:rsid w:val="00657FBD"/>
    <w:rsid w:val="0066101F"/>
    <w:rsid w:val="006610F1"/>
    <w:rsid w:val="00661C6B"/>
    <w:rsid w:val="00662222"/>
    <w:rsid w:val="006646BC"/>
    <w:rsid w:val="00664759"/>
    <w:rsid w:val="00665477"/>
    <w:rsid w:val="00665C2D"/>
    <w:rsid w:val="00666203"/>
    <w:rsid w:val="00666AE8"/>
    <w:rsid w:val="00666BF0"/>
    <w:rsid w:val="0066701D"/>
    <w:rsid w:val="00667442"/>
    <w:rsid w:val="00667B54"/>
    <w:rsid w:val="006700B2"/>
    <w:rsid w:val="00671004"/>
    <w:rsid w:val="006710CD"/>
    <w:rsid w:val="00671D55"/>
    <w:rsid w:val="00671EA0"/>
    <w:rsid w:val="00672646"/>
    <w:rsid w:val="00672B24"/>
    <w:rsid w:val="00672E3A"/>
    <w:rsid w:val="0067320A"/>
    <w:rsid w:val="0067413C"/>
    <w:rsid w:val="00674514"/>
    <w:rsid w:val="00674839"/>
    <w:rsid w:val="00674E42"/>
    <w:rsid w:val="00675306"/>
    <w:rsid w:val="00675B4A"/>
    <w:rsid w:val="006765B4"/>
    <w:rsid w:val="006767FE"/>
    <w:rsid w:val="00676ABB"/>
    <w:rsid w:val="00676AE6"/>
    <w:rsid w:val="00676B48"/>
    <w:rsid w:val="006805A0"/>
    <w:rsid w:val="00681089"/>
    <w:rsid w:val="006813F8"/>
    <w:rsid w:val="00681BD8"/>
    <w:rsid w:val="00682112"/>
    <w:rsid w:val="00682BA6"/>
    <w:rsid w:val="00684632"/>
    <w:rsid w:val="006846A0"/>
    <w:rsid w:val="00685451"/>
    <w:rsid w:val="0068627F"/>
    <w:rsid w:val="00686572"/>
    <w:rsid w:val="00686957"/>
    <w:rsid w:val="00686C6C"/>
    <w:rsid w:val="006872BA"/>
    <w:rsid w:val="0068740D"/>
    <w:rsid w:val="00687605"/>
    <w:rsid w:val="00687851"/>
    <w:rsid w:val="00687BA7"/>
    <w:rsid w:val="00687DA3"/>
    <w:rsid w:val="00690795"/>
    <w:rsid w:val="00691648"/>
    <w:rsid w:val="006917D7"/>
    <w:rsid w:val="00691C3E"/>
    <w:rsid w:val="00691DA5"/>
    <w:rsid w:val="00691F27"/>
    <w:rsid w:val="0069319D"/>
    <w:rsid w:val="00693E47"/>
    <w:rsid w:val="00694119"/>
    <w:rsid w:val="0069434C"/>
    <w:rsid w:val="00694507"/>
    <w:rsid w:val="00694F44"/>
    <w:rsid w:val="00696692"/>
    <w:rsid w:val="00696F51"/>
    <w:rsid w:val="006970AE"/>
    <w:rsid w:val="00697934"/>
    <w:rsid w:val="006979A5"/>
    <w:rsid w:val="006A1B84"/>
    <w:rsid w:val="006A23BF"/>
    <w:rsid w:val="006A269C"/>
    <w:rsid w:val="006A2A95"/>
    <w:rsid w:val="006A2DE9"/>
    <w:rsid w:val="006A2EDD"/>
    <w:rsid w:val="006A346E"/>
    <w:rsid w:val="006A4E43"/>
    <w:rsid w:val="006A4ED4"/>
    <w:rsid w:val="006A68B9"/>
    <w:rsid w:val="006A6B99"/>
    <w:rsid w:val="006A7E13"/>
    <w:rsid w:val="006A7E5F"/>
    <w:rsid w:val="006B0FC2"/>
    <w:rsid w:val="006B1686"/>
    <w:rsid w:val="006B20F8"/>
    <w:rsid w:val="006B261B"/>
    <w:rsid w:val="006B2AEB"/>
    <w:rsid w:val="006B2C90"/>
    <w:rsid w:val="006B327E"/>
    <w:rsid w:val="006B35E6"/>
    <w:rsid w:val="006B465A"/>
    <w:rsid w:val="006B4D67"/>
    <w:rsid w:val="006B5333"/>
    <w:rsid w:val="006B53E0"/>
    <w:rsid w:val="006B5F94"/>
    <w:rsid w:val="006B6DD0"/>
    <w:rsid w:val="006B73DF"/>
    <w:rsid w:val="006C0399"/>
    <w:rsid w:val="006C0AB8"/>
    <w:rsid w:val="006C0FE7"/>
    <w:rsid w:val="006C1C56"/>
    <w:rsid w:val="006C252E"/>
    <w:rsid w:val="006C2A8E"/>
    <w:rsid w:val="006C3019"/>
    <w:rsid w:val="006C3255"/>
    <w:rsid w:val="006C3629"/>
    <w:rsid w:val="006C3F26"/>
    <w:rsid w:val="006C4556"/>
    <w:rsid w:val="006C504F"/>
    <w:rsid w:val="006C5561"/>
    <w:rsid w:val="006C5EEF"/>
    <w:rsid w:val="006D0D17"/>
    <w:rsid w:val="006D1CDC"/>
    <w:rsid w:val="006D3C7D"/>
    <w:rsid w:val="006D458D"/>
    <w:rsid w:val="006D4659"/>
    <w:rsid w:val="006D4E1B"/>
    <w:rsid w:val="006D5D5F"/>
    <w:rsid w:val="006D5EEA"/>
    <w:rsid w:val="006D67AB"/>
    <w:rsid w:val="006D68FB"/>
    <w:rsid w:val="006D69AC"/>
    <w:rsid w:val="006D7510"/>
    <w:rsid w:val="006E0383"/>
    <w:rsid w:val="006E0A24"/>
    <w:rsid w:val="006E0DE7"/>
    <w:rsid w:val="006E1180"/>
    <w:rsid w:val="006E153A"/>
    <w:rsid w:val="006E18A0"/>
    <w:rsid w:val="006E2868"/>
    <w:rsid w:val="006E2A71"/>
    <w:rsid w:val="006E2FE0"/>
    <w:rsid w:val="006E302A"/>
    <w:rsid w:val="006E3B43"/>
    <w:rsid w:val="006E3CE9"/>
    <w:rsid w:val="006E3F87"/>
    <w:rsid w:val="006E4192"/>
    <w:rsid w:val="006E55BE"/>
    <w:rsid w:val="006E56F5"/>
    <w:rsid w:val="006E58F2"/>
    <w:rsid w:val="006E68A7"/>
    <w:rsid w:val="006E7A34"/>
    <w:rsid w:val="006E7EE9"/>
    <w:rsid w:val="006E7F87"/>
    <w:rsid w:val="006F05ED"/>
    <w:rsid w:val="006F0EF8"/>
    <w:rsid w:val="006F13AC"/>
    <w:rsid w:val="006F2BAB"/>
    <w:rsid w:val="006F2D39"/>
    <w:rsid w:val="006F306C"/>
    <w:rsid w:val="006F3948"/>
    <w:rsid w:val="006F3C1C"/>
    <w:rsid w:val="006F3DE1"/>
    <w:rsid w:val="006F44CC"/>
    <w:rsid w:val="006F49DC"/>
    <w:rsid w:val="006F4B5A"/>
    <w:rsid w:val="006F5C49"/>
    <w:rsid w:val="006F63A5"/>
    <w:rsid w:val="007009FF"/>
    <w:rsid w:val="007010E8"/>
    <w:rsid w:val="0070142B"/>
    <w:rsid w:val="00701704"/>
    <w:rsid w:val="00701980"/>
    <w:rsid w:val="0070276E"/>
    <w:rsid w:val="00702F8F"/>
    <w:rsid w:val="0070324C"/>
    <w:rsid w:val="00704180"/>
    <w:rsid w:val="00704704"/>
    <w:rsid w:val="007058BA"/>
    <w:rsid w:val="00706655"/>
    <w:rsid w:val="00707189"/>
    <w:rsid w:val="0070794A"/>
    <w:rsid w:val="007079FC"/>
    <w:rsid w:val="007101C0"/>
    <w:rsid w:val="0071042B"/>
    <w:rsid w:val="00711A36"/>
    <w:rsid w:val="00711C8C"/>
    <w:rsid w:val="00711DFC"/>
    <w:rsid w:val="00712557"/>
    <w:rsid w:val="007129D4"/>
    <w:rsid w:val="00713029"/>
    <w:rsid w:val="0071377A"/>
    <w:rsid w:val="00714C26"/>
    <w:rsid w:val="00714D16"/>
    <w:rsid w:val="0071529C"/>
    <w:rsid w:val="00716C15"/>
    <w:rsid w:val="007170DA"/>
    <w:rsid w:val="007172AD"/>
    <w:rsid w:val="00717581"/>
    <w:rsid w:val="0071765E"/>
    <w:rsid w:val="00717C07"/>
    <w:rsid w:val="00720169"/>
    <w:rsid w:val="00720370"/>
    <w:rsid w:val="00720651"/>
    <w:rsid w:val="00720801"/>
    <w:rsid w:val="00721757"/>
    <w:rsid w:val="00722B1B"/>
    <w:rsid w:val="00722B22"/>
    <w:rsid w:val="00723287"/>
    <w:rsid w:val="007236E5"/>
    <w:rsid w:val="00723DD7"/>
    <w:rsid w:val="0072416F"/>
    <w:rsid w:val="0072603D"/>
    <w:rsid w:val="00726FCD"/>
    <w:rsid w:val="00727C94"/>
    <w:rsid w:val="00727EA3"/>
    <w:rsid w:val="00730ED5"/>
    <w:rsid w:val="00730FAF"/>
    <w:rsid w:val="00731B0A"/>
    <w:rsid w:val="00731EAE"/>
    <w:rsid w:val="00731EDC"/>
    <w:rsid w:val="00732126"/>
    <w:rsid w:val="00733073"/>
    <w:rsid w:val="0073405B"/>
    <w:rsid w:val="007342C2"/>
    <w:rsid w:val="00734505"/>
    <w:rsid w:val="00734560"/>
    <w:rsid w:val="00735033"/>
    <w:rsid w:val="00735328"/>
    <w:rsid w:val="00736449"/>
    <w:rsid w:val="0073685B"/>
    <w:rsid w:val="00740082"/>
    <w:rsid w:val="00740475"/>
    <w:rsid w:val="00740BCD"/>
    <w:rsid w:val="00740BFC"/>
    <w:rsid w:val="007413AF"/>
    <w:rsid w:val="00741467"/>
    <w:rsid w:val="00741575"/>
    <w:rsid w:val="007417A8"/>
    <w:rsid w:val="00742665"/>
    <w:rsid w:val="0074357C"/>
    <w:rsid w:val="007436DA"/>
    <w:rsid w:val="00743BAF"/>
    <w:rsid w:val="00744927"/>
    <w:rsid w:val="007449BF"/>
    <w:rsid w:val="007450A4"/>
    <w:rsid w:val="00746BC0"/>
    <w:rsid w:val="007475E8"/>
    <w:rsid w:val="007476D1"/>
    <w:rsid w:val="0074778F"/>
    <w:rsid w:val="007510B4"/>
    <w:rsid w:val="007514FD"/>
    <w:rsid w:val="00752142"/>
    <w:rsid w:val="007522C2"/>
    <w:rsid w:val="007523F9"/>
    <w:rsid w:val="0075357E"/>
    <w:rsid w:val="00754876"/>
    <w:rsid w:val="00754B67"/>
    <w:rsid w:val="00755954"/>
    <w:rsid w:val="007559D3"/>
    <w:rsid w:val="007573E8"/>
    <w:rsid w:val="00757831"/>
    <w:rsid w:val="007601DF"/>
    <w:rsid w:val="00760BA5"/>
    <w:rsid w:val="00760C4E"/>
    <w:rsid w:val="00760F9E"/>
    <w:rsid w:val="007610E6"/>
    <w:rsid w:val="007610E9"/>
    <w:rsid w:val="00761AB9"/>
    <w:rsid w:val="00761BCC"/>
    <w:rsid w:val="0076259E"/>
    <w:rsid w:val="00762723"/>
    <w:rsid w:val="007627BE"/>
    <w:rsid w:val="00763FA2"/>
    <w:rsid w:val="00764F03"/>
    <w:rsid w:val="00765B1A"/>
    <w:rsid w:val="00765F02"/>
    <w:rsid w:val="00766063"/>
    <w:rsid w:val="0076679C"/>
    <w:rsid w:val="00767573"/>
    <w:rsid w:val="007702E4"/>
    <w:rsid w:val="00770CB7"/>
    <w:rsid w:val="00774ED0"/>
    <w:rsid w:val="00775833"/>
    <w:rsid w:val="00776953"/>
    <w:rsid w:val="00776E6E"/>
    <w:rsid w:val="00776ECB"/>
    <w:rsid w:val="00777335"/>
    <w:rsid w:val="00777951"/>
    <w:rsid w:val="00777B6E"/>
    <w:rsid w:val="0078011F"/>
    <w:rsid w:val="007802F1"/>
    <w:rsid w:val="00780C06"/>
    <w:rsid w:val="007818C7"/>
    <w:rsid w:val="00781EA7"/>
    <w:rsid w:val="0078200A"/>
    <w:rsid w:val="0078271C"/>
    <w:rsid w:val="00782BA3"/>
    <w:rsid w:val="0078358A"/>
    <w:rsid w:val="00783E46"/>
    <w:rsid w:val="007843F2"/>
    <w:rsid w:val="00785406"/>
    <w:rsid w:val="00785A9F"/>
    <w:rsid w:val="00787044"/>
    <w:rsid w:val="007872AA"/>
    <w:rsid w:val="00790051"/>
    <w:rsid w:val="00791ABB"/>
    <w:rsid w:val="007925DF"/>
    <w:rsid w:val="00792F57"/>
    <w:rsid w:val="00793A55"/>
    <w:rsid w:val="00793CA1"/>
    <w:rsid w:val="0079558F"/>
    <w:rsid w:val="007959C3"/>
    <w:rsid w:val="00796F9F"/>
    <w:rsid w:val="00797165"/>
    <w:rsid w:val="00797494"/>
    <w:rsid w:val="007A0729"/>
    <w:rsid w:val="007A08AA"/>
    <w:rsid w:val="007A0A12"/>
    <w:rsid w:val="007A132D"/>
    <w:rsid w:val="007A1345"/>
    <w:rsid w:val="007A1665"/>
    <w:rsid w:val="007A1791"/>
    <w:rsid w:val="007A2335"/>
    <w:rsid w:val="007A239F"/>
    <w:rsid w:val="007A2665"/>
    <w:rsid w:val="007A2DDB"/>
    <w:rsid w:val="007A2FC4"/>
    <w:rsid w:val="007A3EB3"/>
    <w:rsid w:val="007A425B"/>
    <w:rsid w:val="007A4E2A"/>
    <w:rsid w:val="007A51D2"/>
    <w:rsid w:val="007A5544"/>
    <w:rsid w:val="007A6B65"/>
    <w:rsid w:val="007A70BA"/>
    <w:rsid w:val="007A723C"/>
    <w:rsid w:val="007A7484"/>
    <w:rsid w:val="007B00CF"/>
    <w:rsid w:val="007B0D68"/>
    <w:rsid w:val="007B0FAA"/>
    <w:rsid w:val="007B110F"/>
    <w:rsid w:val="007B1566"/>
    <w:rsid w:val="007B17EB"/>
    <w:rsid w:val="007B1DCF"/>
    <w:rsid w:val="007B1F6A"/>
    <w:rsid w:val="007B251D"/>
    <w:rsid w:val="007B403B"/>
    <w:rsid w:val="007B4B59"/>
    <w:rsid w:val="007B4F58"/>
    <w:rsid w:val="007B50AE"/>
    <w:rsid w:val="007B528D"/>
    <w:rsid w:val="007B63CA"/>
    <w:rsid w:val="007B65FF"/>
    <w:rsid w:val="007B77D1"/>
    <w:rsid w:val="007C07C7"/>
    <w:rsid w:val="007C0906"/>
    <w:rsid w:val="007C0C59"/>
    <w:rsid w:val="007C1CD9"/>
    <w:rsid w:val="007C1E91"/>
    <w:rsid w:val="007C233C"/>
    <w:rsid w:val="007C2601"/>
    <w:rsid w:val="007C2B3A"/>
    <w:rsid w:val="007C32EF"/>
    <w:rsid w:val="007C361D"/>
    <w:rsid w:val="007C40F9"/>
    <w:rsid w:val="007C4B41"/>
    <w:rsid w:val="007C4B84"/>
    <w:rsid w:val="007C6BC8"/>
    <w:rsid w:val="007C70FF"/>
    <w:rsid w:val="007C7C25"/>
    <w:rsid w:val="007D004F"/>
    <w:rsid w:val="007D0915"/>
    <w:rsid w:val="007D0B38"/>
    <w:rsid w:val="007D1026"/>
    <w:rsid w:val="007D234C"/>
    <w:rsid w:val="007D2E4D"/>
    <w:rsid w:val="007D31B7"/>
    <w:rsid w:val="007D490A"/>
    <w:rsid w:val="007D5440"/>
    <w:rsid w:val="007D5454"/>
    <w:rsid w:val="007D5D2B"/>
    <w:rsid w:val="007D68B8"/>
    <w:rsid w:val="007D69EB"/>
    <w:rsid w:val="007D6EA5"/>
    <w:rsid w:val="007D70F4"/>
    <w:rsid w:val="007E09A4"/>
    <w:rsid w:val="007E128F"/>
    <w:rsid w:val="007E2263"/>
    <w:rsid w:val="007E299C"/>
    <w:rsid w:val="007E4929"/>
    <w:rsid w:val="007E5A93"/>
    <w:rsid w:val="007E6674"/>
    <w:rsid w:val="007E73B2"/>
    <w:rsid w:val="007E7820"/>
    <w:rsid w:val="007E7A6D"/>
    <w:rsid w:val="007F0116"/>
    <w:rsid w:val="007F1017"/>
    <w:rsid w:val="007F13D0"/>
    <w:rsid w:val="007F1B4A"/>
    <w:rsid w:val="007F2841"/>
    <w:rsid w:val="007F4A3F"/>
    <w:rsid w:val="007F4A61"/>
    <w:rsid w:val="007F5255"/>
    <w:rsid w:val="007F52FD"/>
    <w:rsid w:val="007F55AE"/>
    <w:rsid w:val="007F56CC"/>
    <w:rsid w:val="007F5922"/>
    <w:rsid w:val="007F5C0C"/>
    <w:rsid w:val="007F5FCE"/>
    <w:rsid w:val="007F61C2"/>
    <w:rsid w:val="007F67A7"/>
    <w:rsid w:val="007F70CB"/>
    <w:rsid w:val="007F742E"/>
    <w:rsid w:val="007F7C16"/>
    <w:rsid w:val="00800D75"/>
    <w:rsid w:val="008023D4"/>
    <w:rsid w:val="00802670"/>
    <w:rsid w:val="00803B38"/>
    <w:rsid w:val="008042B4"/>
    <w:rsid w:val="00804E98"/>
    <w:rsid w:val="00805142"/>
    <w:rsid w:val="0080559A"/>
    <w:rsid w:val="008055E2"/>
    <w:rsid w:val="00805FCE"/>
    <w:rsid w:val="00807A8B"/>
    <w:rsid w:val="00811383"/>
    <w:rsid w:val="00811B45"/>
    <w:rsid w:val="00812149"/>
    <w:rsid w:val="00812A06"/>
    <w:rsid w:val="00812CAC"/>
    <w:rsid w:val="00814A3A"/>
    <w:rsid w:val="00816361"/>
    <w:rsid w:val="008166EF"/>
    <w:rsid w:val="00816C52"/>
    <w:rsid w:val="00816FEF"/>
    <w:rsid w:val="008172D3"/>
    <w:rsid w:val="008202F4"/>
    <w:rsid w:val="008208B8"/>
    <w:rsid w:val="00820A8C"/>
    <w:rsid w:val="008215FB"/>
    <w:rsid w:val="00822A57"/>
    <w:rsid w:val="00822F02"/>
    <w:rsid w:val="00823174"/>
    <w:rsid w:val="00823553"/>
    <w:rsid w:val="008237CF"/>
    <w:rsid w:val="00823F77"/>
    <w:rsid w:val="00823F9F"/>
    <w:rsid w:val="00824289"/>
    <w:rsid w:val="00825488"/>
    <w:rsid w:val="00825751"/>
    <w:rsid w:val="008264EB"/>
    <w:rsid w:val="00826E45"/>
    <w:rsid w:val="00826F81"/>
    <w:rsid w:val="00830F3C"/>
    <w:rsid w:val="00831A64"/>
    <w:rsid w:val="00832CE9"/>
    <w:rsid w:val="00833741"/>
    <w:rsid w:val="00833B05"/>
    <w:rsid w:val="00834357"/>
    <w:rsid w:val="0083499E"/>
    <w:rsid w:val="00835A3E"/>
    <w:rsid w:val="008362B4"/>
    <w:rsid w:val="00836372"/>
    <w:rsid w:val="0083774C"/>
    <w:rsid w:val="00837859"/>
    <w:rsid w:val="00840008"/>
    <w:rsid w:val="00840826"/>
    <w:rsid w:val="008408F4"/>
    <w:rsid w:val="00840920"/>
    <w:rsid w:val="00840CA2"/>
    <w:rsid w:val="00840D15"/>
    <w:rsid w:val="00841578"/>
    <w:rsid w:val="008420B1"/>
    <w:rsid w:val="0084219D"/>
    <w:rsid w:val="0084374F"/>
    <w:rsid w:val="0084456A"/>
    <w:rsid w:val="00844A22"/>
    <w:rsid w:val="008461B1"/>
    <w:rsid w:val="0084763A"/>
    <w:rsid w:val="00847703"/>
    <w:rsid w:val="008477DF"/>
    <w:rsid w:val="0084782A"/>
    <w:rsid w:val="00847DF5"/>
    <w:rsid w:val="00850546"/>
    <w:rsid w:val="00850BEC"/>
    <w:rsid w:val="008528B5"/>
    <w:rsid w:val="0085309D"/>
    <w:rsid w:val="00853FA8"/>
    <w:rsid w:val="00855D0B"/>
    <w:rsid w:val="00856897"/>
    <w:rsid w:val="00856E9A"/>
    <w:rsid w:val="00860062"/>
    <w:rsid w:val="0086067C"/>
    <w:rsid w:val="0086075D"/>
    <w:rsid w:val="00860D01"/>
    <w:rsid w:val="008613A7"/>
    <w:rsid w:val="00861793"/>
    <w:rsid w:val="0086180E"/>
    <w:rsid w:val="00862502"/>
    <w:rsid w:val="0086273E"/>
    <w:rsid w:val="00862CC1"/>
    <w:rsid w:val="00863F73"/>
    <w:rsid w:val="00864042"/>
    <w:rsid w:val="0086536F"/>
    <w:rsid w:val="008658C7"/>
    <w:rsid w:val="00865A6C"/>
    <w:rsid w:val="00865B6C"/>
    <w:rsid w:val="008660D4"/>
    <w:rsid w:val="0086679C"/>
    <w:rsid w:val="0086687A"/>
    <w:rsid w:val="00866931"/>
    <w:rsid w:val="00866A27"/>
    <w:rsid w:val="0086703B"/>
    <w:rsid w:val="008704B4"/>
    <w:rsid w:val="00870ED9"/>
    <w:rsid w:val="0087134D"/>
    <w:rsid w:val="00871FA9"/>
    <w:rsid w:val="00872802"/>
    <w:rsid w:val="008728E9"/>
    <w:rsid w:val="008730AD"/>
    <w:rsid w:val="00873A63"/>
    <w:rsid w:val="00875A0B"/>
    <w:rsid w:val="00877AAB"/>
    <w:rsid w:val="00880653"/>
    <w:rsid w:val="00882874"/>
    <w:rsid w:val="00882A71"/>
    <w:rsid w:val="00882BA0"/>
    <w:rsid w:val="00882E3C"/>
    <w:rsid w:val="00882FC6"/>
    <w:rsid w:val="00883285"/>
    <w:rsid w:val="008832AE"/>
    <w:rsid w:val="0088345F"/>
    <w:rsid w:val="00883787"/>
    <w:rsid w:val="00883BA3"/>
    <w:rsid w:val="0088400D"/>
    <w:rsid w:val="00884BA2"/>
    <w:rsid w:val="00884BE3"/>
    <w:rsid w:val="00885154"/>
    <w:rsid w:val="008855E4"/>
    <w:rsid w:val="00885C2E"/>
    <w:rsid w:val="00885F57"/>
    <w:rsid w:val="00886CD2"/>
    <w:rsid w:val="0088735B"/>
    <w:rsid w:val="00887FE7"/>
    <w:rsid w:val="008903C3"/>
    <w:rsid w:val="00890739"/>
    <w:rsid w:val="00891CC9"/>
    <w:rsid w:val="00891E6F"/>
    <w:rsid w:val="0089275D"/>
    <w:rsid w:val="00892A36"/>
    <w:rsid w:val="00892FE9"/>
    <w:rsid w:val="00893239"/>
    <w:rsid w:val="008932F5"/>
    <w:rsid w:val="0089361E"/>
    <w:rsid w:val="00894489"/>
    <w:rsid w:val="00894739"/>
    <w:rsid w:val="00894F48"/>
    <w:rsid w:val="00894F72"/>
    <w:rsid w:val="008961FC"/>
    <w:rsid w:val="008963A5"/>
    <w:rsid w:val="00896D5D"/>
    <w:rsid w:val="008A0322"/>
    <w:rsid w:val="008A0828"/>
    <w:rsid w:val="008A2B5F"/>
    <w:rsid w:val="008A3363"/>
    <w:rsid w:val="008A3371"/>
    <w:rsid w:val="008A3C3E"/>
    <w:rsid w:val="008A3D99"/>
    <w:rsid w:val="008A4F68"/>
    <w:rsid w:val="008A676A"/>
    <w:rsid w:val="008A7055"/>
    <w:rsid w:val="008A79DE"/>
    <w:rsid w:val="008B02EB"/>
    <w:rsid w:val="008B0C3C"/>
    <w:rsid w:val="008B0F85"/>
    <w:rsid w:val="008B1228"/>
    <w:rsid w:val="008B13A6"/>
    <w:rsid w:val="008B1757"/>
    <w:rsid w:val="008B2D93"/>
    <w:rsid w:val="008B399D"/>
    <w:rsid w:val="008B39C0"/>
    <w:rsid w:val="008B3FC4"/>
    <w:rsid w:val="008B3FEA"/>
    <w:rsid w:val="008B496F"/>
    <w:rsid w:val="008B50E9"/>
    <w:rsid w:val="008B6A0B"/>
    <w:rsid w:val="008B6E54"/>
    <w:rsid w:val="008B72DB"/>
    <w:rsid w:val="008B7992"/>
    <w:rsid w:val="008B7D7E"/>
    <w:rsid w:val="008B7F57"/>
    <w:rsid w:val="008C0DFA"/>
    <w:rsid w:val="008C101F"/>
    <w:rsid w:val="008C1E43"/>
    <w:rsid w:val="008C21A8"/>
    <w:rsid w:val="008C2568"/>
    <w:rsid w:val="008C31C5"/>
    <w:rsid w:val="008C341B"/>
    <w:rsid w:val="008C4704"/>
    <w:rsid w:val="008C4CA5"/>
    <w:rsid w:val="008C5610"/>
    <w:rsid w:val="008C566C"/>
    <w:rsid w:val="008C5739"/>
    <w:rsid w:val="008C67AA"/>
    <w:rsid w:val="008C700F"/>
    <w:rsid w:val="008C7B7F"/>
    <w:rsid w:val="008C7E74"/>
    <w:rsid w:val="008C7EC9"/>
    <w:rsid w:val="008C7ECB"/>
    <w:rsid w:val="008D02DC"/>
    <w:rsid w:val="008D1AE0"/>
    <w:rsid w:val="008D2555"/>
    <w:rsid w:val="008D35FD"/>
    <w:rsid w:val="008D3B86"/>
    <w:rsid w:val="008D3C6E"/>
    <w:rsid w:val="008D4755"/>
    <w:rsid w:val="008D4C3D"/>
    <w:rsid w:val="008D4D70"/>
    <w:rsid w:val="008D51B5"/>
    <w:rsid w:val="008D594D"/>
    <w:rsid w:val="008D6396"/>
    <w:rsid w:val="008D7305"/>
    <w:rsid w:val="008D743C"/>
    <w:rsid w:val="008E0644"/>
    <w:rsid w:val="008E0D3C"/>
    <w:rsid w:val="008E0EFB"/>
    <w:rsid w:val="008E1A67"/>
    <w:rsid w:val="008E1B9E"/>
    <w:rsid w:val="008E21A2"/>
    <w:rsid w:val="008E23F1"/>
    <w:rsid w:val="008E27DE"/>
    <w:rsid w:val="008E37CB"/>
    <w:rsid w:val="008E45C4"/>
    <w:rsid w:val="008E555B"/>
    <w:rsid w:val="008E55AB"/>
    <w:rsid w:val="008E58AC"/>
    <w:rsid w:val="008E6045"/>
    <w:rsid w:val="008E65F6"/>
    <w:rsid w:val="008E7BEC"/>
    <w:rsid w:val="008F0873"/>
    <w:rsid w:val="008F114F"/>
    <w:rsid w:val="008F120A"/>
    <w:rsid w:val="008F2167"/>
    <w:rsid w:val="008F27E0"/>
    <w:rsid w:val="008F281F"/>
    <w:rsid w:val="008F3543"/>
    <w:rsid w:val="008F42B5"/>
    <w:rsid w:val="008F43E9"/>
    <w:rsid w:val="008F4521"/>
    <w:rsid w:val="008F48EB"/>
    <w:rsid w:val="008F4B43"/>
    <w:rsid w:val="008F4F0B"/>
    <w:rsid w:val="008F54B8"/>
    <w:rsid w:val="008F607C"/>
    <w:rsid w:val="008F781B"/>
    <w:rsid w:val="008F7B14"/>
    <w:rsid w:val="00900470"/>
    <w:rsid w:val="00902587"/>
    <w:rsid w:val="00902AD8"/>
    <w:rsid w:val="00903FB9"/>
    <w:rsid w:val="009046C4"/>
    <w:rsid w:val="00904BEE"/>
    <w:rsid w:val="00905087"/>
    <w:rsid w:val="00905F13"/>
    <w:rsid w:val="009062A5"/>
    <w:rsid w:val="0090788C"/>
    <w:rsid w:val="00907A2E"/>
    <w:rsid w:val="00907C6C"/>
    <w:rsid w:val="009102E7"/>
    <w:rsid w:val="00910C92"/>
    <w:rsid w:val="00910CB8"/>
    <w:rsid w:val="00910E6A"/>
    <w:rsid w:val="00910FA7"/>
    <w:rsid w:val="009111D9"/>
    <w:rsid w:val="00911272"/>
    <w:rsid w:val="009112F4"/>
    <w:rsid w:val="00912A30"/>
    <w:rsid w:val="009135D6"/>
    <w:rsid w:val="00913B0D"/>
    <w:rsid w:val="00914136"/>
    <w:rsid w:val="0091468A"/>
    <w:rsid w:val="00914C77"/>
    <w:rsid w:val="00914D2F"/>
    <w:rsid w:val="0091625D"/>
    <w:rsid w:val="00916592"/>
    <w:rsid w:val="00916C04"/>
    <w:rsid w:val="0091748C"/>
    <w:rsid w:val="009176A2"/>
    <w:rsid w:val="00921095"/>
    <w:rsid w:val="009213CD"/>
    <w:rsid w:val="00921ACB"/>
    <w:rsid w:val="00922DBA"/>
    <w:rsid w:val="0092320C"/>
    <w:rsid w:val="0092369B"/>
    <w:rsid w:val="0092486E"/>
    <w:rsid w:val="00924977"/>
    <w:rsid w:val="00924C52"/>
    <w:rsid w:val="00924CD7"/>
    <w:rsid w:val="00925C77"/>
    <w:rsid w:val="00926872"/>
    <w:rsid w:val="009273C6"/>
    <w:rsid w:val="00930A46"/>
    <w:rsid w:val="00930C1D"/>
    <w:rsid w:val="00932163"/>
    <w:rsid w:val="009321FC"/>
    <w:rsid w:val="00933910"/>
    <w:rsid w:val="00933F4F"/>
    <w:rsid w:val="00934696"/>
    <w:rsid w:val="00934988"/>
    <w:rsid w:val="0093556F"/>
    <w:rsid w:val="00936A8E"/>
    <w:rsid w:val="00936B9A"/>
    <w:rsid w:val="00936DAC"/>
    <w:rsid w:val="00936E7C"/>
    <w:rsid w:val="00937089"/>
    <w:rsid w:val="00937263"/>
    <w:rsid w:val="009372AA"/>
    <w:rsid w:val="0093794D"/>
    <w:rsid w:val="00937B8B"/>
    <w:rsid w:val="0094122B"/>
    <w:rsid w:val="009415B3"/>
    <w:rsid w:val="009419E2"/>
    <w:rsid w:val="0094220A"/>
    <w:rsid w:val="0094252F"/>
    <w:rsid w:val="009433E6"/>
    <w:rsid w:val="00943BF7"/>
    <w:rsid w:val="00944E19"/>
    <w:rsid w:val="00944F8A"/>
    <w:rsid w:val="00947F8A"/>
    <w:rsid w:val="00950762"/>
    <w:rsid w:val="009510A2"/>
    <w:rsid w:val="009512EE"/>
    <w:rsid w:val="00951FAF"/>
    <w:rsid w:val="009522BC"/>
    <w:rsid w:val="0095271E"/>
    <w:rsid w:val="00953257"/>
    <w:rsid w:val="0095474C"/>
    <w:rsid w:val="00956581"/>
    <w:rsid w:val="00956A1A"/>
    <w:rsid w:val="00957002"/>
    <w:rsid w:val="00957EDE"/>
    <w:rsid w:val="00960A26"/>
    <w:rsid w:val="009617FB"/>
    <w:rsid w:val="00962CB9"/>
    <w:rsid w:val="00962CCF"/>
    <w:rsid w:val="00962D9D"/>
    <w:rsid w:val="00963517"/>
    <w:rsid w:val="009635DE"/>
    <w:rsid w:val="00963CCA"/>
    <w:rsid w:val="009641C3"/>
    <w:rsid w:val="00964312"/>
    <w:rsid w:val="00964D05"/>
    <w:rsid w:val="00965B8A"/>
    <w:rsid w:val="00966666"/>
    <w:rsid w:val="00967A9D"/>
    <w:rsid w:val="0097071F"/>
    <w:rsid w:val="009707D5"/>
    <w:rsid w:val="009710F8"/>
    <w:rsid w:val="009714F0"/>
    <w:rsid w:val="00971607"/>
    <w:rsid w:val="009717AC"/>
    <w:rsid w:val="00972299"/>
    <w:rsid w:val="009729FB"/>
    <w:rsid w:val="00972D24"/>
    <w:rsid w:val="00972EF5"/>
    <w:rsid w:val="009751C1"/>
    <w:rsid w:val="009768AD"/>
    <w:rsid w:val="009772F3"/>
    <w:rsid w:val="009803B8"/>
    <w:rsid w:val="00980CB0"/>
    <w:rsid w:val="00980DDE"/>
    <w:rsid w:val="009811F1"/>
    <w:rsid w:val="00983E57"/>
    <w:rsid w:val="00984364"/>
    <w:rsid w:val="00984C0E"/>
    <w:rsid w:val="009858B1"/>
    <w:rsid w:val="00985DE2"/>
    <w:rsid w:val="00985F2A"/>
    <w:rsid w:val="009866A2"/>
    <w:rsid w:val="0098675D"/>
    <w:rsid w:val="00986D3D"/>
    <w:rsid w:val="00987E92"/>
    <w:rsid w:val="00987F2A"/>
    <w:rsid w:val="00990700"/>
    <w:rsid w:val="00990A72"/>
    <w:rsid w:val="00990CCB"/>
    <w:rsid w:val="00991176"/>
    <w:rsid w:val="0099137A"/>
    <w:rsid w:val="009926E0"/>
    <w:rsid w:val="0099270D"/>
    <w:rsid w:val="00992C6C"/>
    <w:rsid w:val="00993231"/>
    <w:rsid w:val="009936B0"/>
    <w:rsid w:val="0099436D"/>
    <w:rsid w:val="0099451E"/>
    <w:rsid w:val="00994CE2"/>
    <w:rsid w:val="009956D4"/>
    <w:rsid w:val="009957F8"/>
    <w:rsid w:val="009960EA"/>
    <w:rsid w:val="0099612C"/>
    <w:rsid w:val="00996660"/>
    <w:rsid w:val="00996B1A"/>
    <w:rsid w:val="009971CE"/>
    <w:rsid w:val="009975F2"/>
    <w:rsid w:val="00997F84"/>
    <w:rsid w:val="009A0DEE"/>
    <w:rsid w:val="009A14F9"/>
    <w:rsid w:val="009A1623"/>
    <w:rsid w:val="009A1D47"/>
    <w:rsid w:val="009A20DB"/>
    <w:rsid w:val="009A2421"/>
    <w:rsid w:val="009A28F8"/>
    <w:rsid w:val="009A29C1"/>
    <w:rsid w:val="009A2DCC"/>
    <w:rsid w:val="009A2E3E"/>
    <w:rsid w:val="009A31D4"/>
    <w:rsid w:val="009A47F9"/>
    <w:rsid w:val="009A49AF"/>
    <w:rsid w:val="009A517E"/>
    <w:rsid w:val="009A5ABC"/>
    <w:rsid w:val="009A5C06"/>
    <w:rsid w:val="009A61CB"/>
    <w:rsid w:val="009A6E08"/>
    <w:rsid w:val="009A7525"/>
    <w:rsid w:val="009A7B5E"/>
    <w:rsid w:val="009A7D3E"/>
    <w:rsid w:val="009A7F10"/>
    <w:rsid w:val="009A7FFA"/>
    <w:rsid w:val="009B0267"/>
    <w:rsid w:val="009B0494"/>
    <w:rsid w:val="009B17F3"/>
    <w:rsid w:val="009B3228"/>
    <w:rsid w:val="009B3E26"/>
    <w:rsid w:val="009B4699"/>
    <w:rsid w:val="009B48E0"/>
    <w:rsid w:val="009B51FD"/>
    <w:rsid w:val="009B551F"/>
    <w:rsid w:val="009B661A"/>
    <w:rsid w:val="009B7FAF"/>
    <w:rsid w:val="009C00B5"/>
    <w:rsid w:val="009C037E"/>
    <w:rsid w:val="009C0687"/>
    <w:rsid w:val="009C0C35"/>
    <w:rsid w:val="009C263E"/>
    <w:rsid w:val="009C284E"/>
    <w:rsid w:val="009C2DD4"/>
    <w:rsid w:val="009C2E7A"/>
    <w:rsid w:val="009C34C3"/>
    <w:rsid w:val="009C364D"/>
    <w:rsid w:val="009C3706"/>
    <w:rsid w:val="009C3A3A"/>
    <w:rsid w:val="009C4916"/>
    <w:rsid w:val="009C4D4B"/>
    <w:rsid w:val="009C55F3"/>
    <w:rsid w:val="009C638C"/>
    <w:rsid w:val="009C6CEA"/>
    <w:rsid w:val="009C7B85"/>
    <w:rsid w:val="009D0254"/>
    <w:rsid w:val="009D0C26"/>
    <w:rsid w:val="009D0DFE"/>
    <w:rsid w:val="009D1053"/>
    <w:rsid w:val="009D19E2"/>
    <w:rsid w:val="009D1A64"/>
    <w:rsid w:val="009D1B27"/>
    <w:rsid w:val="009D1D25"/>
    <w:rsid w:val="009D1E66"/>
    <w:rsid w:val="009D381C"/>
    <w:rsid w:val="009D55B0"/>
    <w:rsid w:val="009D561A"/>
    <w:rsid w:val="009D5B91"/>
    <w:rsid w:val="009D5F0E"/>
    <w:rsid w:val="009D6C02"/>
    <w:rsid w:val="009D7032"/>
    <w:rsid w:val="009D792E"/>
    <w:rsid w:val="009D7DCA"/>
    <w:rsid w:val="009E02EC"/>
    <w:rsid w:val="009E050A"/>
    <w:rsid w:val="009E0DFE"/>
    <w:rsid w:val="009E31F6"/>
    <w:rsid w:val="009E3368"/>
    <w:rsid w:val="009E4C07"/>
    <w:rsid w:val="009E5854"/>
    <w:rsid w:val="009E5B4D"/>
    <w:rsid w:val="009E698E"/>
    <w:rsid w:val="009E6B53"/>
    <w:rsid w:val="009E7F0E"/>
    <w:rsid w:val="009F0B1A"/>
    <w:rsid w:val="009F1285"/>
    <w:rsid w:val="009F143B"/>
    <w:rsid w:val="009F3A7A"/>
    <w:rsid w:val="009F4305"/>
    <w:rsid w:val="009F4E9F"/>
    <w:rsid w:val="009F5155"/>
    <w:rsid w:val="009F655B"/>
    <w:rsid w:val="009F65EE"/>
    <w:rsid w:val="009F7117"/>
    <w:rsid w:val="00A00D0C"/>
    <w:rsid w:val="00A00DF5"/>
    <w:rsid w:val="00A01184"/>
    <w:rsid w:val="00A0193C"/>
    <w:rsid w:val="00A01A0E"/>
    <w:rsid w:val="00A02569"/>
    <w:rsid w:val="00A03268"/>
    <w:rsid w:val="00A033D5"/>
    <w:rsid w:val="00A037C2"/>
    <w:rsid w:val="00A03B06"/>
    <w:rsid w:val="00A03D43"/>
    <w:rsid w:val="00A04094"/>
    <w:rsid w:val="00A04380"/>
    <w:rsid w:val="00A0489A"/>
    <w:rsid w:val="00A04BAB"/>
    <w:rsid w:val="00A05472"/>
    <w:rsid w:val="00A05C32"/>
    <w:rsid w:val="00A05F52"/>
    <w:rsid w:val="00A060DF"/>
    <w:rsid w:val="00A0653F"/>
    <w:rsid w:val="00A06684"/>
    <w:rsid w:val="00A07773"/>
    <w:rsid w:val="00A10A11"/>
    <w:rsid w:val="00A10E91"/>
    <w:rsid w:val="00A119FD"/>
    <w:rsid w:val="00A11CD0"/>
    <w:rsid w:val="00A125B0"/>
    <w:rsid w:val="00A13948"/>
    <w:rsid w:val="00A139B7"/>
    <w:rsid w:val="00A1555B"/>
    <w:rsid w:val="00A155C5"/>
    <w:rsid w:val="00A15D9C"/>
    <w:rsid w:val="00A160CA"/>
    <w:rsid w:val="00A162FB"/>
    <w:rsid w:val="00A166FD"/>
    <w:rsid w:val="00A168F2"/>
    <w:rsid w:val="00A1697C"/>
    <w:rsid w:val="00A16AD8"/>
    <w:rsid w:val="00A16FAC"/>
    <w:rsid w:val="00A172E2"/>
    <w:rsid w:val="00A17B63"/>
    <w:rsid w:val="00A21C95"/>
    <w:rsid w:val="00A21CF3"/>
    <w:rsid w:val="00A23069"/>
    <w:rsid w:val="00A235FE"/>
    <w:rsid w:val="00A238C5"/>
    <w:rsid w:val="00A24501"/>
    <w:rsid w:val="00A24813"/>
    <w:rsid w:val="00A25268"/>
    <w:rsid w:val="00A27692"/>
    <w:rsid w:val="00A276D3"/>
    <w:rsid w:val="00A27AEC"/>
    <w:rsid w:val="00A301D9"/>
    <w:rsid w:val="00A313EB"/>
    <w:rsid w:val="00A320DB"/>
    <w:rsid w:val="00A32EED"/>
    <w:rsid w:val="00A33E90"/>
    <w:rsid w:val="00A3571A"/>
    <w:rsid w:val="00A35ABE"/>
    <w:rsid w:val="00A35D16"/>
    <w:rsid w:val="00A35E29"/>
    <w:rsid w:val="00A36507"/>
    <w:rsid w:val="00A36F65"/>
    <w:rsid w:val="00A37182"/>
    <w:rsid w:val="00A371FD"/>
    <w:rsid w:val="00A3791F"/>
    <w:rsid w:val="00A37BCD"/>
    <w:rsid w:val="00A40B41"/>
    <w:rsid w:val="00A41689"/>
    <w:rsid w:val="00A41F25"/>
    <w:rsid w:val="00A42430"/>
    <w:rsid w:val="00A42592"/>
    <w:rsid w:val="00A42AAC"/>
    <w:rsid w:val="00A42DC4"/>
    <w:rsid w:val="00A432E5"/>
    <w:rsid w:val="00A43C59"/>
    <w:rsid w:val="00A44775"/>
    <w:rsid w:val="00A44B4B"/>
    <w:rsid w:val="00A4623B"/>
    <w:rsid w:val="00A467A0"/>
    <w:rsid w:val="00A4710A"/>
    <w:rsid w:val="00A502B9"/>
    <w:rsid w:val="00A50ECD"/>
    <w:rsid w:val="00A5101D"/>
    <w:rsid w:val="00A518F3"/>
    <w:rsid w:val="00A51B40"/>
    <w:rsid w:val="00A51BE9"/>
    <w:rsid w:val="00A52729"/>
    <w:rsid w:val="00A52FE5"/>
    <w:rsid w:val="00A53675"/>
    <w:rsid w:val="00A545FD"/>
    <w:rsid w:val="00A54929"/>
    <w:rsid w:val="00A55915"/>
    <w:rsid w:val="00A564D7"/>
    <w:rsid w:val="00A56520"/>
    <w:rsid w:val="00A56B6A"/>
    <w:rsid w:val="00A5766E"/>
    <w:rsid w:val="00A5788B"/>
    <w:rsid w:val="00A578DC"/>
    <w:rsid w:val="00A60A26"/>
    <w:rsid w:val="00A60E65"/>
    <w:rsid w:val="00A6234C"/>
    <w:rsid w:val="00A62CCD"/>
    <w:rsid w:val="00A63AEC"/>
    <w:rsid w:val="00A640E2"/>
    <w:rsid w:val="00A64D65"/>
    <w:rsid w:val="00A64F7E"/>
    <w:rsid w:val="00A6564A"/>
    <w:rsid w:val="00A65C00"/>
    <w:rsid w:val="00A6725B"/>
    <w:rsid w:val="00A70605"/>
    <w:rsid w:val="00A70684"/>
    <w:rsid w:val="00A70798"/>
    <w:rsid w:val="00A71954"/>
    <w:rsid w:val="00A7283F"/>
    <w:rsid w:val="00A72966"/>
    <w:rsid w:val="00A72DDF"/>
    <w:rsid w:val="00A73134"/>
    <w:rsid w:val="00A73C35"/>
    <w:rsid w:val="00A74474"/>
    <w:rsid w:val="00A749D2"/>
    <w:rsid w:val="00A75088"/>
    <w:rsid w:val="00A758CB"/>
    <w:rsid w:val="00A76001"/>
    <w:rsid w:val="00A777B2"/>
    <w:rsid w:val="00A777D5"/>
    <w:rsid w:val="00A77A6B"/>
    <w:rsid w:val="00A801BA"/>
    <w:rsid w:val="00A801FC"/>
    <w:rsid w:val="00A81B85"/>
    <w:rsid w:val="00A81E1D"/>
    <w:rsid w:val="00A825D4"/>
    <w:rsid w:val="00A82849"/>
    <w:rsid w:val="00A828F6"/>
    <w:rsid w:val="00A82B73"/>
    <w:rsid w:val="00A82BF5"/>
    <w:rsid w:val="00A82F25"/>
    <w:rsid w:val="00A833D2"/>
    <w:rsid w:val="00A834B2"/>
    <w:rsid w:val="00A83D6D"/>
    <w:rsid w:val="00A846F1"/>
    <w:rsid w:val="00A86B36"/>
    <w:rsid w:val="00A86E8B"/>
    <w:rsid w:val="00A86F90"/>
    <w:rsid w:val="00A87164"/>
    <w:rsid w:val="00A87A3A"/>
    <w:rsid w:val="00A87D3F"/>
    <w:rsid w:val="00A910A3"/>
    <w:rsid w:val="00A9153E"/>
    <w:rsid w:val="00A9158E"/>
    <w:rsid w:val="00A91A66"/>
    <w:rsid w:val="00A92EB9"/>
    <w:rsid w:val="00A93072"/>
    <w:rsid w:val="00A938BD"/>
    <w:rsid w:val="00A93953"/>
    <w:rsid w:val="00A93AC7"/>
    <w:rsid w:val="00A95240"/>
    <w:rsid w:val="00A957CC"/>
    <w:rsid w:val="00A95804"/>
    <w:rsid w:val="00A959D8"/>
    <w:rsid w:val="00A95C72"/>
    <w:rsid w:val="00A95CE7"/>
    <w:rsid w:val="00A96D86"/>
    <w:rsid w:val="00A973CC"/>
    <w:rsid w:val="00AA0613"/>
    <w:rsid w:val="00AA0D24"/>
    <w:rsid w:val="00AA113D"/>
    <w:rsid w:val="00AA21A9"/>
    <w:rsid w:val="00AA2796"/>
    <w:rsid w:val="00AA2B02"/>
    <w:rsid w:val="00AA3DE5"/>
    <w:rsid w:val="00AA466E"/>
    <w:rsid w:val="00AA59B5"/>
    <w:rsid w:val="00AA5F2F"/>
    <w:rsid w:val="00AA6BD5"/>
    <w:rsid w:val="00AA6BD8"/>
    <w:rsid w:val="00AA6C7D"/>
    <w:rsid w:val="00AA7FD6"/>
    <w:rsid w:val="00AB042A"/>
    <w:rsid w:val="00AB11F8"/>
    <w:rsid w:val="00AB1490"/>
    <w:rsid w:val="00AB19EF"/>
    <w:rsid w:val="00AB1A63"/>
    <w:rsid w:val="00AB1C27"/>
    <w:rsid w:val="00AB2C24"/>
    <w:rsid w:val="00AB2D34"/>
    <w:rsid w:val="00AB3430"/>
    <w:rsid w:val="00AB37B9"/>
    <w:rsid w:val="00AB3E49"/>
    <w:rsid w:val="00AB49D4"/>
    <w:rsid w:val="00AB4AD1"/>
    <w:rsid w:val="00AB581A"/>
    <w:rsid w:val="00AB5E07"/>
    <w:rsid w:val="00AB61C8"/>
    <w:rsid w:val="00AB79BB"/>
    <w:rsid w:val="00AB7CFA"/>
    <w:rsid w:val="00AC03E7"/>
    <w:rsid w:val="00AC2008"/>
    <w:rsid w:val="00AC20AF"/>
    <w:rsid w:val="00AC2709"/>
    <w:rsid w:val="00AC2986"/>
    <w:rsid w:val="00AC2C07"/>
    <w:rsid w:val="00AC3938"/>
    <w:rsid w:val="00AC4045"/>
    <w:rsid w:val="00AC5A28"/>
    <w:rsid w:val="00AC5B48"/>
    <w:rsid w:val="00AC5D84"/>
    <w:rsid w:val="00AC640A"/>
    <w:rsid w:val="00AC6B64"/>
    <w:rsid w:val="00AC7735"/>
    <w:rsid w:val="00AD1450"/>
    <w:rsid w:val="00AD1698"/>
    <w:rsid w:val="00AD1BEB"/>
    <w:rsid w:val="00AD24E4"/>
    <w:rsid w:val="00AD2892"/>
    <w:rsid w:val="00AD34E5"/>
    <w:rsid w:val="00AD3799"/>
    <w:rsid w:val="00AD39C1"/>
    <w:rsid w:val="00AD4CD4"/>
    <w:rsid w:val="00AD55FB"/>
    <w:rsid w:val="00AD6165"/>
    <w:rsid w:val="00AD6502"/>
    <w:rsid w:val="00AD66C1"/>
    <w:rsid w:val="00AD6A58"/>
    <w:rsid w:val="00AD75FE"/>
    <w:rsid w:val="00AD7B9B"/>
    <w:rsid w:val="00AE00A2"/>
    <w:rsid w:val="00AE0695"/>
    <w:rsid w:val="00AE13CF"/>
    <w:rsid w:val="00AE1A61"/>
    <w:rsid w:val="00AE1B03"/>
    <w:rsid w:val="00AE1F7C"/>
    <w:rsid w:val="00AE269C"/>
    <w:rsid w:val="00AE2A33"/>
    <w:rsid w:val="00AE3E7E"/>
    <w:rsid w:val="00AE4296"/>
    <w:rsid w:val="00AE5E56"/>
    <w:rsid w:val="00AE74C8"/>
    <w:rsid w:val="00AE784A"/>
    <w:rsid w:val="00AF000E"/>
    <w:rsid w:val="00AF0264"/>
    <w:rsid w:val="00AF1315"/>
    <w:rsid w:val="00AF19BF"/>
    <w:rsid w:val="00AF2103"/>
    <w:rsid w:val="00AF2DC3"/>
    <w:rsid w:val="00AF38C6"/>
    <w:rsid w:val="00AF498C"/>
    <w:rsid w:val="00AF4B5D"/>
    <w:rsid w:val="00AF5F1A"/>
    <w:rsid w:val="00AF6168"/>
    <w:rsid w:val="00AF77A4"/>
    <w:rsid w:val="00B005D1"/>
    <w:rsid w:val="00B0272C"/>
    <w:rsid w:val="00B02BF7"/>
    <w:rsid w:val="00B033E5"/>
    <w:rsid w:val="00B039ED"/>
    <w:rsid w:val="00B03A63"/>
    <w:rsid w:val="00B03D02"/>
    <w:rsid w:val="00B05411"/>
    <w:rsid w:val="00B05A16"/>
    <w:rsid w:val="00B1002D"/>
    <w:rsid w:val="00B102EB"/>
    <w:rsid w:val="00B1384A"/>
    <w:rsid w:val="00B1395C"/>
    <w:rsid w:val="00B14AA7"/>
    <w:rsid w:val="00B14ECB"/>
    <w:rsid w:val="00B14F8C"/>
    <w:rsid w:val="00B16536"/>
    <w:rsid w:val="00B16AEE"/>
    <w:rsid w:val="00B17643"/>
    <w:rsid w:val="00B17BA7"/>
    <w:rsid w:val="00B17F10"/>
    <w:rsid w:val="00B20189"/>
    <w:rsid w:val="00B201A4"/>
    <w:rsid w:val="00B201D1"/>
    <w:rsid w:val="00B213A6"/>
    <w:rsid w:val="00B21C7E"/>
    <w:rsid w:val="00B22165"/>
    <w:rsid w:val="00B22CC7"/>
    <w:rsid w:val="00B22FD9"/>
    <w:rsid w:val="00B235B0"/>
    <w:rsid w:val="00B2403E"/>
    <w:rsid w:val="00B24DF6"/>
    <w:rsid w:val="00B25967"/>
    <w:rsid w:val="00B263E3"/>
    <w:rsid w:val="00B27031"/>
    <w:rsid w:val="00B275F5"/>
    <w:rsid w:val="00B276C3"/>
    <w:rsid w:val="00B278F7"/>
    <w:rsid w:val="00B27989"/>
    <w:rsid w:val="00B27F0E"/>
    <w:rsid w:val="00B27F59"/>
    <w:rsid w:val="00B3006A"/>
    <w:rsid w:val="00B305C4"/>
    <w:rsid w:val="00B32168"/>
    <w:rsid w:val="00B33D87"/>
    <w:rsid w:val="00B34CC5"/>
    <w:rsid w:val="00B34CEA"/>
    <w:rsid w:val="00B34FE2"/>
    <w:rsid w:val="00B35166"/>
    <w:rsid w:val="00B3534D"/>
    <w:rsid w:val="00B357D8"/>
    <w:rsid w:val="00B360F4"/>
    <w:rsid w:val="00B36150"/>
    <w:rsid w:val="00B363B9"/>
    <w:rsid w:val="00B36522"/>
    <w:rsid w:val="00B365BE"/>
    <w:rsid w:val="00B36A00"/>
    <w:rsid w:val="00B36C90"/>
    <w:rsid w:val="00B37BFC"/>
    <w:rsid w:val="00B37D76"/>
    <w:rsid w:val="00B40358"/>
    <w:rsid w:val="00B41614"/>
    <w:rsid w:val="00B41774"/>
    <w:rsid w:val="00B42851"/>
    <w:rsid w:val="00B42F80"/>
    <w:rsid w:val="00B4305C"/>
    <w:rsid w:val="00B435CB"/>
    <w:rsid w:val="00B4484A"/>
    <w:rsid w:val="00B456E8"/>
    <w:rsid w:val="00B45A63"/>
    <w:rsid w:val="00B4737A"/>
    <w:rsid w:val="00B47933"/>
    <w:rsid w:val="00B47D68"/>
    <w:rsid w:val="00B50315"/>
    <w:rsid w:val="00B505C8"/>
    <w:rsid w:val="00B508C1"/>
    <w:rsid w:val="00B50DB8"/>
    <w:rsid w:val="00B517CE"/>
    <w:rsid w:val="00B52B08"/>
    <w:rsid w:val="00B52D3C"/>
    <w:rsid w:val="00B53654"/>
    <w:rsid w:val="00B53905"/>
    <w:rsid w:val="00B540AD"/>
    <w:rsid w:val="00B5472F"/>
    <w:rsid w:val="00B54B5B"/>
    <w:rsid w:val="00B5562E"/>
    <w:rsid w:val="00B55649"/>
    <w:rsid w:val="00B5564A"/>
    <w:rsid w:val="00B55D65"/>
    <w:rsid w:val="00B57000"/>
    <w:rsid w:val="00B57F9A"/>
    <w:rsid w:val="00B60939"/>
    <w:rsid w:val="00B60AFD"/>
    <w:rsid w:val="00B60BBC"/>
    <w:rsid w:val="00B6104B"/>
    <w:rsid w:val="00B62715"/>
    <w:rsid w:val="00B62C1C"/>
    <w:rsid w:val="00B631F4"/>
    <w:rsid w:val="00B63DB9"/>
    <w:rsid w:val="00B640B5"/>
    <w:rsid w:val="00B65611"/>
    <w:rsid w:val="00B66919"/>
    <w:rsid w:val="00B67AEC"/>
    <w:rsid w:val="00B67F20"/>
    <w:rsid w:val="00B67F89"/>
    <w:rsid w:val="00B70491"/>
    <w:rsid w:val="00B70E8E"/>
    <w:rsid w:val="00B70FCB"/>
    <w:rsid w:val="00B71E05"/>
    <w:rsid w:val="00B7293C"/>
    <w:rsid w:val="00B73566"/>
    <w:rsid w:val="00B73A04"/>
    <w:rsid w:val="00B743BB"/>
    <w:rsid w:val="00B74DAE"/>
    <w:rsid w:val="00B755BA"/>
    <w:rsid w:val="00B765EE"/>
    <w:rsid w:val="00B76C92"/>
    <w:rsid w:val="00B76F10"/>
    <w:rsid w:val="00B77191"/>
    <w:rsid w:val="00B818A4"/>
    <w:rsid w:val="00B82162"/>
    <w:rsid w:val="00B84117"/>
    <w:rsid w:val="00B846B6"/>
    <w:rsid w:val="00B84D42"/>
    <w:rsid w:val="00B85160"/>
    <w:rsid w:val="00B854F1"/>
    <w:rsid w:val="00B858F0"/>
    <w:rsid w:val="00B85AA2"/>
    <w:rsid w:val="00B860B3"/>
    <w:rsid w:val="00B8649C"/>
    <w:rsid w:val="00B8695D"/>
    <w:rsid w:val="00B86EDF"/>
    <w:rsid w:val="00B87F0A"/>
    <w:rsid w:val="00B92245"/>
    <w:rsid w:val="00B92874"/>
    <w:rsid w:val="00B92D0B"/>
    <w:rsid w:val="00B93173"/>
    <w:rsid w:val="00B940BE"/>
    <w:rsid w:val="00B94945"/>
    <w:rsid w:val="00B94DD6"/>
    <w:rsid w:val="00B9610C"/>
    <w:rsid w:val="00B97487"/>
    <w:rsid w:val="00B97F18"/>
    <w:rsid w:val="00BA02D5"/>
    <w:rsid w:val="00BA0753"/>
    <w:rsid w:val="00BA2817"/>
    <w:rsid w:val="00BA322D"/>
    <w:rsid w:val="00BA36B1"/>
    <w:rsid w:val="00BA41E2"/>
    <w:rsid w:val="00BA431A"/>
    <w:rsid w:val="00BA4484"/>
    <w:rsid w:val="00BA4B32"/>
    <w:rsid w:val="00BA4D08"/>
    <w:rsid w:val="00BA515A"/>
    <w:rsid w:val="00BA63FA"/>
    <w:rsid w:val="00BB00B3"/>
    <w:rsid w:val="00BB00F8"/>
    <w:rsid w:val="00BB0BDD"/>
    <w:rsid w:val="00BB1505"/>
    <w:rsid w:val="00BB176C"/>
    <w:rsid w:val="00BB1C88"/>
    <w:rsid w:val="00BB2672"/>
    <w:rsid w:val="00BB2A73"/>
    <w:rsid w:val="00BB3575"/>
    <w:rsid w:val="00BB3A45"/>
    <w:rsid w:val="00BB3B69"/>
    <w:rsid w:val="00BB3BD9"/>
    <w:rsid w:val="00BB463B"/>
    <w:rsid w:val="00BB4ACC"/>
    <w:rsid w:val="00BB50D0"/>
    <w:rsid w:val="00BB536F"/>
    <w:rsid w:val="00BB5772"/>
    <w:rsid w:val="00BB58EC"/>
    <w:rsid w:val="00BB6B2C"/>
    <w:rsid w:val="00BB703E"/>
    <w:rsid w:val="00BB732D"/>
    <w:rsid w:val="00BB7405"/>
    <w:rsid w:val="00BC1556"/>
    <w:rsid w:val="00BC2219"/>
    <w:rsid w:val="00BC2E12"/>
    <w:rsid w:val="00BC31D1"/>
    <w:rsid w:val="00BC34D2"/>
    <w:rsid w:val="00BC3631"/>
    <w:rsid w:val="00BC4680"/>
    <w:rsid w:val="00BC491F"/>
    <w:rsid w:val="00BC591F"/>
    <w:rsid w:val="00BC5AA1"/>
    <w:rsid w:val="00BC6CDB"/>
    <w:rsid w:val="00BC7B58"/>
    <w:rsid w:val="00BC7D6D"/>
    <w:rsid w:val="00BD0CF5"/>
    <w:rsid w:val="00BD1085"/>
    <w:rsid w:val="00BD1BF8"/>
    <w:rsid w:val="00BD2108"/>
    <w:rsid w:val="00BD25DF"/>
    <w:rsid w:val="00BD27F1"/>
    <w:rsid w:val="00BD32B7"/>
    <w:rsid w:val="00BD36A6"/>
    <w:rsid w:val="00BD41E4"/>
    <w:rsid w:val="00BD511A"/>
    <w:rsid w:val="00BD5B79"/>
    <w:rsid w:val="00BD6470"/>
    <w:rsid w:val="00BD68A3"/>
    <w:rsid w:val="00BD6938"/>
    <w:rsid w:val="00BD6CF3"/>
    <w:rsid w:val="00BD771B"/>
    <w:rsid w:val="00BD7E08"/>
    <w:rsid w:val="00BE025D"/>
    <w:rsid w:val="00BE032F"/>
    <w:rsid w:val="00BE0DC0"/>
    <w:rsid w:val="00BE0ECA"/>
    <w:rsid w:val="00BE2180"/>
    <w:rsid w:val="00BE21F2"/>
    <w:rsid w:val="00BE3D50"/>
    <w:rsid w:val="00BE4275"/>
    <w:rsid w:val="00BE4AA1"/>
    <w:rsid w:val="00BE5834"/>
    <w:rsid w:val="00BE630F"/>
    <w:rsid w:val="00BE73C9"/>
    <w:rsid w:val="00BE7C37"/>
    <w:rsid w:val="00BE7EFA"/>
    <w:rsid w:val="00BF06AE"/>
    <w:rsid w:val="00BF0F95"/>
    <w:rsid w:val="00BF1809"/>
    <w:rsid w:val="00BF1E95"/>
    <w:rsid w:val="00BF20CC"/>
    <w:rsid w:val="00BF2421"/>
    <w:rsid w:val="00BF2433"/>
    <w:rsid w:val="00BF2DA3"/>
    <w:rsid w:val="00BF3250"/>
    <w:rsid w:val="00BF3512"/>
    <w:rsid w:val="00BF357E"/>
    <w:rsid w:val="00BF4307"/>
    <w:rsid w:val="00BF49BA"/>
    <w:rsid w:val="00BF4E9A"/>
    <w:rsid w:val="00BF54BF"/>
    <w:rsid w:val="00BF5897"/>
    <w:rsid w:val="00BF589C"/>
    <w:rsid w:val="00BF6098"/>
    <w:rsid w:val="00BF61C9"/>
    <w:rsid w:val="00BF6C94"/>
    <w:rsid w:val="00C00424"/>
    <w:rsid w:val="00C008CE"/>
    <w:rsid w:val="00C01872"/>
    <w:rsid w:val="00C02EBB"/>
    <w:rsid w:val="00C03520"/>
    <w:rsid w:val="00C04B82"/>
    <w:rsid w:val="00C057F6"/>
    <w:rsid w:val="00C05D11"/>
    <w:rsid w:val="00C05ED5"/>
    <w:rsid w:val="00C06A23"/>
    <w:rsid w:val="00C0707F"/>
    <w:rsid w:val="00C104C2"/>
    <w:rsid w:val="00C1179F"/>
    <w:rsid w:val="00C127D3"/>
    <w:rsid w:val="00C12C14"/>
    <w:rsid w:val="00C12CEF"/>
    <w:rsid w:val="00C13719"/>
    <w:rsid w:val="00C151D4"/>
    <w:rsid w:val="00C15608"/>
    <w:rsid w:val="00C15F04"/>
    <w:rsid w:val="00C16413"/>
    <w:rsid w:val="00C17135"/>
    <w:rsid w:val="00C175F8"/>
    <w:rsid w:val="00C179B3"/>
    <w:rsid w:val="00C17C2B"/>
    <w:rsid w:val="00C17E3F"/>
    <w:rsid w:val="00C200AA"/>
    <w:rsid w:val="00C20453"/>
    <w:rsid w:val="00C207D0"/>
    <w:rsid w:val="00C20D7A"/>
    <w:rsid w:val="00C21208"/>
    <w:rsid w:val="00C21689"/>
    <w:rsid w:val="00C21F7D"/>
    <w:rsid w:val="00C2209A"/>
    <w:rsid w:val="00C22A37"/>
    <w:rsid w:val="00C22A56"/>
    <w:rsid w:val="00C2301E"/>
    <w:rsid w:val="00C23268"/>
    <w:rsid w:val="00C23583"/>
    <w:rsid w:val="00C237ED"/>
    <w:rsid w:val="00C24632"/>
    <w:rsid w:val="00C2497A"/>
    <w:rsid w:val="00C24B2F"/>
    <w:rsid w:val="00C24D20"/>
    <w:rsid w:val="00C252E2"/>
    <w:rsid w:val="00C25418"/>
    <w:rsid w:val="00C25D9C"/>
    <w:rsid w:val="00C26722"/>
    <w:rsid w:val="00C27157"/>
    <w:rsid w:val="00C2778B"/>
    <w:rsid w:val="00C27846"/>
    <w:rsid w:val="00C31649"/>
    <w:rsid w:val="00C338B2"/>
    <w:rsid w:val="00C3434C"/>
    <w:rsid w:val="00C36726"/>
    <w:rsid w:val="00C3675A"/>
    <w:rsid w:val="00C36977"/>
    <w:rsid w:val="00C372E5"/>
    <w:rsid w:val="00C37F72"/>
    <w:rsid w:val="00C40385"/>
    <w:rsid w:val="00C40754"/>
    <w:rsid w:val="00C412A3"/>
    <w:rsid w:val="00C41768"/>
    <w:rsid w:val="00C4339E"/>
    <w:rsid w:val="00C43B16"/>
    <w:rsid w:val="00C43B19"/>
    <w:rsid w:val="00C451D9"/>
    <w:rsid w:val="00C464F3"/>
    <w:rsid w:val="00C475AA"/>
    <w:rsid w:val="00C47C7F"/>
    <w:rsid w:val="00C5073A"/>
    <w:rsid w:val="00C5235F"/>
    <w:rsid w:val="00C535AD"/>
    <w:rsid w:val="00C53634"/>
    <w:rsid w:val="00C53BD0"/>
    <w:rsid w:val="00C53C98"/>
    <w:rsid w:val="00C54651"/>
    <w:rsid w:val="00C54AE2"/>
    <w:rsid w:val="00C55617"/>
    <w:rsid w:val="00C55C63"/>
    <w:rsid w:val="00C55C9E"/>
    <w:rsid w:val="00C55F1E"/>
    <w:rsid w:val="00C568A8"/>
    <w:rsid w:val="00C56FCF"/>
    <w:rsid w:val="00C57B6C"/>
    <w:rsid w:val="00C57B6E"/>
    <w:rsid w:val="00C61790"/>
    <w:rsid w:val="00C61D2A"/>
    <w:rsid w:val="00C61EFB"/>
    <w:rsid w:val="00C625A4"/>
    <w:rsid w:val="00C628A6"/>
    <w:rsid w:val="00C633C2"/>
    <w:rsid w:val="00C64344"/>
    <w:rsid w:val="00C64C84"/>
    <w:rsid w:val="00C6506E"/>
    <w:rsid w:val="00C65108"/>
    <w:rsid w:val="00C65576"/>
    <w:rsid w:val="00C658D6"/>
    <w:rsid w:val="00C66165"/>
    <w:rsid w:val="00C67475"/>
    <w:rsid w:val="00C677D7"/>
    <w:rsid w:val="00C67C12"/>
    <w:rsid w:val="00C70446"/>
    <w:rsid w:val="00C7054F"/>
    <w:rsid w:val="00C7060A"/>
    <w:rsid w:val="00C71112"/>
    <w:rsid w:val="00C7151A"/>
    <w:rsid w:val="00C715BC"/>
    <w:rsid w:val="00C7174E"/>
    <w:rsid w:val="00C717E3"/>
    <w:rsid w:val="00C71F60"/>
    <w:rsid w:val="00C72241"/>
    <w:rsid w:val="00C7267C"/>
    <w:rsid w:val="00C72B04"/>
    <w:rsid w:val="00C736B0"/>
    <w:rsid w:val="00C745DB"/>
    <w:rsid w:val="00C74A7E"/>
    <w:rsid w:val="00C74E5E"/>
    <w:rsid w:val="00C750C8"/>
    <w:rsid w:val="00C7560F"/>
    <w:rsid w:val="00C8049C"/>
    <w:rsid w:val="00C80A0E"/>
    <w:rsid w:val="00C8213F"/>
    <w:rsid w:val="00C85154"/>
    <w:rsid w:val="00C8594C"/>
    <w:rsid w:val="00C86299"/>
    <w:rsid w:val="00C86921"/>
    <w:rsid w:val="00C8797A"/>
    <w:rsid w:val="00C87CC4"/>
    <w:rsid w:val="00C900B8"/>
    <w:rsid w:val="00C900F1"/>
    <w:rsid w:val="00C90326"/>
    <w:rsid w:val="00C9058D"/>
    <w:rsid w:val="00C90C71"/>
    <w:rsid w:val="00C91272"/>
    <w:rsid w:val="00C91FD1"/>
    <w:rsid w:val="00C925C7"/>
    <w:rsid w:val="00C92A30"/>
    <w:rsid w:val="00C931CF"/>
    <w:rsid w:val="00C93533"/>
    <w:rsid w:val="00C938CF"/>
    <w:rsid w:val="00C94053"/>
    <w:rsid w:val="00C9476D"/>
    <w:rsid w:val="00C949B3"/>
    <w:rsid w:val="00C9513B"/>
    <w:rsid w:val="00C96134"/>
    <w:rsid w:val="00C9624D"/>
    <w:rsid w:val="00C9631A"/>
    <w:rsid w:val="00C9684D"/>
    <w:rsid w:val="00C969DA"/>
    <w:rsid w:val="00CA15B4"/>
    <w:rsid w:val="00CA20C2"/>
    <w:rsid w:val="00CA2C77"/>
    <w:rsid w:val="00CA2E63"/>
    <w:rsid w:val="00CA3730"/>
    <w:rsid w:val="00CA3AFD"/>
    <w:rsid w:val="00CA444F"/>
    <w:rsid w:val="00CA5245"/>
    <w:rsid w:val="00CA567D"/>
    <w:rsid w:val="00CA5863"/>
    <w:rsid w:val="00CA5DCF"/>
    <w:rsid w:val="00CA5F38"/>
    <w:rsid w:val="00CA71F4"/>
    <w:rsid w:val="00CA7B09"/>
    <w:rsid w:val="00CB02CE"/>
    <w:rsid w:val="00CB0CC7"/>
    <w:rsid w:val="00CB1179"/>
    <w:rsid w:val="00CB1276"/>
    <w:rsid w:val="00CB12A5"/>
    <w:rsid w:val="00CB1CAC"/>
    <w:rsid w:val="00CB2F2A"/>
    <w:rsid w:val="00CB485B"/>
    <w:rsid w:val="00CB5B1A"/>
    <w:rsid w:val="00CB5DDB"/>
    <w:rsid w:val="00CB62E0"/>
    <w:rsid w:val="00CB6879"/>
    <w:rsid w:val="00CB6B22"/>
    <w:rsid w:val="00CB709A"/>
    <w:rsid w:val="00CB740F"/>
    <w:rsid w:val="00CB76F9"/>
    <w:rsid w:val="00CB7C01"/>
    <w:rsid w:val="00CB7F5F"/>
    <w:rsid w:val="00CC0092"/>
    <w:rsid w:val="00CC0632"/>
    <w:rsid w:val="00CC085E"/>
    <w:rsid w:val="00CC12F6"/>
    <w:rsid w:val="00CC1B39"/>
    <w:rsid w:val="00CC24A5"/>
    <w:rsid w:val="00CC35EA"/>
    <w:rsid w:val="00CC3848"/>
    <w:rsid w:val="00CC4150"/>
    <w:rsid w:val="00CC5D4E"/>
    <w:rsid w:val="00CD01AD"/>
    <w:rsid w:val="00CD08DC"/>
    <w:rsid w:val="00CD2743"/>
    <w:rsid w:val="00CD2F5C"/>
    <w:rsid w:val="00CD3000"/>
    <w:rsid w:val="00CD3235"/>
    <w:rsid w:val="00CD3F77"/>
    <w:rsid w:val="00CD42C0"/>
    <w:rsid w:val="00CD4C9E"/>
    <w:rsid w:val="00CD5B95"/>
    <w:rsid w:val="00CD5E98"/>
    <w:rsid w:val="00CD6ADC"/>
    <w:rsid w:val="00CD7193"/>
    <w:rsid w:val="00CD79F5"/>
    <w:rsid w:val="00CE1DAE"/>
    <w:rsid w:val="00CE2AE4"/>
    <w:rsid w:val="00CE38C8"/>
    <w:rsid w:val="00CE3A6C"/>
    <w:rsid w:val="00CE426A"/>
    <w:rsid w:val="00CE508C"/>
    <w:rsid w:val="00CE57B4"/>
    <w:rsid w:val="00CE5B8A"/>
    <w:rsid w:val="00CE6274"/>
    <w:rsid w:val="00CE6463"/>
    <w:rsid w:val="00CE664F"/>
    <w:rsid w:val="00CE6FFA"/>
    <w:rsid w:val="00CE77B6"/>
    <w:rsid w:val="00CE7FCB"/>
    <w:rsid w:val="00CF024F"/>
    <w:rsid w:val="00CF0A88"/>
    <w:rsid w:val="00CF2B8D"/>
    <w:rsid w:val="00CF456B"/>
    <w:rsid w:val="00CF45DD"/>
    <w:rsid w:val="00CF48FF"/>
    <w:rsid w:val="00CF4D7E"/>
    <w:rsid w:val="00CF5A22"/>
    <w:rsid w:val="00CF5F9A"/>
    <w:rsid w:val="00CF674A"/>
    <w:rsid w:val="00CF6AD2"/>
    <w:rsid w:val="00CF79FE"/>
    <w:rsid w:val="00D00127"/>
    <w:rsid w:val="00D0050C"/>
    <w:rsid w:val="00D01642"/>
    <w:rsid w:val="00D0183F"/>
    <w:rsid w:val="00D0216F"/>
    <w:rsid w:val="00D0262E"/>
    <w:rsid w:val="00D02EB7"/>
    <w:rsid w:val="00D05346"/>
    <w:rsid w:val="00D05867"/>
    <w:rsid w:val="00D05E3D"/>
    <w:rsid w:val="00D05E58"/>
    <w:rsid w:val="00D06139"/>
    <w:rsid w:val="00D110BD"/>
    <w:rsid w:val="00D113AD"/>
    <w:rsid w:val="00D11B3E"/>
    <w:rsid w:val="00D1209C"/>
    <w:rsid w:val="00D12A02"/>
    <w:rsid w:val="00D13675"/>
    <w:rsid w:val="00D141E1"/>
    <w:rsid w:val="00D148A9"/>
    <w:rsid w:val="00D15314"/>
    <w:rsid w:val="00D15509"/>
    <w:rsid w:val="00D17684"/>
    <w:rsid w:val="00D17D6C"/>
    <w:rsid w:val="00D20258"/>
    <w:rsid w:val="00D20C64"/>
    <w:rsid w:val="00D2155B"/>
    <w:rsid w:val="00D220CE"/>
    <w:rsid w:val="00D2244B"/>
    <w:rsid w:val="00D22764"/>
    <w:rsid w:val="00D230BA"/>
    <w:rsid w:val="00D233C0"/>
    <w:rsid w:val="00D23D11"/>
    <w:rsid w:val="00D244B6"/>
    <w:rsid w:val="00D24A43"/>
    <w:rsid w:val="00D25B25"/>
    <w:rsid w:val="00D25B70"/>
    <w:rsid w:val="00D2625A"/>
    <w:rsid w:val="00D264BE"/>
    <w:rsid w:val="00D2684B"/>
    <w:rsid w:val="00D2754D"/>
    <w:rsid w:val="00D27B27"/>
    <w:rsid w:val="00D30970"/>
    <w:rsid w:val="00D3168F"/>
    <w:rsid w:val="00D31C93"/>
    <w:rsid w:val="00D32AA7"/>
    <w:rsid w:val="00D32D5F"/>
    <w:rsid w:val="00D32E36"/>
    <w:rsid w:val="00D33BE9"/>
    <w:rsid w:val="00D33F93"/>
    <w:rsid w:val="00D34ADE"/>
    <w:rsid w:val="00D34F45"/>
    <w:rsid w:val="00D350DB"/>
    <w:rsid w:val="00D357FF"/>
    <w:rsid w:val="00D365AA"/>
    <w:rsid w:val="00D40C6F"/>
    <w:rsid w:val="00D40D91"/>
    <w:rsid w:val="00D41467"/>
    <w:rsid w:val="00D420D0"/>
    <w:rsid w:val="00D42378"/>
    <w:rsid w:val="00D424C7"/>
    <w:rsid w:val="00D42558"/>
    <w:rsid w:val="00D4275C"/>
    <w:rsid w:val="00D43B2A"/>
    <w:rsid w:val="00D43D83"/>
    <w:rsid w:val="00D444EA"/>
    <w:rsid w:val="00D45CAE"/>
    <w:rsid w:val="00D46F2F"/>
    <w:rsid w:val="00D47146"/>
    <w:rsid w:val="00D47555"/>
    <w:rsid w:val="00D47575"/>
    <w:rsid w:val="00D507C6"/>
    <w:rsid w:val="00D515CD"/>
    <w:rsid w:val="00D5243B"/>
    <w:rsid w:val="00D52DE4"/>
    <w:rsid w:val="00D52DFD"/>
    <w:rsid w:val="00D533EC"/>
    <w:rsid w:val="00D548DC"/>
    <w:rsid w:val="00D55118"/>
    <w:rsid w:val="00D56A95"/>
    <w:rsid w:val="00D60090"/>
    <w:rsid w:val="00D605AC"/>
    <w:rsid w:val="00D62039"/>
    <w:rsid w:val="00D63861"/>
    <w:rsid w:val="00D64E7C"/>
    <w:rsid w:val="00D67247"/>
    <w:rsid w:val="00D67D9D"/>
    <w:rsid w:val="00D70282"/>
    <w:rsid w:val="00D7054C"/>
    <w:rsid w:val="00D7054D"/>
    <w:rsid w:val="00D70F16"/>
    <w:rsid w:val="00D71B40"/>
    <w:rsid w:val="00D71BEB"/>
    <w:rsid w:val="00D7244D"/>
    <w:rsid w:val="00D72F57"/>
    <w:rsid w:val="00D730A4"/>
    <w:rsid w:val="00D730B6"/>
    <w:rsid w:val="00D74993"/>
    <w:rsid w:val="00D74BF6"/>
    <w:rsid w:val="00D74FCE"/>
    <w:rsid w:val="00D761FC"/>
    <w:rsid w:val="00D76967"/>
    <w:rsid w:val="00D76A44"/>
    <w:rsid w:val="00D76CD4"/>
    <w:rsid w:val="00D77442"/>
    <w:rsid w:val="00D779C4"/>
    <w:rsid w:val="00D815EF"/>
    <w:rsid w:val="00D81C4A"/>
    <w:rsid w:val="00D81F26"/>
    <w:rsid w:val="00D8317B"/>
    <w:rsid w:val="00D85433"/>
    <w:rsid w:val="00D8571F"/>
    <w:rsid w:val="00D86231"/>
    <w:rsid w:val="00D86278"/>
    <w:rsid w:val="00D86363"/>
    <w:rsid w:val="00D91100"/>
    <w:rsid w:val="00D91592"/>
    <w:rsid w:val="00D91923"/>
    <w:rsid w:val="00D92E3B"/>
    <w:rsid w:val="00D932DE"/>
    <w:rsid w:val="00D93753"/>
    <w:rsid w:val="00D94328"/>
    <w:rsid w:val="00D94A59"/>
    <w:rsid w:val="00D95107"/>
    <w:rsid w:val="00D95B48"/>
    <w:rsid w:val="00D96B7B"/>
    <w:rsid w:val="00D96C8C"/>
    <w:rsid w:val="00D96D74"/>
    <w:rsid w:val="00DA0978"/>
    <w:rsid w:val="00DA28F2"/>
    <w:rsid w:val="00DA2BBF"/>
    <w:rsid w:val="00DA3167"/>
    <w:rsid w:val="00DA3594"/>
    <w:rsid w:val="00DA48F8"/>
    <w:rsid w:val="00DA4A13"/>
    <w:rsid w:val="00DA4DC3"/>
    <w:rsid w:val="00DA526C"/>
    <w:rsid w:val="00DA6772"/>
    <w:rsid w:val="00DA6843"/>
    <w:rsid w:val="00DA6A96"/>
    <w:rsid w:val="00DA6B44"/>
    <w:rsid w:val="00DA6F2E"/>
    <w:rsid w:val="00DA70F0"/>
    <w:rsid w:val="00DA77A5"/>
    <w:rsid w:val="00DB11B0"/>
    <w:rsid w:val="00DB19D4"/>
    <w:rsid w:val="00DB2721"/>
    <w:rsid w:val="00DB3298"/>
    <w:rsid w:val="00DB36F2"/>
    <w:rsid w:val="00DB3CFF"/>
    <w:rsid w:val="00DB3DBF"/>
    <w:rsid w:val="00DB3FD7"/>
    <w:rsid w:val="00DB484F"/>
    <w:rsid w:val="00DB5233"/>
    <w:rsid w:val="00DB6D40"/>
    <w:rsid w:val="00DB7569"/>
    <w:rsid w:val="00DB79CD"/>
    <w:rsid w:val="00DB7C77"/>
    <w:rsid w:val="00DB7EBD"/>
    <w:rsid w:val="00DC00A1"/>
    <w:rsid w:val="00DC04F6"/>
    <w:rsid w:val="00DC0690"/>
    <w:rsid w:val="00DC1D65"/>
    <w:rsid w:val="00DC1F68"/>
    <w:rsid w:val="00DC2C50"/>
    <w:rsid w:val="00DC3495"/>
    <w:rsid w:val="00DC3C57"/>
    <w:rsid w:val="00DC3CAA"/>
    <w:rsid w:val="00DC4802"/>
    <w:rsid w:val="00DC5501"/>
    <w:rsid w:val="00DC6914"/>
    <w:rsid w:val="00DC7154"/>
    <w:rsid w:val="00DC7E8A"/>
    <w:rsid w:val="00DD0DF6"/>
    <w:rsid w:val="00DD0F78"/>
    <w:rsid w:val="00DD201D"/>
    <w:rsid w:val="00DD273C"/>
    <w:rsid w:val="00DD3F28"/>
    <w:rsid w:val="00DD4537"/>
    <w:rsid w:val="00DD4BC5"/>
    <w:rsid w:val="00DD4E15"/>
    <w:rsid w:val="00DD510F"/>
    <w:rsid w:val="00DD57E6"/>
    <w:rsid w:val="00DD593A"/>
    <w:rsid w:val="00DD59D8"/>
    <w:rsid w:val="00DD6242"/>
    <w:rsid w:val="00DE0631"/>
    <w:rsid w:val="00DE0EA2"/>
    <w:rsid w:val="00DE10F8"/>
    <w:rsid w:val="00DE2273"/>
    <w:rsid w:val="00DE2304"/>
    <w:rsid w:val="00DE2B7E"/>
    <w:rsid w:val="00DE2BEE"/>
    <w:rsid w:val="00DE3138"/>
    <w:rsid w:val="00DE37F8"/>
    <w:rsid w:val="00DE3890"/>
    <w:rsid w:val="00DE3C17"/>
    <w:rsid w:val="00DE3F26"/>
    <w:rsid w:val="00DE4FCB"/>
    <w:rsid w:val="00DE516B"/>
    <w:rsid w:val="00DE58CE"/>
    <w:rsid w:val="00DE5D07"/>
    <w:rsid w:val="00DE660E"/>
    <w:rsid w:val="00DE72A7"/>
    <w:rsid w:val="00DE7832"/>
    <w:rsid w:val="00DE7D51"/>
    <w:rsid w:val="00DF0A76"/>
    <w:rsid w:val="00DF0F0A"/>
    <w:rsid w:val="00DF1761"/>
    <w:rsid w:val="00DF18FC"/>
    <w:rsid w:val="00DF1A61"/>
    <w:rsid w:val="00DF1F29"/>
    <w:rsid w:val="00DF31F9"/>
    <w:rsid w:val="00DF40F2"/>
    <w:rsid w:val="00DF5D2B"/>
    <w:rsid w:val="00DF5E85"/>
    <w:rsid w:val="00E009E5"/>
    <w:rsid w:val="00E00E8E"/>
    <w:rsid w:val="00E01997"/>
    <w:rsid w:val="00E02D42"/>
    <w:rsid w:val="00E034DE"/>
    <w:rsid w:val="00E039FC"/>
    <w:rsid w:val="00E0436F"/>
    <w:rsid w:val="00E0485C"/>
    <w:rsid w:val="00E05630"/>
    <w:rsid w:val="00E0578F"/>
    <w:rsid w:val="00E05A58"/>
    <w:rsid w:val="00E0676C"/>
    <w:rsid w:val="00E06DBB"/>
    <w:rsid w:val="00E06FD9"/>
    <w:rsid w:val="00E10055"/>
    <w:rsid w:val="00E10149"/>
    <w:rsid w:val="00E104C0"/>
    <w:rsid w:val="00E105D8"/>
    <w:rsid w:val="00E10DB9"/>
    <w:rsid w:val="00E11340"/>
    <w:rsid w:val="00E115A3"/>
    <w:rsid w:val="00E122A1"/>
    <w:rsid w:val="00E1263B"/>
    <w:rsid w:val="00E1279D"/>
    <w:rsid w:val="00E143FE"/>
    <w:rsid w:val="00E14A57"/>
    <w:rsid w:val="00E16372"/>
    <w:rsid w:val="00E16692"/>
    <w:rsid w:val="00E17E7B"/>
    <w:rsid w:val="00E17EA5"/>
    <w:rsid w:val="00E206C4"/>
    <w:rsid w:val="00E20CF6"/>
    <w:rsid w:val="00E20E4D"/>
    <w:rsid w:val="00E20ED6"/>
    <w:rsid w:val="00E20EF6"/>
    <w:rsid w:val="00E21358"/>
    <w:rsid w:val="00E2249B"/>
    <w:rsid w:val="00E22A0D"/>
    <w:rsid w:val="00E22C5E"/>
    <w:rsid w:val="00E22E76"/>
    <w:rsid w:val="00E231A8"/>
    <w:rsid w:val="00E24291"/>
    <w:rsid w:val="00E244F6"/>
    <w:rsid w:val="00E2654B"/>
    <w:rsid w:val="00E26ED7"/>
    <w:rsid w:val="00E27485"/>
    <w:rsid w:val="00E2771E"/>
    <w:rsid w:val="00E30374"/>
    <w:rsid w:val="00E31114"/>
    <w:rsid w:val="00E311EF"/>
    <w:rsid w:val="00E318D0"/>
    <w:rsid w:val="00E32180"/>
    <w:rsid w:val="00E324E2"/>
    <w:rsid w:val="00E324F7"/>
    <w:rsid w:val="00E326A5"/>
    <w:rsid w:val="00E32DE2"/>
    <w:rsid w:val="00E34817"/>
    <w:rsid w:val="00E34948"/>
    <w:rsid w:val="00E360CD"/>
    <w:rsid w:val="00E37569"/>
    <w:rsid w:val="00E37AC2"/>
    <w:rsid w:val="00E401B2"/>
    <w:rsid w:val="00E402C7"/>
    <w:rsid w:val="00E4034F"/>
    <w:rsid w:val="00E40DD6"/>
    <w:rsid w:val="00E412FA"/>
    <w:rsid w:val="00E41E30"/>
    <w:rsid w:val="00E42D44"/>
    <w:rsid w:val="00E42F73"/>
    <w:rsid w:val="00E43184"/>
    <w:rsid w:val="00E4344C"/>
    <w:rsid w:val="00E43D70"/>
    <w:rsid w:val="00E441CC"/>
    <w:rsid w:val="00E441E2"/>
    <w:rsid w:val="00E44400"/>
    <w:rsid w:val="00E450A8"/>
    <w:rsid w:val="00E466F3"/>
    <w:rsid w:val="00E46954"/>
    <w:rsid w:val="00E47085"/>
    <w:rsid w:val="00E4724E"/>
    <w:rsid w:val="00E479BA"/>
    <w:rsid w:val="00E479FE"/>
    <w:rsid w:val="00E47B2C"/>
    <w:rsid w:val="00E50289"/>
    <w:rsid w:val="00E51414"/>
    <w:rsid w:val="00E51560"/>
    <w:rsid w:val="00E51EAC"/>
    <w:rsid w:val="00E5327F"/>
    <w:rsid w:val="00E53298"/>
    <w:rsid w:val="00E5390C"/>
    <w:rsid w:val="00E53BF8"/>
    <w:rsid w:val="00E53E6D"/>
    <w:rsid w:val="00E53FC8"/>
    <w:rsid w:val="00E54347"/>
    <w:rsid w:val="00E55424"/>
    <w:rsid w:val="00E55915"/>
    <w:rsid w:val="00E55BB5"/>
    <w:rsid w:val="00E564BE"/>
    <w:rsid w:val="00E565EC"/>
    <w:rsid w:val="00E5662B"/>
    <w:rsid w:val="00E56E4D"/>
    <w:rsid w:val="00E56FAD"/>
    <w:rsid w:val="00E571C8"/>
    <w:rsid w:val="00E57AC6"/>
    <w:rsid w:val="00E60E27"/>
    <w:rsid w:val="00E619F5"/>
    <w:rsid w:val="00E628EA"/>
    <w:rsid w:val="00E6378A"/>
    <w:rsid w:val="00E655B5"/>
    <w:rsid w:val="00E65E79"/>
    <w:rsid w:val="00E667FF"/>
    <w:rsid w:val="00E66BA2"/>
    <w:rsid w:val="00E67145"/>
    <w:rsid w:val="00E67416"/>
    <w:rsid w:val="00E6773F"/>
    <w:rsid w:val="00E7001E"/>
    <w:rsid w:val="00E70132"/>
    <w:rsid w:val="00E7156D"/>
    <w:rsid w:val="00E718B6"/>
    <w:rsid w:val="00E71A2A"/>
    <w:rsid w:val="00E71BA4"/>
    <w:rsid w:val="00E723BA"/>
    <w:rsid w:val="00E7252E"/>
    <w:rsid w:val="00E729AA"/>
    <w:rsid w:val="00E73498"/>
    <w:rsid w:val="00E73581"/>
    <w:rsid w:val="00E73A9A"/>
    <w:rsid w:val="00E73CD2"/>
    <w:rsid w:val="00E76239"/>
    <w:rsid w:val="00E77D49"/>
    <w:rsid w:val="00E80058"/>
    <w:rsid w:val="00E80F5F"/>
    <w:rsid w:val="00E80F9E"/>
    <w:rsid w:val="00E81569"/>
    <w:rsid w:val="00E833F7"/>
    <w:rsid w:val="00E83BDF"/>
    <w:rsid w:val="00E8582E"/>
    <w:rsid w:val="00E86E90"/>
    <w:rsid w:val="00E87A1D"/>
    <w:rsid w:val="00E9094A"/>
    <w:rsid w:val="00E909CF"/>
    <w:rsid w:val="00E91662"/>
    <w:rsid w:val="00E91957"/>
    <w:rsid w:val="00E91D35"/>
    <w:rsid w:val="00E926A5"/>
    <w:rsid w:val="00E927A2"/>
    <w:rsid w:val="00E9320E"/>
    <w:rsid w:val="00E9439E"/>
    <w:rsid w:val="00E947C8"/>
    <w:rsid w:val="00E94B12"/>
    <w:rsid w:val="00E972A9"/>
    <w:rsid w:val="00E9760E"/>
    <w:rsid w:val="00E97EEE"/>
    <w:rsid w:val="00EA071F"/>
    <w:rsid w:val="00EA1663"/>
    <w:rsid w:val="00EA17C3"/>
    <w:rsid w:val="00EA239A"/>
    <w:rsid w:val="00EA2CAA"/>
    <w:rsid w:val="00EA2D09"/>
    <w:rsid w:val="00EA3864"/>
    <w:rsid w:val="00EA44F6"/>
    <w:rsid w:val="00EA45A9"/>
    <w:rsid w:val="00EA61E5"/>
    <w:rsid w:val="00EA7810"/>
    <w:rsid w:val="00EA7CCA"/>
    <w:rsid w:val="00EA7F1C"/>
    <w:rsid w:val="00EB0258"/>
    <w:rsid w:val="00EB0DCB"/>
    <w:rsid w:val="00EB106F"/>
    <w:rsid w:val="00EB15B6"/>
    <w:rsid w:val="00EB2ECA"/>
    <w:rsid w:val="00EB375F"/>
    <w:rsid w:val="00EB3D06"/>
    <w:rsid w:val="00EB4916"/>
    <w:rsid w:val="00EB55F8"/>
    <w:rsid w:val="00EB5D5E"/>
    <w:rsid w:val="00EB6076"/>
    <w:rsid w:val="00EB6BBD"/>
    <w:rsid w:val="00EB7032"/>
    <w:rsid w:val="00EB73B1"/>
    <w:rsid w:val="00EB7C34"/>
    <w:rsid w:val="00EC00C9"/>
    <w:rsid w:val="00EC0944"/>
    <w:rsid w:val="00EC0DD9"/>
    <w:rsid w:val="00EC1002"/>
    <w:rsid w:val="00EC1669"/>
    <w:rsid w:val="00EC1D44"/>
    <w:rsid w:val="00EC23EB"/>
    <w:rsid w:val="00EC2649"/>
    <w:rsid w:val="00EC31ED"/>
    <w:rsid w:val="00EC4569"/>
    <w:rsid w:val="00EC4CA4"/>
    <w:rsid w:val="00EC4D87"/>
    <w:rsid w:val="00EC4E06"/>
    <w:rsid w:val="00EC5836"/>
    <w:rsid w:val="00EC6358"/>
    <w:rsid w:val="00EC688C"/>
    <w:rsid w:val="00EC6E1F"/>
    <w:rsid w:val="00EC70B6"/>
    <w:rsid w:val="00ED0AB5"/>
    <w:rsid w:val="00ED1419"/>
    <w:rsid w:val="00ED1AF2"/>
    <w:rsid w:val="00ED2DB8"/>
    <w:rsid w:val="00ED305C"/>
    <w:rsid w:val="00ED31F4"/>
    <w:rsid w:val="00ED3A40"/>
    <w:rsid w:val="00ED3A95"/>
    <w:rsid w:val="00ED3AF9"/>
    <w:rsid w:val="00ED44A4"/>
    <w:rsid w:val="00ED4DA8"/>
    <w:rsid w:val="00ED56CE"/>
    <w:rsid w:val="00ED57EA"/>
    <w:rsid w:val="00ED5BD4"/>
    <w:rsid w:val="00ED63A0"/>
    <w:rsid w:val="00ED72D0"/>
    <w:rsid w:val="00EE07D3"/>
    <w:rsid w:val="00EE0C71"/>
    <w:rsid w:val="00EE0C80"/>
    <w:rsid w:val="00EE158F"/>
    <w:rsid w:val="00EE1996"/>
    <w:rsid w:val="00EE1C01"/>
    <w:rsid w:val="00EE20DE"/>
    <w:rsid w:val="00EE22AF"/>
    <w:rsid w:val="00EE2D59"/>
    <w:rsid w:val="00EE2D79"/>
    <w:rsid w:val="00EE3ED7"/>
    <w:rsid w:val="00EE4097"/>
    <w:rsid w:val="00EE4249"/>
    <w:rsid w:val="00EE481F"/>
    <w:rsid w:val="00EE4877"/>
    <w:rsid w:val="00EE4FED"/>
    <w:rsid w:val="00EE5B5E"/>
    <w:rsid w:val="00EE6AD5"/>
    <w:rsid w:val="00EE7447"/>
    <w:rsid w:val="00EE7BCF"/>
    <w:rsid w:val="00EE7F6A"/>
    <w:rsid w:val="00EF0171"/>
    <w:rsid w:val="00EF01CB"/>
    <w:rsid w:val="00EF1B25"/>
    <w:rsid w:val="00EF1DA0"/>
    <w:rsid w:val="00EF202F"/>
    <w:rsid w:val="00EF20EA"/>
    <w:rsid w:val="00EF25DA"/>
    <w:rsid w:val="00EF2F84"/>
    <w:rsid w:val="00EF3EBF"/>
    <w:rsid w:val="00EF459B"/>
    <w:rsid w:val="00EF4747"/>
    <w:rsid w:val="00EF4BF8"/>
    <w:rsid w:val="00EF4C9B"/>
    <w:rsid w:val="00EF4FE9"/>
    <w:rsid w:val="00EF5A58"/>
    <w:rsid w:val="00EF6EAD"/>
    <w:rsid w:val="00EF6F47"/>
    <w:rsid w:val="00F01011"/>
    <w:rsid w:val="00F02253"/>
    <w:rsid w:val="00F0267F"/>
    <w:rsid w:val="00F02A53"/>
    <w:rsid w:val="00F034D2"/>
    <w:rsid w:val="00F035FC"/>
    <w:rsid w:val="00F03C2E"/>
    <w:rsid w:val="00F04A66"/>
    <w:rsid w:val="00F04B4B"/>
    <w:rsid w:val="00F04CD7"/>
    <w:rsid w:val="00F0516C"/>
    <w:rsid w:val="00F05499"/>
    <w:rsid w:val="00F067A2"/>
    <w:rsid w:val="00F06A80"/>
    <w:rsid w:val="00F07B9E"/>
    <w:rsid w:val="00F10D2F"/>
    <w:rsid w:val="00F1116F"/>
    <w:rsid w:val="00F112C4"/>
    <w:rsid w:val="00F1263A"/>
    <w:rsid w:val="00F126B1"/>
    <w:rsid w:val="00F132AD"/>
    <w:rsid w:val="00F13887"/>
    <w:rsid w:val="00F13FFF"/>
    <w:rsid w:val="00F153DC"/>
    <w:rsid w:val="00F15B77"/>
    <w:rsid w:val="00F160DD"/>
    <w:rsid w:val="00F17E17"/>
    <w:rsid w:val="00F207E0"/>
    <w:rsid w:val="00F20D30"/>
    <w:rsid w:val="00F21F83"/>
    <w:rsid w:val="00F225D6"/>
    <w:rsid w:val="00F230EC"/>
    <w:rsid w:val="00F237A3"/>
    <w:rsid w:val="00F23D67"/>
    <w:rsid w:val="00F24072"/>
    <w:rsid w:val="00F24837"/>
    <w:rsid w:val="00F24C9B"/>
    <w:rsid w:val="00F24DFC"/>
    <w:rsid w:val="00F25150"/>
    <w:rsid w:val="00F2540B"/>
    <w:rsid w:val="00F2575F"/>
    <w:rsid w:val="00F26D8E"/>
    <w:rsid w:val="00F272B7"/>
    <w:rsid w:val="00F27565"/>
    <w:rsid w:val="00F276B4"/>
    <w:rsid w:val="00F27FCD"/>
    <w:rsid w:val="00F30B61"/>
    <w:rsid w:val="00F310D4"/>
    <w:rsid w:val="00F31D5A"/>
    <w:rsid w:val="00F32017"/>
    <w:rsid w:val="00F324B8"/>
    <w:rsid w:val="00F32CA8"/>
    <w:rsid w:val="00F32CFA"/>
    <w:rsid w:val="00F33975"/>
    <w:rsid w:val="00F33CEE"/>
    <w:rsid w:val="00F33DE9"/>
    <w:rsid w:val="00F34926"/>
    <w:rsid w:val="00F34CA9"/>
    <w:rsid w:val="00F357F7"/>
    <w:rsid w:val="00F35E6D"/>
    <w:rsid w:val="00F3619A"/>
    <w:rsid w:val="00F365E1"/>
    <w:rsid w:val="00F378C2"/>
    <w:rsid w:val="00F40AAA"/>
    <w:rsid w:val="00F40BA7"/>
    <w:rsid w:val="00F40F9D"/>
    <w:rsid w:val="00F41879"/>
    <w:rsid w:val="00F41ACD"/>
    <w:rsid w:val="00F42671"/>
    <w:rsid w:val="00F433F4"/>
    <w:rsid w:val="00F44D26"/>
    <w:rsid w:val="00F458C6"/>
    <w:rsid w:val="00F46CB6"/>
    <w:rsid w:val="00F4756D"/>
    <w:rsid w:val="00F477E6"/>
    <w:rsid w:val="00F47DE8"/>
    <w:rsid w:val="00F503E9"/>
    <w:rsid w:val="00F50E60"/>
    <w:rsid w:val="00F51851"/>
    <w:rsid w:val="00F51A5E"/>
    <w:rsid w:val="00F51E6B"/>
    <w:rsid w:val="00F5338B"/>
    <w:rsid w:val="00F54273"/>
    <w:rsid w:val="00F542C1"/>
    <w:rsid w:val="00F55E73"/>
    <w:rsid w:val="00F55EDA"/>
    <w:rsid w:val="00F56C80"/>
    <w:rsid w:val="00F56E87"/>
    <w:rsid w:val="00F576D5"/>
    <w:rsid w:val="00F60092"/>
    <w:rsid w:val="00F60F47"/>
    <w:rsid w:val="00F61C18"/>
    <w:rsid w:val="00F61DBB"/>
    <w:rsid w:val="00F629DD"/>
    <w:rsid w:val="00F6431B"/>
    <w:rsid w:val="00F6444D"/>
    <w:rsid w:val="00F6470C"/>
    <w:rsid w:val="00F65C3C"/>
    <w:rsid w:val="00F65C3E"/>
    <w:rsid w:val="00F65F4B"/>
    <w:rsid w:val="00F6673E"/>
    <w:rsid w:val="00F66983"/>
    <w:rsid w:val="00F67001"/>
    <w:rsid w:val="00F67629"/>
    <w:rsid w:val="00F67A69"/>
    <w:rsid w:val="00F70812"/>
    <w:rsid w:val="00F70BFF"/>
    <w:rsid w:val="00F70C9D"/>
    <w:rsid w:val="00F71FF8"/>
    <w:rsid w:val="00F720C2"/>
    <w:rsid w:val="00F7219B"/>
    <w:rsid w:val="00F72930"/>
    <w:rsid w:val="00F74CD9"/>
    <w:rsid w:val="00F74F2C"/>
    <w:rsid w:val="00F75527"/>
    <w:rsid w:val="00F76D0E"/>
    <w:rsid w:val="00F76F7B"/>
    <w:rsid w:val="00F77246"/>
    <w:rsid w:val="00F77EBE"/>
    <w:rsid w:val="00F77ECC"/>
    <w:rsid w:val="00F80A7B"/>
    <w:rsid w:val="00F80E5D"/>
    <w:rsid w:val="00F811F7"/>
    <w:rsid w:val="00F81BCB"/>
    <w:rsid w:val="00F81E78"/>
    <w:rsid w:val="00F844CA"/>
    <w:rsid w:val="00F8456E"/>
    <w:rsid w:val="00F84FDF"/>
    <w:rsid w:val="00F850D2"/>
    <w:rsid w:val="00F851CE"/>
    <w:rsid w:val="00F8564A"/>
    <w:rsid w:val="00F86B2B"/>
    <w:rsid w:val="00F87DBC"/>
    <w:rsid w:val="00F90398"/>
    <w:rsid w:val="00F90F51"/>
    <w:rsid w:val="00F91219"/>
    <w:rsid w:val="00F915DA"/>
    <w:rsid w:val="00F919B2"/>
    <w:rsid w:val="00F92444"/>
    <w:rsid w:val="00F9393E"/>
    <w:rsid w:val="00F9401D"/>
    <w:rsid w:val="00F943D4"/>
    <w:rsid w:val="00F961EB"/>
    <w:rsid w:val="00F966B5"/>
    <w:rsid w:val="00F96D4B"/>
    <w:rsid w:val="00F96FD0"/>
    <w:rsid w:val="00F97180"/>
    <w:rsid w:val="00F97422"/>
    <w:rsid w:val="00F97A78"/>
    <w:rsid w:val="00F97D87"/>
    <w:rsid w:val="00FA0B20"/>
    <w:rsid w:val="00FA0ED1"/>
    <w:rsid w:val="00FA24E7"/>
    <w:rsid w:val="00FA2EF5"/>
    <w:rsid w:val="00FA35C3"/>
    <w:rsid w:val="00FA370C"/>
    <w:rsid w:val="00FA379B"/>
    <w:rsid w:val="00FA3DFC"/>
    <w:rsid w:val="00FA3F7A"/>
    <w:rsid w:val="00FA4722"/>
    <w:rsid w:val="00FA5344"/>
    <w:rsid w:val="00FA5EE6"/>
    <w:rsid w:val="00FA6A50"/>
    <w:rsid w:val="00FA72B0"/>
    <w:rsid w:val="00FA74FB"/>
    <w:rsid w:val="00FA7956"/>
    <w:rsid w:val="00FB0003"/>
    <w:rsid w:val="00FB006E"/>
    <w:rsid w:val="00FB00CD"/>
    <w:rsid w:val="00FB1B99"/>
    <w:rsid w:val="00FB1D7F"/>
    <w:rsid w:val="00FB24F0"/>
    <w:rsid w:val="00FB2FCB"/>
    <w:rsid w:val="00FB3995"/>
    <w:rsid w:val="00FB4258"/>
    <w:rsid w:val="00FB437E"/>
    <w:rsid w:val="00FB4C49"/>
    <w:rsid w:val="00FB5FAA"/>
    <w:rsid w:val="00FB6817"/>
    <w:rsid w:val="00FB78F4"/>
    <w:rsid w:val="00FB7C55"/>
    <w:rsid w:val="00FB7EAC"/>
    <w:rsid w:val="00FC01C6"/>
    <w:rsid w:val="00FC035D"/>
    <w:rsid w:val="00FC0A97"/>
    <w:rsid w:val="00FC0B25"/>
    <w:rsid w:val="00FC1074"/>
    <w:rsid w:val="00FC1884"/>
    <w:rsid w:val="00FC357A"/>
    <w:rsid w:val="00FC371D"/>
    <w:rsid w:val="00FC45C1"/>
    <w:rsid w:val="00FC489B"/>
    <w:rsid w:val="00FC5195"/>
    <w:rsid w:val="00FC528F"/>
    <w:rsid w:val="00FC5F0B"/>
    <w:rsid w:val="00FC62EF"/>
    <w:rsid w:val="00FC6769"/>
    <w:rsid w:val="00FC77CB"/>
    <w:rsid w:val="00FC7985"/>
    <w:rsid w:val="00FC7FD4"/>
    <w:rsid w:val="00FD13DB"/>
    <w:rsid w:val="00FD2100"/>
    <w:rsid w:val="00FD3ED4"/>
    <w:rsid w:val="00FD436C"/>
    <w:rsid w:val="00FD446D"/>
    <w:rsid w:val="00FD4BAC"/>
    <w:rsid w:val="00FD4F2C"/>
    <w:rsid w:val="00FD508D"/>
    <w:rsid w:val="00FD5377"/>
    <w:rsid w:val="00FD58B2"/>
    <w:rsid w:val="00FD6394"/>
    <w:rsid w:val="00FD7046"/>
    <w:rsid w:val="00FD7B8D"/>
    <w:rsid w:val="00FE0E6C"/>
    <w:rsid w:val="00FE141C"/>
    <w:rsid w:val="00FE1CDC"/>
    <w:rsid w:val="00FE2454"/>
    <w:rsid w:val="00FE2BFB"/>
    <w:rsid w:val="00FE329B"/>
    <w:rsid w:val="00FE3F92"/>
    <w:rsid w:val="00FE5C4E"/>
    <w:rsid w:val="00FE65DB"/>
    <w:rsid w:val="00FE70C3"/>
    <w:rsid w:val="00FE75D0"/>
    <w:rsid w:val="00FE7AF0"/>
    <w:rsid w:val="00FF03FC"/>
    <w:rsid w:val="00FF078D"/>
    <w:rsid w:val="00FF0BCD"/>
    <w:rsid w:val="00FF1693"/>
    <w:rsid w:val="00FF24A5"/>
    <w:rsid w:val="00FF2AD9"/>
    <w:rsid w:val="00FF359F"/>
    <w:rsid w:val="00FF3DCF"/>
    <w:rsid w:val="00FF4598"/>
    <w:rsid w:val="00FF492C"/>
    <w:rsid w:val="00FF4A21"/>
    <w:rsid w:val="00FF4A24"/>
    <w:rsid w:val="00FF4B10"/>
    <w:rsid w:val="00FF4DB5"/>
    <w:rsid w:val="00FF5AA3"/>
    <w:rsid w:val="00FF5AD8"/>
    <w:rsid w:val="072FFA37"/>
    <w:rsid w:val="0EA91E1D"/>
    <w:rsid w:val="1348D328"/>
    <w:rsid w:val="1843B227"/>
    <w:rsid w:val="2246555B"/>
    <w:rsid w:val="30FEC4DD"/>
    <w:rsid w:val="42C27F60"/>
    <w:rsid w:val="457F0463"/>
    <w:rsid w:val="5241D134"/>
    <w:rsid w:val="59669690"/>
    <w:rsid w:val="674E2CD3"/>
    <w:rsid w:val="7BACC0CC"/>
    <w:rsid w:val="7CD5A4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4" w:uiPriority="9"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统计型,HTAtableplain,new style,PBAC table,MSD Table Grid,RTI AMCP Table,Conclusion box,Table Grid nm,Dossier table,Section 3- footnotes,Header Table,Table Grid No Line,Summary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DA6F2E"/>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2A427A"/>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uiPriority w:val="99"/>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styleId="UnresolvedMention">
    <w:name w:val="Unresolved Mention"/>
    <w:basedOn w:val="DefaultParagraphFont"/>
    <w:uiPriority w:val="99"/>
    <w:semiHidden/>
    <w:unhideWhenUsed/>
    <w:rsid w:val="00226E2E"/>
    <w:rPr>
      <w:color w:val="605E5C"/>
      <w:shd w:val="clear" w:color="auto" w:fill="E1DFDD"/>
    </w:rPr>
  </w:style>
  <w:style w:type="paragraph" w:customStyle="1" w:styleId="Bodytextitalics">
    <w:name w:val="Body text italics"/>
    <w:basedOn w:val="BodyText"/>
    <w:qFormat/>
    <w:rsid w:val="00BB3575"/>
    <w:pPr>
      <w:spacing w:after="120"/>
      <w:ind w:left="720" w:hanging="720"/>
    </w:pPr>
    <w:rPr>
      <w:rFonts w:asciiTheme="minorHAnsi" w:eastAsiaTheme="minorHAnsi" w:hAnsiTheme="minorHAnsi" w:cstheme="minorBidi"/>
      <w:i/>
      <w:szCs w:val="22"/>
    </w:rPr>
  </w:style>
  <w:style w:type="table" w:customStyle="1" w:styleId="HTAtableplain1">
    <w:name w:val="HTAtableplain1"/>
    <w:basedOn w:val="TableNormal"/>
    <w:next w:val="TableGrid"/>
    <w:rsid w:val="002C28DC"/>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E16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plain11">
    <w:name w:val="HTAtableplain11"/>
    <w:basedOn w:val="TableNormal"/>
    <w:next w:val="TableGrid"/>
    <w:rsid w:val="00933F4F"/>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ableFigure">
    <w:name w:val="Footer Table/Figure"/>
    <w:basedOn w:val="Normal"/>
    <w:link w:val="FooterTableFigureChar"/>
    <w:qFormat/>
    <w:rsid w:val="00830F3C"/>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830F3C"/>
    <w:rPr>
      <w:rFonts w:ascii="Arial Narrow" w:hAnsi="Arial Narrow" w:cs="Arial"/>
      <w:snapToGrid w:val="0"/>
      <w:sz w:val="18"/>
      <w:szCs w:val="22"/>
    </w:rPr>
  </w:style>
  <w:style w:type="paragraph" w:customStyle="1" w:styleId="ExecSumBodyText">
    <w:name w:val="Exec Sum Body Text"/>
    <w:basedOn w:val="Normal"/>
    <w:link w:val="ExecSumBodyTextChar"/>
    <w:uiPriority w:val="99"/>
    <w:rsid w:val="00094E07"/>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094E07"/>
    <w:rPr>
      <w:rFonts w:asciiTheme="minorHAnsi" w:hAnsiTheme="minorHAnsi" w:cs="Arial"/>
      <w:snapToGrid w:val="0"/>
      <w:sz w:val="24"/>
      <w:szCs w:val="24"/>
    </w:rPr>
  </w:style>
  <w:style w:type="paragraph" w:customStyle="1" w:styleId="bullet">
    <w:name w:val="bullet"/>
    <w:basedOn w:val="ListParagraph"/>
    <w:link w:val="bulletChar"/>
    <w:rsid w:val="00094E07"/>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094E07"/>
    <w:rPr>
      <w:rFonts w:ascii="Calibri" w:hAnsi="Calibri" w:cstheme="minorBidi"/>
      <w:i/>
      <w:sz w:val="22"/>
      <w:szCs w:val="22"/>
      <w:lang w:eastAsia="en-US"/>
    </w:rPr>
  </w:style>
  <w:style w:type="paragraph" w:customStyle="1" w:styleId="Default">
    <w:name w:val="Default"/>
    <w:rsid w:val="00094E07"/>
    <w:pPr>
      <w:autoSpaceDE w:val="0"/>
      <w:autoSpaceDN w:val="0"/>
      <w:adjustRightInd w:val="0"/>
    </w:pPr>
    <w:rPr>
      <w:rFonts w:ascii="Calibri" w:hAnsi="Calibri" w:cs="Calibri"/>
      <w:color w:val="000000"/>
      <w:sz w:val="24"/>
      <w:szCs w:val="24"/>
    </w:rPr>
  </w:style>
  <w:style w:type="character" w:styleId="FootnoteReference">
    <w:name w:val="footnote reference"/>
    <w:basedOn w:val="DefaultParagraphFont"/>
    <w:uiPriority w:val="99"/>
    <w:unhideWhenUsed/>
    <w:rsid w:val="00094E07"/>
    <w:rPr>
      <w:vertAlign w:val="superscript"/>
    </w:rPr>
  </w:style>
  <w:style w:type="numbering" w:customStyle="1" w:styleId="CurrentList15">
    <w:name w:val="Current List15"/>
    <w:uiPriority w:val="99"/>
    <w:rsid w:val="00094E07"/>
    <w:pPr>
      <w:numPr>
        <w:numId w:val="8"/>
      </w:numPr>
    </w:pPr>
  </w:style>
  <w:style w:type="character" w:customStyle="1" w:styleId="TableNotesChar">
    <w:name w:val="Table Notes Char"/>
    <w:basedOn w:val="DefaultParagraphFont"/>
    <w:link w:val="TableNotes"/>
    <w:locked/>
    <w:rsid w:val="00094E07"/>
    <w:rPr>
      <w:rFonts w:ascii="Arial" w:hAnsi="Arial"/>
      <w:sz w:val="16"/>
      <w:szCs w:val="16"/>
    </w:rPr>
  </w:style>
  <w:style w:type="paragraph" w:customStyle="1" w:styleId="TableNotes">
    <w:name w:val="Table Notes"/>
    <w:basedOn w:val="Normal"/>
    <w:next w:val="Normal"/>
    <w:link w:val="TableNotesChar"/>
    <w:rsid w:val="00094E07"/>
    <w:pPr>
      <w:keepNext/>
      <w:keepLines/>
      <w:spacing w:before="60" w:after="240"/>
      <w:contextualSpacing/>
    </w:pPr>
    <w:rPr>
      <w:rFonts w:ascii="Arial" w:hAnsi="Arial" w:cs="Times New Roman"/>
      <w:sz w:val="16"/>
      <w:szCs w:val="16"/>
    </w:rPr>
  </w:style>
  <w:style w:type="table" w:customStyle="1" w:styleId="HTAtableplain2">
    <w:name w:val="HTAtableplain2"/>
    <w:basedOn w:val="TableNormal"/>
    <w:next w:val="TableGrid"/>
    <w:uiPriority w:val="59"/>
    <w:rsid w:val="00094E07"/>
    <w:rPr>
      <w:rFonts w:ascii="Calibri" w:eastAsia="Calibri" w:hAnsi="Calibri" w:cs="Arial"/>
      <w:lang w:val="en-US"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4E07"/>
    <w:rPr>
      <w:sz w:val="20"/>
      <w:szCs w:val="20"/>
    </w:rPr>
  </w:style>
  <w:style w:type="character" w:customStyle="1" w:styleId="FootnoteTextChar">
    <w:name w:val="Footnote Text Char"/>
    <w:basedOn w:val="DefaultParagraphFont"/>
    <w:link w:val="FootnoteText"/>
    <w:uiPriority w:val="99"/>
    <w:semiHidden/>
    <w:rsid w:val="00094E07"/>
    <w:rPr>
      <w:rFonts w:ascii="Calibri" w:hAnsi="Calibri" w:cs="Arial"/>
    </w:rPr>
  </w:style>
  <w:style w:type="numbering" w:customStyle="1" w:styleId="NoList1">
    <w:name w:val="No List1"/>
    <w:next w:val="NoList"/>
    <w:uiPriority w:val="99"/>
    <w:semiHidden/>
    <w:unhideWhenUsed/>
    <w:rsid w:val="00094E07"/>
  </w:style>
  <w:style w:type="character" w:customStyle="1" w:styleId="Heading1Char">
    <w:name w:val="Heading 1 Char"/>
    <w:basedOn w:val="DefaultParagraphFont"/>
    <w:link w:val="Heading1"/>
    <w:uiPriority w:val="9"/>
    <w:rsid w:val="00094E07"/>
    <w:rPr>
      <w:rFonts w:ascii="Calibri" w:hAnsi="Calibri" w:cs="Arial"/>
      <w:b/>
      <w:caps/>
      <w:sz w:val="32"/>
      <w:szCs w:val="24"/>
    </w:rPr>
  </w:style>
  <w:style w:type="character" w:customStyle="1" w:styleId="Heading3Char">
    <w:name w:val="Heading 3 Char"/>
    <w:basedOn w:val="DefaultParagraphFont"/>
    <w:link w:val="Heading3"/>
    <w:uiPriority w:val="9"/>
    <w:rsid w:val="00094E07"/>
    <w:rPr>
      <w:rFonts w:ascii="Calibri" w:hAnsi="Calibri" w:cs="Arial"/>
      <w:sz w:val="24"/>
      <w:szCs w:val="24"/>
      <w:u w:val="single"/>
    </w:rPr>
  </w:style>
  <w:style w:type="character" w:customStyle="1" w:styleId="Heading4Char">
    <w:name w:val="Heading 4 Char"/>
    <w:basedOn w:val="DefaultParagraphFont"/>
    <w:link w:val="Heading4"/>
    <w:uiPriority w:val="9"/>
    <w:rsid w:val="00094E07"/>
    <w:rPr>
      <w:rFonts w:ascii="Calibri" w:hAnsi="Calibri" w:cs="Arial"/>
      <w:b/>
      <w:bCs/>
      <w:i/>
      <w:sz w:val="26"/>
      <w:szCs w:val="28"/>
    </w:rPr>
  </w:style>
  <w:style w:type="character" w:customStyle="1" w:styleId="Heading5Char">
    <w:name w:val="Heading 5 Char"/>
    <w:basedOn w:val="DefaultParagraphFont"/>
    <w:link w:val="Heading5"/>
    <w:uiPriority w:val="9"/>
    <w:rsid w:val="00094E07"/>
    <w:rPr>
      <w:rFonts w:ascii="Calibri" w:hAnsi="Calibri" w:cs="Arial"/>
      <w:b/>
      <w:bCs/>
      <w:iCs/>
      <w:sz w:val="26"/>
      <w:szCs w:val="26"/>
    </w:rPr>
  </w:style>
  <w:style w:type="character" w:customStyle="1" w:styleId="Heading6Char">
    <w:name w:val="Heading 6 Char"/>
    <w:basedOn w:val="DefaultParagraphFont"/>
    <w:link w:val="Heading6"/>
    <w:uiPriority w:val="9"/>
    <w:rsid w:val="00094E07"/>
    <w:rPr>
      <w:rFonts w:ascii="Calibri" w:hAnsi="Calibri" w:cs="Arial"/>
      <w:b/>
      <w:bCs/>
      <w:i/>
      <w:sz w:val="24"/>
      <w:szCs w:val="24"/>
    </w:rPr>
  </w:style>
  <w:style w:type="table" w:customStyle="1" w:styleId="HTAtableplain3">
    <w:name w:val="HTAtableplain3"/>
    <w:basedOn w:val="TableNormal"/>
    <w:next w:val="TableGrid"/>
    <w:uiPriority w:val="59"/>
    <w:rsid w:val="00094E07"/>
    <w:rPr>
      <w:rFonts w:ascii="Calibri" w:eastAsia="Calibri" w:hAnsi="Calibri" w:cs="Arial"/>
      <w:lang w:val="en-US"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rsid w:val="00094E07"/>
    <w:pPr>
      <w:spacing w:after="240"/>
      <w:contextualSpacing/>
      <w:jc w:val="left"/>
    </w:pPr>
    <w:rPr>
      <w:rFonts w:eastAsia="Calibri"/>
      <w:i/>
      <w:sz w:val="16"/>
      <w:lang w:eastAsia="en-US"/>
    </w:rPr>
  </w:style>
  <w:style w:type="numbering" w:customStyle="1" w:styleId="CurrentList17">
    <w:name w:val="Current List17"/>
    <w:uiPriority w:val="99"/>
    <w:rsid w:val="00094E07"/>
    <w:pPr>
      <w:numPr>
        <w:numId w:val="28"/>
      </w:numPr>
    </w:pPr>
  </w:style>
  <w:style w:type="paragraph" w:customStyle="1" w:styleId="EndNoteBibliography">
    <w:name w:val="EndNote Bibliography"/>
    <w:basedOn w:val="Normal"/>
    <w:link w:val="EndNoteBibliographyChar"/>
    <w:rsid w:val="00094E07"/>
    <w:pPr>
      <w:spacing w:after="240"/>
      <w:jc w:val="left"/>
    </w:pPr>
    <w:rPr>
      <w:rFonts w:eastAsia="Calibri" w:cs="Calibri"/>
      <w:lang w:val="en-US" w:eastAsia="en-US"/>
    </w:rPr>
  </w:style>
  <w:style w:type="character" w:customStyle="1" w:styleId="EndNoteBibliographyChar">
    <w:name w:val="EndNote Bibliography Char"/>
    <w:link w:val="EndNoteBibliography"/>
    <w:rsid w:val="00094E07"/>
    <w:rPr>
      <w:rFonts w:ascii="Calibri" w:eastAsia="Calibri" w:hAnsi="Calibri" w:cs="Calibri"/>
      <w:sz w:val="24"/>
      <w:szCs w:val="24"/>
      <w:lang w:val="en-US" w:eastAsia="en-US"/>
    </w:rPr>
  </w:style>
  <w:style w:type="paragraph" w:styleId="TableofFigures">
    <w:name w:val="table of figures"/>
    <w:basedOn w:val="Normal"/>
    <w:next w:val="Normal"/>
    <w:uiPriority w:val="99"/>
    <w:unhideWhenUsed/>
    <w:rsid w:val="00094E07"/>
    <w:pPr>
      <w:jc w:val="left"/>
    </w:pPr>
    <w:rPr>
      <w:rFonts w:eastAsia="Calibri"/>
      <w:lang w:eastAsia="en-US"/>
    </w:rPr>
  </w:style>
  <w:style w:type="paragraph" w:customStyle="1" w:styleId="ESHeading3">
    <w:name w:val="ES Heading 3"/>
    <w:basedOn w:val="Heading3"/>
    <w:next w:val="Normal"/>
    <w:link w:val="ESHeading3Char"/>
    <w:rsid w:val="00094E07"/>
    <w:pPr>
      <w:keepNext/>
      <w:keepLines/>
      <w:numPr>
        <w:ilvl w:val="2"/>
        <w:numId w:val="14"/>
      </w:numPr>
      <w:tabs>
        <w:tab w:val="num" w:pos="643"/>
      </w:tabs>
      <w:spacing w:before="40" w:after="240"/>
      <w:ind w:left="643" w:hanging="360"/>
      <w:jc w:val="left"/>
    </w:pPr>
    <w:rPr>
      <w:rFonts w:ascii="Calibri Light" w:hAnsi="Calibri Light" w:cs="Times New Roman"/>
      <w:b/>
      <w:color w:val="000000"/>
      <w:sz w:val="28"/>
      <w:u w:val="none"/>
      <w:lang w:eastAsia="en-US"/>
    </w:rPr>
  </w:style>
  <w:style w:type="numbering" w:customStyle="1" w:styleId="CurrentList1">
    <w:name w:val="Current List1"/>
    <w:uiPriority w:val="99"/>
    <w:rsid w:val="00094E07"/>
    <w:pPr>
      <w:numPr>
        <w:numId w:val="12"/>
      </w:numPr>
    </w:pPr>
  </w:style>
  <w:style w:type="character" w:customStyle="1" w:styleId="ESHeading3Char">
    <w:name w:val="ES Heading 3 Char"/>
    <w:link w:val="ESHeading3"/>
    <w:rsid w:val="00094E07"/>
    <w:rPr>
      <w:rFonts w:ascii="Calibri Light" w:hAnsi="Calibri Light"/>
      <w:b/>
      <w:color w:val="000000"/>
      <w:sz w:val="28"/>
      <w:szCs w:val="24"/>
      <w:lang w:eastAsia="en-US"/>
    </w:rPr>
  </w:style>
  <w:style w:type="paragraph" w:customStyle="1" w:styleId="ESHeading4">
    <w:name w:val="ES Heading 4"/>
    <w:basedOn w:val="ESHeading3"/>
    <w:next w:val="Normal"/>
    <w:link w:val="ESHeading4Char"/>
    <w:rsid w:val="00094E07"/>
    <w:pPr>
      <w:numPr>
        <w:ilvl w:val="3"/>
      </w:numPr>
      <w:tabs>
        <w:tab w:val="num" w:pos="643"/>
      </w:tabs>
      <w:ind w:left="643" w:hanging="360"/>
    </w:pPr>
  </w:style>
  <w:style w:type="numbering" w:customStyle="1" w:styleId="CurrentList2">
    <w:name w:val="Current List2"/>
    <w:uiPriority w:val="99"/>
    <w:rsid w:val="00094E07"/>
    <w:pPr>
      <w:numPr>
        <w:numId w:val="13"/>
      </w:numPr>
    </w:pPr>
  </w:style>
  <w:style w:type="character" w:customStyle="1" w:styleId="ESHeading4Char">
    <w:name w:val="ES Heading 4 Char"/>
    <w:link w:val="ESHeading4"/>
    <w:rsid w:val="00094E07"/>
    <w:rPr>
      <w:rFonts w:ascii="Calibri Light" w:hAnsi="Calibri Light"/>
      <w:b/>
      <w:color w:val="000000"/>
      <w:sz w:val="28"/>
      <w:szCs w:val="24"/>
      <w:lang w:eastAsia="en-US"/>
    </w:rPr>
  </w:style>
  <w:style w:type="paragraph" w:styleId="ListBullet2">
    <w:name w:val="List Bullet 2"/>
    <w:basedOn w:val="Normal"/>
    <w:uiPriority w:val="99"/>
    <w:unhideWhenUsed/>
    <w:rsid w:val="00094E07"/>
    <w:pPr>
      <w:numPr>
        <w:numId w:val="11"/>
      </w:numPr>
      <w:tabs>
        <w:tab w:val="clear" w:pos="643"/>
      </w:tabs>
      <w:spacing w:after="240"/>
      <w:ind w:left="360"/>
      <w:contextualSpacing/>
      <w:jc w:val="left"/>
    </w:pPr>
    <w:rPr>
      <w:rFonts w:eastAsia="Calibri"/>
      <w:lang w:eastAsia="en-US"/>
    </w:rPr>
  </w:style>
  <w:style w:type="paragraph" w:styleId="ListBullet3">
    <w:name w:val="List Bullet 3"/>
    <w:basedOn w:val="Normal"/>
    <w:uiPriority w:val="99"/>
    <w:unhideWhenUsed/>
    <w:rsid w:val="00094E07"/>
    <w:pPr>
      <w:numPr>
        <w:numId w:val="10"/>
      </w:numPr>
      <w:tabs>
        <w:tab w:val="clear" w:pos="926"/>
      </w:tabs>
      <w:spacing w:after="240"/>
      <w:ind w:left="720"/>
      <w:contextualSpacing/>
      <w:jc w:val="left"/>
    </w:pPr>
    <w:rPr>
      <w:rFonts w:eastAsia="Calibri"/>
      <w:lang w:eastAsia="en-US"/>
    </w:rPr>
  </w:style>
  <w:style w:type="paragraph" w:styleId="ListBullet4">
    <w:name w:val="List Bullet 4"/>
    <w:basedOn w:val="Normal"/>
    <w:uiPriority w:val="99"/>
    <w:unhideWhenUsed/>
    <w:rsid w:val="00094E07"/>
    <w:pPr>
      <w:numPr>
        <w:numId w:val="9"/>
      </w:numPr>
      <w:tabs>
        <w:tab w:val="clear" w:pos="1209"/>
      </w:tabs>
      <w:spacing w:after="240"/>
      <w:ind w:left="720"/>
      <w:contextualSpacing/>
      <w:jc w:val="left"/>
    </w:pPr>
    <w:rPr>
      <w:rFonts w:eastAsia="Calibri"/>
      <w:lang w:eastAsia="en-US"/>
    </w:rPr>
  </w:style>
  <w:style w:type="paragraph" w:customStyle="1" w:styleId="Heading1nonumber">
    <w:name w:val="Heading 1 (no number)"/>
    <w:basedOn w:val="Heading1"/>
    <w:next w:val="Normal"/>
    <w:link w:val="Heading1nonumberChar"/>
    <w:qFormat/>
    <w:rsid w:val="00094E07"/>
    <w:pPr>
      <w:keepNext/>
      <w:keepLines/>
      <w:pageBreakBefore/>
      <w:pBdr>
        <w:bottom w:val="single" w:sz="4" w:space="1" w:color="auto"/>
      </w:pBdr>
      <w:spacing w:before="240" w:after="240"/>
      <w:ind w:left="0" w:firstLine="0"/>
      <w:jc w:val="left"/>
    </w:pPr>
    <w:rPr>
      <w:rFonts w:ascii="Calibri Light" w:hAnsi="Calibri Light" w:cs="Times New Roman"/>
      <w:caps w:val="0"/>
      <w:color w:val="000000"/>
      <w:sz w:val="36"/>
      <w:szCs w:val="32"/>
      <w:lang w:eastAsia="en-US"/>
    </w:rPr>
  </w:style>
  <w:style w:type="numbering" w:customStyle="1" w:styleId="CurrentList3">
    <w:name w:val="Current List3"/>
    <w:uiPriority w:val="99"/>
    <w:rsid w:val="00094E07"/>
    <w:pPr>
      <w:numPr>
        <w:numId w:val="15"/>
      </w:numPr>
    </w:pPr>
  </w:style>
  <w:style w:type="character" w:customStyle="1" w:styleId="Heading1nonumberChar">
    <w:name w:val="Heading 1 (no number) Char"/>
    <w:link w:val="Heading1nonumber"/>
    <w:rsid w:val="00094E07"/>
    <w:rPr>
      <w:rFonts w:ascii="Calibri Light" w:hAnsi="Calibri Light"/>
      <w:b/>
      <w:color w:val="000000"/>
      <w:sz w:val="36"/>
      <w:szCs w:val="32"/>
      <w:lang w:eastAsia="en-US"/>
    </w:rPr>
  </w:style>
  <w:style w:type="numbering" w:customStyle="1" w:styleId="CurrentList4">
    <w:name w:val="Current List4"/>
    <w:uiPriority w:val="99"/>
    <w:rsid w:val="00094E07"/>
    <w:pPr>
      <w:numPr>
        <w:numId w:val="16"/>
      </w:numPr>
    </w:pPr>
  </w:style>
  <w:style w:type="numbering" w:customStyle="1" w:styleId="CurrentList5">
    <w:name w:val="Current List5"/>
    <w:uiPriority w:val="99"/>
    <w:rsid w:val="00094E07"/>
    <w:pPr>
      <w:numPr>
        <w:numId w:val="17"/>
      </w:numPr>
    </w:pPr>
  </w:style>
  <w:style w:type="numbering" w:customStyle="1" w:styleId="CurrentList6">
    <w:name w:val="Current List6"/>
    <w:uiPriority w:val="99"/>
    <w:rsid w:val="00094E07"/>
    <w:pPr>
      <w:numPr>
        <w:numId w:val="18"/>
      </w:numPr>
    </w:pPr>
  </w:style>
  <w:style w:type="numbering" w:customStyle="1" w:styleId="CurrentList7">
    <w:name w:val="Current List7"/>
    <w:uiPriority w:val="99"/>
    <w:rsid w:val="00094E07"/>
    <w:pPr>
      <w:numPr>
        <w:numId w:val="19"/>
      </w:numPr>
    </w:pPr>
  </w:style>
  <w:style w:type="numbering" w:customStyle="1" w:styleId="CurrentList8">
    <w:name w:val="Current List8"/>
    <w:uiPriority w:val="99"/>
    <w:rsid w:val="00094E07"/>
    <w:pPr>
      <w:numPr>
        <w:numId w:val="20"/>
      </w:numPr>
    </w:pPr>
  </w:style>
  <w:style w:type="numbering" w:customStyle="1" w:styleId="CurrentList9">
    <w:name w:val="Current List9"/>
    <w:uiPriority w:val="99"/>
    <w:rsid w:val="00094E07"/>
    <w:pPr>
      <w:numPr>
        <w:numId w:val="21"/>
      </w:numPr>
    </w:pPr>
  </w:style>
  <w:style w:type="numbering" w:customStyle="1" w:styleId="CurrentList10">
    <w:name w:val="Current List10"/>
    <w:uiPriority w:val="99"/>
    <w:rsid w:val="00094E07"/>
    <w:pPr>
      <w:numPr>
        <w:numId w:val="22"/>
      </w:numPr>
    </w:pPr>
  </w:style>
  <w:style w:type="numbering" w:customStyle="1" w:styleId="CurrentList11">
    <w:name w:val="Current List11"/>
    <w:uiPriority w:val="99"/>
    <w:rsid w:val="00094E07"/>
    <w:pPr>
      <w:numPr>
        <w:numId w:val="23"/>
      </w:numPr>
    </w:pPr>
  </w:style>
  <w:style w:type="numbering" w:customStyle="1" w:styleId="CurrentList12">
    <w:name w:val="Current List12"/>
    <w:uiPriority w:val="99"/>
    <w:rsid w:val="00094E07"/>
    <w:pPr>
      <w:numPr>
        <w:numId w:val="24"/>
      </w:numPr>
    </w:pPr>
  </w:style>
  <w:style w:type="numbering" w:customStyle="1" w:styleId="CurrentList13">
    <w:name w:val="Current List13"/>
    <w:uiPriority w:val="99"/>
    <w:rsid w:val="00094E07"/>
    <w:pPr>
      <w:numPr>
        <w:numId w:val="25"/>
      </w:numPr>
    </w:pPr>
  </w:style>
  <w:style w:type="numbering" w:customStyle="1" w:styleId="CurrentList14">
    <w:name w:val="Current List14"/>
    <w:uiPriority w:val="99"/>
    <w:rsid w:val="00094E07"/>
    <w:pPr>
      <w:numPr>
        <w:numId w:val="26"/>
      </w:numPr>
    </w:pPr>
  </w:style>
  <w:style w:type="numbering" w:customStyle="1" w:styleId="CurrentList151">
    <w:name w:val="Current List151"/>
    <w:uiPriority w:val="99"/>
    <w:rsid w:val="00094E07"/>
    <w:pPr>
      <w:numPr>
        <w:numId w:val="7"/>
      </w:numPr>
    </w:pPr>
  </w:style>
  <w:style w:type="numbering" w:customStyle="1" w:styleId="CurrentList16">
    <w:name w:val="Current List16"/>
    <w:uiPriority w:val="99"/>
    <w:rsid w:val="00094E07"/>
    <w:pPr>
      <w:numPr>
        <w:numId w:val="27"/>
      </w:numPr>
    </w:pPr>
  </w:style>
  <w:style w:type="numbering" w:customStyle="1" w:styleId="CurrentList18">
    <w:name w:val="Current List18"/>
    <w:uiPriority w:val="99"/>
    <w:rsid w:val="00094E07"/>
    <w:pPr>
      <w:numPr>
        <w:numId w:val="29"/>
      </w:numPr>
    </w:pPr>
  </w:style>
  <w:style w:type="numbering" w:customStyle="1" w:styleId="CurrentList19">
    <w:name w:val="Current List19"/>
    <w:uiPriority w:val="99"/>
    <w:rsid w:val="00094E07"/>
    <w:pPr>
      <w:numPr>
        <w:numId w:val="30"/>
      </w:numPr>
    </w:pPr>
  </w:style>
  <w:style w:type="paragraph" w:customStyle="1" w:styleId="BodyText0">
    <w:name w:val="BodyText"/>
    <w:basedOn w:val="Normal"/>
    <w:link w:val="BodyTextChar0"/>
    <w:rsid w:val="00094E07"/>
    <w:pPr>
      <w:spacing w:before="120" w:after="240" w:line="288" w:lineRule="auto"/>
    </w:pPr>
    <w:rPr>
      <w:rFonts w:cs="Tahoma"/>
      <w:sz w:val="22"/>
      <w:szCs w:val="22"/>
    </w:rPr>
  </w:style>
  <w:style w:type="character" w:customStyle="1" w:styleId="BodyTextChar0">
    <w:name w:val="BodyText Char"/>
    <w:basedOn w:val="DefaultParagraphFont"/>
    <w:link w:val="BodyText0"/>
    <w:rsid w:val="00094E07"/>
    <w:rPr>
      <w:rFonts w:ascii="Calibri" w:hAnsi="Calibri" w:cs="Tahoma"/>
      <w:sz w:val="22"/>
      <w:szCs w:val="22"/>
    </w:rPr>
  </w:style>
  <w:style w:type="paragraph" w:customStyle="1" w:styleId="Heading50">
    <w:name w:val="Heading5"/>
    <w:basedOn w:val="Normal"/>
    <w:uiPriority w:val="99"/>
    <w:rsid w:val="00094E07"/>
    <w:pPr>
      <w:keepNext/>
      <w:tabs>
        <w:tab w:val="left" w:pos="1430"/>
      </w:tabs>
      <w:spacing w:before="120" w:after="120"/>
      <w:outlineLvl w:val="4"/>
    </w:pPr>
    <w:rPr>
      <w:rFonts w:cs="Times New Roman"/>
      <w:bCs/>
      <w:i/>
      <w:sz w:val="22"/>
      <w:szCs w:val="32"/>
      <w:lang w:eastAsia="en-US"/>
    </w:rPr>
  </w:style>
  <w:style w:type="character" w:styleId="PlaceholderText">
    <w:name w:val="Placeholder Text"/>
    <w:basedOn w:val="DefaultParagraphFont"/>
    <w:uiPriority w:val="99"/>
    <w:semiHidden/>
    <w:rsid w:val="00094E07"/>
    <w:rPr>
      <w:color w:val="808080"/>
    </w:rPr>
  </w:style>
  <w:style w:type="paragraph" w:customStyle="1" w:styleId="Heading40">
    <w:name w:val="Heading4"/>
    <w:basedOn w:val="Normal"/>
    <w:link w:val="Heading4Char0"/>
    <w:uiPriority w:val="99"/>
    <w:rsid w:val="00094E07"/>
    <w:pPr>
      <w:keepNext/>
      <w:tabs>
        <w:tab w:val="left" w:pos="1430"/>
      </w:tabs>
      <w:spacing w:before="120" w:after="120"/>
      <w:outlineLvl w:val="3"/>
    </w:pPr>
    <w:rPr>
      <w:rFonts w:ascii="Arial Bold" w:hAnsi="Arial Bold" w:cs="Times New Roman"/>
      <w:b/>
      <w:bCs/>
      <w:i/>
      <w:sz w:val="22"/>
      <w:szCs w:val="32"/>
      <w:lang w:eastAsia="en-US"/>
    </w:rPr>
  </w:style>
  <w:style w:type="character" w:customStyle="1" w:styleId="Heading4Char0">
    <w:name w:val="Heading4 Char"/>
    <w:link w:val="Heading40"/>
    <w:uiPriority w:val="99"/>
    <w:locked/>
    <w:rsid w:val="00094E07"/>
    <w:rPr>
      <w:rFonts w:ascii="Arial Bold" w:hAnsi="Arial Bold"/>
      <w:b/>
      <w:bCs/>
      <w:i/>
      <w:sz w:val="22"/>
      <w:szCs w:val="32"/>
      <w:lang w:eastAsia="en-US"/>
    </w:rPr>
  </w:style>
  <w:style w:type="paragraph" w:customStyle="1" w:styleId="Style4">
    <w:name w:val="Style4"/>
    <w:basedOn w:val="Normal"/>
    <w:link w:val="Style4Char"/>
    <w:rsid w:val="00094E07"/>
    <w:pPr>
      <w:keepNext/>
      <w:keepLines/>
      <w:spacing w:before="40" w:line="259" w:lineRule="auto"/>
      <w:jc w:val="left"/>
      <w:outlineLvl w:val="1"/>
    </w:pPr>
    <w:rPr>
      <w:rFonts w:eastAsia="Yu Gothic Light" w:cs="Times New Roman"/>
      <w:b/>
      <w:sz w:val="28"/>
      <w:szCs w:val="26"/>
      <w:lang w:eastAsia="en-US"/>
    </w:rPr>
  </w:style>
  <w:style w:type="paragraph" w:customStyle="1" w:styleId="Style5">
    <w:name w:val="Style5"/>
    <w:basedOn w:val="Heading3"/>
    <w:link w:val="Style5Char"/>
    <w:rsid w:val="00094E07"/>
    <w:pPr>
      <w:keepNext/>
      <w:keepLines/>
      <w:spacing w:before="40" w:line="259" w:lineRule="auto"/>
      <w:jc w:val="left"/>
    </w:pPr>
    <w:rPr>
      <w:rFonts w:ascii="Calibri Light" w:eastAsia="Yu Gothic Light" w:hAnsi="Calibri Light"/>
      <w:b/>
      <w:color w:val="1F3763"/>
      <w:lang w:eastAsia="en-US"/>
    </w:rPr>
  </w:style>
  <w:style w:type="character" w:customStyle="1" w:styleId="Style4Char">
    <w:name w:val="Style4 Char"/>
    <w:basedOn w:val="DefaultParagraphFont"/>
    <w:link w:val="Style4"/>
    <w:rsid w:val="00094E07"/>
    <w:rPr>
      <w:rFonts w:ascii="Calibri" w:eastAsia="Yu Gothic Light" w:hAnsi="Calibri"/>
      <w:b/>
      <w:sz w:val="28"/>
      <w:szCs w:val="26"/>
      <w:lang w:eastAsia="en-US"/>
    </w:rPr>
  </w:style>
  <w:style w:type="character" w:customStyle="1" w:styleId="Style5Char">
    <w:name w:val="Style5 Char"/>
    <w:basedOn w:val="Heading3Char"/>
    <w:link w:val="Style5"/>
    <w:rsid w:val="00094E07"/>
    <w:rPr>
      <w:rFonts w:ascii="Calibri Light" w:eastAsia="Yu Gothic Light" w:hAnsi="Calibri Light" w:cs="Arial"/>
      <w:b/>
      <w:color w:val="1F3763"/>
      <w:sz w:val="24"/>
      <w:szCs w:val="24"/>
      <w:u w:val="single"/>
      <w:lang w:eastAsia="en-US"/>
    </w:rPr>
  </w:style>
  <w:style w:type="paragraph" w:customStyle="1" w:styleId="Style1">
    <w:name w:val="Style1"/>
    <w:basedOn w:val="Heading1"/>
    <w:link w:val="Style1Char"/>
    <w:rsid w:val="00094E07"/>
    <w:pPr>
      <w:keepNext/>
      <w:keepLines/>
      <w:spacing w:before="240" w:line="259" w:lineRule="auto"/>
      <w:ind w:left="0" w:firstLine="0"/>
      <w:jc w:val="left"/>
    </w:pPr>
    <w:rPr>
      <w:rFonts w:ascii="Calibri Light" w:eastAsia="Yu Gothic Light" w:hAnsi="Calibri Light"/>
      <w:caps w:val="0"/>
      <w:color w:val="2F5496"/>
      <w:sz w:val="28"/>
      <w:szCs w:val="32"/>
      <w:lang w:eastAsia="en-US"/>
    </w:rPr>
  </w:style>
  <w:style w:type="character" w:customStyle="1" w:styleId="Style1Char">
    <w:name w:val="Style1 Char"/>
    <w:basedOn w:val="Heading1Char"/>
    <w:link w:val="Style1"/>
    <w:rsid w:val="00094E07"/>
    <w:rPr>
      <w:rFonts w:ascii="Calibri Light" w:eastAsia="Yu Gothic Light" w:hAnsi="Calibri Light" w:cs="Arial"/>
      <w:b/>
      <w:caps w:val="0"/>
      <w:color w:val="2F5496"/>
      <w:sz w:val="28"/>
      <w:szCs w:val="32"/>
      <w:lang w:eastAsia="en-US"/>
    </w:rPr>
  </w:style>
  <w:style w:type="paragraph" w:customStyle="1" w:styleId="Style2">
    <w:name w:val="Style2"/>
    <w:basedOn w:val="Heading2"/>
    <w:link w:val="Style2Char"/>
    <w:rsid w:val="00094E07"/>
    <w:pPr>
      <w:keepNext/>
      <w:keepLines/>
      <w:spacing w:before="40" w:line="259" w:lineRule="auto"/>
      <w:jc w:val="left"/>
    </w:pPr>
    <w:rPr>
      <w:rFonts w:ascii="Calibri Light" w:eastAsia="Yu Gothic Light" w:hAnsi="Calibri Light"/>
      <w:b w:val="0"/>
      <w:i w:val="0"/>
      <w:color w:val="2F5496"/>
      <w:sz w:val="26"/>
      <w:szCs w:val="26"/>
      <w:lang w:eastAsia="en-US"/>
    </w:rPr>
  </w:style>
  <w:style w:type="paragraph" w:customStyle="1" w:styleId="Style3">
    <w:name w:val="Style3"/>
    <w:basedOn w:val="Style2"/>
    <w:link w:val="Style3Char"/>
    <w:rsid w:val="00094E07"/>
    <w:rPr>
      <w:rFonts w:ascii="Arial" w:hAnsi="Arial"/>
      <w:b/>
    </w:rPr>
  </w:style>
  <w:style w:type="character" w:customStyle="1" w:styleId="Style2Char">
    <w:name w:val="Style2 Char"/>
    <w:basedOn w:val="Heading2Char"/>
    <w:link w:val="Style2"/>
    <w:rsid w:val="00094E07"/>
    <w:rPr>
      <w:rFonts w:ascii="Calibri Light" w:eastAsia="Yu Gothic Light" w:hAnsi="Calibri Light" w:cs="Arial"/>
      <w:b w:val="0"/>
      <w:i w:val="0"/>
      <w:snapToGrid/>
      <w:color w:val="2F5496"/>
      <w:sz w:val="26"/>
      <w:szCs w:val="26"/>
      <w:lang w:eastAsia="en-US"/>
    </w:rPr>
  </w:style>
  <w:style w:type="character" w:customStyle="1" w:styleId="Style3Char">
    <w:name w:val="Style3 Char"/>
    <w:basedOn w:val="Style2Char"/>
    <w:link w:val="Style3"/>
    <w:rsid w:val="00094E07"/>
    <w:rPr>
      <w:rFonts w:ascii="Arial" w:eastAsia="Yu Gothic Light" w:hAnsi="Arial" w:cs="Arial"/>
      <w:b/>
      <w:i w:val="0"/>
      <w:snapToGrid/>
      <w:color w:val="2F5496"/>
      <w:sz w:val="26"/>
      <w:szCs w:val="26"/>
      <w:lang w:eastAsia="en-US"/>
    </w:rPr>
  </w:style>
  <w:style w:type="paragraph" w:customStyle="1" w:styleId="Style6">
    <w:name w:val="Style6"/>
    <w:basedOn w:val="FootnoteText"/>
    <w:next w:val="FootnoteText"/>
    <w:link w:val="Style6Char"/>
    <w:rsid w:val="00094E07"/>
    <w:pPr>
      <w:jc w:val="left"/>
    </w:pPr>
    <w:rPr>
      <w:rFonts w:eastAsia="Calibri"/>
      <w:lang w:eastAsia="en-US"/>
    </w:rPr>
  </w:style>
  <w:style w:type="character" w:customStyle="1" w:styleId="Style6Char">
    <w:name w:val="Style6 Char"/>
    <w:basedOn w:val="FootnoteTextChar"/>
    <w:link w:val="Style6"/>
    <w:rsid w:val="00094E07"/>
    <w:rPr>
      <w:rFonts w:ascii="Calibri" w:eastAsia="Calibri" w:hAnsi="Calibri" w:cs="Arial"/>
      <w:lang w:eastAsia="en-US"/>
    </w:rPr>
  </w:style>
  <w:style w:type="paragraph" w:customStyle="1" w:styleId="Style7">
    <w:name w:val="Style7"/>
    <w:basedOn w:val="Style6"/>
    <w:link w:val="Style7Char"/>
    <w:rsid w:val="00094E07"/>
    <w:rPr>
      <w:rFonts w:ascii="Calibri Light" w:hAnsi="Calibri Light"/>
      <w:b/>
      <w:sz w:val="24"/>
    </w:rPr>
  </w:style>
  <w:style w:type="character" w:customStyle="1" w:styleId="Style7Char">
    <w:name w:val="Style7 Char"/>
    <w:basedOn w:val="Style6Char"/>
    <w:link w:val="Style7"/>
    <w:rsid w:val="00094E07"/>
    <w:rPr>
      <w:rFonts w:ascii="Calibri Light" w:eastAsia="Calibri" w:hAnsi="Calibri Light" w:cs="Arial"/>
      <w:b/>
      <w:sz w:val="24"/>
      <w:lang w:eastAsia="en-US"/>
    </w:rPr>
  </w:style>
  <w:style w:type="paragraph" w:customStyle="1" w:styleId="EndNoteBibliographyTitle">
    <w:name w:val="EndNote Bibliography Title"/>
    <w:basedOn w:val="Normal"/>
    <w:link w:val="EndNoteBibliographyTitleChar"/>
    <w:rsid w:val="00094E07"/>
    <w:pPr>
      <w:jc w:val="center"/>
    </w:pPr>
    <w:rPr>
      <w:rFonts w:eastAsia="Calibri" w:cs="Calibri"/>
      <w:noProof/>
      <w:lang w:eastAsia="en-US"/>
    </w:rPr>
  </w:style>
  <w:style w:type="character" w:customStyle="1" w:styleId="EndNoteBibliographyTitleChar">
    <w:name w:val="EndNote Bibliography Title Char"/>
    <w:basedOn w:val="TableTextChar0"/>
    <w:link w:val="EndNoteBibliographyTitle"/>
    <w:rsid w:val="00094E07"/>
    <w:rPr>
      <w:rFonts w:ascii="Calibri" w:eastAsia="Calibri" w:hAnsi="Calibri" w:cs="Calibri"/>
      <w:bCs w:val="0"/>
      <w:noProof/>
      <w:sz w:val="24"/>
      <w:szCs w:val="24"/>
      <w:lang w:eastAsia="en-US"/>
    </w:rPr>
  </w:style>
  <w:style w:type="character" w:styleId="Mention">
    <w:name w:val="Mention"/>
    <w:basedOn w:val="DefaultParagraphFont"/>
    <w:uiPriority w:val="99"/>
    <w:unhideWhenUsed/>
    <w:rsid w:val="00094E07"/>
    <w:rPr>
      <w:color w:val="2B579A"/>
      <w:shd w:val="clear" w:color="auto" w:fill="E1DFDD"/>
    </w:rPr>
  </w:style>
  <w:style w:type="paragraph" w:customStyle="1" w:styleId="Tablefootnote0">
    <w:name w:val="Table footnote"/>
    <w:basedOn w:val="Normal"/>
    <w:link w:val="TablefootnoteChar"/>
    <w:rsid w:val="00094E07"/>
    <w:pPr>
      <w:keepNext/>
      <w:keepLines/>
      <w:spacing w:before="120" w:after="120"/>
      <w:contextualSpacing/>
      <w:jc w:val="left"/>
    </w:pPr>
    <w:rPr>
      <w:rFonts w:ascii="Arial Narrow" w:hAnsi="Arial Narrow" w:cs="Times New Roman"/>
      <w:sz w:val="18"/>
      <w:szCs w:val="22"/>
      <w:lang w:eastAsia="en-US"/>
    </w:rPr>
  </w:style>
  <w:style w:type="character" w:customStyle="1" w:styleId="TablefootnoteChar">
    <w:name w:val="Table footnote Char"/>
    <w:basedOn w:val="DefaultParagraphFont"/>
    <w:link w:val="Tablefootnote0"/>
    <w:rsid w:val="00094E07"/>
    <w:rPr>
      <w:rFonts w:ascii="Arial Narrow" w:hAnsi="Arial Narrow"/>
      <w:sz w:val="18"/>
      <w:szCs w:val="22"/>
      <w:lang w:eastAsia="en-US"/>
    </w:rPr>
  </w:style>
  <w:style w:type="paragraph" w:customStyle="1" w:styleId="Table">
    <w:name w:val="Table"/>
    <w:basedOn w:val="Normal"/>
    <w:uiPriority w:val="99"/>
    <w:rsid w:val="00094E07"/>
    <w:pPr>
      <w:jc w:val="left"/>
    </w:pPr>
    <w:rPr>
      <w:rFonts w:eastAsia="Yu Gothic Light" w:cs="Times New Roman"/>
      <w:sz w:val="20"/>
      <w:szCs w:val="22"/>
      <w:lang w:eastAsia="en-US" w:bidi="en-US"/>
    </w:rPr>
  </w:style>
  <w:style w:type="paragraph" w:customStyle="1" w:styleId="Tablenotes1">
    <w:name w:val="Table notes"/>
    <w:basedOn w:val="Normal"/>
    <w:link w:val="TablenotesCharChar"/>
    <w:uiPriority w:val="99"/>
    <w:rsid w:val="00094E07"/>
    <w:pPr>
      <w:spacing w:before="40" w:after="360"/>
      <w:contextualSpacing/>
      <w:jc w:val="left"/>
    </w:pPr>
    <w:rPr>
      <w:rFonts w:ascii="Arial Narrow" w:hAnsi="Arial Narrow" w:cs="Times New Roman"/>
      <w:sz w:val="16"/>
      <w:szCs w:val="22"/>
      <w:lang w:eastAsia="en-US"/>
    </w:rPr>
  </w:style>
  <w:style w:type="character" w:customStyle="1" w:styleId="TablenotesCharChar">
    <w:name w:val="Table notes Char Char"/>
    <w:link w:val="Tablenotes1"/>
    <w:uiPriority w:val="99"/>
    <w:locked/>
    <w:rsid w:val="00094E07"/>
    <w:rPr>
      <w:rFonts w:ascii="Arial Narrow" w:hAnsi="Arial Narrow"/>
      <w:sz w:val="16"/>
      <w:szCs w:val="22"/>
      <w:lang w:eastAsia="en-US"/>
    </w:rPr>
  </w:style>
  <w:style w:type="paragraph" w:customStyle="1" w:styleId="Body">
    <w:name w:val="Body"/>
    <w:basedOn w:val="Normal"/>
    <w:link w:val="BodyChar"/>
    <w:rsid w:val="00094E07"/>
    <w:pPr>
      <w:spacing w:before="120" w:after="200" w:line="276" w:lineRule="auto"/>
    </w:pPr>
    <w:rPr>
      <w:rFonts w:eastAsia="Calibri" w:cs="Calibri"/>
      <w:szCs w:val="20"/>
      <w:lang w:eastAsia="en-US"/>
    </w:rPr>
  </w:style>
  <w:style w:type="character" w:customStyle="1" w:styleId="BodyChar">
    <w:name w:val="Body Char"/>
    <w:link w:val="Body"/>
    <w:rsid w:val="00094E07"/>
    <w:rPr>
      <w:rFonts w:ascii="Calibri" w:eastAsia="Calibri" w:hAnsi="Calibri" w:cs="Calibri"/>
      <w:sz w:val="24"/>
      <w:lang w:eastAsia="en-US"/>
    </w:rPr>
  </w:style>
  <w:style w:type="character" w:customStyle="1" w:styleId="normaltextrun">
    <w:name w:val="normaltextrun"/>
    <w:basedOn w:val="DefaultParagraphFont"/>
    <w:rsid w:val="00094E07"/>
  </w:style>
  <w:style w:type="character" w:customStyle="1" w:styleId="eop">
    <w:name w:val="eop"/>
    <w:basedOn w:val="DefaultParagraphFont"/>
    <w:rsid w:val="00094E07"/>
  </w:style>
  <w:style w:type="character" w:customStyle="1" w:styleId="findhit">
    <w:name w:val="findhit"/>
    <w:basedOn w:val="DefaultParagraphFont"/>
    <w:rsid w:val="00094E07"/>
  </w:style>
  <w:style w:type="paragraph" w:customStyle="1" w:styleId="CaptionFigure">
    <w:name w:val="Caption Figure"/>
    <w:basedOn w:val="Normal"/>
    <w:autoRedefine/>
    <w:uiPriority w:val="99"/>
    <w:rsid w:val="00094E07"/>
    <w:pPr>
      <w:keepNext/>
      <w:keepLines/>
      <w:tabs>
        <w:tab w:val="left" w:pos="1134"/>
      </w:tabs>
      <w:suppressAutoHyphens/>
      <w:spacing w:line="280" w:lineRule="exact"/>
      <w:ind w:left="1123" w:hanging="1123"/>
    </w:pPr>
    <w:rPr>
      <w:rFonts w:cs="Times New Roman"/>
      <w:b/>
      <w:bCs/>
      <w:sz w:val="20"/>
      <w:szCs w:val="20"/>
      <w:lang w:val="en-US" w:eastAsia="en-US"/>
    </w:rPr>
  </w:style>
  <w:style w:type="table" w:customStyle="1" w:styleId="TableGridbeth1">
    <w:name w:val="Table Gridbeth1"/>
    <w:basedOn w:val="TableNormal"/>
    <w:uiPriority w:val="59"/>
    <w:rsid w:val="00094E07"/>
    <w:rPr>
      <w:rFonts w:ascii="Calibri" w:eastAsia="Yu Mincho"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94E07"/>
    <w:rPr>
      <w:rFonts w:ascii="Segoe UI" w:hAnsi="Segoe UI" w:cs="Segoe UI" w:hint="default"/>
      <w:sz w:val="18"/>
      <w:szCs w:val="18"/>
    </w:rPr>
  </w:style>
  <w:style w:type="table" w:customStyle="1" w:styleId="HTAtableplain4">
    <w:name w:val="HTAtableplain4"/>
    <w:basedOn w:val="TableNormal"/>
    <w:next w:val="TableGrid"/>
    <w:uiPriority w:val="59"/>
    <w:rsid w:val="00094E07"/>
    <w:rPr>
      <w:rFonts w:ascii="Calibri" w:eastAsia="Calibri" w:hAnsi="Calibri" w:cs="Arial"/>
      <w:lang w:val="en-US"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BACTableTextChar">
    <w:name w:val="PBAC Table Text Char"/>
    <w:basedOn w:val="DefaultParagraphFont"/>
    <w:link w:val="PBACTableText"/>
    <w:locked/>
    <w:rsid w:val="00094E07"/>
    <w:rPr>
      <w:rFonts w:ascii="Arial Narrow" w:hAnsi="Arial Narrow"/>
    </w:rPr>
  </w:style>
  <w:style w:type="paragraph" w:customStyle="1" w:styleId="PBACTableText">
    <w:name w:val="PBAC Table Text"/>
    <w:basedOn w:val="Normal"/>
    <w:link w:val="PBACTableTextChar"/>
    <w:rsid w:val="00094E07"/>
    <w:pPr>
      <w:spacing w:before="40" w:after="40"/>
      <w:jc w:val="left"/>
    </w:pPr>
    <w:rPr>
      <w:rFonts w:ascii="Arial Narrow" w:hAnsi="Arial Narrow" w:cs="Times New Roman"/>
      <w:sz w:val="20"/>
      <w:szCs w:val="20"/>
    </w:rPr>
  </w:style>
  <w:style w:type="paragraph" w:customStyle="1" w:styleId="PbacTableHeading">
    <w:name w:val="Pbac Table Heading"/>
    <w:basedOn w:val="PBACTableText"/>
    <w:uiPriority w:val="99"/>
    <w:rsid w:val="0059604F"/>
    <w:pPr>
      <w:spacing w:before="0" w:after="80"/>
    </w:pPr>
    <w:rPr>
      <w:rFonts w:cs="Arial"/>
      <w:b/>
      <w:sz w:val="22"/>
      <w:lang w:eastAsia="en-US"/>
    </w:rPr>
  </w:style>
  <w:style w:type="table" w:customStyle="1" w:styleId="HTAtableplain6">
    <w:name w:val="HTAtableplain6"/>
    <w:basedOn w:val="TableNormal"/>
    <w:next w:val="TableGrid"/>
    <w:uiPriority w:val="59"/>
    <w:rsid w:val="0059604F"/>
    <w:rPr>
      <w:rFonts w:ascii="Calibri" w:eastAsia="Calibri" w:hAnsi="Calibri" w:cs="Arial"/>
      <w:lang w:val="en-US"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plain5">
    <w:name w:val="HTAtableplain5"/>
    <w:basedOn w:val="TableNormal"/>
    <w:next w:val="TableGrid"/>
    <w:uiPriority w:val="59"/>
    <w:rsid w:val="00572C05"/>
    <w:rPr>
      <w:rFonts w:ascii="Calibri" w:eastAsia="Calibri" w:hAnsi="Calibri" w:cs="Arial"/>
      <w:lang w:val="en-US"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plain7">
    <w:name w:val="HTAtableplain7"/>
    <w:basedOn w:val="TableNormal"/>
    <w:next w:val="TableGrid"/>
    <w:uiPriority w:val="59"/>
    <w:rsid w:val="00572C05"/>
    <w:rPr>
      <w:rFonts w:ascii="Calibri" w:eastAsia="Calibri" w:hAnsi="Calibri" w:cs="Arial"/>
      <w:lang w:val="en-US"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plain8">
    <w:name w:val="HTAtableplain8"/>
    <w:basedOn w:val="TableNormal"/>
    <w:next w:val="TableGrid"/>
    <w:uiPriority w:val="59"/>
    <w:rsid w:val="00572C05"/>
    <w:rPr>
      <w:rFonts w:ascii="Calibri" w:eastAsia="Calibri" w:hAnsi="Calibri" w:cs="Arial"/>
      <w:lang w:val="en-US"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plain9">
    <w:name w:val="HTAtableplain9"/>
    <w:basedOn w:val="TableNormal"/>
    <w:next w:val="TableGrid"/>
    <w:uiPriority w:val="59"/>
    <w:rsid w:val="00572C05"/>
    <w:rPr>
      <w:rFonts w:ascii="Calibri" w:eastAsia="Calibri" w:hAnsi="Calibri" w:cs="Arial"/>
      <w:lang w:val="en-US"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Subsection Headings Char1"/>
    <w:basedOn w:val="DefaultParagraphFont"/>
    <w:uiPriority w:val="1"/>
    <w:semiHidden/>
    <w:rsid w:val="0016492D"/>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uiPriority w:val="99"/>
    <w:semiHidden/>
    <w:rsid w:val="0016492D"/>
    <w:pPr>
      <w:spacing w:before="100" w:beforeAutospacing="1" w:after="100" w:afterAutospacing="1"/>
      <w:jc w:val="left"/>
    </w:pPr>
    <w:rPr>
      <w:rFonts w:ascii="Times New Roman" w:hAnsi="Times New Roman" w:cs="Times New Roman"/>
    </w:rPr>
  </w:style>
  <w:style w:type="character" w:customStyle="1" w:styleId="3BodytextChar">
    <w:name w:val="3. Body text Char"/>
    <w:basedOn w:val="DefaultParagraphFont"/>
    <w:link w:val="3Bodytext"/>
    <w:semiHidden/>
    <w:locked/>
    <w:rsid w:val="0016492D"/>
    <w:rPr>
      <w:rFonts w:asciiTheme="minorHAnsi" w:hAnsiTheme="minorHAnsi" w:cstheme="minorBidi"/>
      <w:szCs w:val="22"/>
    </w:rPr>
  </w:style>
  <w:style w:type="paragraph" w:customStyle="1" w:styleId="3Bodytext">
    <w:name w:val="3. Body text"/>
    <w:basedOn w:val="ListParagraph"/>
    <w:link w:val="3BodytextChar"/>
    <w:semiHidden/>
    <w:qFormat/>
    <w:rsid w:val="0016492D"/>
    <w:pPr>
      <w:numPr>
        <w:numId w:val="0"/>
      </w:numPr>
      <w:ind w:left="862" w:hanging="720"/>
      <w:jc w:val="left"/>
    </w:pPr>
    <w:rPr>
      <w:rFonts w:cstheme="minorBidi"/>
      <w:snapToGrid/>
      <w:sz w:val="20"/>
      <w:szCs w:val="22"/>
    </w:rPr>
  </w:style>
  <w:style w:type="paragraph" w:customStyle="1" w:styleId="3-SubsectionHeading">
    <w:name w:val="3-Subsection Heading"/>
    <w:basedOn w:val="Heading2"/>
    <w:next w:val="Normal"/>
    <w:link w:val="3-SubsectionHeadingChar"/>
    <w:qFormat/>
    <w:rsid w:val="00E50289"/>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E50289"/>
    <w:rPr>
      <w:rFonts w:asciiTheme="minorHAnsi" w:eastAsiaTheme="majorEastAsia" w:hAnsiTheme="minorHAnsi" w:cstheme="majorBidi"/>
      <w:b/>
      <w:i/>
      <w:snapToGrid/>
      <w:spacing w:val="5"/>
      <w:kern w:val="28"/>
      <w:sz w:val="28"/>
      <w:szCs w:val="36"/>
      <w:lang w:eastAsia="en-US"/>
    </w:rPr>
  </w:style>
  <w:style w:type="character" w:styleId="Strong">
    <w:name w:val="Strong"/>
    <w:basedOn w:val="DefaultParagraphFont"/>
    <w:uiPriority w:val="22"/>
    <w:qFormat/>
    <w:rsid w:val="004E5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99">
      <w:bodyDiv w:val="1"/>
      <w:marLeft w:val="0"/>
      <w:marRight w:val="0"/>
      <w:marTop w:val="0"/>
      <w:marBottom w:val="0"/>
      <w:divBdr>
        <w:top w:val="none" w:sz="0" w:space="0" w:color="auto"/>
        <w:left w:val="none" w:sz="0" w:space="0" w:color="auto"/>
        <w:bottom w:val="none" w:sz="0" w:space="0" w:color="auto"/>
        <w:right w:val="none" w:sz="0" w:space="0" w:color="auto"/>
      </w:divBdr>
    </w:div>
    <w:div w:id="27069661">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8088195">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39800157">
      <w:bodyDiv w:val="1"/>
      <w:marLeft w:val="0"/>
      <w:marRight w:val="0"/>
      <w:marTop w:val="0"/>
      <w:marBottom w:val="0"/>
      <w:divBdr>
        <w:top w:val="none" w:sz="0" w:space="0" w:color="auto"/>
        <w:left w:val="none" w:sz="0" w:space="0" w:color="auto"/>
        <w:bottom w:val="none" w:sz="0" w:space="0" w:color="auto"/>
        <w:right w:val="none" w:sz="0" w:space="0" w:color="auto"/>
      </w:divBdr>
    </w:div>
    <w:div w:id="27036136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51114183">
      <w:bodyDiv w:val="1"/>
      <w:marLeft w:val="0"/>
      <w:marRight w:val="0"/>
      <w:marTop w:val="0"/>
      <w:marBottom w:val="0"/>
      <w:divBdr>
        <w:top w:val="none" w:sz="0" w:space="0" w:color="auto"/>
        <w:left w:val="none" w:sz="0" w:space="0" w:color="auto"/>
        <w:bottom w:val="none" w:sz="0" w:space="0" w:color="auto"/>
        <w:right w:val="none" w:sz="0" w:space="0" w:color="auto"/>
      </w:divBdr>
    </w:div>
    <w:div w:id="575864953">
      <w:bodyDiv w:val="1"/>
      <w:marLeft w:val="0"/>
      <w:marRight w:val="0"/>
      <w:marTop w:val="0"/>
      <w:marBottom w:val="0"/>
      <w:divBdr>
        <w:top w:val="none" w:sz="0" w:space="0" w:color="auto"/>
        <w:left w:val="none" w:sz="0" w:space="0" w:color="auto"/>
        <w:bottom w:val="none" w:sz="0" w:space="0" w:color="auto"/>
        <w:right w:val="none" w:sz="0" w:space="0" w:color="auto"/>
      </w:divBdr>
    </w:div>
    <w:div w:id="747309012">
      <w:bodyDiv w:val="1"/>
      <w:marLeft w:val="0"/>
      <w:marRight w:val="0"/>
      <w:marTop w:val="0"/>
      <w:marBottom w:val="0"/>
      <w:divBdr>
        <w:top w:val="none" w:sz="0" w:space="0" w:color="auto"/>
        <w:left w:val="none" w:sz="0" w:space="0" w:color="auto"/>
        <w:bottom w:val="none" w:sz="0" w:space="0" w:color="auto"/>
        <w:right w:val="none" w:sz="0" w:space="0" w:color="auto"/>
      </w:divBdr>
    </w:div>
    <w:div w:id="784732771">
      <w:bodyDiv w:val="1"/>
      <w:marLeft w:val="0"/>
      <w:marRight w:val="0"/>
      <w:marTop w:val="0"/>
      <w:marBottom w:val="0"/>
      <w:divBdr>
        <w:top w:val="none" w:sz="0" w:space="0" w:color="auto"/>
        <w:left w:val="none" w:sz="0" w:space="0" w:color="auto"/>
        <w:bottom w:val="none" w:sz="0" w:space="0" w:color="auto"/>
        <w:right w:val="none" w:sz="0" w:space="0" w:color="auto"/>
      </w:divBdr>
      <w:divsChild>
        <w:div w:id="1789274054">
          <w:marLeft w:val="360"/>
          <w:marRight w:val="0"/>
          <w:marTop w:val="200"/>
          <w:marBottom w:val="0"/>
          <w:divBdr>
            <w:top w:val="none" w:sz="0" w:space="0" w:color="auto"/>
            <w:left w:val="none" w:sz="0" w:space="0" w:color="auto"/>
            <w:bottom w:val="none" w:sz="0" w:space="0" w:color="auto"/>
            <w:right w:val="none" w:sz="0" w:space="0" w:color="auto"/>
          </w:divBdr>
        </w:div>
        <w:div w:id="592513940">
          <w:marLeft w:val="1080"/>
          <w:marRight w:val="0"/>
          <w:marTop w:val="100"/>
          <w:marBottom w:val="0"/>
          <w:divBdr>
            <w:top w:val="none" w:sz="0" w:space="0" w:color="auto"/>
            <w:left w:val="none" w:sz="0" w:space="0" w:color="auto"/>
            <w:bottom w:val="none" w:sz="0" w:space="0" w:color="auto"/>
            <w:right w:val="none" w:sz="0" w:space="0" w:color="auto"/>
          </w:divBdr>
        </w:div>
      </w:divsChild>
    </w:div>
    <w:div w:id="869881725">
      <w:bodyDiv w:val="1"/>
      <w:marLeft w:val="0"/>
      <w:marRight w:val="0"/>
      <w:marTop w:val="0"/>
      <w:marBottom w:val="0"/>
      <w:divBdr>
        <w:top w:val="none" w:sz="0" w:space="0" w:color="auto"/>
        <w:left w:val="none" w:sz="0" w:space="0" w:color="auto"/>
        <w:bottom w:val="none" w:sz="0" w:space="0" w:color="auto"/>
        <w:right w:val="none" w:sz="0" w:space="0" w:color="auto"/>
      </w:divBdr>
    </w:div>
    <w:div w:id="902523048">
      <w:bodyDiv w:val="1"/>
      <w:marLeft w:val="0"/>
      <w:marRight w:val="0"/>
      <w:marTop w:val="0"/>
      <w:marBottom w:val="0"/>
      <w:divBdr>
        <w:top w:val="none" w:sz="0" w:space="0" w:color="auto"/>
        <w:left w:val="none" w:sz="0" w:space="0" w:color="auto"/>
        <w:bottom w:val="none" w:sz="0" w:space="0" w:color="auto"/>
        <w:right w:val="none" w:sz="0" w:space="0" w:color="auto"/>
      </w:divBdr>
    </w:div>
    <w:div w:id="934438368">
      <w:bodyDiv w:val="1"/>
      <w:marLeft w:val="0"/>
      <w:marRight w:val="0"/>
      <w:marTop w:val="0"/>
      <w:marBottom w:val="0"/>
      <w:divBdr>
        <w:top w:val="none" w:sz="0" w:space="0" w:color="auto"/>
        <w:left w:val="none" w:sz="0" w:space="0" w:color="auto"/>
        <w:bottom w:val="none" w:sz="0" w:space="0" w:color="auto"/>
        <w:right w:val="none" w:sz="0" w:space="0" w:color="auto"/>
      </w:divBdr>
    </w:div>
    <w:div w:id="1012150409">
      <w:bodyDiv w:val="1"/>
      <w:marLeft w:val="0"/>
      <w:marRight w:val="0"/>
      <w:marTop w:val="0"/>
      <w:marBottom w:val="0"/>
      <w:divBdr>
        <w:top w:val="none" w:sz="0" w:space="0" w:color="auto"/>
        <w:left w:val="none" w:sz="0" w:space="0" w:color="auto"/>
        <w:bottom w:val="none" w:sz="0" w:space="0" w:color="auto"/>
        <w:right w:val="none" w:sz="0" w:space="0" w:color="auto"/>
      </w:divBdr>
    </w:div>
    <w:div w:id="1027147423">
      <w:bodyDiv w:val="1"/>
      <w:marLeft w:val="0"/>
      <w:marRight w:val="0"/>
      <w:marTop w:val="0"/>
      <w:marBottom w:val="0"/>
      <w:divBdr>
        <w:top w:val="none" w:sz="0" w:space="0" w:color="auto"/>
        <w:left w:val="none" w:sz="0" w:space="0" w:color="auto"/>
        <w:bottom w:val="none" w:sz="0" w:space="0" w:color="auto"/>
        <w:right w:val="none" w:sz="0" w:space="0" w:color="auto"/>
      </w:divBdr>
    </w:div>
    <w:div w:id="102775352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9607">
      <w:bodyDiv w:val="1"/>
      <w:marLeft w:val="0"/>
      <w:marRight w:val="0"/>
      <w:marTop w:val="0"/>
      <w:marBottom w:val="0"/>
      <w:divBdr>
        <w:top w:val="none" w:sz="0" w:space="0" w:color="auto"/>
        <w:left w:val="none" w:sz="0" w:space="0" w:color="auto"/>
        <w:bottom w:val="none" w:sz="0" w:space="0" w:color="auto"/>
        <w:right w:val="none" w:sz="0" w:space="0" w:color="auto"/>
      </w:divBdr>
    </w:div>
    <w:div w:id="1545867718">
      <w:bodyDiv w:val="1"/>
      <w:marLeft w:val="0"/>
      <w:marRight w:val="0"/>
      <w:marTop w:val="0"/>
      <w:marBottom w:val="0"/>
      <w:divBdr>
        <w:top w:val="none" w:sz="0" w:space="0" w:color="auto"/>
        <w:left w:val="none" w:sz="0" w:space="0" w:color="auto"/>
        <w:bottom w:val="none" w:sz="0" w:space="0" w:color="auto"/>
        <w:right w:val="none" w:sz="0" w:space="0" w:color="auto"/>
      </w:divBdr>
    </w:div>
    <w:div w:id="1588805574">
      <w:bodyDiv w:val="1"/>
      <w:marLeft w:val="0"/>
      <w:marRight w:val="0"/>
      <w:marTop w:val="0"/>
      <w:marBottom w:val="0"/>
      <w:divBdr>
        <w:top w:val="none" w:sz="0" w:space="0" w:color="auto"/>
        <w:left w:val="none" w:sz="0" w:space="0" w:color="auto"/>
        <w:bottom w:val="none" w:sz="0" w:space="0" w:color="auto"/>
        <w:right w:val="none" w:sz="0" w:space="0" w:color="auto"/>
      </w:divBdr>
    </w:div>
    <w:div w:id="186320387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17921113">
      <w:bodyDiv w:val="1"/>
      <w:marLeft w:val="0"/>
      <w:marRight w:val="0"/>
      <w:marTop w:val="0"/>
      <w:marBottom w:val="0"/>
      <w:divBdr>
        <w:top w:val="none" w:sz="0" w:space="0" w:color="auto"/>
        <w:left w:val="none" w:sz="0" w:space="0" w:color="auto"/>
        <w:bottom w:val="none" w:sz="0" w:space="0" w:color="auto"/>
        <w:right w:val="none" w:sz="0" w:space="0" w:color="auto"/>
      </w:divBdr>
    </w:div>
    <w:div w:id="21402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40-6736(17)30570-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ervicesaustralia.gov.au" TargetMode="External"/><Relationship Id="rId4" Type="http://schemas.openxmlformats.org/officeDocument/2006/relationships/settings" Target="settings.xml"/><Relationship Id="rId9" Type="http://schemas.openxmlformats.org/officeDocument/2006/relationships/hyperlink" Target="http://www.servicesaustralia.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AA4A2-2553-45F7-9EE5-FEF030293CA8}">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53</Pages>
  <Words>24054</Words>
  <Characters>136428</Characters>
  <Application>Microsoft Office Word</Application>
  <DocSecurity>0</DocSecurity>
  <Lines>1136</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160162</CharactersWithSpaces>
  <SharedDoc>false</SharedDoc>
  <HLinks>
    <vt:vector size="408" baseType="variant">
      <vt:variant>
        <vt:i4>524290</vt:i4>
      </vt:variant>
      <vt:variant>
        <vt:i4>525</vt:i4>
      </vt:variant>
      <vt:variant>
        <vt:i4>0</vt:i4>
      </vt:variant>
      <vt:variant>
        <vt:i4>5</vt:i4>
      </vt:variant>
      <vt:variant>
        <vt:lpwstr>https://doi.org/10.1016/S0140-6736(17)30570-6</vt:lpwstr>
      </vt:variant>
      <vt:variant>
        <vt:lpwstr/>
      </vt:variant>
      <vt:variant>
        <vt:i4>524290</vt:i4>
      </vt:variant>
      <vt:variant>
        <vt:i4>420</vt:i4>
      </vt:variant>
      <vt:variant>
        <vt:i4>0</vt:i4>
      </vt:variant>
      <vt:variant>
        <vt:i4>5</vt:i4>
      </vt:variant>
      <vt:variant>
        <vt:lpwstr>https://doi.org/10.1016/S0140-6736(17)30570-6</vt:lpwstr>
      </vt:variant>
      <vt:variant>
        <vt:lpwstr/>
      </vt:variant>
      <vt:variant>
        <vt:i4>1114163</vt:i4>
      </vt:variant>
      <vt:variant>
        <vt:i4>392</vt:i4>
      </vt:variant>
      <vt:variant>
        <vt:i4>0</vt:i4>
      </vt:variant>
      <vt:variant>
        <vt:i4>5</vt:i4>
      </vt:variant>
      <vt:variant>
        <vt:lpwstr/>
      </vt:variant>
      <vt:variant>
        <vt:lpwstr>_Toc121767542</vt:lpwstr>
      </vt:variant>
      <vt:variant>
        <vt:i4>1114163</vt:i4>
      </vt:variant>
      <vt:variant>
        <vt:i4>386</vt:i4>
      </vt:variant>
      <vt:variant>
        <vt:i4>0</vt:i4>
      </vt:variant>
      <vt:variant>
        <vt:i4>5</vt:i4>
      </vt:variant>
      <vt:variant>
        <vt:lpwstr/>
      </vt:variant>
      <vt:variant>
        <vt:lpwstr>_Toc121767541</vt:lpwstr>
      </vt:variant>
      <vt:variant>
        <vt:i4>1114163</vt:i4>
      </vt:variant>
      <vt:variant>
        <vt:i4>380</vt:i4>
      </vt:variant>
      <vt:variant>
        <vt:i4>0</vt:i4>
      </vt:variant>
      <vt:variant>
        <vt:i4>5</vt:i4>
      </vt:variant>
      <vt:variant>
        <vt:lpwstr/>
      </vt:variant>
      <vt:variant>
        <vt:lpwstr>_Toc121767540</vt:lpwstr>
      </vt:variant>
      <vt:variant>
        <vt:i4>1441843</vt:i4>
      </vt:variant>
      <vt:variant>
        <vt:i4>374</vt:i4>
      </vt:variant>
      <vt:variant>
        <vt:i4>0</vt:i4>
      </vt:variant>
      <vt:variant>
        <vt:i4>5</vt:i4>
      </vt:variant>
      <vt:variant>
        <vt:lpwstr/>
      </vt:variant>
      <vt:variant>
        <vt:lpwstr>_Toc121767539</vt:lpwstr>
      </vt:variant>
      <vt:variant>
        <vt:i4>1441843</vt:i4>
      </vt:variant>
      <vt:variant>
        <vt:i4>368</vt:i4>
      </vt:variant>
      <vt:variant>
        <vt:i4>0</vt:i4>
      </vt:variant>
      <vt:variant>
        <vt:i4>5</vt:i4>
      </vt:variant>
      <vt:variant>
        <vt:lpwstr/>
      </vt:variant>
      <vt:variant>
        <vt:lpwstr>_Toc121767538</vt:lpwstr>
      </vt:variant>
      <vt:variant>
        <vt:i4>1441843</vt:i4>
      </vt:variant>
      <vt:variant>
        <vt:i4>362</vt:i4>
      </vt:variant>
      <vt:variant>
        <vt:i4>0</vt:i4>
      </vt:variant>
      <vt:variant>
        <vt:i4>5</vt:i4>
      </vt:variant>
      <vt:variant>
        <vt:lpwstr/>
      </vt:variant>
      <vt:variant>
        <vt:lpwstr>_Toc121767537</vt:lpwstr>
      </vt:variant>
      <vt:variant>
        <vt:i4>1441843</vt:i4>
      </vt:variant>
      <vt:variant>
        <vt:i4>356</vt:i4>
      </vt:variant>
      <vt:variant>
        <vt:i4>0</vt:i4>
      </vt:variant>
      <vt:variant>
        <vt:i4>5</vt:i4>
      </vt:variant>
      <vt:variant>
        <vt:lpwstr/>
      </vt:variant>
      <vt:variant>
        <vt:lpwstr>_Toc121767536</vt:lpwstr>
      </vt:variant>
      <vt:variant>
        <vt:i4>1441843</vt:i4>
      </vt:variant>
      <vt:variant>
        <vt:i4>350</vt:i4>
      </vt:variant>
      <vt:variant>
        <vt:i4>0</vt:i4>
      </vt:variant>
      <vt:variant>
        <vt:i4>5</vt:i4>
      </vt:variant>
      <vt:variant>
        <vt:lpwstr/>
      </vt:variant>
      <vt:variant>
        <vt:lpwstr>_Toc121767535</vt:lpwstr>
      </vt:variant>
      <vt:variant>
        <vt:i4>1441843</vt:i4>
      </vt:variant>
      <vt:variant>
        <vt:i4>344</vt:i4>
      </vt:variant>
      <vt:variant>
        <vt:i4>0</vt:i4>
      </vt:variant>
      <vt:variant>
        <vt:i4>5</vt:i4>
      </vt:variant>
      <vt:variant>
        <vt:lpwstr/>
      </vt:variant>
      <vt:variant>
        <vt:lpwstr>_Toc121767534</vt:lpwstr>
      </vt:variant>
      <vt:variant>
        <vt:i4>1441843</vt:i4>
      </vt:variant>
      <vt:variant>
        <vt:i4>338</vt:i4>
      </vt:variant>
      <vt:variant>
        <vt:i4>0</vt:i4>
      </vt:variant>
      <vt:variant>
        <vt:i4>5</vt:i4>
      </vt:variant>
      <vt:variant>
        <vt:lpwstr/>
      </vt:variant>
      <vt:variant>
        <vt:lpwstr>_Toc121767533</vt:lpwstr>
      </vt:variant>
      <vt:variant>
        <vt:i4>1441843</vt:i4>
      </vt:variant>
      <vt:variant>
        <vt:i4>332</vt:i4>
      </vt:variant>
      <vt:variant>
        <vt:i4>0</vt:i4>
      </vt:variant>
      <vt:variant>
        <vt:i4>5</vt:i4>
      </vt:variant>
      <vt:variant>
        <vt:lpwstr/>
      </vt:variant>
      <vt:variant>
        <vt:lpwstr>_Toc121767532</vt:lpwstr>
      </vt:variant>
      <vt:variant>
        <vt:i4>1441843</vt:i4>
      </vt:variant>
      <vt:variant>
        <vt:i4>326</vt:i4>
      </vt:variant>
      <vt:variant>
        <vt:i4>0</vt:i4>
      </vt:variant>
      <vt:variant>
        <vt:i4>5</vt:i4>
      </vt:variant>
      <vt:variant>
        <vt:lpwstr/>
      </vt:variant>
      <vt:variant>
        <vt:lpwstr>_Toc121767531</vt:lpwstr>
      </vt:variant>
      <vt:variant>
        <vt:i4>1441843</vt:i4>
      </vt:variant>
      <vt:variant>
        <vt:i4>320</vt:i4>
      </vt:variant>
      <vt:variant>
        <vt:i4>0</vt:i4>
      </vt:variant>
      <vt:variant>
        <vt:i4>5</vt:i4>
      </vt:variant>
      <vt:variant>
        <vt:lpwstr/>
      </vt:variant>
      <vt:variant>
        <vt:lpwstr>_Toc121767530</vt:lpwstr>
      </vt:variant>
      <vt:variant>
        <vt:i4>1507379</vt:i4>
      </vt:variant>
      <vt:variant>
        <vt:i4>314</vt:i4>
      </vt:variant>
      <vt:variant>
        <vt:i4>0</vt:i4>
      </vt:variant>
      <vt:variant>
        <vt:i4>5</vt:i4>
      </vt:variant>
      <vt:variant>
        <vt:lpwstr/>
      </vt:variant>
      <vt:variant>
        <vt:lpwstr>_Toc121767529</vt:lpwstr>
      </vt:variant>
      <vt:variant>
        <vt:i4>1507379</vt:i4>
      </vt:variant>
      <vt:variant>
        <vt:i4>308</vt:i4>
      </vt:variant>
      <vt:variant>
        <vt:i4>0</vt:i4>
      </vt:variant>
      <vt:variant>
        <vt:i4>5</vt:i4>
      </vt:variant>
      <vt:variant>
        <vt:lpwstr/>
      </vt:variant>
      <vt:variant>
        <vt:lpwstr>_Toc121767528</vt:lpwstr>
      </vt:variant>
      <vt:variant>
        <vt:i4>1507379</vt:i4>
      </vt:variant>
      <vt:variant>
        <vt:i4>302</vt:i4>
      </vt:variant>
      <vt:variant>
        <vt:i4>0</vt:i4>
      </vt:variant>
      <vt:variant>
        <vt:i4>5</vt:i4>
      </vt:variant>
      <vt:variant>
        <vt:lpwstr/>
      </vt:variant>
      <vt:variant>
        <vt:lpwstr>_Toc121767527</vt:lpwstr>
      </vt:variant>
      <vt:variant>
        <vt:i4>1507379</vt:i4>
      </vt:variant>
      <vt:variant>
        <vt:i4>296</vt:i4>
      </vt:variant>
      <vt:variant>
        <vt:i4>0</vt:i4>
      </vt:variant>
      <vt:variant>
        <vt:i4>5</vt:i4>
      </vt:variant>
      <vt:variant>
        <vt:lpwstr/>
      </vt:variant>
      <vt:variant>
        <vt:lpwstr>_Toc121767526</vt:lpwstr>
      </vt:variant>
      <vt:variant>
        <vt:i4>1507379</vt:i4>
      </vt:variant>
      <vt:variant>
        <vt:i4>290</vt:i4>
      </vt:variant>
      <vt:variant>
        <vt:i4>0</vt:i4>
      </vt:variant>
      <vt:variant>
        <vt:i4>5</vt:i4>
      </vt:variant>
      <vt:variant>
        <vt:lpwstr/>
      </vt:variant>
      <vt:variant>
        <vt:lpwstr>_Toc121767525</vt:lpwstr>
      </vt:variant>
      <vt:variant>
        <vt:i4>1507379</vt:i4>
      </vt:variant>
      <vt:variant>
        <vt:i4>284</vt:i4>
      </vt:variant>
      <vt:variant>
        <vt:i4>0</vt:i4>
      </vt:variant>
      <vt:variant>
        <vt:i4>5</vt:i4>
      </vt:variant>
      <vt:variant>
        <vt:lpwstr/>
      </vt:variant>
      <vt:variant>
        <vt:lpwstr>_Toc121767524</vt:lpwstr>
      </vt:variant>
      <vt:variant>
        <vt:i4>1507379</vt:i4>
      </vt:variant>
      <vt:variant>
        <vt:i4>278</vt:i4>
      </vt:variant>
      <vt:variant>
        <vt:i4>0</vt:i4>
      </vt:variant>
      <vt:variant>
        <vt:i4>5</vt:i4>
      </vt:variant>
      <vt:variant>
        <vt:lpwstr/>
      </vt:variant>
      <vt:variant>
        <vt:lpwstr>_Toc121767523</vt:lpwstr>
      </vt:variant>
      <vt:variant>
        <vt:i4>1507379</vt:i4>
      </vt:variant>
      <vt:variant>
        <vt:i4>272</vt:i4>
      </vt:variant>
      <vt:variant>
        <vt:i4>0</vt:i4>
      </vt:variant>
      <vt:variant>
        <vt:i4>5</vt:i4>
      </vt:variant>
      <vt:variant>
        <vt:lpwstr/>
      </vt:variant>
      <vt:variant>
        <vt:lpwstr>_Toc121767522</vt:lpwstr>
      </vt:variant>
      <vt:variant>
        <vt:i4>1507379</vt:i4>
      </vt:variant>
      <vt:variant>
        <vt:i4>266</vt:i4>
      </vt:variant>
      <vt:variant>
        <vt:i4>0</vt:i4>
      </vt:variant>
      <vt:variant>
        <vt:i4>5</vt:i4>
      </vt:variant>
      <vt:variant>
        <vt:lpwstr/>
      </vt:variant>
      <vt:variant>
        <vt:lpwstr>_Toc121767521</vt:lpwstr>
      </vt:variant>
      <vt:variant>
        <vt:i4>1507379</vt:i4>
      </vt:variant>
      <vt:variant>
        <vt:i4>260</vt:i4>
      </vt:variant>
      <vt:variant>
        <vt:i4>0</vt:i4>
      </vt:variant>
      <vt:variant>
        <vt:i4>5</vt:i4>
      </vt:variant>
      <vt:variant>
        <vt:lpwstr/>
      </vt:variant>
      <vt:variant>
        <vt:lpwstr>_Toc121767520</vt:lpwstr>
      </vt:variant>
      <vt:variant>
        <vt:i4>1310771</vt:i4>
      </vt:variant>
      <vt:variant>
        <vt:i4>254</vt:i4>
      </vt:variant>
      <vt:variant>
        <vt:i4>0</vt:i4>
      </vt:variant>
      <vt:variant>
        <vt:i4>5</vt:i4>
      </vt:variant>
      <vt:variant>
        <vt:lpwstr/>
      </vt:variant>
      <vt:variant>
        <vt:lpwstr>_Toc121767519</vt:lpwstr>
      </vt:variant>
      <vt:variant>
        <vt:i4>1310771</vt:i4>
      </vt:variant>
      <vt:variant>
        <vt:i4>248</vt:i4>
      </vt:variant>
      <vt:variant>
        <vt:i4>0</vt:i4>
      </vt:variant>
      <vt:variant>
        <vt:i4>5</vt:i4>
      </vt:variant>
      <vt:variant>
        <vt:lpwstr/>
      </vt:variant>
      <vt:variant>
        <vt:lpwstr>_Toc121767518</vt:lpwstr>
      </vt:variant>
      <vt:variant>
        <vt:i4>1310771</vt:i4>
      </vt:variant>
      <vt:variant>
        <vt:i4>242</vt:i4>
      </vt:variant>
      <vt:variant>
        <vt:i4>0</vt:i4>
      </vt:variant>
      <vt:variant>
        <vt:i4>5</vt:i4>
      </vt:variant>
      <vt:variant>
        <vt:lpwstr/>
      </vt:variant>
      <vt:variant>
        <vt:lpwstr>_Toc121767517</vt:lpwstr>
      </vt:variant>
      <vt:variant>
        <vt:i4>1310771</vt:i4>
      </vt:variant>
      <vt:variant>
        <vt:i4>236</vt:i4>
      </vt:variant>
      <vt:variant>
        <vt:i4>0</vt:i4>
      </vt:variant>
      <vt:variant>
        <vt:i4>5</vt:i4>
      </vt:variant>
      <vt:variant>
        <vt:lpwstr/>
      </vt:variant>
      <vt:variant>
        <vt:lpwstr>_Toc121767516</vt:lpwstr>
      </vt:variant>
      <vt:variant>
        <vt:i4>1310771</vt:i4>
      </vt:variant>
      <vt:variant>
        <vt:i4>230</vt:i4>
      </vt:variant>
      <vt:variant>
        <vt:i4>0</vt:i4>
      </vt:variant>
      <vt:variant>
        <vt:i4>5</vt:i4>
      </vt:variant>
      <vt:variant>
        <vt:lpwstr/>
      </vt:variant>
      <vt:variant>
        <vt:lpwstr>_Toc121767515</vt:lpwstr>
      </vt:variant>
      <vt:variant>
        <vt:i4>1310771</vt:i4>
      </vt:variant>
      <vt:variant>
        <vt:i4>224</vt:i4>
      </vt:variant>
      <vt:variant>
        <vt:i4>0</vt:i4>
      </vt:variant>
      <vt:variant>
        <vt:i4>5</vt:i4>
      </vt:variant>
      <vt:variant>
        <vt:lpwstr/>
      </vt:variant>
      <vt:variant>
        <vt:lpwstr>_Toc121767514</vt:lpwstr>
      </vt:variant>
      <vt:variant>
        <vt:i4>1310771</vt:i4>
      </vt:variant>
      <vt:variant>
        <vt:i4>218</vt:i4>
      </vt:variant>
      <vt:variant>
        <vt:i4>0</vt:i4>
      </vt:variant>
      <vt:variant>
        <vt:i4>5</vt:i4>
      </vt:variant>
      <vt:variant>
        <vt:lpwstr/>
      </vt:variant>
      <vt:variant>
        <vt:lpwstr>_Toc121767513</vt:lpwstr>
      </vt:variant>
      <vt:variant>
        <vt:i4>1310771</vt:i4>
      </vt:variant>
      <vt:variant>
        <vt:i4>212</vt:i4>
      </vt:variant>
      <vt:variant>
        <vt:i4>0</vt:i4>
      </vt:variant>
      <vt:variant>
        <vt:i4>5</vt:i4>
      </vt:variant>
      <vt:variant>
        <vt:lpwstr/>
      </vt:variant>
      <vt:variant>
        <vt:lpwstr>_Toc121767512</vt:lpwstr>
      </vt:variant>
      <vt:variant>
        <vt:i4>1310771</vt:i4>
      </vt:variant>
      <vt:variant>
        <vt:i4>206</vt:i4>
      </vt:variant>
      <vt:variant>
        <vt:i4>0</vt:i4>
      </vt:variant>
      <vt:variant>
        <vt:i4>5</vt:i4>
      </vt:variant>
      <vt:variant>
        <vt:lpwstr/>
      </vt:variant>
      <vt:variant>
        <vt:lpwstr>_Toc121767511</vt:lpwstr>
      </vt:variant>
      <vt:variant>
        <vt:i4>1310771</vt:i4>
      </vt:variant>
      <vt:variant>
        <vt:i4>200</vt:i4>
      </vt:variant>
      <vt:variant>
        <vt:i4>0</vt:i4>
      </vt:variant>
      <vt:variant>
        <vt:i4>5</vt:i4>
      </vt:variant>
      <vt:variant>
        <vt:lpwstr/>
      </vt:variant>
      <vt:variant>
        <vt:lpwstr>_Toc121767510</vt:lpwstr>
      </vt:variant>
      <vt:variant>
        <vt:i4>1376307</vt:i4>
      </vt:variant>
      <vt:variant>
        <vt:i4>194</vt:i4>
      </vt:variant>
      <vt:variant>
        <vt:i4>0</vt:i4>
      </vt:variant>
      <vt:variant>
        <vt:i4>5</vt:i4>
      </vt:variant>
      <vt:variant>
        <vt:lpwstr/>
      </vt:variant>
      <vt:variant>
        <vt:lpwstr>_Toc121767509</vt:lpwstr>
      </vt:variant>
      <vt:variant>
        <vt:i4>1376307</vt:i4>
      </vt:variant>
      <vt:variant>
        <vt:i4>188</vt:i4>
      </vt:variant>
      <vt:variant>
        <vt:i4>0</vt:i4>
      </vt:variant>
      <vt:variant>
        <vt:i4>5</vt:i4>
      </vt:variant>
      <vt:variant>
        <vt:lpwstr/>
      </vt:variant>
      <vt:variant>
        <vt:lpwstr>_Toc121767508</vt:lpwstr>
      </vt:variant>
      <vt:variant>
        <vt:i4>1376307</vt:i4>
      </vt:variant>
      <vt:variant>
        <vt:i4>182</vt:i4>
      </vt:variant>
      <vt:variant>
        <vt:i4>0</vt:i4>
      </vt:variant>
      <vt:variant>
        <vt:i4>5</vt:i4>
      </vt:variant>
      <vt:variant>
        <vt:lpwstr/>
      </vt:variant>
      <vt:variant>
        <vt:lpwstr>_Toc121767507</vt:lpwstr>
      </vt:variant>
      <vt:variant>
        <vt:i4>1376307</vt:i4>
      </vt:variant>
      <vt:variant>
        <vt:i4>176</vt:i4>
      </vt:variant>
      <vt:variant>
        <vt:i4>0</vt:i4>
      </vt:variant>
      <vt:variant>
        <vt:i4>5</vt:i4>
      </vt:variant>
      <vt:variant>
        <vt:lpwstr/>
      </vt:variant>
      <vt:variant>
        <vt:lpwstr>_Toc121767506</vt:lpwstr>
      </vt:variant>
      <vt:variant>
        <vt:i4>1376307</vt:i4>
      </vt:variant>
      <vt:variant>
        <vt:i4>170</vt:i4>
      </vt:variant>
      <vt:variant>
        <vt:i4>0</vt:i4>
      </vt:variant>
      <vt:variant>
        <vt:i4>5</vt:i4>
      </vt:variant>
      <vt:variant>
        <vt:lpwstr/>
      </vt:variant>
      <vt:variant>
        <vt:lpwstr>_Toc121767505</vt:lpwstr>
      </vt:variant>
      <vt:variant>
        <vt:i4>1376307</vt:i4>
      </vt:variant>
      <vt:variant>
        <vt:i4>164</vt:i4>
      </vt:variant>
      <vt:variant>
        <vt:i4>0</vt:i4>
      </vt:variant>
      <vt:variant>
        <vt:i4>5</vt:i4>
      </vt:variant>
      <vt:variant>
        <vt:lpwstr/>
      </vt:variant>
      <vt:variant>
        <vt:lpwstr>_Toc121767504</vt:lpwstr>
      </vt:variant>
      <vt:variant>
        <vt:i4>1376307</vt:i4>
      </vt:variant>
      <vt:variant>
        <vt:i4>158</vt:i4>
      </vt:variant>
      <vt:variant>
        <vt:i4>0</vt:i4>
      </vt:variant>
      <vt:variant>
        <vt:i4>5</vt:i4>
      </vt:variant>
      <vt:variant>
        <vt:lpwstr/>
      </vt:variant>
      <vt:variant>
        <vt:lpwstr>_Toc121767503</vt:lpwstr>
      </vt:variant>
      <vt:variant>
        <vt:i4>1376307</vt:i4>
      </vt:variant>
      <vt:variant>
        <vt:i4>152</vt:i4>
      </vt:variant>
      <vt:variant>
        <vt:i4>0</vt:i4>
      </vt:variant>
      <vt:variant>
        <vt:i4>5</vt:i4>
      </vt:variant>
      <vt:variant>
        <vt:lpwstr/>
      </vt:variant>
      <vt:variant>
        <vt:lpwstr>_Toc121767502</vt:lpwstr>
      </vt:variant>
      <vt:variant>
        <vt:i4>1376307</vt:i4>
      </vt:variant>
      <vt:variant>
        <vt:i4>146</vt:i4>
      </vt:variant>
      <vt:variant>
        <vt:i4>0</vt:i4>
      </vt:variant>
      <vt:variant>
        <vt:i4>5</vt:i4>
      </vt:variant>
      <vt:variant>
        <vt:lpwstr/>
      </vt:variant>
      <vt:variant>
        <vt:lpwstr>_Toc121767501</vt:lpwstr>
      </vt:variant>
      <vt:variant>
        <vt:i4>1376307</vt:i4>
      </vt:variant>
      <vt:variant>
        <vt:i4>140</vt:i4>
      </vt:variant>
      <vt:variant>
        <vt:i4>0</vt:i4>
      </vt:variant>
      <vt:variant>
        <vt:i4>5</vt:i4>
      </vt:variant>
      <vt:variant>
        <vt:lpwstr/>
      </vt:variant>
      <vt:variant>
        <vt:lpwstr>_Toc121767500</vt:lpwstr>
      </vt:variant>
      <vt:variant>
        <vt:i4>1835058</vt:i4>
      </vt:variant>
      <vt:variant>
        <vt:i4>134</vt:i4>
      </vt:variant>
      <vt:variant>
        <vt:i4>0</vt:i4>
      </vt:variant>
      <vt:variant>
        <vt:i4>5</vt:i4>
      </vt:variant>
      <vt:variant>
        <vt:lpwstr/>
      </vt:variant>
      <vt:variant>
        <vt:lpwstr>_Toc121767499</vt:lpwstr>
      </vt:variant>
      <vt:variant>
        <vt:i4>1835058</vt:i4>
      </vt:variant>
      <vt:variant>
        <vt:i4>128</vt:i4>
      </vt:variant>
      <vt:variant>
        <vt:i4>0</vt:i4>
      </vt:variant>
      <vt:variant>
        <vt:i4>5</vt:i4>
      </vt:variant>
      <vt:variant>
        <vt:lpwstr/>
      </vt:variant>
      <vt:variant>
        <vt:lpwstr>_Toc121767498</vt:lpwstr>
      </vt:variant>
      <vt:variant>
        <vt:i4>1835058</vt:i4>
      </vt:variant>
      <vt:variant>
        <vt:i4>122</vt:i4>
      </vt:variant>
      <vt:variant>
        <vt:i4>0</vt:i4>
      </vt:variant>
      <vt:variant>
        <vt:i4>5</vt:i4>
      </vt:variant>
      <vt:variant>
        <vt:lpwstr/>
      </vt:variant>
      <vt:variant>
        <vt:lpwstr>_Toc121767497</vt:lpwstr>
      </vt:variant>
      <vt:variant>
        <vt:i4>1835058</vt:i4>
      </vt:variant>
      <vt:variant>
        <vt:i4>116</vt:i4>
      </vt:variant>
      <vt:variant>
        <vt:i4>0</vt:i4>
      </vt:variant>
      <vt:variant>
        <vt:i4>5</vt:i4>
      </vt:variant>
      <vt:variant>
        <vt:lpwstr/>
      </vt:variant>
      <vt:variant>
        <vt:lpwstr>_Toc121767496</vt:lpwstr>
      </vt:variant>
      <vt:variant>
        <vt:i4>1835058</vt:i4>
      </vt:variant>
      <vt:variant>
        <vt:i4>110</vt:i4>
      </vt:variant>
      <vt:variant>
        <vt:i4>0</vt:i4>
      </vt:variant>
      <vt:variant>
        <vt:i4>5</vt:i4>
      </vt:variant>
      <vt:variant>
        <vt:lpwstr/>
      </vt:variant>
      <vt:variant>
        <vt:lpwstr>_Toc121767495</vt:lpwstr>
      </vt:variant>
      <vt:variant>
        <vt:i4>1835058</vt:i4>
      </vt:variant>
      <vt:variant>
        <vt:i4>104</vt:i4>
      </vt:variant>
      <vt:variant>
        <vt:i4>0</vt:i4>
      </vt:variant>
      <vt:variant>
        <vt:i4>5</vt:i4>
      </vt:variant>
      <vt:variant>
        <vt:lpwstr/>
      </vt:variant>
      <vt:variant>
        <vt:lpwstr>_Toc121767494</vt:lpwstr>
      </vt:variant>
      <vt:variant>
        <vt:i4>1835058</vt:i4>
      </vt:variant>
      <vt:variant>
        <vt:i4>98</vt:i4>
      </vt:variant>
      <vt:variant>
        <vt:i4>0</vt:i4>
      </vt:variant>
      <vt:variant>
        <vt:i4>5</vt:i4>
      </vt:variant>
      <vt:variant>
        <vt:lpwstr/>
      </vt:variant>
      <vt:variant>
        <vt:lpwstr>_Toc121767493</vt:lpwstr>
      </vt:variant>
      <vt:variant>
        <vt:i4>1835058</vt:i4>
      </vt:variant>
      <vt:variant>
        <vt:i4>92</vt:i4>
      </vt:variant>
      <vt:variant>
        <vt:i4>0</vt:i4>
      </vt:variant>
      <vt:variant>
        <vt:i4>5</vt:i4>
      </vt:variant>
      <vt:variant>
        <vt:lpwstr/>
      </vt:variant>
      <vt:variant>
        <vt:lpwstr>_Toc121767492</vt:lpwstr>
      </vt:variant>
      <vt:variant>
        <vt:i4>1835058</vt:i4>
      </vt:variant>
      <vt:variant>
        <vt:i4>86</vt:i4>
      </vt:variant>
      <vt:variant>
        <vt:i4>0</vt:i4>
      </vt:variant>
      <vt:variant>
        <vt:i4>5</vt:i4>
      </vt:variant>
      <vt:variant>
        <vt:lpwstr/>
      </vt:variant>
      <vt:variant>
        <vt:lpwstr>_Toc121767491</vt:lpwstr>
      </vt:variant>
      <vt:variant>
        <vt:i4>1835058</vt:i4>
      </vt:variant>
      <vt:variant>
        <vt:i4>80</vt:i4>
      </vt:variant>
      <vt:variant>
        <vt:i4>0</vt:i4>
      </vt:variant>
      <vt:variant>
        <vt:i4>5</vt:i4>
      </vt:variant>
      <vt:variant>
        <vt:lpwstr/>
      </vt:variant>
      <vt:variant>
        <vt:lpwstr>_Toc121767490</vt:lpwstr>
      </vt:variant>
      <vt:variant>
        <vt:i4>1900594</vt:i4>
      </vt:variant>
      <vt:variant>
        <vt:i4>74</vt:i4>
      </vt:variant>
      <vt:variant>
        <vt:i4>0</vt:i4>
      </vt:variant>
      <vt:variant>
        <vt:i4>5</vt:i4>
      </vt:variant>
      <vt:variant>
        <vt:lpwstr/>
      </vt:variant>
      <vt:variant>
        <vt:lpwstr>_Toc121767489</vt:lpwstr>
      </vt:variant>
      <vt:variant>
        <vt:i4>1900594</vt:i4>
      </vt:variant>
      <vt:variant>
        <vt:i4>68</vt:i4>
      </vt:variant>
      <vt:variant>
        <vt:i4>0</vt:i4>
      </vt:variant>
      <vt:variant>
        <vt:i4>5</vt:i4>
      </vt:variant>
      <vt:variant>
        <vt:lpwstr/>
      </vt:variant>
      <vt:variant>
        <vt:lpwstr>_Toc121767488</vt:lpwstr>
      </vt:variant>
      <vt:variant>
        <vt:i4>1900594</vt:i4>
      </vt:variant>
      <vt:variant>
        <vt:i4>62</vt:i4>
      </vt:variant>
      <vt:variant>
        <vt:i4>0</vt:i4>
      </vt:variant>
      <vt:variant>
        <vt:i4>5</vt:i4>
      </vt:variant>
      <vt:variant>
        <vt:lpwstr/>
      </vt:variant>
      <vt:variant>
        <vt:lpwstr>_Toc121767487</vt:lpwstr>
      </vt:variant>
      <vt:variant>
        <vt:i4>1900594</vt:i4>
      </vt:variant>
      <vt:variant>
        <vt:i4>56</vt:i4>
      </vt:variant>
      <vt:variant>
        <vt:i4>0</vt:i4>
      </vt:variant>
      <vt:variant>
        <vt:i4>5</vt:i4>
      </vt:variant>
      <vt:variant>
        <vt:lpwstr/>
      </vt:variant>
      <vt:variant>
        <vt:lpwstr>_Toc121767486</vt:lpwstr>
      </vt:variant>
      <vt:variant>
        <vt:i4>1900594</vt:i4>
      </vt:variant>
      <vt:variant>
        <vt:i4>50</vt:i4>
      </vt:variant>
      <vt:variant>
        <vt:i4>0</vt:i4>
      </vt:variant>
      <vt:variant>
        <vt:i4>5</vt:i4>
      </vt:variant>
      <vt:variant>
        <vt:lpwstr/>
      </vt:variant>
      <vt:variant>
        <vt:lpwstr>_Toc121767485</vt:lpwstr>
      </vt:variant>
      <vt:variant>
        <vt:i4>1900594</vt:i4>
      </vt:variant>
      <vt:variant>
        <vt:i4>44</vt:i4>
      </vt:variant>
      <vt:variant>
        <vt:i4>0</vt:i4>
      </vt:variant>
      <vt:variant>
        <vt:i4>5</vt:i4>
      </vt:variant>
      <vt:variant>
        <vt:lpwstr/>
      </vt:variant>
      <vt:variant>
        <vt:lpwstr>_Toc121767484</vt:lpwstr>
      </vt:variant>
      <vt:variant>
        <vt:i4>1900594</vt:i4>
      </vt:variant>
      <vt:variant>
        <vt:i4>38</vt:i4>
      </vt:variant>
      <vt:variant>
        <vt:i4>0</vt:i4>
      </vt:variant>
      <vt:variant>
        <vt:i4>5</vt:i4>
      </vt:variant>
      <vt:variant>
        <vt:lpwstr/>
      </vt:variant>
      <vt:variant>
        <vt:lpwstr>_Toc121767483</vt:lpwstr>
      </vt:variant>
      <vt:variant>
        <vt:i4>1900594</vt:i4>
      </vt:variant>
      <vt:variant>
        <vt:i4>32</vt:i4>
      </vt:variant>
      <vt:variant>
        <vt:i4>0</vt:i4>
      </vt:variant>
      <vt:variant>
        <vt:i4>5</vt:i4>
      </vt:variant>
      <vt:variant>
        <vt:lpwstr/>
      </vt:variant>
      <vt:variant>
        <vt:lpwstr>_Toc121767482</vt:lpwstr>
      </vt:variant>
      <vt:variant>
        <vt:i4>1900594</vt:i4>
      </vt:variant>
      <vt:variant>
        <vt:i4>26</vt:i4>
      </vt:variant>
      <vt:variant>
        <vt:i4>0</vt:i4>
      </vt:variant>
      <vt:variant>
        <vt:i4>5</vt:i4>
      </vt:variant>
      <vt:variant>
        <vt:lpwstr/>
      </vt:variant>
      <vt:variant>
        <vt:lpwstr>_Toc121767481</vt:lpwstr>
      </vt:variant>
      <vt:variant>
        <vt:i4>1900594</vt:i4>
      </vt:variant>
      <vt:variant>
        <vt:i4>20</vt:i4>
      </vt:variant>
      <vt:variant>
        <vt:i4>0</vt:i4>
      </vt:variant>
      <vt:variant>
        <vt:i4>5</vt:i4>
      </vt:variant>
      <vt:variant>
        <vt:lpwstr/>
      </vt:variant>
      <vt:variant>
        <vt:lpwstr>_Toc121767480</vt:lpwstr>
      </vt:variant>
      <vt:variant>
        <vt:i4>1179698</vt:i4>
      </vt:variant>
      <vt:variant>
        <vt:i4>14</vt:i4>
      </vt:variant>
      <vt:variant>
        <vt:i4>0</vt:i4>
      </vt:variant>
      <vt:variant>
        <vt:i4>5</vt:i4>
      </vt:variant>
      <vt:variant>
        <vt:lpwstr/>
      </vt:variant>
      <vt:variant>
        <vt:lpwstr>_Toc121767479</vt:lpwstr>
      </vt:variant>
      <vt:variant>
        <vt:i4>1179698</vt:i4>
      </vt:variant>
      <vt:variant>
        <vt:i4>8</vt:i4>
      </vt:variant>
      <vt:variant>
        <vt:i4>0</vt:i4>
      </vt:variant>
      <vt:variant>
        <vt:i4>5</vt:i4>
      </vt:variant>
      <vt:variant>
        <vt:lpwstr/>
      </vt:variant>
      <vt:variant>
        <vt:lpwstr>_Toc121767478</vt:lpwstr>
      </vt:variant>
      <vt:variant>
        <vt:i4>1179698</vt:i4>
      </vt:variant>
      <vt:variant>
        <vt:i4>2</vt:i4>
      </vt:variant>
      <vt:variant>
        <vt:i4>0</vt:i4>
      </vt:variant>
      <vt:variant>
        <vt:i4>5</vt:i4>
      </vt:variant>
      <vt:variant>
        <vt:lpwstr/>
      </vt:variant>
      <vt:variant>
        <vt:lpwstr>_Toc121767477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2023-10-23T22:45:00Z</dcterms:created>
  <dcterms:modified xsi:type="dcterms:W3CDTF">2023-10-23T22:45:00Z</dcterms:modified>
</cp:coreProperties>
</file>