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2BCCCEC0" w:rsidR="00B60939" w:rsidRPr="004A6040" w:rsidRDefault="007E0A4C" w:rsidP="00B1620B">
      <w:pPr>
        <w:pStyle w:val="1-MainHeading"/>
        <w:ind w:left="851" w:hanging="851"/>
      </w:pPr>
      <w:bookmarkStart w:id="0" w:name="_Toc145504673"/>
      <w:r>
        <w:t>6.03</w:t>
      </w:r>
      <w:r w:rsidR="00163F66">
        <w:tab/>
      </w:r>
      <w:r w:rsidR="002939A4" w:rsidRPr="002939A4">
        <w:t>CABOZANTINIB</w:t>
      </w:r>
      <w:r w:rsidR="002939A4">
        <w:t>,</w:t>
      </w:r>
      <w:r w:rsidR="00163F66">
        <w:br/>
      </w:r>
      <w:r w:rsidR="005F1914">
        <w:t xml:space="preserve">Tablet </w:t>
      </w:r>
      <w:r w:rsidR="002939A4" w:rsidRPr="002939A4">
        <w:t>20 mg</w:t>
      </w:r>
      <w:r w:rsidR="002939A4">
        <w:t>,</w:t>
      </w:r>
      <w:r w:rsidR="002939A4" w:rsidRPr="002939A4">
        <w:t xml:space="preserve"> </w:t>
      </w:r>
      <w:r w:rsidR="005F1914">
        <w:t xml:space="preserve">Tablet </w:t>
      </w:r>
      <w:r w:rsidR="002939A4" w:rsidRPr="002939A4">
        <w:t>40 mg</w:t>
      </w:r>
      <w:r w:rsidR="002939A4">
        <w:t>,</w:t>
      </w:r>
      <w:r w:rsidR="00427986">
        <w:t xml:space="preserve"> </w:t>
      </w:r>
      <w:r w:rsidR="005F1914">
        <w:t xml:space="preserve">Tablet </w:t>
      </w:r>
      <w:r w:rsidR="002939A4" w:rsidRPr="002939A4">
        <w:t>60</w:t>
      </w:r>
      <w:r w:rsidR="002939A4">
        <w:t xml:space="preserve"> mg,</w:t>
      </w:r>
      <w:r w:rsidR="00163F66">
        <w:br/>
      </w:r>
      <w:r w:rsidR="002939A4" w:rsidRPr="002939A4">
        <w:t xml:space="preserve">Cabometyx® </w:t>
      </w:r>
      <w:r w:rsidR="004A6040" w:rsidRPr="004A6040">
        <w:br/>
      </w:r>
      <w:r w:rsidR="002939A4" w:rsidRPr="002939A4">
        <w:t>I</w:t>
      </w:r>
      <w:r w:rsidR="00F24590">
        <w:t>psen Pty Ltd</w:t>
      </w:r>
      <w:r w:rsidR="00B60939" w:rsidRPr="004A6040">
        <w:t>.</w:t>
      </w:r>
      <w:bookmarkEnd w:id="0"/>
    </w:p>
    <w:p w14:paraId="11C00795" w14:textId="0AAB0C5E" w:rsidR="00B50DB8" w:rsidRPr="00407F2D" w:rsidRDefault="00B50DB8" w:rsidP="004A6040">
      <w:pPr>
        <w:pStyle w:val="2-SectionHeading"/>
      </w:pPr>
      <w:bookmarkStart w:id="1" w:name="_Toc145504675"/>
      <w:r w:rsidRPr="00407F2D">
        <w:t xml:space="preserve">Purpose of </w:t>
      </w:r>
      <w:r w:rsidR="00CD7193">
        <w:t>s</w:t>
      </w:r>
      <w:r w:rsidR="00BB3A45">
        <w:t>ubmission</w:t>
      </w:r>
      <w:bookmarkEnd w:id="1"/>
    </w:p>
    <w:p w14:paraId="19414AA1" w14:textId="1A6F5378" w:rsidR="002C2775" w:rsidRPr="008B1757" w:rsidRDefault="007170DA" w:rsidP="004E18E9">
      <w:pPr>
        <w:pStyle w:val="3-BodyText"/>
      </w:pPr>
      <w:r>
        <w:t xml:space="preserve">The </w:t>
      </w:r>
      <w:r w:rsidR="00F73E08">
        <w:t xml:space="preserve">Category </w:t>
      </w:r>
      <w:r w:rsidR="002939A4">
        <w:t xml:space="preserve">2 </w:t>
      </w:r>
      <w:r>
        <w:t xml:space="preserve">submission </w:t>
      </w:r>
      <w:r w:rsidRPr="004E18E9">
        <w:t xml:space="preserve">requested </w:t>
      </w:r>
      <w:r w:rsidR="00C05644">
        <w:t xml:space="preserve">a </w:t>
      </w:r>
      <w:r w:rsidR="00001C36" w:rsidRPr="00001C36">
        <w:t xml:space="preserve">General Schedule Authority Required (STREAMLINED) listing for cabozantinib </w:t>
      </w:r>
      <w:r w:rsidR="00001C36">
        <w:t xml:space="preserve">as monotherapy </w:t>
      </w:r>
      <w:r w:rsidR="00001C36" w:rsidRPr="00001C36">
        <w:t xml:space="preserve">for the treatment of adult and paediatric </w:t>
      </w:r>
      <w:r w:rsidR="00001C36" w:rsidRPr="006C1559">
        <w:t xml:space="preserve">patients aged 12 years and older with locally advanced or metastatic differentiated thyroid carcinoma (DTC) </w:t>
      </w:r>
      <w:r w:rsidR="006C1559" w:rsidRPr="006C1559">
        <w:t>who are radioactive iodine (RAI) refractory or ineligible</w:t>
      </w:r>
      <w:r w:rsidR="008A0173">
        <w:t xml:space="preserve">, who </w:t>
      </w:r>
      <w:r w:rsidR="006C1559" w:rsidRPr="006C1559">
        <w:t xml:space="preserve">have </w:t>
      </w:r>
      <w:r w:rsidR="00001C36" w:rsidRPr="006C1559">
        <w:t xml:space="preserve">progressed </w:t>
      </w:r>
      <w:r w:rsidR="006C1559" w:rsidRPr="006C1559">
        <w:t>following treatment with a tyrosine kinase inhibitor</w:t>
      </w:r>
      <w:r w:rsidR="00B66882">
        <w:t xml:space="preserve"> (TKI)</w:t>
      </w:r>
      <w:r w:rsidR="006C1559" w:rsidRPr="006C1559">
        <w:t xml:space="preserve"> or have developed intolerance to prior </w:t>
      </w:r>
      <w:r w:rsidR="00D06657" w:rsidRPr="00D06657">
        <w:t xml:space="preserve">vascular endothelial growth factor </w:t>
      </w:r>
      <w:r w:rsidR="00D06657">
        <w:t>(</w:t>
      </w:r>
      <w:r w:rsidR="006C1559" w:rsidRPr="006C1559">
        <w:t>VEGF</w:t>
      </w:r>
      <w:r w:rsidR="00D06657">
        <w:t>)</w:t>
      </w:r>
      <w:r w:rsidR="006C1559" w:rsidRPr="006C1559">
        <w:t>-targeted therapy</w:t>
      </w:r>
      <w:r w:rsidR="00001C36" w:rsidRPr="006C1559">
        <w:t>.</w:t>
      </w:r>
    </w:p>
    <w:p w14:paraId="4E9FBCB5" w14:textId="14D6118E" w:rsidR="00C2778B" w:rsidRDefault="00001C36" w:rsidP="00001C36">
      <w:pPr>
        <w:pStyle w:val="3-BodyText"/>
      </w:pPr>
      <w:r w:rsidRPr="00001C36">
        <w:t>Listing was requested on the basis of a cost-</w:t>
      </w:r>
      <w:r w:rsidR="00405FCB">
        <w:t>utility</w:t>
      </w:r>
      <w:r w:rsidR="00405FCB" w:rsidRPr="00001C36">
        <w:t xml:space="preserve"> </w:t>
      </w:r>
      <w:r w:rsidRPr="00001C36">
        <w:t xml:space="preserve">analysis versus best supportive care </w:t>
      </w:r>
      <w:r w:rsidR="00D06657">
        <w:t>(BSC)</w:t>
      </w:r>
      <w:r w:rsidRPr="00001C36">
        <w:t xml:space="preserve">. </w:t>
      </w:r>
      <w:r w:rsidR="0051466F">
        <w:fldChar w:fldCharType="begin" w:fldLock="1"/>
      </w:r>
      <w:r w:rsidR="0051466F">
        <w:instrText xml:space="preserve"> REF _Ref142340695 \h </w:instrText>
      </w:r>
      <w:r w:rsidR="0051466F">
        <w:fldChar w:fldCharType="separate"/>
      </w:r>
      <w:r w:rsidR="001A1482">
        <w:t xml:space="preserve">Table </w:t>
      </w:r>
      <w:r w:rsidR="001A1482">
        <w:rPr>
          <w:noProof/>
        </w:rPr>
        <w:t>1</w:t>
      </w:r>
      <w:r w:rsidR="0051466F">
        <w:fldChar w:fldCharType="end"/>
      </w:r>
      <w:r w:rsidRPr="00001C36">
        <w:t xml:space="preserve"> presents the key components of the clinical issue addressed by the submission.</w:t>
      </w:r>
    </w:p>
    <w:p w14:paraId="3718DE61" w14:textId="6AEDB047" w:rsidR="008B1757" w:rsidRPr="004A6040" w:rsidRDefault="00696EF9" w:rsidP="004A6040">
      <w:pPr>
        <w:pStyle w:val="TableFigureHeading"/>
        <w:rPr>
          <w:rStyle w:val="CommentReference"/>
          <w:b/>
          <w:szCs w:val="24"/>
        </w:rPr>
      </w:pPr>
      <w:bookmarkStart w:id="2" w:name="_Ref142340668"/>
      <w:bookmarkStart w:id="3" w:name="_Ref142340695"/>
      <w:r>
        <w:t xml:space="preserve">Table </w:t>
      </w:r>
      <w:r>
        <w:fldChar w:fldCharType="begin" w:fldLock="1"/>
      </w:r>
      <w:r>
        <w:instrText>SEQ Table \* ARABIC</w:instrText>
      </w:r>
      <w:r>
        <w:fldChar w:fldCharType="separate"/>
      </w:r>
      <w:r w:rsidR="00EA6E0C">
        <w:rPr>
          <w:noProof/>
        </w:rPr>
        <w:t>1</w:t>
      </w:r>
      <w:r>
        <w:fldChar w:fldCharType="end"/>
      </w:r>
      <w:bookmarkEnd w:id="2"/>
      <w:bookmarkEnd w:id="3"/>
      <w:r>
        <w:t>:</w:t>
      </w:r>
      <w:r w:rsidR="00BC591F" w:rsidRPr="004A6040">
        <w:rPr>
          <w:rStyle w:val="CommentReference"/>
          <w:b/>
          <w:szCs w:val="24"/>
        </w:rPr>
        <w:t xml:space="preserve"> </w:t>
      </w:r>
      <w:r w:rsidR="008B1757" w:rsidRPr="004A6040">
        <w:rPr>
          <w:rStyle w:val="CommentReference"/>
          <w:b/>
          <w:szCs w:val="24"/>
        </w:rPr>
        <w:t>Key components of the clinical issue addressed by the submission</w:t>
      </w:r>
      <w:r w:rsidR="007170DA" w:rsidRPr="004A6040">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315"/>
        <w:gridCol w:w="7702"/>
      </w:tblGrid>
      <w:tr w:rsidR="008B1757" w:rsidRPr="00691913" w14:paraId="569F5103" w14:textId="77777777" w:rsidTr="00B54FFE">
        <w:trPr>
          <w:cantSplit/>
          <w:tblHeader/>
        </w:trPr>
        <w:tc>
          <w:tcPr>
            <w:tcW w:w="729" w:type="pct"/>
            <w:shd w:val="clear" w:color="auto" w:fill="auto"/>
          </w:tcPr>
          <w:p w14:paraId="501803FB" w14:textId="77777777" w:rsidR="008B1757" w:rsidRPr="008B1757" w:rsidRDefault="008B1757" w:rsidP="009D798F">
            <w:pPr>
              <w:pStyle w:val="In-tableHeading"/>
              <w:jc w:val="center"/>
              <w:rPr>
                <w:szCs w:val="20"/>
              </w:rPr>
            </w:pPr>
            <w:r w:rsidRPr="008B1757">
              <w:t>Component</w:t>
            </w:r>
          </w:p>
        </w:tc>
        <w:tc>
          <w:tcPr>
            <w:tcW w:w="4271" w:type="pct"/>
            <w:shd w:val="clear" w:color="auto" w:fill="auto"/>
          </w:tcPr>
          <w:p w14:paraId="445D9EBB" w14:textId="77777777" w:rsidR="008B1757" w:rsidRPr="008B1757" w:rsidRDefault="008B1757" w:rsidP="0087327D">
            <w:pPr>
              <w:pStyle w:val="In-tableHeading"/>
              <w:jc w:val="center"/>
            </w:pPr>
            <w:r w:rsidRPr="008B1757">
              <w:t>Description</w:t>
            </w:r>
          </w:p>
        </w:tc>
      </w:tr>
      <w:tr w:rsidR="00001C36" w:rsidRPr="00691913" w14:paraId="2EB546E2" w14:textId="77777777" w:rsidTr="00B54FFE">
        <w:trPr>
          <w:cantSplit/>
        </w:trPr>
        <w:tc>
          <w:tcPr>
            <w:tcW w:w="729" w:type="pct"/>
            <w:shd w:val="clear" w:color="auto" w:fill="auto"/>
          </w:tcPr>
          <w:p w14:paraId="38F3BB34" w14:textId="77777777" w:rsidR="00001C36" w:rsidRPr="00691913" w:rsidRDefault="00001C36" w:rsidP="00001C36">
            <w:pPr>
              <w:pStyle w:val="TableText0"/>
            </w:pPr>
            <w:r w:rsidRPr="00691913">
              <w:t>Population</w:t>
            </w:r>
          </w:p>
        </w:tc>
        <w:tc>
          <w:tcPr>
            <w:tcW w:w="4271" w:type="pct"/>
            <w:vAlign w:val="center"/>
          </w:tcPr>
          <w:p w14:paraId="79618EEE" w14:textId="2263498F" w:rsidR="00001C36" w:rsidRPr="001E1E86" w:rsidRDefault="00001C36" w:rsidP="00001C36">
            <w:pPr>
              <w:pStyle w:val="TableText0"/>
              <w:rPr>
                <w:szCs w:val="20"/>
              </w:rPr>
            </w:pPr>
            <w:r w:rsidRPr="0058190E">
              <w:t>Patients with DTC refractory or not eligible to RAI who have progressed during or after prior VEGF-targeted therapy and have a WHO performance status of 2 or less.</w:t>
            </w:r>
            <w:r w:rsidR="00AE1221">
              <w:t xml:space="preserve"> </w:t>
            </w:r>
            <w:r w:rsidR="006C1559" w:rsidRPr="006C1559">
              <w:rPr>
                <w:vertAlign w:val="superscript"/>
              </w:rPr>
              <w:t>a</w:t>
            </w:r>
          </w:p>
        </w:tc>
      </w:tr>
      <w:tr w:rsidR="00001C36" w:rsidRPr="00691913" w14:paraId="0CA523AF" w14:textId="77777777" w:rsidTr="00B54FFE">
        <w:trPr>
          <w:cantSplit/>
        </w:trPr>
        <w:tc>
          <w:tcPr>
            <w:tcW w:w="729" w:type="pct"/>
            <w:shd w:val="clear" w:color="auto" w:fill="auto"/>
          </w:tcPr>
          <w:p w14:paraId="7B6D20D8" w14:textId="77777777" w:rsidR="00001C36" w:rsidRPr="00691913" w:rsidRDefault="00001C36" w:rsidP="00001C36">
            <w:pPr>
              <w:pStyle w:val="TableText0"/>
            </w:pPr>
            <w:r w:rsidRPr="00691913">
              <w:t>Intervention</w:t>
            </w:r>
          </w:p>
        </w:tc>
        <w:tc>
          <w:tcPr>
            <w:tcW w:w="4271" w:type="pct"/>
            <w:vAlign w:val="center"/>
          </w:tcPr>
          <w:p w14:paraId="2491E905" w14:textId="7B0D3F7D" w:rsidR="00001C36" w:rsidRPr="00691913" w:rsidRDefault="00001C36" w:rsidP="00001C36">
            <w:pPr>
              <w:pStyle w:val="TableText0"/>
            </w:pPr>
            <w:r w:rsidRPr="00816E4F">
              <w:t>Cabozantinib, 60 mg orally</w:t>
            </w:r>
            <w:r w:rsidRPr="0058190E">
              <w:t xml:space="preserve"> once daily (QD) until disease progression or unacceptable toxicity.</w:t>
            </w:r>
          </w:p>
        </w:tc>
      </w:tr>
      <w:tr w:rsidR="00001C36" w:rsidRPr="00691913" w14:paraId="0F81EBE4" w14:textId="77777777" w:rsidTr="00B54FFE">
        <w:trPr>
          <w:cantSplit/>
        </w:trPr>
        <w:tc>
          <w:tcPr>
            <w:tcW w:w="729" w:type="pct"/>
            <w:shd w:val="clear" w:color="auto" w:fill="auto"/>
          </w:tcPr>
          <w:p w14:paraId="3656B343" w14:textId="77777777" w:rsidR="00001C36" w:rsidRPr="00691913" w:rsidRDefault="00001C36" w:rsidP="00001C36">
            <w:pPr>
              <w:pStyle w:val="TableText0"/>
            </w:pPr>
            <w:r w:rsidRPr="00691913">
              <w:t>Comparator</w:t>
            </w:r>
          </w:p>
        </w:tc>
        <w:tc>
          <w:tcPr>
            <w:tcW w:w="4271" w:type="pct"/>
            <w:vAlign w:val="center"/>
          </w:tcPr>
          <w:p w14:paraId="3727DE24" w14:textId="039053CA" w:rsidR="00001C36" w:rsidRPr="00691913" w:rsidRDefault="00001C36" w:rsidP="00284B59">
            <w:pPr>
              <w:pStyle w:val="TableText0"/>
            </w:pPr>
            <w:r>
              <w:t>Best supportive care (placebo)</w:t>
            </w:r>
          </w:p>
        </w:tc>
      </w:tr>
      <w:tr w:rsidR="00001C36" w:rsidRPr="00691913" w14:paraId="02F86F0D" w14:textId="77777777" w:rsidTr="00B54FFE">
        <w:trPr>
          <w:cantSplit/>
        </w:trPr>
        <w:tc>
          <w:tcPr>
            <w:tcW w:w="729" w:type="pct"/>
            <w:shd w:val="clear" w:color="auto" w:fill="auto"/>
          </w:tcPr>
          <w:p w14:paraId="06433105" w14:textId="77777777" w:rsidR="00001C36" w:rsidRPr="00691913" w:rsidRDefault="00001C36" w:rsidP="00001C36">
            <w:pPr>
              <w:pStyle w:val="TableText0"/>
            </w:pPr>
            <w:r w:rsidRPr="00691913">
              <w:t>Outcomes</w:t>
            </w:r>
          </w:p>
        </w:tc>
        <w:tc>
          <w:tcPr>
            <w:tcW w:w="4271" w:type="pct"/>
            <w:vAlign w:val="center"/>
          </w:tcPr>
          <w:p w14:paraId="2D8A2E6B" w14:textId="1EB5F1A0" w:rsidR="00001C36" w:rsidRDefault="008F6805" w:rsidP="00001C36">
            <w:pPr>
              <w:pStyle w:val="TableText0"/>
            </w:pPr>
            <w:r>
              <w:t>Progression-free</w:t>
            </w:r>
            <w:r w:rsidR="00001C36">
              <w:t xml:space="preserve"> survival (PFS)</w:t>
            </w:r>
          </w:p>
          <w:p w14:paraId="29238C80" w14:textId="77777777" w:rsidR="00001C36" w:rsidRDefault="00001C36" w:rsidP="00001C36">
            <w:pPr>
              <w:pStyle w:val="TableText0"/>
            </w:pPr>
            <w:r>
              <w:t>Objective response rate (ORR)</w:t>
            </w:r>
          </w:p>
          <w:p w14:paraId="5ABC4037" w14:textId="53D1C4DE" w:rsidR="00001C36" w:rsidRPr="001E1E86" w:rsidRDefault="00001C36" w:rsidP="00001C36">
            <w:pPr>
              <w:pStyle w:val="TableText0"/>
              <w:rPr>
                <w:rFonts w:eastAsia="Times New Roman" w:cs="Arial"/>
                <w:bCs w:val="0"/>
                <w:snapToGrid w:val="0"/>
                <w:color w:val="0066FF"/>
                <w:szCs w:val="20"/>
              </w:rPr>
            </w:pPr>
            <w:r>
              <w:t>Safety</w:t>
            </w:r>
          </w:p>
        </w:tc>
      </w:tr>
      <w:tr w:rsidR="00D06657" w:rsidRPr="00D06657" w14:paraId="22223890" w14:textId="77777777" w:rsidTr="00B54FFE">
        <w:trPr>
          <w:cantSplit/>
        </w:trPr>
        <w:tc>
          <w:tcPr>
            <w:tcW w:w="729" w:type="pct"/>
            <w:shd w:val="clear" w:color="auto" w:fill="auto"/>
          </w:tcPr>
          <w:p w14:paraId="0FC8FCE0" w14:textId="77777777" w:rsidR="00001C36" w:rsidRPr="00D06657" w:rsidRDefault="00001C36" w:rsidP="00001C36">
            <w:pPr>
              <w:pStyle w:val="TableText0"/>
            </w:pPr>
            <w:r w:rsidRPr="00D06657">
              <w:t>Clinical claim</w:t>
            </w:r>
          </w:p>
        </w:tc>
        <w:tc>
          <w:tcPr>
            <w:tcW w:w="4271" w:type="pct"/>
            <w:vAlign w:val="center"/>
          </w:tcPr>
          <w:p w14:paraId="317A6598" w14:textId="4270257E" w:rsidR="00001C36" w:rsidRPr="00D06657" w:rsidRDefault="00001C36" w:rsidP="00001C36">
            <w:pPr>
              <w:pStyle w:val="TableText0"/>
            </w:pPr>
            <w:r w:rsidRPr="00D06657">
              <w:t xml:space="preserve">In patients with DTC refractory or not eligible to RAI who have progressed after prior systemic </w:t>
            </w:r>
            <w:proofErr w:type="spellStart"/>
            <w:r w:rsidRPr="00D06657">
              <w:t>therapy</w:t>
            </w:r>
            <w:r w:rsidR="00767A18" w:rsidRPr="00767A18">
              <w:rPr>
                <w:vertAlign w:val="superscript"/>
              </w:rPr>
              <w:t>a</w:t>
            </w:r>
            <w:proofErr w:type="spellEnd"/>
            <w:r w:rsidRPr="00D06657">
              <w:t xml:space="preserve">, and a WHO performance status of 2 or less, cabozantinib provides: </w:t>
            </w:r>
          </w:p>
          <w:p w14:paraId="3F98561B" w14:textId="77777777" w:rsidR="00001C36" w:rsidRPr="00D06657" w:rsidRDefault="00001C36" w:rsidP="004A52A9">
            <w:pPr>
              <w:pStyle w:val="TableText0"/>
              <w:numPr>
                <w:ilvl w:val="0"/>
                <w:numId w:val="7"/>
              </w:numPr>
            </w:pPr>
            <w:r w:rsidRPr="00D06657">
              <w:t xml:space="preserve">Significantly superior PFS and ORR compared to standard of care, and </w:t>
            </w:r>
          </w:p>
          <w:p w14:paraId="2C99C4DE" w14:textId="522C1423" w:rsidR="00001C36" w:rsidRPr="00D06657" w:rsidRDefault="00001C36" w:rsidP="004A52A9">
            <w:pPr>
              <w:pStyle w:val="TableText0"/>
              <w:numPr>
                <w:ilvl w:val="0"/>
                <w:numId w:val="7"/>
              </w:numPr>
              <w:rPr>
                <w:rFonts w:eastAsia="Times New Roman" w:cs="Arial"/>
                <w:bCs w:val="0"/>
                <w:snapToGrid w:val="0"/>
                <w:szCs w:val="20"/>
              </w:rPr>
            </w:pPr>
            <w:r w:rsidRPr="00D06657">
              <w:t>An inferior but manageable safety profile</w:t>
            </w:r>
          </w:p>
        </w:tc>
      </w:tr>
    </w:tbl>
    <w:p w14:paraId="45ABC0E8" w14:textId="4CFB81FA" w:rsidR="00001C36" w:rsidRDefault="00001C36" w:rsidP="00DB7A6F">
      <w:pPr>
        <w:pStyle w:val="FooterTableFigure"/>
        <w:keepNext/>
      </w:pPr>
      <w:r>
        <w:t>Source: Table 1.1, p16 of the submission.</w:t>
      </w:r>
    </w:p>
    <w:p w14:paraId="527CA7F0" w14:textId="534BF204" w:rsidR="004E43B2" w:rsidRDefault="00001C36" w:rsidP="00DB7A6F">
      <w:pPr>
        <w:pStyle w:val="FooterTableFigure"/>
        <w:keepNext/>
      </w:pPr>
      <w:r>
        <w:t xml:space="preserve">DTC = differentiated thyroid carcinoma; </w:t>
      </w:r>
      <w:r w:rsidR="00D06657">
        <w:t xml:space="preserve">ORR = objective response rate; PFS = </w:t>
      </w:r>
      <w:r w:rsidR="008F6805">
        <w:t>progression-free</w:t>
      </w:r>
      <w:r w:rsidR="00D06657">
        <w:t xml:space="preserve"> survival; </w:t>
      </w:r>
      <w:r>
        <w:t>RAI = radioactive iodine; VEG</w:t>
      </w:r>
      <w:r w:rsidR="003229E2">
        <w:t>F</w:t>
      </w:r>
      <w:r>
        <w:t xml:space="preserve"> = </w:t>
      </w:r>
      <w:r w:rsidR="00D06657">
        <w:t>v</w:t>
      </w:r>
      <w:r>
        <w:t>ascular endothelial growth factor; WHO = World Health Organisation</w:t>
      </w:r>
      <w:r w:rsidR="008F6805">
        <w:t>.</w:t>
      </w:r>
    </w:p>
    <w:p w14:paraId="39AECA7F" w14:textId="66186A7B" w:rsidR="006C1559" w:rsidRPr="00E120DC" w:rsidRDefault="001E6FD4" w:rsidP="00001C36">
      <w:pPr>
        <w:pStyle w:val="FooterTableFigure"/>
        <w:rPr>
          <w:sz w:val="20"/>
          <w:szCs w:val="20"/>
        </w:rPr>
      </w:pPr>
      <w:r w:rsidRPr="00E120DC">
        <w:t xml:space="preserve">a </w:t>
      </w:r>
      <w:r w:rsidR="00DB7A6F" w:rsidRPr="00E120DC">
        <w:t xml:space="preserve">This </w:t>
      </w:r>
      <w:r w:rsidR="0BB7BC79" w:rsidRPr="00E120DC">
        <w:t>was</w:t>
      </w:r>
      <w:r w:rsidR="00DB7A6F" w:rsidRPr="00E120DC">
        <w:t xml:space="preserve"> inaccurate. The p</w:t>
      </w:r>
      <w:r w:rsidR="006C1559" w:rsidRPr="00E120DC">
        <w:t xml:space="preserve">roposed restriction </w:t>
      </w:r>
      <w:r w:rsidR="00D06657" w:rsidRPr="00E120DC">
        <w:t>was</w:t>
      </w:r>
      <w:r w:rsidR="006C1559" w:rsidRPr="00E120DC">
        <w:t xml:space="preserve"> for patients that have progressed following treatment with a tyrosine kinase inhibitor or have developed intolerance to prior VEGF-targeted therapy.</w:t>
      </w:r>
    </w:p>
    <w:p w14:paraId="6B4AB6C2" w14:textId="7F01D731" w:rsidR="005C25FF" w:rsidRPr="00407F2D" w:rsidRDefault="005C25FF" w:rsidP="004A6040">
      <w:pPr>
        <w:pStyle w:val="2-SectionHeading"/>
      </w:pPr>
      <w:bookmarkStart w:id="4" w:name="_Toc145504676"/>
      <w:r w:rsidRPr="00407F2D">
        <w:t>Background</w:t>
      </w:r>
      <w:bookmarkEnd w:id="4"/>
    </w:p>
    <w:p w14:paraId="2C521D6D" w14:textId="78CF03EE" w:rsidR="005C25FF" w:rsidRPr="004151CF" w:rsidRDefault="005C25FF" w:rsidP="004A6040">
      <w:pPr>
        <w:pStyle w:val="4-SubsectionHeading"/>
      </w:pPr>
      <w:bookmarkStart w:id="5" w:name="_Toc22897638"/>
      <w:bookmarkStart w:id="6" w:name="_Toc145504677"/>
      <w:r w:rsidRPr="004151CF">
        <w:t>Registration status</w:t>
      </w:r>
      <w:bookmarkEnd w:id="5"/>
      <w:bookmarkEnd w:id="6"/>
    </w:p>
    <w:p w14:paraId="3F4A59B8" w14:textId="44CA1B56" w:rsidR="009B1951" w:rsidRPr="009B1951" w:rsidRDefault="00001C36" w:rsidP="009B1951">
      <w:pPr>
        <w:pStyle w:val="3-BodyText"/>
      </w:pPr>
      <w:r w:rsidRPr="00001C36">
        <w:t>Cabozantinib was TGA</w:t>
      </w:r>
      <w:r w:rsidR="00BF02C0">
        <w:t>-</w:t>
      </w:r>
      <w:r w:rsidRPr="00001C36">
        <w:t xml:space="preserve">registered on 9 December 2022 for ‘the treatment of adult and paediatric patients aged 12 years and older with locally advanced or metastatic differentiated thyroid carcinoma (DTC) that has progressed during or after prior VEGF-targeted therapy and who are radioactive iodine (RAI) refractory or ineligible’. </w:t>
      </w:r>
    </w:p>
    <w:p w14:paraId="18CA4639" w14:textId="78A05362" w:rsidR="006F2CEC" w:rsidRDefault="006F2CEC" w:rsidP="006F2CEC">
      <w:pPr>
        <w:pStyle w:val="4-SubsectionHeading"/>
      </w:pPr>
      <w:bookmarkStart w:id="7" w:name="_Toc22897639"/>
      <w:bookmarkStart w:id="8" w:name="_Toc135145027"/>
      <w:bookmarkStart w:id="9" w:name="_Toc145504678"/>
      <w:r w:rsidRPr="006F2CEC">
        <w:lastRenderedPageBreak/>
        <w:t>Previous PBAC consideration</w:t>
      </w:r>
      <w:bookmarkEnd w:id="7"/>
      <w:bookmarkEnd w:id="8"/>
      <w:bookmarkEnd w:id="9"/>
    </w:p>
    <w:p w14:paraId="365D31DA" w14:textId="77777777" w:rsidR="00E120DC" w:rsidRDefault="006F2CEC" w:rsidP="00E120DC">
      <w:pPr>
        <w:pStyle w:val="3-BodyText"/>
      </w:pPr>
      <w:r>
        <w:t>The PBAC has not previously considered cabozantinib for this indication.</w:t>
      </w:r>
    </w:p>
    <w:p w14:paraId="2CCF7658" w14:textId="1ED62E89" w:rsidR="006C00E7" w:rsidRDefault="006F2CEC" w:rsidP="00E120DC">
      <w:pPr>
        <w:pStyle w:val="3-BodyText"/>
      </w:pPr>
      <w:r>
        <w:t>The PBAC previously recommended PBS listing of cabozantinib for</w:t>
      </w:r>
      <w:r w:rsidR="002A03DD">
        <w:t xml:space="preserve"> patients with</w:t>
      </w:r>
      <w:r w:rsidR="002A03DD" w:rsidRPr="002A03DD">
        <w:t xml:space="preserve"> </w:t>
      </w:r>
      <w:r w:rsidR="002A03DD">
        <w:t>Stage</w:t>
      </w:r>
      <w:r w:rsidR="00284B59">
        <w:t> </w:t>
      </w:r>
      <w:r w:rsidR="002A03DD">
        <w:t>IV (unresectable) clear cell variant renal clear carcinoma (RCC)</w:t>
      </w:r>
      <w:r w:rsidR="00E120DC">
        <w:t xml:space="preserve"> </w:t>
      </w:r>
      <w:r w:rsidR="00AF1E6C">
        <w:t>w</w:t>
      </w:r>
      <w:r w:rsidR="006C00E7">
        <w:t>hose disease is progressive following first-line treatment with a TKI</w:t>
      </w:r>
      <w:r w:rsidR="002A03DD">
        <w:t xml:space="preserve"> (i.e.</w:t>
      </w:r>
      <w:r w:rsidR="007D3B2E">
        <w:t>,</w:t>
      </w:r>
      <w:r w:rsidR="002A03DD">
        <w:t xml:space="preserve"> second-line)</w:t>
      </w:r>
      <w:r>
        <w:t>, on a cost-minimisation basis against nivolumab (</w:t>
      </w:r>
      <w:r w:rsidR="00823302">
        <w:t>para</w:t>
      </w:r>
      <w:r w:rsidR="00E120DC">
        <w:t>graph</w:t>
      </w:r>
      <w:r w:rsidR="00557FB7">
        <w:t xml:space="preserve"> 7.1, cabozantinib </w:t>
      </w:r>
      <w:r w:rsidR="00F3057C">
        <w:t>Public Summary Document (</w:t>
      </w:r>
      <w:r w:rsidR="00557FB7">
        <w:t>PSD</w:t>
      </w:r>
      <w:r w:rsidR="00F3057C">
        <w:t>)</w:t>
      </w:r>
      <w:r w:rsidR="00557FB7">
        <w:t>, December 2017 PBAC meeting</w:t>
      </w:r>
      <w:r>
        <w:t>)</w:t>
      </w:r>
      <w:r w:rsidR="00E120DC">
        <w:t>.</w:t>
      </w:r>
    </w:p>
    <w:p w14:paraId="2E986209" w14:textId="24A102B8" w:rsidR="006F2CEC" w:rsidRDefault="006F2CEC" w:rsidP="00A20EFB">
      <w:pPr>
        <w:pStyle w:val="3-BodyText"/>
      </w:pPr>
      <w:r>
        <w:t xml:space="preserve">The PBAC </w:t>
      </w:r>
      <w:r w:rsidR="006C00E7">
        <w:t xml:space="preserve">previously </w:t>
      </w:r>
      <w:r w:rsidR="00232E60">
        <w:t xml:space="preserve">did </w:t>
      </w:r>
      <w:r w:rsidR="006C00E7">
        <w:t>not recommend PBS listing of cabozantinib for</w:t>
      </w:r>
      <w:r w:rsidR="00A20EFB">
        <w:t xml:space="preserve"> the treatment of patients</w:t>
      </w:r>
      <w:r w:rsidR="006C00E7">
        <w:t xml:space="preserve"> with Barcelona-Clinic Liver Cancer (BCLC) B or C advanced hepatocellular carcinoma (HCC), </w:t>
      </w:r>
      <w:r w:rsidR="006D7E3D">
        <w:t>World Health Organisation/</w:t>
      </w:r>
      <w:r w:rsidR="006D7E3D" w:rsidRPr="006D7E3D">
        <w:t>Eastern Cooperative Oncology Group (</w:t>
      </w:r>
      <w:r w:rsidR="006C00E7">
        <w:t>WHO</w:t>
      </w:r>
      <w:r w:rsidR="00A20EFB">
        <w:t>/ECOG</w:t>
      </w:r>
      <w:r w:rsidR="006D7E3D">
        <w:t>)</w:t>
      </w:r>
      <w:r w:rsidR="006C00E7">
        <w:t xml:space="preserve"> performance status ≤1 and Child Pugh A disease previously treated with sorafenib</w:t>
      </w:r>
      <w:r w:rsidR="00A20EFB">
        <w:t>. The PBAC considered</w:t>
      </w:r>
      <w:r w:rsidR="00B85979">
        <w:t xml:space="preserve"> that</w:t>
      </w:r>
      <w:r w:rsidR="00A20EFB">
        <w:t xml:space="preserve"> the clinical benefits of cabozantinib were modest with considerable toxicity</w:t>
      </w:r>
      <w:r w:rsidR="00AF1E6C">
        <w:t>,</w:t>
      </w:r>
      <w:r w:rsidR="00E120DC">
        <w:t xml:space="preserve"> </w:t>
      </w:r>
      <w:r w:rsidR="00A20EFB">
        <w:t xml:space="preserve">the incremental cost-effectiveness ratio (ICER) was unacceptably high </w:t>
      </w:r>
      <w:r w:rsidR="00AF1E6C">
        <w:t>and</w:t>
      </w:r>
      <w:r w:rsidR="00A20EFB">
        <w:t xml:space="preserve"> the financial impact of listing cabozantinib </w:t>
      </w:r>
      <w:r w:rsidR="00C0443D">
        <w:t>was</w:t>
      </w:r>
      <w:r w:rsidR="00A20EFB">
        <w:t xml:space="preserve"> uncertain</w:t>
      </w:r>
      <w:r w:rsidR="006C00E7">
        <w:t xml:space="preserve"> (</w:t>
      </w:r>
      <w:r w:rsidR="00823302">
        <w:t>para</w:t>
      </w:r>
      <w:r w:rsidR="00E120DC">
        <w:t>graph</w:t>
      </w:r>
      <w:r w:rsidR="00A20EFB">
        <w:t xml:space="preserve"> </w:t>
      </w:r>
      <w:r w:rsidR="00ED4CDE">
        <w:t xml:space="preserve">7.1, cabozantinib PSD, </w:t>
      </w:r>
      <w:r w:rsidR="006C00E7">
        <w:t>July 2019 PBAC meeting).</w:t>
      </w:r>
    </w:p>
    <w:p w14:paraId="068FCEC9" w14:textId="2C66C6B6" w:rsidR="006C00E7" w:rsidRDefault="006C00E7" w:rsidP="00A20EFB">
      <w:pPr>
        <w:pStyle w:val="3-BodyText"/>
      </w:pPr>
      <w:r>
        <w:t xml:space="preserve">The PBAC previously recommended PBS listing of </w:t>
      </w:r>
      <w:r w:rsidR="00A20EFB">
        <w:t>lenvatinib</w:t>
      </w:r>
      <w:r>
        <w:t xml:space="preserve"> for</w:t>
      </w:r>
      <w:r w:rsidR="00A20EFB">
        <w:t xml:space="preserve"> the treatment of </w:t>
      </w:r>
      <w:r w:rsidR="00BC2009">
        <w:t xml:space="preserve">locally advanced or metastatic, </w:t>
      </w:r>
      <w:r w:rsidR="00A20EFB">
        <w:t>RAI refractory DTC on the basis of acceptable cost effectiveness over BSC (</w:t>
      </w:r>
      <w:r w:rsidR="00823302">
        <w:t>para</w:t>
      </w:r>
      <w:r w:rsidR="00E120DC">
        <w:t>graph</w:t>
      </w:r>
      <w:r w:rsidR="00232E60">
        <w:t xml:space="preserve"> 5.1, lenvatinib PSD, July 2016 PBAC meeting</w:t>
      </w:r>
      <w:r w:rsidR="00A20EFB">
        <w:t>).</w:t>
      </w:r>
    </w:p>
    <w:p w14:paraId="653DF812" w14:textId="446DE9F6" w:rsidR="00232E60" w:rsidRDefault="00232E60" w:rsidP="002770A3">
      <w:pPr>
        <w:pStyle w:val="3-BodyText"/>
      </w:pPr>
      <w:r>
        <w:t>The PBAC previously deferred PBS listing of sorafenib for the treatment of locally advanced or metastatic, RAI refractory DTC as the re-submission had not provided a reliable estimate of the cost-effectiveness of sorafenib in this setting, and wished to see the results of its preferred re-specifications for the base case of the economic model (</w:t>
      </w:r>
      <w:r w:rsidR="00823302">
        <w:t>para</w:t>
      </w:r>
      <w:r w:rsidR="00E120DC">
        <w:t>graph</w:t>
      </w:r>
      <w:r>
        <w:t xml:space="preserve"> 7.1, sorafenib PSD, November 2015 PBAC meeting). </w:t>
      </w:r>
      <w:r w:rsidR="00A31DD0">
        <w:t xml:space="preserve">No further action </w:t>
      </w:r>
      <w:r w:rsidR="004221D8">
        <w:t xml:space="preserve">has been </w:t>
      </w:r>
      <w:r w:rsidR="00A31DD0">
        <w:t>taken by the sponsor.</w:t>
      </w:r>
    </w:p>
    <w:p w14:paraId="47B55FA7" w14:textId="1D4E03C7" w:rsidR="00427986" w:rsidRPr="00427986" w:rsidRDefault="00427986" w:rsidP="00427986">
      <w:pPr>
        <w:pStyle w:val="3-BodyText"/>
        <w:numPr>
          <w:ilvl w:val="0"/>
          <w:numId w:val="0"/>
        </w:numPr>
        <w:ind w:left="720"/>
        <w:rPr>
          <w:i/>
          <w:iCs/>
        </w:rPr>
      </w:pPr>
      <w:r w:rsidRPr="00427986">
        <w:rPr>
          <w:i/>
          <w:iCs/>
        </w:rPr>
        <w:t>For more detail on PBAC’s view, see section 7 PBAC outcome.</w:t>
      </w:r>
    </w:p>
    <w:p w14:paraId="76E4EF3C" w14:textId="4F9669D8" w:rsidR="00B60939" w:rsidRPr="00882085" w:rsidRDefault="00B50DB8" w:rsidP="004E18E9">
      <w:pPr>
        <w:pStyle w:val="2-SectionHeading"/>
      </w:pPr>
      <w:bookmarkStart w:id="10" w:name="_Toc107902078"/>
      <w:bookmarkStart w:id="11" w:name="_Toc145504679"/>
      <w:bookmarkEnd w:id="10"/>
      <w:r w:rsidRPr="00407F2D">
        <w:t>Requested listing</w:t>
      </w:r>
      <w:bookmarkEnd w:id="11"/>
    </w:p>
    <w:p w14:paraId="4AC20461" w14:textId="77777777" w:rsidR="00985104" w:rsidRDefault="00985104" w:rsidP="00985104">
      <w:pPr>
        <w:pStyle w:val="3-BodyText"/>
      </w:pPr>
      <w:r>
        <w:t>Suggested additions proposed by the Secretariat are in italics, suggested deletions in strikethrough.</w:t>
      </w: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2450"/>
        <w:gridCol w:w="835"/>
        <w:gridCol w:w="834"/>
        <w:gridCol w:w="835"/>
        <w:gridCol w:w="1635"/>
      </w:tblGrid>
      <w:tr w:rsidR="009E483D" w:rsidRPr="001428E9" w14:paraId="7493DE0B" w14:textId="77777777" w:rsidTr="00B17422">
        <w:trPr>
          <w:cantSplit/>
          <w:trHeight w:val="20"/>
        </w:trPr>
        <w:tc>
          <w:tcPr>
            <w:tcW w:w="2411" w:type="dxa"/>
            <w:vAlign w:val="center"/>
          </w:tcPr>
          <w:p w14:paraId="68E35035" w14:textId="77777777" w:rsidR="009E483D" w:rsidRPr="001428E9" w:rsidRDefault="009E483D" w:rsidP="002770A3">
            <w:pPr>
              <w:keepNext/>
              <w:keepLines/>
              <w:jc w:val="center"/>
              <w:rPr>
                <w:rFonts w:ascii="Arial Narrow" w:hAnsi="Arial Narrow"/>
                <w:b/>
                <w:bCs/>
                <w:sz w:val="20"/>
                <w:szCs w:val="20"/>
              </w:rPr>
            </w:pPr>
            <w:r w:rsidRPr="001428E9">
              <w:rPr>
                <w:rFonts w:ascii="Arial Narrow" w:hAnsi="Arial Narrow"/>
                <w:b/>
                <w:bCs/>
                <w:sz w:val="20"/>
                <w:szCs w:val="20"/>
              </w:rPr>
              <w:t>MEDICINAL PRODUCT</w:t>
            </w:r>
          </w:p>
          <w:p w14:paraId="7388F876" w14:textId="77777777" w:rsidR="009E483D" w:rsidRPr="001428E9" w:rsidRDefault="009E483D" w:rsidP="002770A3">
            <w:pPr>
              <w:keepNext/>
              <w:keepLines/>
              <w:jc w:val="center"/>
              <w:rPr>
                <w:rFonts w:ascii="Arial Narrow" w:hAnsi="Arial Narrow"/>
                <w:b/>
                <w:sz w:val="20"/>
                <w:szCs w:val="20"/>
              </w:rPr>
            </w:pPr>
            <w:r w:rsidRPr="001428E9">
              <w:rPr>
                <w:rFonts w:ascii="Arial Narrow" w:hAnsi="Arial Narrow"/>
                <w:b/>
                <w:bCs/>
                <w:sz w:val="20"/>
                <w:szCs w:val="20"/>
              </w:rPr>
              <w:t>medicinal product pack</w:t>
            </w:r>
          </w:p>
        </w:tc>
        <w:tc>
          <w:tcPr>
            <w:tcW w:w="2450" w:type="dxa"/>
            <w:vAlign w:val="center"/>
          </w:tcPr>
          <w:p w14:paraId="68B0C6B1" w14:textId="77777777" w:rsidR="009E483D" w:rsidRPr="00C61A59" w:rsidRDefault="009E483D" w:rsidP="002770A3">
            <w:pPr>
              <w:pStyle w:val="TableText0"/>
              <w:keepLines/>
              <w:jc w:val="center"/>
              <w:rPr>
                <w:b/>
                <w:bCs w:val="0"/>
                <w:szCs w:val="20"/>
              </w:rPr>
            </w:pPr>
            <w:r w:rsidRPr="00C61A59">
              <w:rPr>
                <w:b/>
                <w:bCs w:val="0"/>
                <w:snapToGrid w:val="0"/>
              </w:rPr>
              <w:t>Dispensed Price for Max. Qty</w:t>
            </w:r>
          </w:p>
        </w:tc>
        <w:tc>
          <w:tcPr>
            <w:tcW w:w="835" w:type="dxa"/>
            <w:vAlign w:val="center"/>
          </w:tcPr>
          <w:p w14:paraId="60C37001" w14:textId="77777777" w:rsidR="009E483D" w:rsidRPr="001428E9" w:rsidRDefault="009E483D" w:rsidP="002770A3">
            <w:pPr>
              <w:keepNext/>
              <w:keepLines/>
              <w:jc w:val="center"/>
              <w:rPr>
                <w:rFonts w:ascii="Arial Narrow" w:hAnsi="Arial Narrow"/>
                <w:b/>
                <w:sz w:val="20"/>
                <w:szCs w:val="20"/>
              </w:rPr>
            </w:pPr>
            <w:r w:rsidRPr="001428E9">
              <w:rPr>
                <w:rFonts w:ascii="Arial Narrow" w:hAnsi="Arial Narrow"/>
                <w:b/>
                <w:sz w:val="20"/>
                <w:szCs w:val="20"/>
              </w:rPr>
              <w:t>Max. qty packs</w:t>
            </w:r>
          </w:p>
        </w:tc>
        <w:tc>
          <w:tcPr>
            <w:tcW w:w="834" w:type="dxa"/>
            <w:vAlign w:val="center"/>
          </w:tcPr>
          <w:p w14:paraId="44ACD24B" w14:textId="77777777" w:rsidR="009E483D" w:rsidRPr="001428E9" w:rsidRDefault="009E483D" w:rsidP="002770A3">
            <w:pPr>
              <w:keepNext/>
              <w:keepLines/>
              <w:jc w:val="center"/>
              <w:rPr>
                <w:rFonts w:ascii="Arial Narrow" w:hAnsi="Arial Narrow"/>
                <w:b/>
                <w:sz w:val="20"/>
                <w:szCs w:val="20"/>
              </w:rPr>
            </w:pPr>
            <w:r w:rsidRPr="001428E9">
              <w:rPr>
                <w:rFonts w:ascii="Arial Narrow" w:hAnsi="Arial Narrow"/>
                <w:b/>
                <w:sz w:val="20"/>
                <w:szCs w:val="20"/>
              </w:rPr>
              <w:t>Max. qty units</w:t>
            </w:r>
          </w:p>
        </w:tc>
        <w:tc>
          <w:tcPr>
            <w:tcW w:w="835" w:type="dxa"/>
            <w:vAlign w:val="center"/>
          </w:tcPr>
          <w:p w14:paraId="350C71B8" w14:textId="77777777" w:rsidR="009E483D" w:rsidRPr="001428E9" w:rsidRDefault="009E483D" w:rsidP="002770A3">
            <w:pPr>
              <w:keepNext/>
              <w:keepLines/>
              <w:jc w:val="center"/>
              <w:rPr>
                <w:rFonts w:ascii="Arial Narrow" w:hAnsi="Arial Narrow"/>
                <w:b/>
                <w:sz w:val="20"/>
                <w:szCs w:val="20"/>
              </w:rPr>
            </w:pPr>
            <w:r w:rsidRPr="001428E9">
              <w:rPr>
                <w:rFonts w:ascii="Arial Narrow" w:hAnsi="Arial Narrow"/>
                <w:b/>
                <w:sz w:val="20"/>
                <w:szCs w:val="20"/>
              </w:rPr>
              <w:t>№.of</w:t>
            </w:r>
          </w:p>
          <w:p w14:paraId="39737DF4" w14:textId="77777777" w:rsidR="009E483D" w:rsidRPr="001428E9" w:rsidRDefault="009E483D" w:rsidP="002770A3">
            <w:pPr>
              <w:keepNext/>
              <w:keepLines/>
              <w:jc w:val="center"/>
              <w:rPr>
                <w:rFonts w:ascii="Arial Narrow" w:hAnsi="Arial Narrow"/>
                <w:b/>
                <w:sz w:val="20"/>
                <w:szCs w:val="20"/>
              </w:rPr>
            </w:pPr>
            <w:r w:rsidRPr="001428E9">
              <w:rPr>
                <w:rFonts w:ascii="Arial Narrow" w:hAnsi="Arial Narrow"/>
                <w:b/>
                <w:sz w:val="20"/>
                <w:szCs w:val="20"/>
              </w:rPr>
              <w:t>Rpts</w:t>
            </w:r>
          </w:p>
        </w:tc>
        <w:tc>
          <w:tcPr>
            <w:tcW w:w="1635" w:type="dxa"/>
            <w:vAlign w:val="center"/>
          </w:tcPr>
          <w:p w14:paraId="1EB3D8E0" w14:textId="77777777" w:rsidR="009E483D" w:rsidRPr="001428E9" w:rsidRDefault="009E483D" w:rsidP="002770A3">
            <w:pPr>
              <w:keepNext/>
              <w:keepLines/>
              <w:jc w:val="center"/>
              <w:rPr>
                <w:rFonts w:ascii="Arial Narrow" w:hAnsi="Arial Narrow"/>
                <w:b/>
                <w:sz w:val="20"/>
                <w:szCs w:val="20"/>
                <w:lang w:val="fr-FR"/>
              </w:rPr>
            </w:pPr>
            <w:r w:rsidRPr="001428E9">
              <w:rPr>
                <w:rFonts w:ascii="Arial Narrow" w:hAnsi="Arial Narrow"/>
                <w:b/>
                <w:sz w:val="20"/>
                <w:szCs w:val="20"/>
              </w:rPr>
              <w:t>Available brands</w:t>
            </w:r>
          </w:p>
        </w:tc>
      </w:tr>
      <w:tr w:rsidR="009E483D" w:rsidRPr="001428E9" w14:paraId="6CC003AD" w14:textId="77777777" w:rsidTr="00B17422">
        <w:trPr>
          <w:cantSplit/>
          <w:trHeight w:val="20"/>
        </w:trPr>
        <w:tc>
          <w:tcPr>
            <w:tcW w:w="9000" w:type="dxa"/>
            <w:gridSpan w:val="6"/>
            <w:vAlign w:val="center"/>
          </w:tcPr>
          <w:p w14:paraId="67BA2F93" w14:textId="77777777" w:rsidR="009E483D" w:rsidRPr="00632A2B" w:rsidRDefault="009E483D" w:rsidP="002770A3">
            <w:pPr>
              <w:pStyle w:val="TableText0"/>
              <w:keepLines/>
              <w:rPr>
                <w:rFonts w:cs="Arial"/>
                <w:szCs w:val="20"/>
              </w:rPr>
            </w:pPr>
            <w:r w:rsidRPr="00632A2B">
              <w:rPr>
                <w:rFonts w:cs="Arial"/>
                <w:szCs w:val="20"/>
              </w:rPr>
              <w:t>CABOZANTINIB</w:t>
            </w:r>
          </w:p>
        </w:tc>
      </w:tr>
      <w:tr w:rsidR="009E483D" w:rsidRPr="003A4C14" w14:paraId="16E5F0F6" w14:textId="77777777" w:rsidTr="00B17422">
        <w:trPr>
          <w:cantSplit/>
          <w:trHeight w:val="20"/>
        </w:trPr>
        <w:tc>
          <w:tcPr>
            <w:tcW w:w="2411" w:type="dxa"/>
            <w:vAlign w:val="center"/>
          </w:tcPr>
          <w:p w14:paraId="1D59E58E" w14:textId="77777777" w:rsidR="009E483D" w:rsidRDefault="009E483D" w:rsidP="002770A3">
            <w:pPr>
              <w:pStyle w:val="TableText0"/>
              <w:keepLines/>
            </w:pPr>
            <w:r>
              <w:t>C</w:t>
            </w:r>
            <w:r w:rsidRPr="00632A2B">
              <w:t>abozantinib</w:t>
            </w:r>
          </w:p>
          <w:p w14:paraId="1CC84D08" w14:textId="77777777" w:rsidR="009E483D" w:rsidRPr="00632A2B" w:rsidRDefault="009E483D" w:rsidP="002770A3">
            <w:pPr>
              <w:keepNext/>
              <w:keepLines/>
              <w:rPr>
                <w:rFonts w:ascii="Arial Narrow" w:hAnsi="Arial Narrow"/>
                <w:sz w:val="20"/>
                <w:szCs w:val="20"/>
              </w:rPr>
            </w:pPr>
            <w:r w:rsidRPr="00632A2B">
              <w:rPr>
                <w:rFonts w:ascii="Arial Narrow" w:hAnsi="Arial Narrow"/>
                <w:sz w:val="20"/>
                <w:szCs w:val="20"/>
              </w:rPr>
              <w:t xml:space="preserve">20 mg tablet, 30 </w:t>
            </w:r>
          </w:p>
        </w:tc>
        <w:tc>
          <w:tcPr>
            <w:tcW w:w="2450" w:type="dxa"/>
          </w:tcPr>
          <w:p w14:paraId="4B3FFA95" w14:textId="45F49C82" w:rsidR="009E483D" w:rsidRPr="00565C79" w:rsidRDefault="009E483D" w:rsidP="00BC2009">
            <w:pPr>
              <w:pStyle w:val="TableText0"/>
              <w:keepLines/>
              <w:jc w:val="center"/>
            </w:pPr>
            <w:r w:rsidRPr="00565C79">
              <w:t>$</w:t>
            </w:r>
            <w:r w:rsidRPr="00632A2B">
              <w:t>9,961.22</w:t>
            </w:r>
            <w:r w:rsidR="00EC1B30">
              <w:rPr>
                <w:vertAlign w:val="superscript"/>
              </w:rPr>
              <w:t>a</w:t>
            </w:r>
            <w:r>
              <w:t xml:space="preserve"> published price</w:t>
            </w:r>
          </w:p>
          <w:p w14:paraId="707CF553" w14:textId="646C68CF" w:rsidR="009E483D" w:rsidRPr="001428E9" w:rsidRDefault="00B1620B" w:rsidP="00BC2009">
            <w:pPr>
              <w:pStyle w:val="TableText0"/>
              <w:keepLines/>
              <w:jc w:val="center"/>
              <w:rPr>
                <w:szCs w:val="20"/>
              </w:rPr>
            </w:pPr>
            <w:r>
              <w:t>$</w:t>
            </w:r>
            <w:r w:rsidR="005860C6" w:rsidRPr="00B1620B">
              <w:rPr>
                <w:rFonts w:hint="eastAsia"/>
                <w:color w:val="000000"/>
                <w:w w:val="15"/>
                <w:shd w:val="solid" w:color="000000" w:fill="000000"/>
                <w:fitText w:val="50" w:id="-1032107264"/>
                <w14:textFill>
                  <w14:solidFill>
                    <w14:srgbClr w14:val="000000">
                      <w14:alpha w14:val="100000"/>
                    </w14:srgbClr>
                  </w14:solidFill>
                </w14:textFill>
              </w:rPr>
              <w:t xml:space="preserve">　</w:t>
            </w:r>
            <w:r w:rsidR="005860C6" w:rsidRPr="00B1620B">
              <w:rPr>
                <w:color w:val="000000"/>
                <w:w w:val="15"/>
                <w:shd w:val="solid" w:color="000000" w:fill="000000"/>
                <w:fitText w:val="50" w:id="-1032107264"/>
                <w14:textFill>
                  <w14:solidFill>
                    <w14:srgbClr w14:val="000000">
                      <w14:alpha w14:val="100000"/>
                    </w14:srgbClr>
                  </w14:solidFill>
                </w14:textFill>
              </w:rPr>
              <w:t>|</w:t>
            </w:r>
            <w:r w:rsidR="005860C6" w:rsidRPr="00B1620B">
              <w:rPr>
                <w:rFonts w:hint="eastAsia"/>
                <w:color w:val="000000"/>
                <w:spacing w:val="-15"/>
                <w:w w:val="15"/>
                <w:shd w:val="solid" w:color="000000" w:fill="000000"/>
                <w:fitText w:val="50" w:id="-1032107264"/>
                <w14:textFill>
                  <w14:solidFill>
                    <w14:srgbClr w14:val="000000">
                      <w14:alpha w14:val="100000"/>
                    </w14:srgbClr>
                  </w14:solidFill>
                </w14:textFill>
              </w:rPr>
              <w:t xml:space="preserve">　</w:t>
            </w:r>
            <w:r w:rsidR="00247602">
              <w:t xml:space="preserve"> </w:t>
            </w:r>
            <w:r w:rsidR="009E483D">
              <w:t>effective price</w:t>
            </w:r>
          </w:p>
        </w:tc>
        <w:tc>
          <w:tcPr>
            <w:tcW w:w="835" w:type="dxa"/>
            <w:vAlign w:val="center"/>
          </w:tcPr>
          <w:p w14:paraId="04DC7122" w14:textId="77777777" w:rsidR="009E483D" w:rsidRPr="001428E9" w:rsidRDefault="009E483D" w:rsidP="002770A3">
            <w:pPr>
              <w:keepNext/>
              <w:keepLines/>
              <w:jc w:val="center"/>
              <w:rPr>
                <w:rFonts w:ascii="Arial Narrow" w:hAnsi="Arial Narrow"/>
                <w:sz w:val="20"/>
                <w:szCs w:val="20"/>
              </w:rPr>
            </w:pPr>
            <w:r>
              <w:rPr>
                <w:rFonts w:ascii="Arial Narrow" w:hAnsi="Arial Narrow"/>
                <w:sz w:val="20"/>
              </w:rPr>
              <w:t>1</w:t>
            </w:r>
          </w:p>
        </w:tc>
        <w:tc>
          <w:tcPr>
            <w:tcW w:w="834" w:type="dxa"/>
            <w:vAlign w:val="center"/>
          </w:tcPr>
          <w:p w14:paraId="17ECE21F" w14:textId="77777777" w:rsidR="009E483D" w:rsidRPr="001428E9" w:rsidRDefault="009E483D" w:rsidP="002770A3">
            <w:pPr>
              <w:keepNext/>
              <w:keepLines/>
              <w:jc w:val="center"/>
              <w:rPr>
                <w:rFonts w:ascii="Arial Narrow" w:hAnsi="Arial Narrow"/>
                <w:sz w:val="20"/>
                <w:szCs w:val="20"/>
              </w:rPr>
            </w:pPr>
            <w:r>
              <w:rPr>
                <w:rFonts w:ascii="Arial Narrow" w:hAnsi="Arial Narrow"/>
                <w:sz w:val="20"/>
              </w:rPr>
              <w:t>30</w:t>
            </w:r>
          </w:p>
        </w:tc>
        <w:tc>
          <w:tcPr>
            <w:tcW w:w="835" w:type="dxa"/>
            <w:vAlign w:val="center"/>
          </w:tcPr>
          <w:p w14:paraId="75AB7EA6" w14:textId="77777777" w:rsidR="009E483D" w:rsidRPr="001428E9" w:rsidRDefault="009E483D" w:rsidP="002770A3">
            <w:pPr>
              <w:keepNext/>
              <w:keepLines/>
              <w:jc w:val="center"/>
              <w:rPr>
                <w:rFonts w:ascii="Arial Narrow" w:hAnsi="Arial Narrow"/>
                <w:sz w:val="20"/>
                <w:szCs w:val="20"/>
              </w:rPr>
            </w:pPr>
            <w:r>
              <w:rPr>
                <w:rFonts w:ascii="Arial Narrow" w:hAnsi="Arial Narrow"/>
                <w:sz w:val="20"/>
              </w:rPr>
              <w:t>2</w:t>
            </w:r>
          </w:p>
        </w:tc>
        <w:tc>
          <w:tcPr>
            <w:tcW w:w="1635" w:type="dxa"/>
            <w:vAlign w:val="center"/>
          </w:tcPr>
          <w:p w14:paraId="4F2699C5" w14:textId="287F38ED" w:rsidR="009E483D" w:rsidRPr="00632A2B" w:rsidRDefault="009E483D" w:rsidP="002770A3">
            <w:pPr>
              <w:keepNext/>
              <w:keepLines/>
              <w:jc w:val="left"/>
              <w:rPr>
                <w:rFonts w:ascii="Arial Narrow" w:hAnsi="Arial Narrow"/>
                <w:sz w:val="20"/>
                <w:szCs w:val="20"/>
              </w:rPr>
            </w:pPr>
            <w:r w:rsidRPr="00632A2B">
              <w:rPr>
                <w:rFonts w:ascii="Arial Narrow" w:hAnsi="Arial Narrow"/>
                <w:sz w:val="20"/>
                <w:szCs w:val="20"/>
              </w:rPr>
              <w:t>Cabometyx</w:t>
            </w:r>
            <w:r>
              <w:rPr>
                <w:rFonts w:ascii="Arial Narrow" w:hAnsi="Arial Narrow"/>
                <w:sz w:val="20"/>
                <w:szCs w:val="20"/>
              </w:rPr>
              <w:t xml:space="preserve">, </w:t>
            </w:r>
            <w:r w:rsidR="007E0A4C">
              <w:rPr>
                <w:rFonts w:ascii="Arial Narrow" w:hAnsi="Arial Narrow"/>
                <w:sz w:val="20"/>
                <w:szCs w:val="20"/>
              </w:rPr>
              <w:br/>
            </w:r>
            <w:r w:rsidRPr="00632A2B">
              <w:rPr>
                <w:rFonts w:ascii="Arial Narrow" w:hAnsi="Arial Narrow"/>
                <w:sz w:val="20"/>
                <w:szCs w:val="20"/>
              </w:rPr>
              <w:t>Ipsen Pty Ltd</w:t>
            </w:r>
          </w:p>
        </w:tc>
      </w:tr>
      <w:tr w:rsidR="009E483D" w:rsidRPr="003A4C14" w14:paraId="58C6F759" w14:textId="77777777" w:rsidTr="00B17422">
        <w:trPr>
          <w:cantSplit/>
          <w:trHeight w:val="20"/>
        </w:trPr>
        <w:tc>
          <w:tcPr>
            <w:tcW w:w="2411" w:type="dxa"/>
            <w:vAlign w:val="center"/>
          </w:tcPr>
          <w:p w14:paraId="0E59D168" w14:textId="77777777" w:rsidR="009E483D" w:rsidRDefault="009E483D" w:rsidP="002770A3">
            <w:pPr>
              <w:pStyle w:val="TableText0"/>
              <w:keepLines/>
            </w:pPr>
            <w:r>
              <w:t>Cabozantinib</w:t>
            </w:r>
          </w:p>
          <w:p w14:paraId="26C33390" w14:textId="77777777" w:rsidR="009E483D" w:rsidRDefault="009E483D" w:rsidP="002770A3">
            <w:pPr>
              <w:pStyle w:val="TableText0"/>
              <w:keepLines/>
            </w:pPr>
            <w:r>
              <w:t>40 mg tablet, 30</w:t>
            </w:r>
          </w:p>
        </w:tc>
        <w:tc>
          <w:tcPr>
            <w:tcW w:w="2450" w:type="dxa"/>
          </w:tcPr>
          <w:p w14:paraId="299DD84E" w14:textId="54250EA1" w:rsidR="009E483D" w:rsidRDefault="009E483D" w:rsidP="00BC2009">
            <w:pPr>
              <w:pStyle w:val="TableText0"/>
              <w:keepLines/>
              <w:jc w:val="center"/>
            </w:pPr>
            <w:r>
              <w:t>$9,961.22</w:t>
            </w:r>
            <w:r w:rsidR="00EC1B30">
              <w:rPr>
                <w:vertAlign w:val="superscript"/>
              </w:rPr>
              <w:t>a</w:t>
            </w:r>
            <w:r>
              <w:t xml:space="preserve"> published price</w:t>
            </w:r>
          </w:p>
          <w:p w14:paraId="277FFCA2" w14:textId="6C57AF6B" w:rsidR="009E483D" w:rsidRPr="00565C79" w:rsidRDefault="00B1620B" w:rsidP="00BC2009">
            <w:pPr>
              <w:pStyle w:val="TableText0"/>
              <w:keepLines/>
              <w:jc w:val="center"/>
            </w:pPr>
            <w:r>
              <w:t>$</w:t>
            </w:r>
            <w:r w:rsidR="005860C6" w:rsidRPr="00B1620B">
              <w:rPr>
                <w:rFonts w:hint="eastAsia"/>
                <w:color w:val="000000"/>
                <w:w w:val="15"/>
                <w:shd w:val="solid" w:color="000000" w:fill="000000"/>
                <w:fitText w:val="30" w:id="-1032107263"/>
                <w14:textFill>
                  <w14:solidFill>
                    <w14:srgbClr w14:val="000000">
                      <w14:alpha w14:val="100000"/>
                    </w14:srgbClr>
                  </w14:solidFill>
                </w14:textFill>
              </w:rPr>
              <w:t xml:space="preserve">　</w:t>
            </w:r>
            <w:r w:rsidR="005860C6" w:rsidRPr="00B1620B">
              <w:rPr>
                <w:color w:val="000000"/>
                <w:w w:val="15"/>
                <w:shd w:val="solid" w:color="000000" w:fill="000000"/>
                <w:fitText w:val="30" w:id="-1032107263"/>
                <w14:textFill>
                  <w14:solidFill>
                    <w14:srgbClr w14:val="000000">
                      <w14:alpha w14:val="100000"/>
                    </w14:srgbClr>
                  </w14:solidFill>
                </w14:textFill>
              </w:rPr>
              <w:t>|</w:t>
            </w:r>
            <w:r w:rsidR="005860C6" w:rsidRPr="00B1620B">
              <w:rPr>
                <w:rFonts w:hint="eastAsia"/>
                <w:color w:val="000000"/>
                <w:spacing w:val="-35"/>
                <w:w w:val="15"/>
                <w:shd w:val="solid" w:color="000000" w:fill="000000"/>
                <w:fitText w:val="30" w:id="-1032107263"/>
                <w14:textFill>
                  <w14:solidFill>
                    <w14:srgbClr w14:val="000000">
                      <w14:alpha w14:val="100000"/>
                    </w14:srgbClr>
                  </w14:solidFill>
                </w14:textFill>
              </w:rPr>
              <w:t xml:space="preserve">　</w:t>
            </w:r>
            <w:r w:rsidR="009E483D">
              <w:t xml:space="preserve"> effective price</w:t>
            </w:r>
          </w:p>
        </w:tc>
        <w:tc>
          <w:tcPr>
            <w:tcW w:w="835" w:type="dxa"/>
            <w:vAlign w:val="center"/>
          </w:tcPr>
          <w:p w14:paraId="740B9396" w14:textId="77777777" w:rsidR="009E483D" w:rsidRPr="001C37BA" w:rsidRDefault="009E483D" w:rsidP="002770A3">
            <w:pPr>
              <w:keepNext/>
              <w:keepLines/>
              <w:jc w:val="center"/>
              <w:rPr>
                <w:rFonts w:ascii="Arial Narrow" w:hAnsi="Arial Narrow"/>
                <w:sz w:val="20"/>
              </w:rPr>
            </w:pPr>
            <w:r>
              <w:rPr>
                <w:rFonts w:ascii="Arial Narrow" w:hAnsi="Arial Narrow"/>
                <w:sz w:val="20"/>
              </w:rPr>
              <w:t>1</w:t>
            </w:r>
          </w:p>
        </w:tc>
        <w:tc>
          <w:tcPr>
            <w:tcW w:w="834" w:type="dxa"/>
            <w:vAlign w:val="center"/>
          </w:tcPr>
          <w:p w14:paraId="7B29DF4B" w14:textId="77777777" w:rsidR="009E483D" w:rsidRPr="001C37BA" w:rsidRDefault="009E483D" w:rsidP="002770A3">
            <w:pPr>
              <w:keepNext/>
              <w:keepLines/>
              <w:jc w:val="center"/>
              <w:rPr>
                <w:rFonts w:ascii="Arial Narrow" w:hAnsi="Arial Narrow"/>
                <w:sz w:val="20"/>
              </w:rPr>
            </w:pPr>
            <w:r>
              <w:rPr>
                <w:rFonts w:ascii="Arial Narrow" w:hAnsi="Arial Narrow"/>
                <w:sz w:val="20"/>
              </w:rPr>
              <w:t>30</w:t>
            </w:r>
          </w:p>
        </w:tc>
        <w:tc>
          <w:tcPr>
            <w:tcW w:w="835" w:type="dxa"/>
            <w:vAlign w:val="center"/>
          </w:tcPr>
          <w:p w14:paraId="10683F8D" w14:textId="77777777" w:rsidR="009E483D" w:rsidRPr="001C37BA" w:rsidRDefault="009E483D" w:rsidP="002770A3">
            <w:pPr>
              <w:keepNext/>
              <w:keepLines/>
              <w:jc w:val="center"/>
              <w:rPr>
                <w:rFonts w:ascii="Arial Narrow" w:hAnsi="Arial Narrow"/>
                <w:sz w:val="20"/>
              </w:rPr>
            </w:pPr>
            <w:r>
              <w:rPr>
                <w:rFonts w:ascii="Arial Narrow" w:hAnsi="Arial Narrow"/>
                <w:sz w:val="20"/>
              </w:rPr>
              <w:t>2</w:t>
            </w:r>
          </w:p>
        </w:tc>
        <w:tc>
          <w:tcPr>
            <w:tcW w:w="1635" w:type="dxa"/>
            <w:vAlign w:val="center"/>
          </w:tcPr>
          <w:p w14:paraId="0A5ACF14" w14:textId="1A2C31CF" w:rsidR="009E483D" w:rsidRPr="003A4C14" w:rsidRDefault="009E483D" w:rsidP="002770A3">
            <w:pPr>
              <w:keepNext/>
              <w:keepLines/>
              <w:jc w:val="left"/>
              <w:rPr>
                <w:rFonts w:ascii="Arial Narrow" w:hAnsi="Arial Narrow"/>
                <w:sz w:val="20"/>
                <w:szCs w:val="20"/>
              </w:rPr>
            </w:pPr>
            <w:r w:rsidRPr="00632A2B">
              <w:rPr>
                <w:rFonts w:ascii="Arial Narrow" w:hAnsi="Arial Narrow"/>
                <w:sz w:val="20"/>
                <w:szCs w:val="20"/>
              </w:rPr>
              <w:t>Cabometyx</w:t>
            </w:r>
            <w:r>
              <w:rPr>
                <w:rFonts w:ascii="Arial Narrow" w:hAnsi="Arial Narrow"/>
                <w:sz w:val="20"/>
                <w:szCs w:val="20"/>
              </w:rPr>
              <w:t xml:space="preserve">, </w:t>
            </w:r>
            <w:r w:rsidR="007E0A4C">
              <w:rPr>
                <w:rFonts w:ascii="Arial Narrow" w:hAnsi="Arial Narrow"/>
                <w:sz w:val="20"/>
                <w:szCs w:val="20"/>
              </w:rPr>
              <w:br/>
            </w:r>
            <w:r w:rsidRPr="00632A2B">
              <w:rPr>
                <w:rFonts w:ascii="Arial Narrow" w:hAnsi="Arial Narrow"/>
                <w:sz w:val="20"/>
                <w:szCs w:val="20"/>
              </w:rPr>
              <w:t>Ipsen Pty Ltd</w:t>
            </w:r>
          </w:p>
        </w:tc>
      </w:tr>
      <w:tr w:rsidR="009E483D" w:rsidRPr="003A4C14" w14:paraId="0614062D" w14:textId="77777777" w:rsidTr="00B17422">
        <w:trPr>
          <w:cantSplit/>
          <w:trHeight w:val="20"/>
        </w:trPr>
        <w:tc>
          <w:tcPr>
            <w:tcW w:w="2411" w:type="dxa"/>
            <w:vAlign w:val="center"/>
          </w:tcPr>
          <w:p w14:paraId="640BFD4D" w14:textId="77777777" w:rsidR="009E483D" w:rsidRDefault="009E483D" w:rsidP="002770A3">
            <w:pPr>
              <w:pStyle w:val="TableText0"/>
              <w:keepLines/>
            </w:pPr>
            <w:r>
              <w:t>Cabozantinib</w:t>
            </w:r>
          </w:p>
          <w:p w14:paraId="3B01695C" w14:textId="77777777" w:rsidR="009E483D" w:rsidRDefault="009E483D" w:rsidP="002770A3">
            <w:pPr>
              <w:pStyle w:val="TableText0"/>
              <w:keepLines/>
            </w:pPr>
            <w:r>
              <w:t>60 mg tablet, 30</w:t>
            </w:r>
          </w:p>
        </w:tc>
        <w:tc>
          <w:tcPr>
            <w:tcW w:w="2450" w:type="dxa"/>
          </w:tcPr>
          <w:p w14:paraId="4033C7F6" w14:textId="2CAF0EE8" w:rsidR="009E483D" w:rsidRDefault="009E483D" w:rsidP="00BC2009">
            <w:pPr>
              <w:pStyle w:val="TableText0"/>
              <w:keepLines/>
              <w:jc w:val="center"/>
            </w:pPr>
            <w:r>
              <w:t>$9,961.22</w:t>
            </w:r>
            <w:r w:rsidR="00EC1B30">
              <w:rPr>
                <w:vertAlign w:val="superscript"/>
              </w:rPr>
              <w:t>a</w:t>
            </w:r>
            <w:r>
              <w:t xml:space="preserve"> published price</w:t>
            </w:r>
          </w:p>
          <w:p w14:paraId="1D8B0488" w14:textId="7873AB7D" w:rsidR="009E483D" w:rsidRPr="00565C79" w:rsidRDefault="00B1620B" w:rsidP="00BC2009">
            <w:pPr>
              <w:pStyle w:val="TableText0"/>
              <w:keepLines/>
              <w:jc w:val="center"/>
            </w:pPr>
            <w:r>
              <w:t>$</w:t>
            </w:r>
            <w:r w:rsidR="005860C6" w:rsidRPr="00FC479C">
              <w:rPr>
                <w:rFonts w:hint="eastAsia"/>
                <w:color w:val="000000"/>
                <w:w w:val="15"/>
                <w:shd w:val="solid" w:color="000000" w:fill="000000"/>
                <w:fitText w:val="70" w:id="-1032107262"/>
                <w14:textFill>
                  <w14:solidFill>
                    <w14:srgbClr w14:val="000000">
                      <w14:alpha w14:val="100000"/>
                    </w14:srgbClr>
                  </w14:solidFill>
                </w14:textFill>
              </w:rPr>
              <w:t xml:space="preserve">　</w:t>
            </w:r>
            <w:r w:rsidR="005860C6" w:rsidRPr="00FC479C">
              <w:rPr>
                <w:color w:val="000000"/>
                <w:w w:val="15"/>
                <w:shd w:val="solid" w:color="000000" w:fill="000000"/>
                <w:fitText w:val="70" w:id="-1032107262"/>
                <w14:textFill>
                  <w14:solidFill>
                    <w14:srgbClr w14:val="000000">
                      <w14:alpha w14:val="100000"/>
                    </w14:srgbClr>
                  </w14:solidFill>
                </w14:textFill>
              </w:rPr>
              <w:t>|</w:t>
            </w:r>
            <w:r w:rsidR="005860C6" w:rsidRPr="00FC479C">
              <w:rPr>
                <w:rFonts w:hint="eastAsia"/>
                <w:color w:val="000000"/>
                <w:w w:val="15"/>
                <w:shd w:val="solid" w:color="000000" w:fill="000000"/>
                <w:fitText w:val="70" w:id="-1032107262"/>
                <w14:textFill>
                  <w14:solidFill>
                    <w14:srgbClr w14:val="000000">
                      <w14:alpha w14:val="100000"/>
                    </w14:srgbClr>
                  </w14:solidFill>
                </w14:textFill>
              </w:rPr>
              <w:t xml:space="preserve">　</w:t>
            </w:r>
            <w:r w:rsidR="009E483D">
              <w:t xml:space="preserve"> effective price</w:t>
            </w:r>
          </w:p>
        </w:tc>
        <w:tc>
          <w:tcPr>
            <w:tcW w:w="835" w:type="dxa"/>
            <w:vAlign w:val="center"/>
          </w:tcPr>
          <w:p w14:paraId="793998EA" w14:textId="77777777" w:rsidR="009E483D" w:rsidRPr="001C37BA" w:rsidRDefault="009E483D" w:rsidP="002770A3">
            <w:pPr>
              <w:keepNext/>
              <w:keepLines/>
              <w:jc w:val="center"/>
              <w:rPr>
                <w:rFonts w:ascii="Arial Narrow" w:hAnsi="Arial Narrow"/>
                <w:sz w:val="20"/>
              </w:rPr>
            </w:pPr>
            <w:r>
              <w:rPr>
                <w:rFonts w:ascii="Arial Narrow" w:hAnsi="Arial Narrow"/>
                <w:sz w:val="20"/>
              </w:rPr>
              <w:t>1</w:t>
            </w:r>
          </w:p>
        </w:tc>
        <w:tc>
          <w:tcPr>
            <w:tcW w:w="834" w:type="dxa"/>
            <w:vAlign w:val="center"/>
          </w:tcPr>
          <w:p w14:paraId="31AC3C19" w14:textId="77777777" w:rsidR="009E483D" w:rsidRPr="001C37BA" w:rsidRDefault="009E483D" w:rsidP="002770A3">
            <w:pPr>
              <w:keepNext/>
              <w:keepLines/>
              <w:jc w:val="center"/>
              <w:rPr>
                <w:rFonts w:ascii="Arial Narrow" w:hAnsi="Arial Narrow"/>
                <w:sz w:val="20"/>
              </w:rPr>
            </w:pPr>
            <w:r>
              <w:rPr>
                <w:rFonts w:ascii="Arial Narrow" w:hAnsi="Arial Narrow"/>
                <w:sz w:val="20"/>
              </w:rPr>
              <w:t>30</w:t>
            </w:r>
          </w:p>
        </w:tc>
        <w:tc>
          <w:tcPr>
            <w:tcW w:w="835" w:type="dxa"/>
            <w:vAlign w:val="center"/>
          </w:tcPr>
          <w:p w14:paraId="378A64EC" w14:textId="77777777" w:rsidR="009E483D" w:rsidRPr="001C37BA" w:rsidRDefault="009E483D" w:rsidP="002770A3">
            <w:pPr>
              <w:keepNext/>
              <w:keepLines/>
              <w:jc w:val="center"/>
              <w:rPr>
                <w:rFonts w:ascii="Arial Narrow" w:hAnsi="Arial Narrow"/>
                <w:sz w:val="20"/>
              </w:rPr>
            </w:pPr>
            <w:r>
              <w:rPr>
                <w:rFonts w:ascii="Arial Narrow" w:hAnsi="Arial Narrow"/>
                <w:sz w:val="20"/>
              </w:rPr>
              <w:t>2</w:t>
            </w:r>
          </w:p>
        </w:tc>
        <w:tc>
          <w:tcPr>
            <w:tcW w:w="1635" w:type="dxa"/>
            <w:vAlign w:val="center"/>
          </w:tcPr>
          <w:p w14:paraId="534E8368" w14:textId="4ED71F71" w:rsidR="009E483D" w:rsidRPr="003A4C14" w:rsidRDefault="009E483D" w:rsidP="002770A3">
            <w:pPr>
              <w:keepNext/>
              <w:keepLines/>
              <w:jc w:val="left"/>
              <w:rPr>
                <w:rFonts w:ascii="Arial Narrow" w:hAnsi="Arial Narrow"/>
                <w:sz w:val="20"/>
                <w:szCs w:val="20"/>
              </w:rPr>
            </w:pPr>
            <w:r w:rsidRPr="00632A2B">
              <w:rPr>
                <w:rFonts w:ascii="Arial Narrow" w:hAnsi="Arial Narrow"/>
                <w:sz w:val="20"/>
                <w:szCs w:val="20"/>
              </w:rPr>
              <w:t>Cabometyx</w:t>
            </w:r>
            <w:r>
              <w:rPr>
                <w:rFonts w:ascii="Arial Narrow" w:hAnsi="Arial Narrow"/>
                <w:sz w:val="20"/>
                <w:szCs w:val="20"/>
              </w:rPr>
              <w:t xml:space="preserve">, </w:t>
            </w:r>
            <w:r w:rsidR="007E0A4C">
              <w:rPr>
                <w:rFonts w:ascii="Arial Narrow" w:hAnsi="Arial Narrow"/>
                <w:sz w:val="20"/>
                <w:szCs w:val="20"/>
              </w:rPr>
              <w:br/>
            </w:r>
            <w:r w:rsidRPr="00632A2B">
              <w:rPr>
                <w:rFonts w:ascii="Arial Narrow" w:hAnsi="Arial Narrow"/>
                <w:sz w:val="20"/>
                <w:szCs w:val="20"/>
              </w:rPr>
              <w:t>Ipsen Pty Ltd</w:t>
            </w:r>
          </w:p>
        </w:tc>
      </w:tr>
    </w:tbl>
    <w:p w14:paraId="493D9436" w14:textId="735C2BA2" w:rsidR="009E483D" w:rsidRPr="00AF1E6C" w:rsidRDefault="009E483D" w:rsidP="009E483D">
      <w:pPr>
        <w:pStyle w:val="TableFooter"/>
        <w:keepNext/>
        <w:keepLines/>
      </w:pPr>
      <w:r w:rsidRPr="00AF1E6C">
        <w:t xml:space="preserve">Source: </w:t>
      </w:r>
      <w:bookmarkStart w:id="12" w:name="_Hlk142676856"/>
      <w:r w:rsidRPr="00AF1E6C">
        <w:t>Table 1-4, p28 of the submission</w:t>
      </w:r>
      <w:r w:rsidR="00CE337C" w:rsidRPr="00AF1E6C">
        <w:t>.</w:t>
      </w:r>
    </w:p>
    <w:p w14:paraId="775E1141" w14:textId="02976636" w:rsidR="00247602" w:rsidRPr="00AF1E6C" w:rsidRDefault="001E6FD4" w:rsidP="00CE337C">
      <w:pPr>
        <w:pStyle w:val="TableFigureFooter"/>
      </w:pPr>
      <w:r w:rsidRPr="00AF1E6C">
        <w:t>a</w:t>
      </w:r>
      <w:r w:rsidRPr="00AF1E6C">
        <w:rPr>
          <w:vertAlign w:val="superscript"/>
        </w:rPr>
        <w:t xml:space="preserve"> </w:t>
      </w:r>
      <w:r w:rsidR="00CE337C" w:rsidRPr="00E120DC">
        <w:t xml:space="preserve">Elsewhere in the submission (e.g., Table 3-7, p137 of the submission) and the economic and financial models all used $9,961.28. It was likely that $9,961.22 reported in Table 1-4, p28 of the submission was a typo. Also, the </w:t>
      </w:r>
      <w:r w:rsidR="007E0A4C" w:rsidRPr="00E120DC">
        <w:t xml:space="preserve">current </w:t>
      </w:r>
      <w:r w:rsidR="00CE337C" w:rsidRPr="00E120DC">
        <w:t xml:space="preserve">published DPMQ for cabozantinib 20 mg, </w:t>
      </w:r>
      <w:r w:rsidR="00CE337C" w:rsidRPr="00E120DC">
        <w:lastRenderedPageBreak/>
        <w:t>40</w:t>
      </w:r>
      <w:r w:rsidR="00D176DF">
        <w:t> </w:t>
      </w:r>
      <w:r w:rsidR="00CE337C" w:rsidRPr="00E120DC">
        <w:t>mg, 60 mg is $9,962.13 (PBS online, July 2023)</w:t>
      </w:r>
      <w:r w:rsidR="00EC1B30" w:rsidRPr="00E120DC">
        <w:t xml:space="preserve"> due to an increase of Tier One Administration, Handling, and Infrastructure fee from $4.32 to $4.62 and Ready-prepared dispensing fee from $7.82 to $8.32 from 1 July 2023</w:t>
      </w:r>
      <w:r w:rsidR="00EC1B30" w:rsidRPr="00AF1E6C">
        <w:t>.</w:t>
      </w:r>
    </w:p>
    <w:tbl>
      <w:tblPr>
        <w:tblW w:w="9000" w:type="dxa"/>
        <w:tblInd w:w="-5" w:type="dxa"/>
        <w:tblLayout w:type="fixed"/>
        <w:tblLook w:val="0000" w:firstRow="0" w:lastRow="0" w:firstColumn="0" w:lastColumn="0" w:noHBand="0" w:noVBand="0"/>
      </w:tblPr>
      <w:tblGrid>
        <w:gridCol w:w="9000"/>
      </w:tblGrid>
      <w:tr w:rsidR="000E709B" w:rsidRPr="00427986" w14:paraId="6C2C1F5F" w14:textId="77777777" w:rsidTr="000E709B">
        <w:trPr>
          <w:trHeight w:val="170"/>
        </w:trPr>
        <w:tc>
          <w:tcPr>
            <w:tcW w:w="9000" w:type="dxa"/>
            <w:tcBorders>
              <w:top w:val="single" w:sz="4" w:space="0" w:color="auto"/>
              <w:left w:val="single" w:sz="4" w:space="0" w:color="auto"/>
              <w:bottom w:val="single" w:sz="4" w:space="0" w:color="auto"/>
              <w:right w:val="single" w:sz="4" w:space="0" w:color="auto"/>
            </w:tcBorders>
          </w:tcPr>
          <w:bookmarkEnd w:id="12"/>
          <w:p w14:paraId="53227695"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b/>
                <w:bCs/>
                <w:color w:val="000000" w:themeColor="text1"/>
                <w:szCs w:val="20"/>
              </w:rPr>
              <w:t>Category / Program:</w:t>
            </w:r>
            <w:r w:rsidRPr="000E709B">
              <w:rPr>
                <w:rFonts w:ascii="Arial Narrow" w:hAnsi="Arial Narrow"/>
                <w:color w:val="000000" w:themeColor="text1"/>
                <w:szCs w:val="20"/>
              </w:rPr>
              <w:t xml:space="preserve"> Section 85 (General Schedule)</w:t>
            </w:r>
          </w:p>
        </w:tc>
      </w:tr>
      <w:tr w:rsidR="000E709B" w:rsidRPr="00427986" w14:paraId="30033BE8"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20852C5A"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b/>
                <w:bCs/>
                <w:color w:val="000000" w:themeColor="text1"/>
                <w:szCs w:val="20"/>
              </w:rPr>
              <w:t>Prescriber type:</w:t>
            </w:r>
            <w:r w:rsidRPr="000E709B">
              <w:rPr>
                <w:rFonts w:ascii="Arial Narrow" w:hAnsi="Arial Narrow"/>
                <w:color w:val="000000" w:themeColor="text1"/>
                <w:szCs w:val="20"/>
              </w:rPr>
              <w:t xml:space="preserve"> </w:t>
            </w:r>
            <w:r w:rsidRPr="000E709B">
              <w:rPr>
                <w:rFonts w:ascii="Arial Narrow" w:hAnsi="Arial Narrow"/>
                <w:color w:val="000000" w:themeColor="text1"/>
                <w:szCs w:val="20"/>
              </w:rPr>
              <w:fldChar w:fldCharType="begin" w:fldLock="1">
                <w:ffData>
                  <w:name w:val=""/>
                  <w:enabled/>
                  <w:calcOnExit w:val="0"/>
                  <w:checkBox>
                    <w:sizeAuto/>
                    <w:default w:val="1"/>
                  </w:checkBox>
                </w:ffData>
              </w:fldChar>
            </w:r>
            <w:r w:rsidRPr="000E709B">
              <w:rPr>
                <w:rFonts w:ascii="Arial Narrow" w:hAnsi="Arial Narrow"/>
                <w:color w:val="000000" w:themeColor="text1"/>
                <w:szCs w:val="20"/>
              </w:rPr>
              <w:instrText xml:space="preserve"> FORMCHECKBOX </w:instrText>
            </w:r>
            <w:r w:rsidR="00737A69">
              <w:rPr>
                <w:rFonts w:ascii="Arial Narrow" w:hAnsi="Arial Narrow"/>
                <w:color w:val="000000" w:themeColor="text1"/>
                <w:szCs w:val="20"/>
              </w:rPr>
            </w:r>
            <w:r w:rsidR="00737A69">
              <w:rPr>
                <w:rFonts w:ascii="Arial Narrow" w:hAnsi="Arial Narrow"/>
                <w:color w:val="000000" w:themeColor="text1"/>
                <w:szCs w:val="20"/>
              </w:rPr>
              <w:fldChar w:fldCharType="separate"/>
            </w:r>
            <w:r w:rsidRPr="000E709B">
              <w:rPr>
                <w:rFonts w:ascii="Arial Narrow" w:hAnsi="Arial Narrow"/>
                <w:color w:val="000000" w:themeColor="text1"/>
                <w:szCs w:val="20"/>
              </w:rPr>
              <w:fldChar w:fldCharType="end"/>
            </w:r>
            <w:r w:rsidRPr="000E709B">
              <w:rPr>
                <w:rFonts w:ascii="Arial Narrow" w:hAnsi="Arial Narrow"/>
                <w:color w:val="000000" w:themeColor="text1"/>
                <w:szCs w:val="20"/>
              </w:rPr>
              <w:t xml:space="preserve">Medical Practitioners  </w:t>
            </w:r>
          </w:p>
        </w:tc>
      </w:tr>
      <w:tr w:rsidR="000E709B" w:rsidRPr="00427986" w14:paraId="6D9D430A" w14:textId="77777777" w:rsidTr="000E709B">
        <w:trPr>
          <w:trHeight w:val="158"/>
        </w:trPr>
        <w:tc>
          <w:tcPr>
            <w:tcW w:w="9000" w:type="dxa"/>
            <w:tcBorders>
              <w:top w:val="single" w:sz="4" w:space="0" w:color="auto"/>
              <w:left w:val="single" w:sz="4" w:space="0" w:color="auto"/>
              <w:bottom w:val="single" w:sz="4" w:space="0" w:color="auto"/>
              <w:right w:val="single" w:sz="4" w:space="0" w:color="auto"/>
            </w:tcBorders>
          </w:tcPr>
          <w:p w14:paraId="26859476"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b/>
                <w:bCs/>
                <w:color w:val="000000" w:themeColor="text1"/>
                <w:szCs w:val="20"/>
              </w:rPr>
              <w:t>Restriction Level / Method:</w:t>
            </w:r>
            <w:r w:rsidRPr="000E709B">
              <w:rPr>
                <w:rFonts w:ascii="Arial Narrow" w:hAnsi="Arial Narrow"/>
                <w:color w:val="000000" w:themeColor="text1"/>
                <w:szCs w:val="20"/>
              </w:rPr>
              <w:t xml:space="preserve"> </w:t>
            </w:r>
            <w:r w:rsidRPr="000E709B">
              <w:rPr>
                <w:rFonts w:ascii="Arial Narrow" w:hAnsi="Arial Narrow"/>
                <w:color w:val="000000" w:themeColor="text1"/>
                <w:szCs w:val="20"/>
              </w:rPr>
              <w:fldChar w:fldCharType="begin" w:fldLock="1">
                <w:ffData>
                  <w:name w:val=""/>
                  <w:enabled/>
                  <w:calcOnExit w:val="0"/>
                  <w:checkBox>
                    <w:sizeAuto/>
                    <w:default w:val="1"/>
                  </w:checkBox>
                </w:ffData>
              </w:fldChar>
            </w:r>
            <w:r w:rsidRPr="000E709B">
              <w:rPr>
                <w:rFonts w:ascii="Arial Narrow" w:hAnsi="Arial Narrow"/>
                <w:color w:val="000000" w:themeColor="text1"/>
                <w:szCs w:val="20"/>
              </w:rPr>
              <w:instrText xml:space="preserve"> FORMCHECKBOX </w:instrText>
            </w:r>
            <w:r w:rsidR="00737A69">
              <w:rPr>
                <w:rFonts w:ascii="Arial Narrow" w:hAnsi="Arial Narrow"/>
                <w:color w:val="000000" w:themeColor="text1"/>
                <w:szCs w:val="20"/>
              </w:rPr>
            </w:r>
            <w:r w:rsidR="00737A69">
              <w:rPr>
                <w:rFonts w:ascii="Arial Narrow" w:hAnsi="Arial Narrow"/>
                <w:color w:val="000000" w:themeColor="text1"/>
                <w:szCs w:val="20"/>
              </w:rPr>
              <w:fldChar w:fldCharType="separate"/>
            </w:r>
            <w:r w:rsidRPr="000E709B">
              <w:rPr>
                <w:rFonts w:ascii="Arial Narrow" w:hAnsi="Arial Narrow"/>
                <w:color w:val="000000" w:themeColor="text1"/>
                <w:szCs w:val="20"/>
              </w:rPr>
              <w:fldChar w:fldCharType="end"/>
            </w:r>
            <w:r w:rsidRPr="000E709B">
              <w:rPr>
                <w:rFonts w:ascii="Arial Narrow" w:hAnsi="Arial Narrow"/>
                <w:color w:val="000000" w:themeColor="text1"/>
                <w:szCs w:val="20"/>
              </w:rPr>
              <w:t>Streamlined</w:t>
            </w:r>
          </w:p>
        </w:tc>
      </w:tr>
      <w:tr w:rsidR="000E709B" w:rsidRPr="00427986" w14:paraId="69EA98D9"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3A870C2B"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b/>
                <w:bCs/>
                <w:szCs w:val="20"/>
              </w:rPr>
              <w:t>Severity:</w:t>
            </w:r>
            <w:r w:rsidRPr="000E709B">
              <w:rPr>
                <w:rFonts w:ascii="Arial Narrow" w:hAnsi="Arial Narrow"/>
                <w:szCs w:val="20"/>
              </w:rPr>
              <w:t xml:space="preserve"> Locally advanced or metastatic </w:t>
            </w:r>
          </w:p>
        </w:tc>
      </w:tr>
      <w:tr w:rsidR="000E709B" w:rsidRPr="00427986" w14:paraId="45B7995E"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7C1B7DD7"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b/>
                <w:bCs/>
                <w:color w:val="000000" w:themeColor="text1"/>
                <w:szCs w:val="20"/>
              </w:rPr>
              <w:t>Condition:</w:t>
            </w:r>
            <w:r w:rsidRPr="000E709B">
              <w:rPr>
                <w:rFonts w:ascii="Arial Narrow" w:hAnsi="Arial Narrow"/>
                <w:color w:val="000000" w:themeColor="text1"/>
                <w:szCs w:val="20"/>
              </w:rPr>
              <w:t xml:space="preserve"> Differentiated thyroid carcinoma</w:t>
            </w:r>
          </w:p>
        </w:tc>
      </w:tr>
      <w:tr w:rsidR="000E709B" w:rsidRPr="00427986" w14:paraId="61934E8A" w14:textId="77777777" w:rsidTr="000E709B">
        <w:trPr>
          <w:trHeight w:val="360"/>
        </w:trPr>
        <w:tc>
          <w:tcPr>
            <w:tcW w:w="9000" w:type="dxa"/>
            <w:tcBorders>
              <w:top w:val="single" w:sz="4" w:space="0" w:color="auto"/>
              <w:left w:val="single" w:sz="4" w:space="0" w:color="auto"/>
              <w:bottom w:val="single" w:sz="4" w:space="0" w:color="auto"/>
              <w:right w:val="single" w:sz="4" w:space="0" w:color="auto"/>
            </w:tcBorders>
          </w:tcPr>
          <w:p w14:paraId="60E58E5C"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b/>
                <w:bCs/>
                <w:color w:val="000000" w:themeColor="text1"/>
                <w:szCs w:val="20"/>
              </w:rPr>
              <w:t>PBS Indication:</w:t>
            </w:r>
            <w:r w:rsidRPr="000E709B">
              <w:rPr>
                <w:rFonts w:ascii="Arial Narrow" w:hAnsi="Arial Narrow"/>
                <w:color w:val="000000" w:themeColor="text1"/>
                <w:szCs w:val="20"/>
              </w:rPr>
              <w:t xml:space="preserve"> </w:t>
            </w:r>
            <w:r w:rsidRPr="000E709B">
              <w:rPr>
                <w:rFonts w:ascii="Arial Narrow" w:hAnsi="Arial Narrow"/>
                <w:strike/>
                <w:color w:val="000000" w:themeColor="text1"/>
                <w:szCs w:val="20"/>
              </w:rPr>
              <w:t>DTC refractory or not eligible to radioactive iodine (RAI) who have progressed after prior systemic therapy</w:t>
            </w:r>
            <w:r w:rsidRPr="000E709B">
              <w:rPr>
                <w:rFonts w:ascii="Arial Narrow" w:hAnsi="Arial Narrow"/>
                <w:color w:val="000000" w:themeColor="text1"/>
                <w:szCs w:val="20"/>
              </w:rPr>
              <w:t xml:space="preserve"> </w:t>
            </w:r>
            <w:r w:rsidRPr="000E709B">
              <w:rPr>
                <w:rFonts w:ascii="Arial Narrow" w:hAnsi="Arial Narrow"/>
                <w:i/>
                <w:iCs/>
                <w:color w:val="000000" w:themeColor="text1"/>
                <w:szCs w:val="20"/>
              </w:rPr>
              <w:t>Locally advanced or metastatic differentiated thyroid carcinoma</w:t>
            </w:r>
          </w:p>
        </w:tc>
      </w:tr>
      <w:tr w:rsidR="000E709B" w:rsidRPr="00427986" w14:paraId="41ABAB92"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01CD726F"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b/>
                <w:bCs/>
                <w:color w:val="000000" w:themeColor="text1"/>
                <w:szCs w:val="20"/>
              </w:rPr>
              <w:t>Treatment phase:</w:t>
            </w:r>
            <w:r w:rsidRPr="000E709B">
              <w:rPr>
                <w:rFonts w:ascii="Arial Narrow" w:hAnsi="Arial Narrow"/>
                <w:color w:val="000000" w:themeColor="text1"/>
                <w:szCs w:val="20"/>
              </w:rPr>
              <w:t xml:space="preserve"> Initial </w:t>
            </w:r>
            <w:r w:rsidRPr="000E709B">
              <w:rPr>
                <w:rFonts w:ascii="Arial Narrow" w:hAnsi="Arial Narrow"/>
                <w:i/>
                <w:iCs/>
                <w:color w:val="000000" w:themeColor="text1"/>
                <w:szCs w:val="20"/>
              </w:rPr>
              <w:t>treatment</w:t>
            </w:r>
          </w:p>
        </w:tc>
      </w:tr>
      <w:tr w:rsidR="000E709B" w:rsidRPr="00427986" w14:paraId="074D044F"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7EF7E65A" w14:textId="77777777" w:rsidR="000E709B" w:rsidRPr="000E709B" w:rsidRDefault="000E709B" w:rsidP="009A2B60">
            <w:pPr>
              <w:pStyle w:val="TableLeft"/>
              <w:rPr>
                <w:rFonts w:ascii="Arial Narrow" w:hAnsi="Arial Narrow"/>
                <w:b/>
                <w:bCs/>
                <w:color w:val="000000" w:themeColor="text1"/>
                <w:szCs w:val="20"/>
              </w:rPr>
            </w:pPr>
          </w:p>
        </w:tc>
      </w:tr>
      <w:tr w:rsidR="000E709B" w:rsidRPr="00427986" w14:paraId="3ACEFA24" w14:textId="77777777" w:rsidTr="000E709B">
        <w:trPr>
          <w:trHeight w:val="110"/>
        </w:trPr>
        <w:tc>
          <w:tcPr>
            <w:tcW w:w="9000" w:type="dxa"/>
            <w:tcBorders>
              <w:top w:val="single" w:sz="4" w:space="0" w:color="auto"/>
              <w:left w:val="single" w:sz="4" w:space="0" w:color="auto"/>
              <w:bottom w:val="single" w:sz="4" w:space="0" w:color="auto"/>
              <w:right w:val="single" w:sz="4" w:space="0" w:color="auto"/>
            </w:tcBorders>
          </w:tcPr>
          <w:p w14:paraId="29C662F4"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b/>
                <w:bCs/>
                <w:color w:val="000000" w:themeColor="text1"/>
                <w:szCs w:val="20"/>
              </w:rPr>
              <w:t>Clinical criteria:</w:t>
            </w:r>
          </w:p>
        </w:tc>
      </w:tr>
      <w:tr w:rsidR="000E709B" w:rsidRPr="00427986" w14:paraId="65F62E05"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257DCB8A"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color w:val="000000" w:themeColor="text1"/>
                <w:szCs w:val="20"/>
              </w:rPr>
              <w:t>The condition must be refractory to radioactive iodine; or</w:t>
            </w:r>
          </w:p>
        </w:tc>
      </w:tr>
      <w:tr w:rsidR="000E709B" w:rsidRPr="00427986" w14:paraId="1C65D2F2"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15C75DCA"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color w:val="000000" w:themeColor="text1"/>
                <w:szCs w:val="20"/>
              </w:rPr>
              <w:t>Patient must be deemed ineligible for treatment with radioactive iodine,</w:t>
            </w:r>
          </w:p>
        </w:tc>
      </w:tr>
      <w:tr w:rsidR="000E709B" w:rsidRPr="00427986" w14:paraId="6BE95320" w14:textId="77777777" w:rsidTr="000E709B">
        <w:trPr>
          <w:trHeight w:val="110"/>
        </w:trPr>
        <w:tc>
          <w:tcPr>
            <w:tcW w:w="9000" w:type="dxa"/>
            <w:tcBorders>
              <w:top w:val="single" w:sz="4" w:space="0" w:color="auto"/>
              <w:left w:val="single" w:sz="4" w:space="0" w:color="auto"/>
              <w:bottom w:val="single" w:sz="4" w:space="0" w:color="auto"/>
              <w:right w:val="single" w:sz="4" w:space="0" w:color="auto"/>
            </w:tcBorders>
          </w:tcPr>
          <w:p w14:paraId="67B37DAD"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b/>
                <w:bCs/>
                <w:color w:val="000000" w:themeColor="text1"/>
                <w:szCs w:val="20"/>
              </w:rPr>
              <w:t>AND</w:t>
            </w:r>
          </w:p>
        </w:tc>
      </w:tr>
      <w:tr w:rsidR="000E709B" w:rsidRPr="00427986" w14:paraId="450FB9E4"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7C89946B"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b/>
                <w:bCs/>
                <w:color w:val="000000" w:themeColor="text1"/>
                <w:szCs w:val="20"/>
              </w:rPr>
              <w:t>Clinical criteria:</w:t>
            </w:r>
          </w:p>
        </w:tc>
      </w:tr>
      <w:tr w:rsidR="000E709B" w:rsidRPr="00427986" w14:paraId="14524AF5" w14:textId="77777777" w:rsidTr="000E709B">
        <w:trPr>
          <w:trHeight w:val="360"/>
        </w:trPr>
        <w:tc>
          <w:tcPr>
            <w:tcW w:w="9000" w:type="dxa"/>
            <w:tcBorders>
              <w:top w:val="single" w:sz="4" w:space="0" w:color="auto"/>
              <w:left w:val="single" w:sz="4" w:space="0" w:color="auto"/>
              <w:bottom w:val="single" w:sz="4" w:space="0" w:color="auto"/>
              <w:right w:val="single" w:sz="4" w:space="0" w:color="auto"/>
            </w:tcBorders>
          </w:tcPr>
          <w:p w14:paraId="536993A7"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color w:val="000000" w:themeColor="text1"/>
                <w:szCs w:val="20"/>
              </w:rPr>
              <w:t xml:space="preserve">Patient must have progressive disease according to Response Evaluation Criteria in Solid Tumours (RECIST) </w:t>
            </w:r>
            <w:r w:rsidRPr="000E709B">
              <w:rPr>
                <w:rFonts w:ascii="Arial Narrow" w:hAnsi="Arial Narrow"/>
                <w:i/>
                <w:iCs/>
                <w:color w:val="000000" w:themeColor="text1"/>
                <w:szCs w:val="20"/>
              </w:rPr>
              <w:t>whilst on</w:t>
            </w:r>
            <w:r w:rsidRPr="000E709B">
              <w:rPr>
                <w:rFonts w:ascii="Arial Narrow" w:hAnsi="Arial Narrow"/>
                <w:color w:val="000000" w:themeColor="text1"/>
                <w:szCs w:val="20"/>
              </w:rPr>
              <w:t xml:space="preserve"> treatment with a </w:t>
            </w:r>
            <w:r w:rsidRPr="000E709B">
              <w:rPr>
                <w:rFonts w:ascii="Arial Narrow" w:hAnsi="Arial Narrow"/>
                <w:i/>
                <w:iCs/>
                <w:color w:val="000000" w:themeColor="text1"/>
                <w:szCs w:val="20"/>
              </w:rPr>
              <w:t>vascular endothelial growth factor (VEGF)-targeted</w:t>
            </w:r>
            <w:r w:rsidRPr="000E709B">
              <w:rPr>
                <w:rFonts w:ascii="Arial Narrow" w:hAnsi="Arial Narrow"/>
                <w:color w:val="000000" w:themeColor="text1"/>
                <w:szCs w:val="20"/>
              </w:rPr>
              <w:t xml:space="preserve"> tyrosine kinase inhibitor </w:t>
            </w:r>
            <w:r w:rsidRPr="000E709B">
              <w:rPr>
                <w:rFonts w:ascii="Arial Narrow" w:hAnsi="Arial Narrow"/>
                <w:i/>
                <w:iCs/>
                <w:color w:val="000000" w:themeColor="text1"/>
                <w:szCs w:val="20"/>
              </w:rPr>
              <w:t>(TKI)</w:t>
            </w:r>
            <w:r w:rsidRPr="000E709B">
              <w:rPr>
                <w:rFonts w:ascii="Arial Narrow" w:hAnsi="Arial Narrow"/>
                <w:color w:val="000000" w:themeColor="text1"/>
                <w:szCs w:val="20"/>
              </w:rPr>
              <w:t xml:space="preserve"> for this indication;</w:t>
            </w:r>
          </w:p>
        </w:tc>
      </w:tr>
      <w:tr w:rsidR="000E709B" w:rsidRPr="00427986" w14:paraId="23829A78" w14:textId="77777777" w:rsidTr="000E709B">
        <w:trPr>
          <w:trHeight w:val="134"/>
        </w:trPr>
        <w:tc>
          <w:tcPr>
            <w:tcW w:w="9000" w:type="dxa"/>
            <w:tcBorders>
              <w:top w:val="single" w:sz="4" w:space="0" w:color="auto"/>
              <w:left w:val="single" w:sz="4" w:space="0" w:color="auto"/>
              <w:bottom w:val="single" w:sz="4" w:space="0" w:color="auto"/>
              <w:right w:val="single" w:sz="4" w:space="0" w:color="auto"/>
            </w:tcBorders>
          </w:tcPr>
          <w:p w14:paraId="3DDEB2EA"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b/>
                <w:bCs/>
                <w:color w:val="000000" w:themeColor="text1"/>
                <w:szCs w:val="20"/>
              </w:rPr>
              <w:t>OR</w:t>
            </w:r>
          </w:p>
        </w:tc>
      </w:tr>
      <w:tr w:rsidR="000E709B" w:rsidRPr="00427986" w14:paraId="5E3A2B0B" w14:textId="77777777" w:rsidTr="000E709B">
        <w:trPr>
          <w:trHeight w:val="360"/>
        </w:trPr>
        <w:tc>
          <w:tcPr>
            <w:tcW w:w="9000" w:type="dxa"/>
            <w:tcBorders>
              <w:top w:val="single" w:sz="4" w:space="0" w:color="auto"/>
              <w:left w:val="single" w:sz="4" w:space="0" w:color="auto"/>
              <w:bottom w:val="single" w:sz="4" w:space="0" w:color="auto"/>
              <w:right w:val="single" w:sz="4" w:space="0" w:color="auto"/>
            </w:tcBorders>
          </w:tcPr>
          <w:p w14:paraId="38C7A60E"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color w:val="000000" w:themeColor="text1"/>
                <w:szCs w:val="20"/>
              </w:rPr>
              <w:t xml:space="preserve">Patient must have developed intolerance of a severity necessitating permanent treatment withdrawal, in the absence of disease progression, to prior </w:t>
            </w:r>
            <w:r w:rsidRPr="000E709B">
              <w:rPr>
                <w:rFonts w:ascii="Arial Narrow" w:hAnsi="Arial Narrow"/>
                <w:szCs w:val="20"/>
              </w:rPr>
              <w:t>VEGF</w:t>
            </w:r>
            <w:r w:rsidRPr="000E709B">
              <w:rPr>
                <w:rFonts w:ascii="Arial Narrow" w:hAnsi="Arial Narrow"/>
                <w:color w:val="000000" w:themeColor="text1"/>
                <w:szCs w:val="20"/>
              </w:rPr>
              <w:t xml:space="preserve">-targeted </w:t>
            </w:r>
            <w:r w:rsidRPr="000E709B">
              <w:rPr>
                <w:rFonts w:ascii="Arial Narrow" w:hAnsi="Arial Narrow"/>
                <w:i/>
                <w:iCs/>
                <w:color w:val="000000" w:themeColor="text1"/>
                <w:szCs w:val="20"/>
              </w:rPr>
              <w:t>TKI</w:t>
            </w:r>
            <w:r w:rsidRPr="000E709B">
              <w:rPr>
                <w:rFonts w:ascii="Arial Narrow" w:hAnsi="Arial Narrow"/>
                <w:color w:val="000000" w:themeColor="text1"/>
                <w:szCs w:val="20"/>
              </w:rPr>
              <w:t xml:space="preserve"> therapy</w:t>
            </w:r>
          </w:p>
        </w:tc>
      </w:tr>
      <w:tr w:rsidR="000E709B" w:rsidRPr="00427986" w14:paraId="0C552D1A" w14:textId="77777777" w:rsidTr="000E709B">
        <w:trPr>
          <w:trHeight w:val="134"/>
        </w:trPr>
        <w:tc>
          <w:tcPr>
            <w:tcW w:w="9000" w:type="dxa"/>
            <w:tcBorders>
              <w:top w:val="single" w:sz="4" w:space="0" w:color="auto"/>
              <w:left w:val="single" w:sz="4" w:space="0" w:color="auto"/>
              <w:bottom w:val="single" w:sz="4" w:space="0" w:color="auto"/>
              <w:right w:val="single" w:sz="4" w:space="0" w:color="auto"/>
            </w:tcBorders>
          </w:tcPr>
          <w:p w14:paraId="1D02B7E2"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b/>
                <w:bCs/>
                <w:color w:val="000000" w:themeColor="text1"/>
                <w:szCs w:val="20"/>
              </w:rPr>
              <w:t>AND</w:t>
            </w:r>
          </w:p>
        </w:tc>
      </w:tr>
      <w:tr w:rsidR="000E709B" w:rsidRPr="00427986" w14:paraId="6B06127D"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08B035A1"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b/>
                <w:bCs/>
                <w:color w:val="000000" w:themeColor="text1"/>
                <w:szCs w:val="20"/>
              </w:rPr>
              <w:t>Clinical criteria:</w:t>
            </w:r>
          </w:p>
        </w:tc>
      </w:tr>
      <w:tr w:rsidR="000E709B" w:rsidRPr="00427986" w14:paraId="1C6E259B"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1B4AB77E"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color w:val="000000" w:themeColor="text1"/>
                <w:szCs w:val="20"/>
              </w:rPr>
              <w:t xml:space="preserve">Patient must have a WHO performance status of </w:t>
            </w:r>
            <w:r w:rsidRPr="000E709B">
              <w:rPr>
                <w:rFonts w:ascii="Arial Narrow" w:hAnsi="Arial Narrow"/>
                <w:i/>
                <w:iCs/>
                <w:color w:val="000000" w:themeColor="text1"/>
                <w:szCs w:val="20"/>
              </w:rPr>
              <w:t>not greater than</w:t>
            </w:r>
            <w:r w:rsidRPr="000E709B">
              <w:rPr>
                <w:rFonts w:ascii="Arial Narrow" w:hAnsi="Arial Narrow"/>
                <w:color w:val="000000" w:themeColor="text1"/>
                <w:szCs w:val="20"/>
              </w:rPr>
              <w:t xml:space="preserve"> 2 </w:t>
            </w:r>
            <w:r w:rsidRPr="000E709B">
              <w:rPr>
                <w:rFonts w:ascii="Arial Narrow" w:hAnsi="Arial Narrow"/>
                <w:strike/>
                <w:color w:val="000000" w:themeColor="text1"/>
                <w:szCs w:val="20"/>
              </w:rPr>
              <w:t>or less</w:t>
            </w:r>
            <w:r w:rsidRPr="000E709B">
              <w:rPr>
                <w:rFonts w:ascii="Arial Narrow" w:hAnsi="Arial Narrow"/>
                <w:color w:val="000000" w:themeColor="text1"/>
                <w:szCs w:val="20"/>
              </w:rPr>
              <w:t>,</w:t>
            </w:r>
          </w:p>
        </w:tc>
      </w:tr>
      <w:tr w:rsidR="000E709B" w:rsidRPr="00427986" w14:paraId="71BAD6A3"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0E6271F7"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b/>
                <w:bCs/>
                <w:color w:val="000000" w:themeColor="text1"/>
                <w:szCs w:val="20"/>
              </w:rPr>
              <w:t>AND</w:t>
            </w:r>
          </w:p>
        </w:tc>
      </w:tr>
      <w:tr w:rsidR="000E709B" w:rsidRPr="00427986" w14:paraId="57208A84"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68887C97"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b/>
                <w:bCs/>
                <w:color w:val="000000" w:themeColor="text1"/>
                <w:szCs w:val="20"/>
              </w:rPr>
              <w:t>Clinical criteria:</w:t>
            </w:r>
          </w:p>
        </w:tc>
      </w:tr>
      <w:tr w:rsidR="000E709B" w:rsidRPr="00427986" w14:paraId="77F4E76A"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32A4D10E"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color w:val="000000" w:themeColor="text1"/>
                <w:szCs w:val="20"/>
              </w:rPr>
              <w:t>The treatment must be the sole PBS-subsidised therapy for this condition.</w:t>
            </w:r>
          </w:p>
        </w:tc>
      </w:tr>
      <w:tr w:rsidR="000E709B" w:rsidRPr="00427986" w14:paraId="7312D73F" w14:textId="77777777" w:rsidTr="000E709B">
        <w:trPr>
          <w:trHeight w:val="146"/>
        </w:trPr>
        <w:tc>
          <w:tcPr>
            <w:tcW w:w="9000" w:type="dxa"/>
            <w:tcBorders>
              <w:top w:val="single" w:sz="4" w:space="0" w:color="auto"/>
              <w:left w:val="single" w:sz="4" w:space="0" w:color="auto"/>
              <w:bottom w:val="single" w:sz="4" w:space="0" w:color="auto"/>
              <w:right w:val="single" w:sz="4" w:space="0" w:color="auto"/>
            </w:tcBorders>
          </w:tcPr>
          <w:p w14:paraId="14BEB42D"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AND</w:t>
            </w:r>
          </w:p>
        </w:tc>
      </w:tr>
      <w:tr w:rsidR="000E709B" w:rsidRPr="00427986" w14:paraId="2C2E1472" w14:textId="77777777" w:rsidTr="000E709B">
        <w:trPr>
          <w:trHeight w:val="146"/>
        </w:trPr>
        <w:tc>
          <w:tcPr>
            <w:tcW w:w="9000" w:type="dxa"/>
            <w:tcBorders>
              <w:top w:val="single" w:sz="4" w:space="0" w:color="auto"/>
              <w:left w:val="single" w:sz="4" w:space="0" w:color="auto"/>
              <w:bottom w:val="single" w:sz="4" w:space="0" w:color="auto"/>
              <w:right w:val="single" w:sz="4" w:space="0" w:color="auto"/>
            </w:tcBorders>
          </w:tcPr>
          <w:p w14:paraId="6E221289"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Clinical criteria:</w:t>
            </w:r>
          </w:p>
        </w:tc>
      </w:tr>
      <w:tr w:rsidR="000E709B" w:rsidRPr="00427986" w14:paraId="1A2F744F" w14:textId="77777777" w:rsidTr="000E709B">
        <w:trPr>
          <w:trHeight w:val="146"/>
        </w:trPr>
        <w:tc>
          <w:tcPr>
            <w:tcW w:w="9000" w:type="dxa"/>
            <w:tcBorders>
              <w:top w:val="single" w:sz="4" w:space="0" w:color="auto"/>
              <w:left w:val="single" w:sz="4" w:space="0" w:color="auto"/>
              <w:bottom w:val="single" w:sz="4" w:space="0" w:color="auto"/>
              <w:right w:val="single" w:sz="4" w:space="0" w:color="auto"/>
            </w:tcBorders>
          </w:tcPr>
          <w:p w14:paraId="062024C6"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Patient must have thyroid stimulating hormone adequately repressed</w:t>
            </w:r>
          </w:p>
        </w:tc>
      </w:tr>
      <w:tr w:rsidR="000E709B" w:rsidRPr="00427986" w14:paraId="118F7F11" w14:textId="77777777" w:rsidTr="000E709B">
        <w:trPr>
          <w:trHeight w:val="146"/>
        </w:trPr>
        <w:tc>
          <w:tcPr>
            <w:tcW w:w="9000" w:type="dxa"/>
            <w:tcBorders>
              <w:top w:val="single" w:sz="4" w:space="0" w:color="auto"/>
              <w:left w:val="single" w:sz="4" w:space="0" w:color="auto"/>
              <w:bottom w:val="single" w:sz="4" w:space="0" w:color="auto"/>
              <w:right w:val="single" w:sz="4" w:space="0" w:color="auto"/>
            </w:tcBorders>
          </w:tcPr>
          <w:p w14:paraId="3B2EE838" w14:textId="77777777" w:rsidR="000E709B" w:rsidRPr="000E709B" w:rsidRDefault="000E709B" w:rsidP="009A2B60">
            <w:pPr>
              <w:pStyle w:val="TableLeft"/>
              <w:rPr>
                <w:rFonts w:ascii="Arial Narrow" w:hAnsi="Arial Narrow"/>
                <w:b/>
                <w:bCs/>
                <w:color w:val="000000" w:themeColor="text1"/>
                <w:szCs w:val="20"/>
              </w:rPr>
            </w:pPr>
          </w:p>
        </w:tc>
      </w:tr>
      <w:tr w:rsidR="000E709B" w:rsidRPr="00427986" w14:paraId="623ACF41"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31854F2A"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b/>
                <w:bCs/>
                <w:color w:val="000000" w:themeColor="text1"/>
                <w:szCs w:val="20"/>
              </w:rPr>
              <w:t>Population criteria:</w:t>
            </w:r>
          </w:p>
        </w:tc>
      </w:tr>
      <w:tr w:rsidR="000E709B" w:rsidRPr="00427986" w14:paraId="7D950429" w14:textId="77777777" w:rsidTr="000E709B">
        <w:trPr>
          <w:trHeight w:val="146"/>
        </w:trPr>
        <w:tc>
          <w:tcPr>
            <w:tcW w:w="9000" w:type="dxa"/>
            <w:tcBorders>
              <w:top w:val="single" w:sz="4" w:space="0" w:color="auto"/>
              <w:left w:val="single" w:sz="4" w:space="0" w:color="auto"/>
              <w:bottom w:val="single" w:sz="4" w:space="0" w:color="auto"/>
              <w:right w:val="single" w:sz="4" w:space="0" w:color="auto"/>
            </w:tcBorders>
          </w:tcPr>
          <w:p w14:paraId="4AC4DE67" w14:textId="77777777" w:rsidR="000E709B" w:rsidRPr="000E709B" w:rsidRDefault="000E709B" w:rsidP="009A2B60">
            <w:pPr>
              <w:pStyle w:val="TableLeft"/>
              <w:rPr>
                <w:rFonts w:ascii="Arial Narrow" w:hAnsi="Arial Narrow"/>
                <w:szCs w:val="20"/>
              </w:rPr>
            </w:pPr>
            <w:r w:rsidRPr="000E709B">
              <w:rPr>
                <w:rFonts w:ascii="Arial Narrow" w:hAnsi="Arial Narrow"/>
                <w:szCs w:val="20"/>
              </w:rPr>
              <w:t xml:space="preserve">Patient must be aged 12 years or older </w:t>
            </w:r>
          </w:p>
        </w:tc>
      </w:tr>
      <w:tr w:rsidR="000E709B" w:rsidRPr="00427986" w14:paraId="0895C056"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5F638943" w14:textId="77777777" w:rsidR="000E709B" w:rsidRPr="000E709B" w:rsidRDefault="000E709B" w:rsidP="009A2B60">
            <w:pPr>
              <w:pStyle w:val="TableLeft"/>
              <w:rPr>
                <w:rFonts w:ascii="Arial Narrow" w:hAnsi="Arial Narrow"/>
                <w:szCs w:val="20"/>
              </w:rPr>
            </w:pPr>
          </w:p>
        </w:tc>
      </w:tr>
      <w:tr w:rsidR="000E709B" w:rsidRPr="00427986" w14:paraId="5EEA28F7"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4B8D2835" w14:textId="77777777" w:rsidR="000E709B" w:rsidRPr="000E709B" w:rsidRDefault="000E709B" w:rsidP="009A2B60">
            <w:pPr>
              <w:pStyle w:val="TableLeft"/>
              <w:rPr>
                <w:rFonts w:ascii="Arial Narrow" w:hAnsi="Arial Narrow"/>
                <w:b/>
                <w:bCs/>
                <w:i/>
                <w:iCs/>
                <w:szCs w:val="20"/>
              </w:rPr>
            </w:pPr>
            <w:r w:rsidRPr="000E709B">
              <w:rPr>
                <w:rFonts w:ascii="Arial Narrow" w:hAnsi="Arial Narrow"/>
                <w:b/>
                <w:bCs/>
                <w:i/>
                <w:iCs/>
                <w:szCs w:val="20"/>
              </w:rPr>
              <w:t>Prescribing instructions:</w:t>
            </w:r>
          </w:p>
          <w:p w14:paraId="014C484F" w14:textId="77777777" w:rsidR="000E709B" w:rsidRPr="000E709B" w:rsidRDefault="000E709B" w:rsidP="009A2B60">
            <w:pPr>
              <w:pStyle w:val="TableLeft"/>
              <w:rPr>
                <w:rFonts w:ascii="Arial Narrow" w:hAnsi="Arial Narrow"/>
                <w:i/>
                <w:iCs/>
                <w:szCs w:val="20"/>
              </w:rPr>
            </w:pPr>
            <w:r w:rsidRPr="000E709B">
              <w:rPr>
                <w:rFonts w:ascii="Arial Narrow" w:hAnsi="Arial Narrow"/>
                <w:i/>
                <w:iCs/>
                <w:szCs w:val="20"/>
              </w:rPr>
              <w:t>Radioactive iodine refractory is defined as:</w:t>
            </w:r>
          </w:p>
          <w:p w14:paraId="667EA403" w14:textId="77777777" w:rsidR="000E709B" w:rsidRPr="000E709B" w:rsidRDefault="000E709B" w:rsidP="009A2B60">
            <w:pPr>
              <w:pStyle w:val="TableLeft"/>
              <w:numPr>
                <w:ilvl w:val="0"/>
                <w:numId w:val="19"/>
              </w:numPr>
              <w:rPr>
                <w:rFonts w:ascii="Arial Narrow" w:hAnsi="Arial Narrow"/>
                <w:i/>
                <w:iCs/>
                <w:szCs w:val="20"/>
              </w:rPr>
            </w:pPr>
            <w:r w:rsidRPr="000E709B">
              <w:rPr>
                <w:rFonts w:ascii="Arial Narrow" w:hAnsi="Arial Narrow"/>
                <w:i/>
                <w:iCs/>
                <w:szCs w:val="20"/>
              </w:rPr>
              <w:t>a lesion without iodine uptake on a radioactive iodine (RAI) scan; or</w:t>
            </w:r>
          </w:p>
          <w:p w14:paraId="2366F277" w14:textId="77777777" w:rsidR="000E709B" w:rsidRPr="000E709B" w:rsidRDefault="000E709B" w:rsidP="009A2B60">
            <w:pPr>
              <w:pStyle w:val="TableLeft"/>
              <w:numPr>
                <w:ilvl w:val="0"/>
                <w:numId w:val="19"/>
              </w:numPr>
              <w:rPr>
                <w:rFonts w:ascii="Arial Narrow" w:hAnsi="Arial Narrow"/>
                <w:i/>
                <w:iCs/>
                <w:szCs w:val="20"/>
              </w:rPr>
            </w:pPr>
            <w:r w:rsidRPr="000E709B">
              <w:rPr>
                <w:rFonts w:ascii="Arial Narrow" w:hAnsi="Arial Narrow"/>
                <w:i/>
                <w:iCs/>
                <w:szCs w:val="20"/>
              </w:rPr>
              <w:t xml:space="preserve">having received a cumulative RAI dose of greater than or equal to 600 </w:t>
            </w:r>
            <w:proofErr w:type="spellStart"/>
            <w:r w:rsidRPr="000E709B">
              <w:rPr>
                <w:rFonts w:ascii="Arial Narrow" w:hAnsi="Arial Narrow"/>
                <w:i/>
                <w:iCs/>
                <w:szCs w:val="20"/>
              </w:rPr>
              <w:t>mCi</w:t>
            </w:r>
            <w:proofErr w:type="spellEnd"/>
            <w:r w:rsidRPr="000E709B">
              <w:rPr>
                <w:rFonts w:ascii="Arial Narrow" w:hAnsi="Arial Narrow"/>
                <w:i/>
                <w:iCs/>
                <w:szCs w:val="20"/>
              </w:rPr>
              <w:t>; or</w:t>
            </w:r>
          </w:p>
          <w:p w14:paraId="3F708956" w14:textId="77777777" w:rsidR="000E709B" w:rsidRPr="000E709B" w:rsidRDefault="000E709B" w:rsidP="009A2B60">
            <w:pPr>
              <w:pStyle w:val="TableLeft"/>
              <w:numPr>
                <w:ilvl w:val="0"/>
                <w:numId w:val="19"/>
              </w:numPr>
              <w:rPr>
                <w:rFonts w:ascii="Arial Narrow" w:hAnsi="Arial Narrow"/>
                <w:i/>
                <w:iCs/>
                <w:szCs w:val="20"/>
              </w:rPr>
            </w:pPr>
            <w:r w:rsidRPr="000E709B">
              <w:rPr>
                <w:rFonts w:ascii="Arial Narrow" w:hAnsi="Arial Narrow"/>
                <w:i/>
                <w:iCs/>
                <w:szCs w:val="20"/>
              </w:rPr>
              <w:t>progression within 12 months of a single RAI treatment; or</w:t>
            </w:r>
          </w:p>
          <w:p w14:paraId="5B51745E" w14:textId="77777777" w:rsidR="000E709B" w:rsidRPr="000E709B" w:rsidRDefault="000E709B" w:rsidP="009A2B60">
            <w:pPr>
              <w:pStyle w:val="TableLeft"/>
              <w:numPr>
                <w:ilvl w:val="0"/>
                <w:numId w:val="19"/>
              </w:numPr>
              <w:rPr>
                <w:rFonts w:ascii="Arial Narrow" w:hAnsi="Arial Narrow"/>
                <w:i/>
                <w:iCs/>
                <w:szCs w:val="20"/>
              </w:rPr>
            </w:pPr>
            <w:r w:rsidRPr="000E709B">
              <w:rPr>
                <w:rFonts w:ascii="Arial Narrow" w:hAnsi="Arial Narrow"/>
                <w:i/>
                <w:iCs/>
                <w:szCs w:val="20"/>
              </w:rPr>
              <w:t>progression after two RAI treatments administered within 12 months of each other</w:t>
            </w:r>
          </w:p>
        </w:tc>
      </w:tr>
      <w:tr w:rsidR="000E709B" w:rsidRPr="00427986" w14:paraId="015C0052"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2426D8E8" w14:textId="77777777" w:rsidR="000E709B" w:rsidRPr="000E709B" w:rsidRDefault="000E709B" w:rsidP="009A2B60">
            <w:pPr>
              <w:pStyle w:val="TableLeft"/>
              <w:rPr>
                <w:rFonts w:ascii="Arial Narrow" w:hAnsi="Arial Narrow"/>
                <w:szCs w:val="20"/>
              </w:rPr>
            </w:pPr>
          </w:p>
        </w:tc>
      </w:tr>
      <w:tr w:rsidR="000E709B" w:rsidRPr="00427986" w14:paraId="3E0FC2AA"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258D7009" w14:textId="77777777" w:rsidR="000E709B" w:rsidRPr="000E709B" w:rsidRDefault="000E709B" w:rsidP="009A2B60">
            <w:pPr>
              <w:pStyle w:val="TableLeft"/>
              <w:rPr>
                <w:rFonts w:ascii="Arial Narrow" w:hAnsi="Arial Narrow"/>
                <w:szCs w:val="20"/>
              </w:rPr>
            </w:pPr>
            <w:r w:rsidRPr="000E709B">
              <w:rPr>
                <w:rFonts w:ascii="Arial Narrow" w:hAnsi="Arial Narrow"/>
                <w:b/>
                <w:bCs/>
                <w:i/>
                <w:iCs/>
                <w:color w:val="000000" w:themeColor="text1"/>
                <w:szCs w:val="20"/>
              </w:rPr>
              <w:t xml:space="preserve">Administrative Advice: </w:t>
            </w:r>
            <w:r w:rsidRPr="000E709B">
              <w:rPr>
                <w:rFonts w:ascii="Arial Narrow" w:hAnsi="Arial Narrow"/>
                <w:i/>
                <w:iCs/>
                <w:color w:val="000000" w:themeColor="text1"/>
                <w:szCs w:val="20"/>
              </w:rPr>
              <w:t>No increase in the maximum quantity or number of units may be authorised</w:t>
            </w:r>
          </w:p>
        </w:tc>
      </w:tr>
      <w:tr w:rsidR="000E709B" w:rsidRPr="00427986" w14:paraId="61EAE359" w14:textId="77777777" w:rsidTr="000E709B">
        <w:trPr>
          <w:trHeight w:val="56"/>
        </w:trPr>
        <w:tc>
          <w:tcPr>
            <w:tcW w:w="9000" w:type="dxa"/>
            <w:tcBorders>
              <w:top w:val="single" w:sz="4" w:space="0" w:color="auto"/>
              <w:left w:val="single" w:sz="4" w:space="0" w:color="auto"/>
              <w:bottom w:val="single" w:sz="4" w:space="0" w:color="auto"/>
              <w:right w:val="single" w:sz="4" w:space="0" w:color="auto"/>
            </w:tcBorders>
          </w:tcPr>
          <w:p w14:paraId="43C46F33"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b/>
                <w:bCs/>
                <w:i/>
                <w:iCs/>
                <w:color w:val="000000" w:themeColor="text1"/>
                <w:szCs w:val="20"/>
              </w:rPr>
              <w:t>Administrative Advice:</w:t>
            </w:r>
            <w:r w:rsidRPr="000E709B">
              <w:rPr>
                <w:rFonts w:ascii="Arial Narrow" w:hAnsi="Arial Narrow"/>
                <w:i/>
                <w:iCs/>
                <w:color w:val="000000" w:themeColor="text1"/>
                <w:szCs w:val="20"/>
              </w:rPr>
              <w:t xml:space="preserve"> No increase in the maximum number of repeats may be authorised</w:t>
            </w:r>
          </w:p>
        </w:tc>
      </w:tr>
      <w:tr w:rsidR="000E709B" w:rsidRPr="00427986" w14:paraId="4359F31A" w14:textId="77777777" w:rsidTr="000E709B">
        <w:trPr>
          <w:trHeight w:val="146"/>
        </w:trPr>
        <w:tc>
          <w:tcPr>
            <w:tcW w:w="9000" w:type="dxa"/>
            <w:tcBorders>
              <w:top w:val="single" w:sz="4" w:space="0" w:color="auto"/>
              <w:left w:val="single" w:sz="4" w:space="0" w:color="auto"/>
              <w:bottom w:val="single" w:sz="4" w:space="0" w:color="auto"/>
              <w:right w:val="single" w:sz="4" w:space="0" w:color="auto"/>
            </w:tcBorders>
          </w:tcPr>
          <w:p w14:paraId="00EA9B71"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b/>
                <w:bCs/>
                <w:i/>
                <w:iCs/>
                <w:color w:val="000000" w:themeColor="text1"/>
                <w:szCs w:val="20"/>
              </w:rPr>
              <w:t>Administrative Advice:</w:t>
            </w:r>
            <w:r w:rsidRPr="000E709B">
              <w:rPr>
                <w:rFonts w:ascii="Arial Narrow" w:hAnsi="Arial Narrow"/>
                <w:i/>
                <w:iCs/>
                <w:color w:val="000000" w:themeColor="text1"/>
                <w:szCs w:val="20"/>
              </w:rPr>
              <w:t xml:space="preserve"> Special Pricing Arrangements apply</w:t>
            </w:r>
          </w:p>
        </w:tc>
      </w:tr>
      <w:tr w:rsidR="000E709B" w:rsidRPr="00427986" w14:paraId="18DFCBC9" w14:textId="77777777" w:rsidTr="000E709B">
        <w:trPr>
          <w:trHeight w:val="146"/>
        </w:trPr>
        <w:tc>
          <w:tcPr>
            <w:tcW w:w="9000" w:type="dxa"/>
            <w:tcBorders>
              <w:top w:val="single" w:sz="4" w:space="0" w:color="auto"/>
              <w:left w:val="single" w:sz="4" w:space="0" w:color="auto"/>
              <w:bottom w:val="single" w:sz="4" w:space="0" w:color="auto"/>
              <w:right w:val="single" w:sz="4" w:space="0" w:color="auto"/>
            </w:tcBorders>
          </w:tcPr>
          <w:p w14:paraId="0143960B" w14:textId="77777777" w:rsidR="000E709B" w:rsidRPr="000E709B" w:rsidRDefault="000E709B" w:rsidP="009A2B60">
            <w:pPr>
              <w:pStyle w:val="TableLeft"/>
              <w:rPr>
                <w:rFonts w:ascii="Arial Narrow" w:hAnsi="Arial Narrow"/>
                <w:b/>
                <w:bCs/>
                <w:i/>
                <w:iCs/>
                <w:color w:val="000000" w:themeColor="text1"/>
                <w:szCs w:val="20"/>
              </w:rPr>
            </w:pPr>
          </w:p>
        </w:tc>
      </w:tr>
      <w:tr w:rsidR="000E709B" w:rsidRPr="00427986" w14:paraId="1C85006E" w14:textId="77777777" w:rsidTr="000E709B">
        <w:trPr>
          <w:trHeight w:val="146"/>
        </w:trPr>
        <w:tc>
          <w:tcPr>
            <w:tcW w:w="9000" w:type="dxa"/>
            <w:tcBorders>
              <w:top w:val="single" w:sz="4" w:space="0" w:color="auto"/>
              <w:left w:val="single" w:sz="4" w:space="0" w:color="auto"/>
              <w:bottom w:val="single" w:sz="4" w:space="0" w:color="auto"/>
              <w:right w:val="single" w:sz="4" w:space="0" w:color="auto"/>
            </w:tcBorders>
          </w:tcPr>
          <w:p w14:paraId="0D079470"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 xml:space="preserve">Note: </w:t>
            </w:r>
          </w:p>
          <w:p w14:paraId="76D65584"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Response Evaluation Criteria In Solid Tumours (RESIST) is defined as follows:</w:t>
            </w:r>
          </w:p>
          <w:p w14:paraId="179B9813"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Complete response (CR) is disappearance of all targeted lesions.</w:t>
            </w:r>
          </w:p>
          <w:p w14:paraId="4725D2C4"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Partial response (PR) is a 30% decrease in the sum of the longest diameter of target lesions.</w:t>
            </w:r>
          </w:p>
          <w:p w14:paraId="11137615"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Progressive disease (PD) is a 20% increase in the sum of the longest diameter of target lesions.</w:t>
            </w:r>
          </w:p>
          <w:p w14:paraId="32A5C50B" w14:textId="77777777" w:rsidR="000E709B" w:rsidRPr="000E709B" w:rsidRDefault="000E709B" w:rsidP="009A2B60">
            <w:pPr>
              <w:pStyle w:val="TableLeft"/>
              <w:tabs>
                <w:tab w:val="left" w:pos="5702"/>
              </w:tabs>
              <w:rPr>
                <w:rFonts w:ascii="Arial Narrow" w:hAnsi="Arial Narrow"/>
                <w:b/>
                <w:bCs/>
                <w:i/>
                <w:iCs/>
                <w:color w:val="000000" w:themeColor="text1"/>
                <w:szCs w:val="20"/>
              </w:rPr>
            </w:pPr>
            <w:r w:rsidRPr="000E709B">
              <w:rPr>
                <w:rFonts w:ascii="Arial Narrow" w:hAnsi="Arial Narrow"/>
                <w:i/>
                <w:iCs/>
                <w:color w:val="000000" w:themeColor="text1"/>
                <w:szCs w:val="20"/>
              </w:rPr>
              <w:t>Stable disease (SD) is small changes that do not meet above criteria.</w:t>
            </w:r>
            <w:r w:rsidRPr="000E709B">
              <w:rPr>
                <w:rFonts w:ascii="Arial Narrow" w:hAnsi="Arial Narrow"/>
                <w:i/>
                <w:iCs/>
                <w:color w:val="000000" w:themeColor="text1"/>
                <w:szCs w:val="20"/>
              </w:rPr>
              <w:tab/>
            </w:r>
          </w:p>
        </w:tc>
      </w:tr>
      <w:tr w:rsidR="000E709B" w:rsidRPr="00427986" w14:paraId="5CE4E999" w14:textId="77777777" w:rsidTr="000E709B">
        <w:trPr>
          <w:trHeight w:val="146"/>
        </w:trPr>
        <w:tc>
          <w:tcPr>
            <w:tcW w:w="9000" w:type="dxa"/>
            <w:tcBorders>
              <w:top w:val="single" w:sz="4" w:space="0" w:color="auto"/>
              <w:left w:val="single" w:sz="4" w:space="0" w:color="auto"/>
              <w:bottom w:val="single" w:sz="4" w:space="0" w:color="auto"/>
              <w:right w:val="single" w:sz="4" w:space="0" w:color="auto"/>
            </w:tcBorders>
          </w:tcPr>
          <w:p w14:paraId="5F2A2CD7"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Note:</w:t>
            </w:r>
          </w:p>
          <w:p w14:paraId="7007235F"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Vascular endothelial growth factor (VEGF)-targeted</w:t>
            </w:r>
            <w:r w:rsidRPr="000E709B">
              <w:rPr>
                <w:rFonts w:ascii="Arial Narrow" w:hAnsi="Arial Narrow"/>
                <w:color w:val="000000" w:themeColor="text1"/>
                <w:szCs w:val="20"/>
              </w:rPr>
              <w:t xml:space="preserve"> tyrosine kinase inhibitor’s </w:t>
            </w:r>
            <w:r w:rsidRPr="000E709B">
              <w:rPr>
                <w:rFonts w:ascii="Arial Narrow" w:hAnsi="Arial Narrow"/>
                <w:i/>
                <w:iCs/>
                <w:color w:val="000000" w:themeColor="text1"/>
                <w:szCs w:val="20"/>
              </w:rPr>
              <w:t>(TKI) include: lenvatinib</w:t>
            </w:r>
          </w:p>
        </w:tc>
      </w:tr>
    </w:tbl>
    <w:p w14:paraId="5A12129B" w14:textId="0260A964" w:rsidR="000E709B" w:rsidRDefault="000E709B" w:rsidP="004B1CB4"/>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2450"/>
        <w:gridCol w:w="835"/>
        <w:gridCol w:w="834"/>
        <w:gridCol w:w="835"/>
        <w:gridCol w:w="1635"/>
      </w:tblGrid>
      <w:tr w:rsidR="000E709B" w:rsidRPr="001428E9" w14:paraId="43F8D07E" w14:textId="77777777" w:rsidTr="000E709B">
        <w:trPr>
          <w:cantSplit/>
          <w:trHeight w:val="20"/>
        </w:trPr>
        <w:tc>
          <w:tcPr>
            <w:tcW w:w="2411" w:type="dxa"/>
            <w:vAlign w:val="center"/>
          </w:tcPr>
          <w:p w14:paraId="19B97634" w14:textId="77777777" w:rsidR="000E709B" w:rsidRPr="001428E9" w:rsidRDefault="000E709B" w:rsidP="009A2B60">
            <w:pPr>
              <w:keepNext/>
              <w:keepLines/>
              <w:jc w:val="center"/>
              <w:rPr>
                <w:rFonts w:ascii="Arial Narrow" w:hAnsi="Arial Narrow"/>
                <w:b/>
                <w:bCs/>
                <w:sz w:val="20"/>
                <w:szCs w:val="20"/>
              </w:rPr>
            </w:pPr>
            <w:r w:rsidRPr="001428E9">
              <w:rPr>
                <w:rFonts w:ascii="Arial Narrow" w:hAnsi="Arial Narrow"/>
                <w:b/>
                <w:bCs/>
                <w:sz w:val="20"/>
                <w:szCs w:val="20"/>
              </w:rPr>
              <w:t>MEDICINAL PRODUCT</w:t>
            </w:r>
          </w:p>
          <w:p w14:paraId="7AF86E6C" w14:textId="77777777" w:rsidR="000E709B" w:rsidRPr="001428E9" w:rsidRDefault="000E709B" w:rsidP="009A2B60">
            <w:pPr>
              <w:keepNext/>
              <w:keepLines/>
              <w:jc w:val="center"/>
              <w:rPr>
                <w:rFonts w:ascii="Arial Narrow" w:hAnsi="Arial Narrow"/>
                <w:b/>
                <w:sz w:val="20"/>
                <w:szCs w:val="20"/>
              </w:rPr>
            </w:pPr>
            <w:r w:rsidRPr="001428E9">
              <w:rPr>
                <w:rFonts w:ascii="Arial Narrow" w:hAnsi="Arial Narrow"/>
                <w:b/>
                <w:bCs/>
                <w:sz w:val="20"/>
                <w:szCs w:val="20"/>
              </w:rPr>
              <w:t>medicinal product pack</w:t>
            </w:r>
          </w:p>
        </w:tc>
        <w:tc>
          <w:tcPr>
            <w:tcW w:w="2450" w:type="dxa"/>
            <w:vAlign w:val="center"/>
          </w:tcPr>
          <w:p w14:paraId="27B114A8" w14:textId="77777777" w:rsidR="000E709B" w:rsidRPr="00C61A59" w:rsidRDefault="000E709B" w:rsidP="009A2B60">
            <w:pPr>
              <w:pStyle w:val="TableText0"/>
              <w:keepLines/>
              <w:jc w:val="center"/>
              <w:rPr>
                <w:b/>
                <w:bCs w:val="0"/>
                <w:szCs w:val="20"/>
              </w:rPr>
            </w:pPr>
            <w:r w:rsidRPr="00C61A59">
              <w:rPr>
                <w:b/>
                <w:bCs w:val="0"/>
                <w:snapToGrid w:val="0"/>
              </w:rPr>
              <w:t>Dispensed Price for Max. Qty</w:t>
            </w:r>
          </w:p>
        </w:tc>
        <w:tc>
          <w:tcPr>
            <w:tcW w:w="835" w:type="dxa"/>
            <w:vAlign w:val="center"/>
          </w:tcPr>
          <w:p w14:paraId="4F722867" w14:textId="77777777" w:rsidR="000E709B" w:rsidRPr="001428E9" w:rsidRDefault="000E709B" w:rsidP="009A2B60">
            <w:pPr>
              <w:keepNext/>
              <w:keepLines/>
              <w:jc w:val="center"/>
              <w:rPr>
                <w:rFonts w:ascii="Arial Narrow" w:hAnsi="Arial Narrow"/>
                <w:b/>
                <w:sz w:val="20"/>
                <w:szCs w:val="20"/>
              </w:rPr>
            </w:pPr>
            <w:r w:rsidRPr="001428E9">
              <w:rPr>
                <w:rFonts w:ascii="Arial Narrow" w:hAnsi="Arial Narrow"/>
                <w:b/>
                <w:sz w:val="20"/>
                <w:szCs w:val="20"/>
              </w:rPr>
              <w:t>Max. qty packs</w:t>
            </w:r>
          </w:p>
        </w:tc>
        <w:tc>
          <w:tcPr>
            <w:tcW w:w="834" w:type="dxa"/>
            <w:vAlign w:val="center"/>
          </w:tcPr>
          <w:p w14:paraId="6984DA2C" w14:textId="77777777" w:rsidR="000E709B" w:rsidRPr="001428E9" w:rsidRDefault="000E709B" w:rsidP="009A2B60">
            <w:pPr>
              <w:keepNext/>
              <w:keepLines/>
              <w:jc w:val="center"/>
              <w:rPr>
                <w:rFonts w:ascii="Arial Narrow" w:hAnsi="Arial Narrow"/>
                <w:b/>
                <w:sz w:val="20"/>
                <w:szCs w:val="20"/>
              </w:rPr>
            </w:pPr>
            <w:r w:rsidRPr="001428E9">
              <w:rPr>
                <w:rFonts w:ascii="Arial Narrow" w:hAnsi="Arial Narrow"/>
                <w:b/>
                <w:sz w:val="20"/>
                <w:szCs w:val="20"/>
              </w:rPr>
              <w:t>Max. qty units</w:t>
            </w:r>
          </w:p>
        </w:tc>
        <w:tc>
          <w:tcPr>
            <w:tcW w:w="835" w:type="dxa"/>
            <w:vAlign w:val="center"/>
          </w:tcPr>
          <w:p w14:paraId="28B2B343" w14:textId="77777777" w:rsidR="000E709B" w:rsidRPr="001428E9" w:rsidRDefault="000E709B" w:rsidP="009A2B60">
            <w:pPr>
              <w:keepNext/>
              <w:keepLines/>
              <w:jc w:val="center"/>
              <w:rPr>
                <w:rFonts w:ascii="Arial Narrow" w:hAnsi="Arial Narrow"/>
                <w:b/>
                <w:sz w:val="20"/>
                <w:szCs w:val="20"/>
              </w:rPr>
            </w:pPr>
            <w:r w:rsidRPr="001428E9">
              <w:rPr>
                <w:rFonts w:ascii="Arial Narrow" w:hAnsi="Arial Narrow"/>
                <w:b/>
                <w:sz w:val="20"/>
                <w:szCs w:val="20"/>
              </w:rPr>
              <w:t>№.of</w:t>
            </w:r>
          </w:p>
          <w:p w14:paraId="6A93CCAE" w14:textId="77777777" w:rsidR="000E709B" w:rsidRPr="001428E9" w:rsidRDefault="000E709B" w:rsidP="009A2B60">
            <w:pPr>
              <w:keepNext/>
              <w:keepLines/>
              <w:jc w:val="center"/>
              <w:rPr>
                <w:rFonts w:ascii="Arial Narrow" w:hAnsi="Arial Narrow"/>
                <w:b/>
                <w:sz w:val="20"/>
                <w:szCs w:val="20"/>
              </w:rPr>
            </w:pPr>
            <w:r w:rsidRPr="001428E9">
              <w:rPr>
                <w:rFonts w:ascii="Arial Narrow" w:hAnsi="Arial Narrow"/>
                <w:b/>
                <w:sz w:val="20"/>
                <w:szCs w:val="20"/>
              </w:rPr>
              <w:t>Rpts</w:t>
            </w:r>
          </w:p>
        </w:tc>
        <w:tc>
          <w:tcPr>
            <w:tcW w:w="1635" w:type="dxa"/>
            <w:vAlign w:val="center"/>
          </w:tcPr>
          <w:p w14:paraId="43202A05" w14:textId="77777777" w:rsidR="000E709B" w:rsidRPr="001428E9" w:rsidRDefault="000E709B" w:rsidP="009A2B60">
            <w:pPr>
              <w:keepNext/>
              <w:keepLines/>
              <w:jc w:val="center"/>
              <w:rPr>
                <w:rFonts w:ascii="Arial Narrow" w:hAnsi="Arial Narrow"/>
                <w:b/>
                <w:sz w:val="20"/>
                <w:szCs w:val="20"/>
                <w:lang w:val="fr-FR"/>
              </w:rPr>
            </w:pPr>
            <w:r w:rsidRPr="001428E9">
              <w:rPr>
                <w:rFonts w:ascii="Arial Narrow" w:hAnsi="Arial Narrow"/>
                <w:b/>
                <w:sz w:val="20"/>
                <w:szCs w:val="20"/>
              </w:rPr>
              <w:t>Available brands</w:t>
            </w:r>
          </w:p>
        </w:tc>
      </w:tr>
      <w:tr w:rsidR="000E709B" w:rsidRPr="001428E9" w14:paraId="69C06A12" w14:textId="77777777" w:rsidTr="000E709B">
        <w:trPr>
          <w:cantSplit/>
          <w:trHeight w:val="20"/>
        </w:trPr>
        <w:tc>
          <w:tcPr>
            <w:tcW w:w="9000" w:type="dxa"/>
            <w:gridSpan w:val="6"/>
            <w:vAlign w:val="center"/>
          </w:tcPr>
          <w:p w14:paraId="3B6340F9" w14:textId="77777777" w:rsidR="000E709B" w:rsidRPr="00632A2B" w:rsidRDefault="000E709B" w:rsidP="009A2B60">
            <w:pPr>
              <w:pStyle w:val="TableText0"/>
              <w:keepLines/>
              <w:rPr>
                <w:rFonts w:cs="Arial"/>
                <w:szCs w:val="20"/>
              </w:rPr>
            </w:pPr>
            <w:r w:rsidRPr="00632A2B">
              <w:rPr>
                <w:rFonts w:cs="Arial"/>
                <w:szCs w:val="20"/>
              </w:rPr>
              <w:t>CABOZANTINIB</w:t>
            </w:r>
          </w:p>
        </w:tc>
      </w:tr>
      <w:tr w:rsidR="000E709B" w:rsidRPr="003A4C14" w14:paraId="23463944" w14:textId="77777777" w:rsidTr="000E709B">
        <w:trPr>
          <w:cantSplit/>
          <w:trHeight w:val="20"/>
        </w:trPr>
        <w:tc>
          <w:tcPr>
            <w:tcW w:w="2411" w:type="dxa"/>
            <w:vAlign w:val="center"/>
          </w:tcPr>
          <w:p w14:paraId="15B217AC" w14:textId="77777777" w:rsidR="000E709B" w:rsidRDefault="000E709B" w:rsidP="009A2B60">
            <w:pPr>
              <w:pStyle w:val="TableText0"/>
              <w:keepLines/>
            </w:pPr>
            <w:r>
              <w:t>C</w:t>
            </w:r>
            <w:r w:rsidRPr="00632A2B">
              <w:t>abozantinib</w:t>
            </w:r>
          </w:p>
          <w:p w14:paraId="6C42E0DF" w14:textId="77777777" w:rsidR="000E709B" w:rsidRPr="00632A2B" w:rsidRDefault="000E709B" w:rsidP="009A2B60">
            <w:pPr>
              <w:keepNext/>
              <w:keepLines/>
              <w:rPr>
                <w:rFonts w:ascii="Arial Narrow" w:hAnsi="Arial Narrow"/>
                <w:sz w:val="20"/>
                <w:szCs w:val="20"/>
              </w:rPr>
            </w:pPr>
            <w:r w:rsidRPr="00632A2B">
              <w:rPr>
                <w:rFonts w:ascii="Arial Narrow" w:hAnsi="Arial Narrow"/>
                <w:sz w:val="20"/>
                <w:szCs w:val="20"/>
              </w:rPr>
              <w:t xml:space="preserve">20 mg tablet, 30 </w:t>
            </w:r>
          </w:p>
        </w:tc>
        <w:tc>
          <w:tcPr>
            <w:tcW w:w="2450" w:type="dxa"/>
          </w:tcPr>
          <w:p w14:paraId="5CB9BE7A" w14:textId="0A82DCDB" w:rsidR="000E709B" w:rsidRPr="00565C79" w:rsidRDefault="000E709B" w:rsidP="009A2B60">
            <w:pPr>
              <w:pStyle w:val="TableText0"/>
              <w:keepLines/>
              <w:jc w:val="center"/>
            </w:pPr>
            <w:r w:rsidRPr="00565C79">
              <w:t>$</w:t>
            </w:r>
            <w:r w:rsidRPr="00632A2B">
              <w:t>9,961.22</w:t>
            </w:r>
            <w:r>
              <w:t xml:space="preserve"> published price</w:t>
            </w:r>
          </w:p>
          <w:p w14:paraId="5CCD24B6" w14:textId="02802246" w:rsidR="000E709B" w:rsidRPr="001428E9" w:rsidRDefault="00B1620B" w:rsidP="009A2B60">
            <w:pPr>
              <w:pStyle w:val="TableText0"/>
              <w:keepLines/>
              <w:jc w:val="center"/>
              <w:rPr>
                <w:szCs w:val="20"/>
              </w:rPr>
            </w:pPr>
            <w:r>
              <w:t>$</w:t>
            </w:r>
            <w:r w:rsidR="005860C6" w:rsidRPr="00B1620B">
              <w:rPr>
                <w:rFonts w:hint="eastAsia"/>
                <w:color w:val="000000"/>
                <w:w w:val="15"/>
                <w:shd w:val="solid" w:color="000000" w:fill="000000"/>
                <w:fitText w:val="30" w:id="-1032107261"/>
                <w14:textFill>
                  <w14:solidFill>
                    <w14:srgbClr w14:val="000000">
                      <w14:alpha w14:val="100000"/>
                    </w14:srgbClr>
                  </w14:solidFill>
                </w14:textFill>
              </w:rPr>
              <w:t xml:space="preserve">　</w:t>
            </w:r>
            <w:r w:rsidR="005860C6" w:rsidRPr="00B1620B">
              <w:rPr>
                <w:color w:val="000000"/>
                <w:w w:val="15"/>
                <w:shd w:val="solid" w:color="000000" w:fill="000000"/>
                <w:fitText w:val="30" w:id="-1032107261"/>
                <w14:textFill>
                  <w14:solidFill>
                    <w14:srgbClr w14:val="000000">
                      <w14:alpha w14:val="100000"/>
                    </w14:srgbClr>
                  </w14:solidFill>
                </w14:textFill>
              </w:rPr>
              <w:t>|</w:t>
            </w:r>
            <w:r w:rsidR="005860C6" w:rsidRPr="00B1620B">
              <w:rPr>
                <w:rFonts w:hint="eastAsia"/>
                <w:color w:val="000000"/>
                <w:spacing w:val="-35"/>
                <w:w w:val="15"/>
                <w:shd w:val="solid" w:color="000000" w:fill="000000"/>
                <w:fitText w:val="30" w:id="-1032107261"/>
                <w14:textFill>
                  <w14:solidFill>
                    <w14:srgbClr w14:val="000000">
                      <w14:alpha w14:val="100000"/>
                    </w14:srgbClr>
                  </w14:solidFill>
                </w14:textFill>
              </w:rPr>
              <w:t xml:space="preserve">　</w:t>
            </w:r>
            <w:r w:rsidR="000E709B">
              <w:t xml:space="preserve"> effective price</w:t>
            </w:r>
          </w:p>
        </w:tc>
        <w:tc>
          <w:tcPr>
            <w:tcW w:w="835" w:type="dxa"/>
            <w:vAlign w:val="center"/>
          </w:tcPr>
          <w:p w14:paraId="45064484" w14:textId="77777777" w:rsidR="000E709B" w:rsidRPr="001428E9" w:rsidRDefault="000E709B" w:rsidP="009A2B60">
            <w:pPr>
              <w:keepNext/>
              <w:keepLines/>
              <w:jc w:val="center"/>
              <w:rPr>
                <w:rFonts w:ascii="Arial Narrow" w:hAnsi="Arial Narrow"/>
                <w:sz w:val="20"/>
                <w:szCs w:val="20"/>
              </w:rPr>
            </w:pPr>
            <w:r>
              <w:rPr>
                <w:rFonts w:ascii="Arial Narrow" w:hAnsi="Arial Narrow"/>
                <w:sz w:val="20"/>
              </w:rPr>
              <w:t>1</w:t>
            </w:r>
          </w:p>
        </w:tc>
        <w:tc>
          <w:tcPr>
            <w:tcW w:w="834" w:type="dxa"/>
            <w:vAlign w:val="center"/>
          </w:tcPr>
          <w:p w14:paraId="1C7F5319" w14:textId="77777777" w:rsidR="000E709B" w:rsidRPr="001428E9" w:rsidRDefault="000E709B" w:rsidP="009A2B60">
            <w:pPr>
              <w:keepNext/>
              <w:keepLines/>
              <w:jc w:val="center"/>
              <w:rPr>
                <w:rFonts w:ascii="Arial Narrow" w:hAnsi="Arial Narrow"/>
                <w:sz w:val="20"/>
                <w:szCs w:val="20"/>
              </w:rPr>
            </w:pPr>
            <w:r>
              <w:rPr>
                <w:rFonts w:ascii="Arial Narrow" w:hAnsi="Arial Narrow"/>
                <w:sz w:val="20"/>
              </w:rPr>
              <w:t>30</w:t>
            </w:r>
          </w:p>
        </w:tc>
        <w:tc>
          <w:tcPr>
            <w:tcW w:w="835" w:type="dxa"/>
            <w:vAlign w:val="center"/>
          </w:tcPr>
          <w:p w14:paraId="5BA3A313" w14:textId="62A38142" w:rsidR="000E709B" w:rsidRPr="001428E9" w:rsidRDefault="000E709B" w:rsidP="009A2B60">
            <w:pPr>
              <w:keepNext/>
              <w:keepLines/>
              <w:jc w:val="center"/>
              <w:rPr>
                <w:rFonts w:ascii="Arial Narrow" w:hAnsi="Arial Narrow"/>
                <w:sz w:val="20"/>
                <w:szCs w:val="20"/>
              </w:rPr>
            </w:pPr>
            <w:r>
              <w:rPr>
                <w:rFonts w:ascii="Arial Narrow" w:hAnsi="Arial Narrow"/>
                <w:sz w:val="20"/>
              </w:rPr>
              <w:t>5</w:t>
            </w:r>
          </w:p>
        </w:tc>
        <w:tc>
          <w:tcPr>
            <w:tcW w:w="1635" w:type="dxa"/>
            <w:vAlign w:val="center"/>
          </w:tcPr>
          <w:p w14:paraId="2FB3E433" w14:textId="77777777" w:rsidR="000E709B" w:rsidRPr="00632A2B" w:rsidRDefault="000E709B" w:rsidP="009A2B60">
            <w:pPr>
              <w:keepNext/>
              <w:keepLines/>
              <w:jc w:val="left"/>
              <w:rPr>
                <w:rFonts w:ascii="Arial Narrow" w:hAnsi="Arial Narrow"/>
                <w:sz w:val="20"/>
                <w:szCs w:val="20"/>
              </w:rPr>
            </w:pPr>
            <w:r w:rsidRPr="00632A2B">
              <w:rPr>
                <w:rFonts w:ascii="Arial Narrow" w:hAnsi="Arial Narrow"/>
                <w:sz w:val="20"/>
                <w:szCs w:val="20"/>
              </w:rPr>
              <w:t>Cabometyx</w:t>
            </w:r>
            <w:r>
              <w:rPr>
                <w:rFonts w:ascii="Arial Narrow" w:hAnsi="Arial Narrow"/>
                <w:sz w:val="20"/>
                <w:szCs w:val="20"/>
              </w:rPr>
              <w:t xml:space="preserve">, </w:t>
            </w:r>
            <w:r>
              <w:rPr>
                <w:rFonts w:ascii="Arial Narrow" w:hAnsi="Arial Narrow"/>
                <w:sz w:val="20"/>
                <w:szCs w:val="20"/>
              </w:rPr>
              <w:br/>
            </w:r>
            <w:r w:rsidRPr="00632A2B">
              <w:rPr>
                <w:rFonts w:ascii="Arial Narrow" w:hAnsi="Arial Narrow"/>
                <w:sz w:val="20"/>
                <w:szCs w:val="20"/>
              </w:rPr>
              <w:t>Ipsen Pty Ltd</w:t>
            </w:r>
          </w:p>
        </w:tc>
      </w:tr>
      <w:tr w:rsidR="000E709B" w:rsidRPr="003A4C14" w14:paraId="494CE396" w14:textId="77777777" w:rsidTr="000E709B">
        <w:trPr>
          <w:cantSplit/>
          <w:trHeight w:val="20"/>
        </w:trPr>
        <w:tc>
          <w:tcPr>
            <w:tcW w:w="2411" w:type="dxa"/>
            <w:vAlign w:val="center"/>
          </w:tcPr>
          <w:p w14:paraId="580FBD25" w14:textId="77777777" w:rsidR="000E709B" w:rsidRDefault="000E709B" w:rsidP="009A2B60">
            <w:pPr>
              <w:pStyle w:val="TableText0"/>
              <w:keepLines/>
            </w:pPr>
            <w:r>
              <w:t>Cabozantinib</w:t>
            </w:r>
          </w:p>
          <w:p w14:paraId="6ED80D4E" w14:textId="77777777" w:rsidR="000E709B" w:rsidRDefault="000E709B" w:rsidP="009A2B60">
            <w:pPr>
              <w:pStyle w:val="TableText0"/>
              <w:keepLines/>
            </w:pPr>
            <w:r>
              <w:t>40 mg tablet, 30</w:t>
            </w:r>
          </w:p>
        </w:tc>
        <w:tc>
          <w:tcPr>
            <w:tcW w:w="2450" w:type="dxa"/>
          </w:tcPr>
          <w:p w14:paraId="71835382" w14:textId="595F614C" w:rsidR="000E709B" w:rsidRDefault="000E709B" w:rsidP="009A2B60">
            <w:pPr>
              <w:pStyle w:val="TableText0"/>
              <w:keepLines/>
              <w:jc w:val="center"/>
            </w:pPr>
            <w:r>
              <w:t>$9,961.22 published price</w:t>
            </w:r>
          </w:p>
          <w:p w14:paraId="56278AE6" w14:textId="6EECEFB2" w:rsidR="000E709B" w:rsidRPr="00565C79" w:rsidRDefault="00B1620B" w:rsidP="009A2B60">
            <w:pPr>
              <w:pStyle w:val="TableText0"/>
              <w:keepLines/>
              <w:jc w:val="center"/>
            </w:pPr>
            <w:r>
              <w:t>$</w:t>
            </w:r>
            <w:r w:rsidR="005860C6" w:rsidRPr="00B1620B">
              <w:rPr>
                <w:rFonts w:hint="eastAsia"/>
                <w:color w:val="000000"/>
                <w:w w:val="15"/>
                <w:shd w:val="solid" w:color="000000" w:fill="000000"/>
                <w:fitText w:val="30" w:id="-1032107260"/>
                <w14:textFill>
                  <w14:solidFill>
                    <w14:srgbClr w14:val="000000">
                      <w14:alpha w14:val="100000"/>
                    </w14:srgbClr>
                  </w14:solidFill>
                </w14:textFill>
              </w:rPr>
              <w:t xml:space="preserve">　</w:t>
            </w:r>
            <w:r w:rsidR="005860C6" w:rsidRPr="00B1620B">
              <w:rPr>
                <w:color w:val="000000"/>
                <w:w w:val="15"/>
                <w:shd w:val="solid" w:color="000000" w:fill="000000"/>
                <w:fitText w:val="30" w:id="-1032107260"/>
                <w14:textFill>
                  <w14:solidFill>
                    <w14:srgbClr w14:val="000000">
                      <w14:alpha w14:val="100000"/>
                    </w14:srgbClr>
                  </w14:solidFill>
                </w14:textFill>
              </w:rPr>
              <w:t>|</w:t>
            </w:r>
            <w:r w:rsidR="005860C6" w:rsidRPr="00B1620B">
              <w:rPr>
                <w:rFonts w:hint="eastAsia"/>
                <w:color w:val="000000"/>
                <w:spacing w:val="-35"/>
                <w:w w:val="15"/>
                <w:shd w:val="solid" w:color="000000" w:fill="000000"/>
                <w:fitText w:val="30" w:id="-1032107260"/>
                <w14:textFill>
                  <w14:solidFill>
                    <w14:srgbClr w14:val="000000">
                      <w14:alpha w14:val="100000"/>
                    </w14:srgbClr>
                  </w14:solidFill>
                </w14:textFill>
              </w:rPr>
              <w:t xml:space="preserve">　</w:t>
            </w:r>
            <w:r w:rsidR="000E709B">
              <w:t xml:space="preserve"> effective price</w:t>
            </w:r>
          </w:p>
        </w:tc>
        <w:tc>
          <w:tcPr>
            <w:tcW w:w="835" w:type="dxa"/>
            <w:vAlign w:val="center"/>
          </w:tcPr>
          <w:p w14:paraId="46089051" w14:textId="77777777" w:rsidR="000E709B" w:rsidRPr="001C37BA" w:rsidRDefault="000E709B" w:rsidP="009A2B60">
            <w:pPr>
              <w:keepNext/>
              <w:keepLines/>
              <w:jc w:val="center"/>
              <w:rPr>
                <w:rFonts w:ascii="Arial Narrow" w:hAnsi="Arial Narrow"/>
                <w:sz w:val="20"/>
              </w:rPr>
            </w:pPr>
            <w:r>
              <w:rPr>
                <w:rFonts w:ascii="Arial Narrow" w:hAnsi="Arial Narrow"/>
                <w:sz w:val="20"/>
              </w:rPr>
              <w:t>1</w:t>
            </w:r>
          </w:p>
        </w:tc>
        <w:tc>
          <w:tcPr>
            <w:tcW w:w="834" w:type="dxa"/>
            <w:vAlign w:val="center"/>
          </w:tcPr>
          <w:p w14:paraId="51954971" w14:textId="77777777" w:rsidR="000E709B" w:rsidRPr="001C37BA" w:rsidRDefault="000E709B" w:rsidP="009A2B60">
            <w:pPr>
              <w:keepNext/>
              <w:keepLines/>
              <w:jc w:val="center"/>
              <w:rPr>
                <w:rFonts w:ascii="Arial Narrow" w:hAnsi="Arial Narrow"/>
                <w:sz w:val="20"/>
              </w:rPr>
            </w:pPr>
            <w:r>
              <w:rPr>
                <w:rFonts w:ascii="Arial Narrow" w:hAnsi="Arial Narrow"/>
                <w:sz w:val="20"/>
              </w:rPr>
              <w:t>30</w:t>
            </w:r>
          </w:p>
        </w:tc>
        <w:tc>
          <w:tcPr>
            <w:tcW w:w="835" w:type="dxa"/>
            <w:vAlign w:val="center"/>
          </w:tcPr>
          <w:p w14:paraId="672F61F8" w14:textId="3DDFEA25" w:rsidR="000E709B" w:rsidRPr="001C37BA" w:rsidRDefault="000E709B" w:rsidP="009A2B60">
            <w:pPr>
              <w:keepNext/>
              <w:keepLines/>
              <w:jc w:val="center"/>
              <w:rPr>
                <w:rFonts w:ascii="Arial Narrow" w:hAnsi="Arial Narrow"/>
                <w:sz w:val="20"/>
              </w:rPr>
            </w:pPr>
            <w:r>
              <w:rPr>
                <w:rFonts w:ascii="Arial Narrow" w:hAnsi="Arial Narrow"/>
                <w:sz w:val="20"/>
              </w:rPr>
              <w:t>5</w:t>
            </w:r>
          </w:p>
        </w:tc>
        <w:tc>
          <w:tcPr>
            <w:tcW w:w="1635" w:type="dxa"/>
            <w:vAlign w:val="center"/>
          </w:tcPr>
          <w:p w14:paraId="1FCE52D8" w14:textId="77777777" w:rsidR="000E709B" w:rsidRPr="003A4C14" w:rsidRDefault="000E709B" w:rsidP="009A2B60">
            <w:pPr>
              <w:keepNext/>
              <w:keepLines/>
              <w:jc w:val="left"/>
              <w:rPr>
                <w:rFonts w:ascii="Arial Narrow" w:hAnsi="Arial Narrow"/>
                <w:sz w:val="20"/>
                <w:szCs w:val="20"/>
              </w:rPr>
            </w:pPr>
            <w:r w:rsidRPr="00632A2B">
              <w:rPr>
                <w:rFonts w:ascii="Arial Narrow" w:hAnsi="Arial Narrow"/>
                <w:sz w:val="20"/>
                <w:szCs w:val="20"/>
              </w:rPr>
              <w:t>Cabometyx</w:t>
            </w:r>
            <w:r>
              <w:rPr>
                <w:rFonts w:ascii="Arial Narrow" w:hAnsi="Arial Narrow"/>
                <w:sz w:val="20"/>
                <w:szCs w:val="20"/>
              </w:rPr>
              <w:t xml:space="preserve">, </w:t>
            </w:r>
            <w:r>
              <w:rPr>
                <w:rFonts w:ascii="Arial Narrow" w:hAnsi="Arial Narrow"/>
                <w:sz w:val="20"/>
                <w:szCs w:val="20"/>
              </w:rPr>
              <w:br/>
            </w:r>
            <w:r w:rsidRPr="00632A2B">
              <w:rPr>
                <w:rFonts w:ascii="Arial Narrow" w:hAnsi="Arial Narrow"/>
                <w:sz w:val="20"/>
                <w:szCs w:val="20"/>
              </w:rPr>
              <w:t>Ipsen Pty Ltd</w:t>
            </w:r>
          </w:p>
        </w:tc>
      </w:tr>
      <w:tr w:rsidR="000E709B" w:rsidRPr="003A4C14" w14:paraId="1E002C18" w14:textId="77777777" w:rsidTr="000E709B">
        <w:trPr>
          <w:cantSplit/>
          <w:trHeight w:val="20"/>
        </w:trPr>
        <w:tc>
          <w:tcPr>
            <w:tcW w:w="2411" w:type="dxa"/>
            <w:vAlign w:val="center"/>
          </w:tcPr>
          <w:p w14:paraId="25C3D766" w14:textId="77777777" w:rsidR="000E709B" w:rsidRDefault="000E709B" w:rsidP="009A2B60">
            <w:pPr>
              <w:pStyle w:val="TableText0"/>
              <w:keepLines/>
            </w:pPr>
            <w:r>
              <w:t>Cabozantinib</w:t>
            </w:r>
          </w:p>
          <w:p w14:paraId="652B18BA" w14:textId="77777777" w:rsidR="000E709B" w:rsidRDefault="000E709B" w:rsidP="009A2B60">
            <w:pPr>
              <w:pStyle w:val="TableText0"/>
              <w:keepLines/>
            </w:pPr>
            <w:r>
              <w:t>60 mg tablet, 30</w:t>
            </w:r>
          </w:p>
        </w:tc>
        <w:tc>
          <w:tcPr>
            <w:tcW w:w="2450" w:type="dxa"/>
          </w:tcPr>
          <w:p w14:paraId="41608C02" w14:textId="3B24931A" w:rsidR="000E709B" w:rsidRDefault="000E709B" w:rsidP="009A2B60">
            <w:pPr>
              <w:pStyle w:val="TableText0"/>
              <w:keepLines/>
              <w:jc w:val="center"/>
            </w:pPr>
            <w:r>
              <w:t>$9,961.22 published price</w:t>
            </w:r>
          </w:p>
          <w:p w14:paraId="2FE80CE8" w14:textId="75A64D88" w:rsidR="000E709B" w:rsidRPr="00565C79" w:rsidRDefault="00B1620B" w:rsidP="009A2B60">
            <w:pPr>
              <w:pStyle w:val="TableText0"/>
              <w:keepLines/>
              <w:jc w:val="center"/>
            </w:pPr>
            <w:r>
              <w:t>$</w:t>
            </w:r>
            <w:r w:rsidR="005860C6" w:rsidRPr="00B1620B">
              <w:rPr>
                <w:rFonts w:hint="eastAsia"/>
                <w:color w:val="000000"/>
                <w:w w:val="15"/>
                <w:shd w:val="solid" w:color="000000" w:fill="000000"/>
                <w:fitText w:val="30" w:id="-1032107259"/>
                <w14:textFill>
                  <w14:solidFill>
                    <w14:srgbClr w14:val="000000">
                      <w14:alpha w14:val="100000"/>
                    </w14:srgbClr>
                  </w14:solidFill>
                </w14:textFill>
              </w:rPr>
              <w:t xml:space="preserve">　</w:t>
            </w:r>
            <w:r w:rsidR="005860C6" w:rsidRPr="00B1620B">
              <w:rPr>
                <w:color w:val="000000"/>
                <w:w w:val="15"/>
                <w:shd w:val="solid" w:color="000000" w:fill="000000"/>
                <w:fitText w:val="30" w:id="-1032107259"/>
                <w14:textFill>
                  <w14:solidFill>
                    <w14:srgbClr w14:val="000000">
                      <w14:alpha w14:val="100000"/>
                    </w14:srgbClr>
                  </w14:solidFill>
                </w14:textFill>
              </w:rPr>
              <w:t>|</w:t>
            </w:r>
            <w:r w:rsidR="005860C6" w:rsidRPr="00B1620B">
              <w:rPr>
                <w:rFonts w:hint="eastAsia"/>
                <w:color w:val="000000"/>
                <w:spacing w:val="-35"/>
                <w:w w:val="15"/>
                <w:shd w:val="solid" w:color="000000" w:fill="000000"/>
                <w:fitText w:val="30" w:id="-1032107259"/>
                <w14:textFill>
                  <w14:solidFill>
                    <w14:srgbClr w14:val="000000">
                      <w14:alpha w14:val="100000"/>
                    </w14:srgbClr>
                  </w14:solidFill>
                </w14:textFill>
              </w:rPr>
              <w:t xml:space="preserve">　</w:t>
            </w:r>
            <w:r w:rsidR="000E709B">
              <w:t xml:space="preserve"> effective price</w:t>
            </w:r>
          </w:p>
        </w:tc>
        <w:tc>
          <w:tcPr>
            <w:tcW w:w="835" w:type="dxa"/>
            <w:vAlign w:val="center"/>
          </w:tcPr>
          <w:p w14:paraId="7443F47F" w14:textId="77777777" w:rsidR="000E709B" w:rsidRPr="001C37BA" w:rsidRDefault="000E709B" w:rsidP="009A2B60">
            <w:pPr>
              <w:keepNext/>
              <w:keepLines/>
              <w:jc w:val="center"/>
              <w:rPr>
                <w:rFonts w:ascii="Arial Narrow" w:hAnsi="Arial Narrow"/>
                <w:sz w:val="20"/>
              </w:rPr>
            </w:pPr>
            <w:r>
              <w:rPr>
                <w:rFonts w:ascii="Arial Narrow" w:hAnsi="Arial Narrow"/>
                <w:sz w:val="20"/>
              </w:rPr>
              <w:t>1</w:t>
            </w:r>
          </w:p>
        </w:tc>
        <w:tc>
          <w:tcPr>
            <w:tcW w:w="834" w:type="dxa"/>
            <w:vAlign w:val="center"/>
          </w:tcPr>
          <w:p w14:paraId="6E07B2A1" w14:textId="77777777" w:rsidR="000E709B" w:rsidRPr="001C37BA" w:rsidRDefault="000E709B" w:rsidP="009A2B60">
            <w:pPr>
              <w:keepNext/>
              <w:keepLines/>
              <w:jc w:val="center"/>
              <w:rPr>
                <w:rFonts w:ascii="Arial Narrow" w:hAnsi="Arial Narrow"/>
                <w:sz w:val="20"/>
              </w:rPr>
            </w:pPr>
            <w:r>
              <w:rPr>
                <w:rFonts w:ascii="Arial Narrow" w:hAnsi="Arial Narrow"/>
                <w:sz w:val="20"/>
              </w:rPr>
              <w:t>30</w:t>
            </w:r>
          </w:p>
        </w:tc>
        <w:tc>
          <w:tcPr>
            <w:tcW w:w="835" w:type="dxa"/>
            <w:vAlign w:val="center"/>
          </w:tcPr>
          <w:p w14:paraId="385CCC7D" w14:textId="25B9CDD0" w:rsidR="000E709B" w:rsidRPr="001C37BA" w:rsidRDefault="000E709B" w:rsidP="009A2B60">
            <w:pPr>
              <w:keepNext/>
              <w:keepLines/>
              <w:jc w:val="center"/>
              <w:rPr>
                <w:rFonts w:ascii="Arial Narrow" w:hAnsi="Arial Narrow"/>
                <w:sz w:val="20"/>
              </w:rPr>
            </w:pPr>
            <w:r>
              <w:rPr>
                <w:rFonts w:ascii="Arial Narrow" w:hAnsi="Arial Narrow"/>
                <w:sz w:val="20"/>
              </w:rPr>
              <w:t>5</w:t>
            </w:r>
          </w:p>
        </w:tc>
        <w:tc>
          <w:tcPr>
            <w:tcW w:w="1635" w:type="dxa"/>
            <w:vAlign w:val="center"/>
          </w:tcPr>
          <w:p w14:paraId="5B1DB6F1" w14:textId="77777777" w:rsidR="000E709B" w:rsidRPr="003A4C14" w:rsidRDefault="000E709B" w:rsidP="009A2B60">
            <w:pPr>
              <w:keepNext/>
              <w:keepLines/>
              <w:jc w:val="left"/>
              <w:rPr>
                <w:rFonts w:ascii="Arial Narrow" w:hAnsi="Arial Narrow"/>
                <w:sz w:val="20"/>
                <w:szCs w:val="20"/>
              </w:rPr>
            </w:pPr>
            <w:r w:rsidRPr="00632A2B">
              <w:rPr>
                <w:rFonts w:ascii="Arial Narrow" w:hAnsi="Arial Narrow"/>
                <w:sz w:val="20"/>
                <w:szCs w:val="20"/>
              </w:rPr>
              <w:t>Cabometyx</w:t>
            </w:r>
            <w:r>
              <w:rPr>
                <w:rFonts w:ascii="Arial Narrow" w:hAnsi="Arial Narrow"/>
                <w:sz w:val="20"/>
                <w:szCs w:val="20"/>
              </w:rPr>
              <w:t xml:space="preserve">, </w:t>
            </w:r>
            <w:r>
              <w:rPr>
                <w:rFonts w:ascii="Arial Narrow" w:hAnsi="Arial Narrow"/>
                <w:sz w:val="20"/>
                <w:szCs w:val="20"/>
              </w:rPr>
              <w:br/>
            </w:r>
            <w:r w:rsidRPr="00632A2B">
              <w:rPr>
                <w:rFonts w:ascii="Arial Narrow" w:hAnsi="Arial Narrow"/>
                <w:sz w:val="20"/>
                <w:szCs w:val="20"/>
              </w:rPr>
              <w:t>Ipsen Pty Ltd</w:t>
            </w:r>
          </w:p>
        </w:tc>
      </w:tr>
      <w:tr w:rsidR="000E709B" w:rsidRPr="00427986" w14:paraId="2EF3032C"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000" w:type="dxa"/>
            <w:gridSpan w:val="6"/>
            <w:tcBorders>
              <w:top w:val="single" w:sz="4" w:space="0" w:color="auto"/>
              <w:left w:val="single" w:sz="4" w:space="0" w:color="auto"/>
              <w:bottom w:val="single" w:sz="4" w:space="0" w:color="auto"/>
              <w:right w:val="single" w:sz="4" w:space="0" w:color="auto"/>
            </w:tcBorders>
          </w:tcPr>
          <w:p w14:paraId="26CD5999"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b/>
                <w:bCs/>
                <w:color w:val="000000" w:themeColor="text1"/>
                <w:szCs w:val="20"/>
              </w:rPr>
              <w:t>Category / Program:</w:t>
            </w:r>
            <w:r w:rsidRPr="000E709B">
              <w:rPr>
                <w:rFonts w:ascii="Arial Narrow" w:hAnsi="Arial Narrow"/>
                <w:color w:val="000000" w:themeColor="text1"/>
                <w:szCs w:val="20"/>
              </w:rPr>
              <w:t xml:space="preserve"> Section 85 (General Schedule)</w:t>
            </w:r>
          </w:p>
        </w:tc>
      </w:tr>
      <w:tr w:rsidR="000E709B" w:rsidRPr="00427986" w14:paraId="54AF9560"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0" w:type="dxa"/>
            <w:gridSpan w:val="6"/>
            <w:tcBorders>
              <w:top w:val="single" w:sz="4" w:space="0" w:color="auto"/>
              <w:left w:val="single" w:sz="4" w:space="0" w:color="auto"/>
              <w:bottom w:val="single" w:sz="4" w:space="0" w:color="auto"/>
              <w:right w:val="single" w:sz="4" w:space="0" w:color="auto"/>
            </w:tcBorders>
          </w:tcPr>
          <w:p w14:paraId="54943484"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b/>
                <w:bCs/>
                <w:color w:val="000000" w:themeColor="text1"/>
                <w:szCs w:val="20"/>
              </w:rPr>
              <w:t>Prescriber type:</w:t>
            </w:r>
            <w:r w:rsidRPr="000E709B">
              <w:rPr>
                <w:rFonts w:ascii="Arial Narrow" w:hAnsi="Arial Narrow"/>
                <w:color w:val="000000" w:themeColor="text1"/>
                <w:szCs w:val="20"/>
              </w:rPr>
              <w:t xml:space="preserve"> </w:t>
            </w:r>
            <w:r w:rsidRPr="000E709B">
              <w:rPr>
                <w:rFonts w:ascii="Arial Narrow" w:hAnsi="Arial Narrow"/>
                <w:color w:val="000000" w:themeColor="text1"/>
                <w:szCs w:val="20"/>
              </w:rPr>
              <w:fldChar w:fldCharType="begin" w:fldLock="1">
                <w:ffData>
                  <w:name w:val=""/>
                  <w:enabled/>
                  <w:calcOnExit w:val="0"/>
                  <w:checkBox>
                    <w:sizeAuto/>
                    <w:default w:val="1"/>
                  </w:checkBox>
                </w:ffData>
              </w:fldChar>
            </w:r>
            <w:r w:rsidRPr="000E709B">
              <w:rPr>
                <w:rFonts w:ascii="Arial Narrow" w:hAnsi="Arial Narrow"/>
                <w:color w:val="000000" w:themeColor="text1"/>
                <w:szCs w:val="20"/>
              </w:rPr>
              <w:instrText xml:space="preserve"> FORMCHECKBOX </w:instrText>
            </w:r>
            <w:r w:rsidR="00737A69">
              <w:rPr>
                <w:rFonts w:ascii="Arial Narrow" w:hAnsi="Arial Narrow"/>
                <w:color w:val="000000" w:themeColor="text1"/>
                <w:szCs w:val="20"/>
              </w:rPr>
            </w:r>
            <w:r w:rsidR="00737A69">
              <w:rPr>
                <w:rFonts w:ascii="Arial Narrow" w:hAnsi="Arial Narrow"/>
                <w:color w:val="000000" w:themeColor="text1"/>
                <w:szCs w:val="20"/>
              </w:rPr>
              <w:fldChar w:fldCharType="separate"/>
            </w:r>
            <w:r w:rsidRPr="000E709B">
              <w:rPr>
                <w:rFonts w:ascii="Arial Narrow" w:hAnsi="Arial Narrow"/>
                <w:color w:val="000000" w:themeColor="text1"/>
                <w:szCs w:val="20"/>
              </w:rPr>
              <w:fldChar w:fldCharType="end"/>
            </w:r>
            <w:r w:rsidRPr="000E709B">
              <w:rPr>
                <w:rFonts w:ascii="Arial Narrow" w:hAnsi="Arial Narrow"/>
                <w:color w:val="000000" w:themeColor="text1"/>
                <w:szCs w:val="20"/>
              </w:rPr>
              <w:t xml:space="preserve">Medical Practitioners  </w:t>
            </w:r>
          </w:p>
        </w:tc>
      </w:tr>
      <w:tr w:rsidR="000E709B" w:rsidRPr="00427986" w14:paraId="16739AD1"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4"/>
        </w:trPr>
        <w:tc>
          <w:tcPr>
            <w:tcW w:w="9000" w:type="dxa"/>
            <w:gridSpan w:val="6"/>
            <w:tcBorders>
              <w:top w:val="single" w:sz="4" w:space="0" w:color="auto"/>
              <w:left w:val="single" w:sz="4" w:space="0" w:color="auto"/>
              <w:bottom w:val="single" w:sz="4" w:space="0" w:color="auto"/>
              <w:right w:val="single" w:sz="4" w:space="0" w:color="auto"/>
            </w:tcBorders>
          </w:tcPr>
          <w:p w14:paraId="4C168185"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b/>
                <w:bCs/>
                <w:color w:val="000000" w:themeColor="text1"/>
                <w:szCs w:val="20"/>
              </w:rPr>
              <w:t>Restriction Level / Method:</w:t>
            </w:r>
            <w:r w:rsidRPr="000E709B">
              <w:rPr>
                <w:rFonts w:ascii="Arial Narrow" w:hAnsi="Arial Narrow"/>
                <w:color w:val="000000" w:themeColor="text1"/>
                <w:szCs w:val="20"/>
              </w:rPr>
              <w:t xml:space="preserve"> </w:t>
            </w:r>
            <w:r w:rsidRPr="000E709B">
              <w:rPr>
                <w:rFonts w:ascii="Arial Narrow" w:hAnsi="Arial Narrow"/>
                <w:color w:val="000000" w:themeColor="text1"/>
                <w:szCs w:val="20"/>
              </w:rPr>
              <w:fldChar w:fldCharType="begin" w:fldLock="1">
                <w:ffData>
                  <w:name w:val=""/>
                  <w:enabled/>
                  <w:calcOnExit w:val="0"/>
                  <w:checkBox>
                    <w:sizeAuto/>
                    <w:default w:val="1"/>
                  </w:checkBox>
                </w:ffData>
              </w:fldChar>
            </w:r>
            <w:r w:rsidRPr="000E709B">
              <w:rPr>
                <w:rFonts w:ascii="Arial Narrow" w:hAnsi="Arial Narrow"/>
                <w:color w:val="000000" w:themeColor="text1"/>
                <w:szCs w:val="20"/>
              </w:rPr>
              <w:instrText xml:space="preserve"> FORMCHECKBOX </w:instrText>
            </w:r>
            <w:r w:rsidR="00737A69">
              <w:rPr>
                <w:rFonts w:ascii="Arial Narrow" w:hAnsi="Arial Narrow"/>
                <w:color w:val="000000" w:themeColor="text1"/>
                <w:szCs w:val="20"/>
              </w:rPr>
            </w:r>
            <w:r w:rsidR="00737A69">
              <w:rPr>
                <w:rFonts w:ascii="Arial Narrow" w:hAnsi="Arial Narrow"/>
                <w:color w:val="000000" w:themeColor="text1"/>
                <w:szCs w:val="20"/>
              </w:rPr>
              <w:fldChar w:fldCharType="separate"/>
            </w:r>
            <w:r w:rsidRPr="000E709B">
              <w:rPr>
                <w:rFonts w:ascii="Arial Narrow" w:hAnsi="Arial Narrow"/>
                <w:color w:val="000000" w:themeColor="text1"/>
                <w:szCs w:val="20"/>
              </w:rPr>
              <w:fldChar w:fldCharType="end"/>
            </w:r>
            <w:r w:rsidRPr="000E709B">
              <w:rPr>
                <w:rFonts w:ascii="Arial Narrow" w:hAnsi="Arial Narrow"/>
                <w:color w:val="000000" w:themeColor="text1"/>
                <w:szCs w:val="20"/>
              </w:rPr>
              <w:t>Streamlined</w:t>
            </w:r>
          </w:p>
        </w:tc>
      </w:tr>
      <w:tr w:rsidR="000E709B" w:rsidRPr="00427986" w14:paraId="584B7979"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0" w:type="dxa"/>
            <w:gridSpan w:val="6"/>
            <w:tcBorders>
              <w:top w:val="single" w:sz="4" w:space="0" w:color="auto"/>
              <w:left w:val="single" w:sz="4" w:space="0" w:color="auto"/>
              <w:bottom w:val="single" w:sz="4" w:space="0" w:color="auto"/>
              <w:right w:val="single" w:sz="4" w:space="0" w:color="auto"/>
            </w:tcBorders>
          </w:tcPr>
          <w:p w14:paraId="6672AC5E"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b/>
                <w:bCs/>
                <w:szCs w:val="20"/>
              </w:rPr>
              <w:t>Severity:</w:t>
            </w:r>
            <w:r w:rsidRPr="000E709B">
              <w:rPr>
                <w:rFonts w:ascii="Arial Narrow" w:hAnsi="Arial Narrow"/>
                <w:szCs w:val="20"/>
              </w:rPr>
              <w:t xml:space="preserve"> Locally advanced or metastatic </w:t>
            </w:r>
          </w:p>
        </w:tc>
      </w:tr>
      <w:tr w:rsidR="000E709B" w:rsidRPr="00427986" w14:paraId="2B33640B"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0" w:type="dxa"/>
            <w:gridSpan w:val="6"/>
            <w:tcBorders>
              <w:top w:val="single" w:sz="4" w:space="0" w:color="auto"/>
              <w:left w:val="single" w:sz="4" w:space="0" w:color="auto"/>
              <w:bottom w:val="single" w:sz="4" w:space="0" w:color="auto"/>
              <w:right w:val="single" w:sz="4" w:space="0" w:color="auto"/>
            </w:tcBorders>
          </w:tcPr>
          <w:p w14:paraId="640B93D6"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b/>
                <w:bCs/>
                <w:color w:val="000000" w:themeColor="text1"/>
                <w:szCs w:val="20"/>
              </w:rPr>
              <w:t>Condition:</w:t>
            </w:r>
            <w:r w:rsidRPr="000E709B">
              <w:rPr>
                <w:rFonts w:ascii="Arial Narrow" w:hAnsi="Arial Narrow"/>
                <w:color w:val="000000" w:themeColor="text1"/>
                <w:szCs w:val="20"/>
              </w:rPr>
              <w:t xml:space="preserve"> Differentiated thyroid carcinoma (DTC)</w:t>
            </w:r>
          </w:p>
        </w:tc>
      </w:tr>
      <w:tr w:rsidR="000E709B" w:rsidRPr="00427986" w14:paraId="53F63FE7"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000" w:type="dxa"/>
            <w:gridSpan w:val="6"/>
            <w:tcBorders>
              <w:top w:val="single" w:sz="4" w:space="0" w:color="auto"/>
              <w:left w:val="single" w:sz="4" w:space="0" w:color="auto"/>
              <w:bottom w:val="single" w:sz="4" w:space="0" w:color="auto"/>
              <w:right w:val="single" w:sz="4" w:space="0" w:color="auto"/>
            </w:tcBorders>
          </w:tcPr>
          <w:p w14:paraId="0959C564"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b/>
                <w:bCs/>
                <w:color w:val="000000" w:themeColor="text1"/>
                <w:szCs w:val="20"/>
              </w:rPr>
              <w:t>PBS Indication:</w:t>
            </w:r>
            <w:r w:rsidRPr="000E709B">
              <w:rPr>
                <w:rFonts w:ascii="Arial Narrow" w:hAnsi="Arial Narrow"/>
                <w:color w:val="000000" w:themeColor="text1"/>
                <w:szCs w:val="20"/>
              </w:rPr>
              <w:t xml:space="preserve"> </w:t>
            </w:r>
            <w:r w:rsidRPr="000E709B">
              <w:rPr>
                <w:rFonts w:ascii="Arial Narrow" w:hAnsi="Arial Narrow"/>
                <w:strike/>
                <w:color w:val="000000" w:themeColor="text1"/>
                <w:szCs w:val="20"/>
              </w:rPr>
              <w:t>DTC refractory or not eligible to radioactive iodine (RAI) who have progressed after prior systemic therapy</w:t>
            </w:r>
            <w:r w:rsidRPr="000E709B">
              <w:rPr>
                <w:rFonts w:ascii="Arial Narrow" w:hAnsi="Arial Narrow"/>
                <w:color w:val="000000" w:themeColor="text1"/>
                <w:szCs w:val="20"/>
              </w:rPr>
              <w:t xml:space="preserve"> </w:t>
            </w:r>
            <w:r w:rsidRPr="000E709B">
              <w:rPr>
                <w:rFonts w:ascii="Arial Narrow" w:hAnsi="Arial Narrow"/>
                <w:i/>
                <w:iCs/>
                <w:color w:val="000000" w:themeColor="text1"/>
                <w:szCs w:val="20"/>
              </w:rPr>
              <w:t>Locally advanced or metastatic differentiated thyroid carcinoma</w:t>
            </w:r>
          </w:p>
        </w:tc>
      </w:tr>
      <w:tr w:rsidR="000E709B" w:rsidRPr="00427986" w14:paraId="46D3AD31"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0" w:type="dxa"/>
            <w:gridSpan w:val="6"/>
            <w:tcBorders>
              <w:top w:val="single" w:sz="4" w:space="0" w:color="auto"/>
              <w:left w:val="single" w:sz="4" w:space="0" w:color="auto"/>
              <w:bottom w:val="single" w:sz="4" w:space="0" w:color="auto"/>
              <w:right w:val="single" w:sz="4" w:space="0" w:color="auto"/>
            </w:tcBorders>
          </w:tcPr>
          <w:p w14:paraId="446A8DEE"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b/>
                <w:bCs/>
                <w:color w:val="000000" w:themeColor="text1"/>
                <w:szCs w:val="20"/>
              </w:rPr>
              <w:t>Treatment phase:</w:t>
            </w:r>
            <w:r w:rsidRPr="000E709B">
              <w:rPr>
                <w:rFonts w:ascii="Arial Narrow" w:hAnsi="Arial Narrow"/>
                <w:color w:val="000000" w:themeColor="text1"/>
                <w:szCs w:val="20"/>
              </w:rPr>
              <w:t xml:space="preserve"> Continuing </w:t>
            </w:r>
            <w:r w:rsidRPr="000E709B">
              <w:rPr>
                <w:rFonts w:ascii="Arial Narrow" w:hAnsi="Arial Narrow"/>
                <w:i/>
                <w:iCs/>
                <w:color w:val="000000" w:themeColor="text1"/>
                <w:szCs w:val="20"/>
              </w:rPr>
              <w:t xml:space="preserve">treatment </w:t>
            </w:r>
          </w:p>
        </w:tc>
      </w:tr>
      <w:tr w:rsidR="000E709B" w:rsidRPr="00427986" w14:paraId="0193BA83"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0" w:type="dxa"/>
            <w:gridSpan w:val="6"/>
            <w:tcBorders>
              <w:top w:val="single" w:sz="4" w:space="0" w:color="auto"/>
              <w:left w:val="single" w:sz="4" w:space="0" w:color="auto"/>
              <w:bottom w:val="single" w:sz="4" w:space="0" w:color="auto"/>
              <w:right w:val="single" w:sz="4" w:space="0" w:color="auto"/>
            </w:tcBorders>
          </w:tcPr>
          <w:p w14:paraId="652618D6" w14:textId="77777777" w:rsidR="000E709B" w:rsidRPr="000E709B" w:rsidRDefault="000E709B" w:rsidP="009A2B60">
            <w:pPr>
              <w:pStyle w:val="TableLeft"/>
              <w:rPr>
                <w:rFonts w:ascii="Arial Narrow" w:hAnsi="Arial Narrow"/>
                <w:b/>
                <w:bCs/>
                <w:color w:val="000000" w:themeColor="text1"/>
                <w:szCs w:val="20"/>
              </w:rPr>
            </w:pPr>
          </w:p>
        </w:tc>
      </w:tr>
      <w:tr w:rsidR="000E709B" w:rsidRPr="00427986" w14:paraId="76E2BF0E"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9000" w:type="dxa"/>
            <w:gridSpan w:val="6"/>
            <w:tcBorders>
              <w:top w:val="single" w:sz="4" w:space="0" w:color="auto"/>
              <w:left w:val="single" w:sz="4" w:space="0" w:color="auto"/>
              <w:bottom w:val="single" w:sz="4" w:space="0" w:color="auto"/>
              <w:right w:val="single" w:sz="4" w:space="0" w:color="auto"/>
            </w:tcBorders>
          </w:tcPr>
          <w:p w14:paraId="57DA9068"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b/>
                <w:bCs/>
                <w:color w:val="000000" w:themeColor="text1"/>
                <w:szCs w:val="20"/>
              </w:rPr>
              <w:t>Clinical criteria:</w:t>
            </w:r>
          </w:p>
        </w:tc>
      </w:tr>
      <w:tr w:rsidR="000E709B" w:rsidRPr="00427986" w14:paraId="227CA351"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0" w:type="dxa"/>
            <w:gridSpan w:val="6"/>
            <w:tcBorders>
              <w:top w:val="single" w:sz="4" w:space="0" w:color="auto"/>
              <w:left w:val="single" w:sz="4" w:space="0" w:color="auto"/>
              <w:bottom w:val="single" w:sz="4" w:space="0" w:color="auto"/>
              <w:right w:val="single" w:sz="4" w:space="0" w:color="auto"/>
            </w:tcBorders>
          </w:tcPr>
          <w:p w14:paraId="6CE4D999"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color w:val="000000" w:themeColor="text1"/>
                <w:szCs w:val="20"/>
              </w:rPr>
              <w:t>The condition must be refractory to radioactive iodine; or</w:t>
            </w:r>
          </w:p>
        </w:tc>
      </w:tr>
      <w:tr w:rsidR="000E709B" w:rsidRPr="00427986" w14:paraId="7787E640"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0" w:type="dxa"/>
            <w:gridSpan w:val="6"/>
            <w:tcBorders>
              <w:top w:val="single" w:sz="4" w:space="0" w:color="auto"/>
              <w:left w:val="single" w:sz="4" w:space="0" w:color="auto"/>
              <w:bottom w:val="single" w:sz="4" w:space="0" w:color="auto"/>
              <w:right w:val="single" w:sz="4" w:space="0" w:color="auto"/>
            </w:tcBorders>
          </w:tcPr>
          <w:p w14:paraId="5B0C077B"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color w:val="000000" w:themeColor="text1"/>
                <w:szCs w:val="20"/>
              </w:rPr>
              <w:t>Patient must be deemed ineligible for treatment with radioactive iodine,</w:t>
            </w:r>
          </w:p>
        </w:tc>
      </w:tr>
      <w:tr w:rsidR="000E709B" w:rsidRPr="00427986" w14:paraId="210D5FE9"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9000" w:type="dxa"/>
            <w:gridSpan w:val="6"/>
            <w:tcBorders>
              <w:top w:val="single" w:sz="4" w:space="0" w:color="auto"/>
              <w:left w:val="single" w:sz="4" w:space="0" w:color="auto"/>
              <w:bottom w:val="single" w:sz="4" w:space="0" w:color="auto"/>
              <w:right w:val="single" w:sz="4" w:space="0" w:color="auto"/>
            </w:tcBorders>
          </w:tcPr>
          <w:p w14:paraId="1660F7C1"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b/>
                <w:bCs/>
                <w:color w:val="000000" w:themeColor="text1"/>
                <w:szCs w:val="20"/>
              </w:rPr>
              <w:t>AND</w:t>
            </w:r>
          </w:p>
        </w:tc>
      </w:tr>
      <w:tr w:rsidR="000E709B" w:rsidRPr="00427986" w14:paraId="12D536F3"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0" w:type="dxa"/>
            <w:gridSpan w:val="6"/>
            <w:tcBorders>
              <w:top w:val="single" w:sz="4" w:space="0" w:color="auto"/>
              <w:left w:val="single" w:sz="4" w:space="0" w:color="auto"/>
              <w:bottom w:val="single" w:sz="4" w:space="0" w:color="auto"/>
              <w:right w:val="single" w:sz="4" w:space="0" w:color="auto"/>
            </w:tcBorders>
          </w:tcPr>
          <w:p w14:paraId="446286AB"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b/>
                <w:bCs/>
                <w:color w:val="000000" w:themeColor="text1"/>
                <w:szCs w:val="20"/>
              </w:rPr>
              <w:t>Clinical criteria:</w:t>
            </w:r>
          </w:p>
        </w:tc>
      </w:tr>
      <w:tr w:rsidR="000E709B" w:rsidRPr="00427986" w14:paraId="46EFDBF5"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000" w:type="dxa"/>
            <w:gridSpan w:val="6"/>
            <w:tcBorders>
              <w:top w:val="single" w:sz="4" w:space="0" w:color="auto"/>
              <w:left w:val="single" w:sz="4" w:space="0" w:color="auto"/>
              <w:bottom w:val="single" w:sz="4" w:space="0" w:color="auto"/>
              <w:right w:val="single" w:sz="4" w:space="0" w:color="auto"/>
            </w:tcBorders>
          </w:tcPr>
          <w:p w14:paraId="433E4528" w14:textId="77777777" w:rsidR="000E709B" w:rsidRPr="000E709B" w:rsidRDefault="000E709B" w:rsidP="009A2B60">
            <w:pPr>
              <w:pStyle w:val="TableLeft"/>
              <w:rPr>
                <w:rFonts w:ascii="Arial Narrow" w:hAnsi="Arial Narrow" w:cstheme="minorHAnsi"/>
                <w:strike/>
                <w:color w:val="000000" w:themeColor="text1"/>
                <w:szCs w:val="20"/>
              </w:rPr>
            </w:pPr>
            <w:r w:rsidRPr="000E709B">
              <w:rPr>
                <w:rFonts w:ascii="Arial Narrow" w:hAnsi="Arial Narrow" w:cstheme="minorHAnsi"/>
                <w:strike/>
                <w:color w:val="000000" w:themeColor="text1"/>
                <w:szCs w:val="20"/>
              </w:rPr>
              <w:t xml:space="preserve">Patient must have previously received non-PBS subsidised treatment with this drug for this condition prior to </w:t>
            </w:r>
            <w:r w:rsidRPr="000E709B">
              <w:rPr>
                <w:rFonts w:ascii="Arial Narrow" w:hAnsi="Arial Narrow"/>
                <w:strike/>
              </w:rPr>
              <w:t>(</w:t>
            </w:r>
            <w:r w:rsidRPr="000E709B">
              <w:rPr>
                <w:rFonts w:ascii="Arial Narrow" w:hAnsi="Arial Narrow" w:cstheme="minorHAnsi"/>
                <w:strike/>
                <w:color w:val="000000" w:themeColor="text1"/>
                <w:szCs w:val="20"/>
              </w:rPr>
              <w:t xml:space="preserve">PBS listing date); </w:t>
            </w:r>
          </w:p>
        </w:tc>
      </w:tr>
      <w:tr w:rsidR="000E709B" w:rsidRPr="00427986" w14:paraId="261FEE50"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9000" w:type="dxa"/>
            <w:gridSpan w:val="6"/>
            <w:tcBorders>
              <w:top w:val="single" w:sz="4" w:space="0" w:color="auto"/>
              <w:left w:val="single" w:sz="4" w:space="0" w:color="auto"/>
              <w:bottom w:val="single" w:sz="4" w:space="0" w:color="auto"/>
              <w:right w:val="single" w:sz="4" w:space="0" w:color="auto"/>
            </w:tcBorders>
          </w:tcPr>
          <w:p w14:paraId="0522E10A" w14:textId="77777777" w:rsidR="000E709B" w:rsidRPr="000E709B" w:rsidRDefault="000E709B" w:rsidP="009A2B60">
            <w:pPr>
              <w:pStyle w:val="TableLeft"/>
              <w:rPr>
                <w:rFonts w:ascii="Arial Narrow" w:hAnsi="Arial Narrow"/>
                <w:b/>
                <w:bCs/>
                <w:strike/>
                <w:color w:val="000000" w:themeColor="text1"/>
                <w:szCs w:val="20"/>
              </w:rPr>
            </w:pPr>
            <w:r w:rsidRPr="000E709B">
              <w:rPr>
                <w:rFonts w:ascii="Arial Narrow" w:hAnsi="Arial Narrow"/>
                <w:b/>
                <w:bCs/>
                <w:strike/>
                <w:color w:val="000000" w:themeColor="text1"/>
                <w:szCs w:val="20"/>
              </w:rPr>
              <w:t>OR</w:t>
            </w:r>
          </w:p>
        </w:tc>
      </w:tr>
      <w:tr w:rsidR="000E709B" w:rsidRPr="00427986" w14:paraId="704F4747"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0" w:type="dxa"/>
            <w:gridSpan w:val="6"/>
            <w:tcBorders>
              <w:top w:val="single" w:sz="4" w:space="0" w:color="auto"/>
              <w:left w:val="single" w:sz="4" w:space="0" w:color="auto"/>
              <w:bottom w:val="single" w:sz="4" w:space="0" w:color="auto"/>
              <w:right w:val="single" w:sz="4" w:space="0" w:color="auto"/>
            </w:tcBorders>
          </w:tcPr>
          <w:p w14:paraId="3376D17C" w14:textId="77777777" w:rsidR="000E709B" w:rsidRPr="000E709B" w:rsidRDefault="000E709B" w:rsidP="009A2B60">
            <w:pPr>
              <w:pStyle w:val="TableLeft"/>
              <w:rPr>
                <w:rFonts w:ascii="Arial Narrow" w:hAnsi="Arial Narrow" w:cstheme="minorHAnsi"/>
                <w:color w:val="000000" w:themeColor="text1"/>
                <w:szCs w:val="20"/>
              </w:rPr>
            </w:pPr>
            <w:r w:rsidRPr="000E709B">
              <w:rPr>
                <w:rFonts w:ascii="Arial Narrow" w:hAnsi="Arial Narrow" w:cstheme="minorHAnsi"/>
                <w:color w:val="000000" w:themeColor="text1"/>
                <w:szCs w:val="20"/>
              </w:rPr>
              <w:t xml:space="preserve">Patient must have </w:t>
            </w:r>
            <w:r w:rsidRPr="000E709B">
              <w:rPr>
                <w:rFonts w:ascii="Arial Narrow" w:hAnsi="Arial Narrow" w:cstheme="minorHAnsi"/>
                <w:i/>
                <w:iCs/>
                <w:color w:val="000000" w:themeColor="text1"/>
                <w:szCs w:val="20"/>
              </w:rPr>
              <w:t>previously</w:t>
            </w:r>
            <w:r w:rsidRPr="000E709B">
              <w:rPr>
                <w:rFonts w:ascii="Arial Narrow" w:hAnsi="Arial Narrow" w:cstheme="minorHAnsi"/>
                <w:color w:val="000000" w:themeColor="text1"/>
                <w:szCs w:val="20"/>
              </w:rPr>
              <w:t xml:space="preserve"> received </w:t>
            </w:r>
            <w:r w:rsidRPr="000E709B">
              <w:rPr>
                <w:rFonts w:ascii="Arial Narrow" w:hAnsi="Arial Narrow" w:cstheme="minorHAnsi"/>
                <w:strike/>
                <w:color w:val="000000" w:themeColor="text1"/>
                <w:szCs w:val="20"/>
              </w:rPr>
              <w:t>an initial authority prescription for</w:t>
            </w:r>
            <w:r w:rsidRPr="000E709B">
              <w:rPr>
                <w:rFonts w:ascii="Arial Narrow" w:hAnsi="Arial Narrow" w:cstheme="minorHAnsi"/>
                <w:color w:val="000000" w:themeColor="text1"/>
                <w:szCs w:val="20"/>
              </w:rPr>
              <w:t xml:space="preserve"> </w:t>
            </w:r>
            <w:r w:rsidRPr="000E709B">
              <w:rPr>
                <w:rFonts w:ascii="Arial Narrow" w:hAnsi="Arial Narrow" w:cstheme="minorHAnsi"/>
                <w:i/>
                <w:iCs/>
                <w:color w:val="000000" w:themeColor="text1"/>
                <w:szCs w:val="20"/>
              </w:rPr>
              <w:t>PBS-subsidised treatment with</w:t>
            </w:r>
            <w:r w:rsidRPr="000E709B">
              <w:rPr>
                <w:rFonts w:ascii="Arial Narrow" w:hAnsi="Arial Narrow" w:cstheme="minorHAnsi"/>
                <w:color w:val="000000" w:themeColor="text1"/>
                <w:szCs w:val="20"/>
              </w:rPr>
              <w:t xml:space="preserve"> this drug for this condition</w:t>
            </w:r>
            <w:r w:rsidRPr="000E709B">
              <w:rPr>
                <w:rFonts w:ascii="Arial Narrow" w:hAnsi="Arial Narrow"/>
              </w:rPr>
              <w:t>,</w:t>
            </w:r>
          </w:p>
        </w:tc>
      </w:tr>
      <w:tr w:rsidR="000E709B" w:rsidRPr="00427986" w14:paraId="5CA51724"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9000" w:type="dxa"/>
            <w:gridSpan w:val="6"/>
            <w:tcBorders>
              <w:top w:val="single" w:sz="4" w:space="0" w:color="auto"/>
              <w:left w:val="single" w:sz="4" w:space="0" w:color="auto"/>
              <w:bottom w:val="single" w:sz="4" w:space="0" w:color="auto"/>
              <w:right w:val="single" w:sz="4" w:space="0" w:color="auto"/>
            </w:tcBorders>
          </w:tcPr>
          <w:p w14:paraId="22B38940"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b/>
                <w:bCs/>
                <w:color w:val="000000" w:themeColor="text1"/>
                <w:szCs w:val="20"/>
              </w:rPr>
              <w:t>AND</w:t>
            </w:r>
          </w:p>
        </w:tc>
      </w:tr>
      <w:tr w:rsidR="000E709B" w:rsidRPr="00427986" w14:paraId="0E80DE4F"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0" w:type="dxa"/>
            <w:gridSpan w:val="6"/>
            <w:tcBorders>
              <w:top w:val="single" w:sz="4" w:space="0" w:color="auto"/>
              <w:left w:val="single" w:sz="4" w:space="0" w:color="auto"/>
              <w:bottom w:val="single" w:sz="4" w:space="0" w:color="auto"/>
              <w:right w:val="single" w:sz="4" w:space="0" w:color="auto"/>
            </w:tcBorders>
          </w:tcPr>
          <w:p w14:paraId="730B2B16"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b/>
                <w:bCs/>
                <w:color w:val="000000" w:themeColor="text1"/>
                <w:szCs w:val="20"/>
              </w:rPr>
              <w:t>Clinical criteria:</w:t>
            </w:r>
          </w:p>
        </w:tc>
      </w:tr>
      <w:tr w:rsidR="000E709B" w:rsidRPr="00427986" w14:paraId="3FA76A98"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0" w:type="dxa"/>
            <w:gridSpan w:val="6"/>
            <w:tcBorders>
              <w:top w:val="single" w:sz="4" w:space="0" w:color="auto"/>
              <w:left w:val="single" w:sz="4" w:space="0" w:color="auto"/>
              <w:bottom w:val="single" w:sz="4" w:space="0" w:color="auto"/>
              <w:right w:val="single" w:sz="4" w:space="0" w:color="auto"/>
            </w:tcBorders>
          </w:tcPr>
          <w:p w14:paraId="43B2DBCF" w14:textId="77777777" w:rsidR="000E709B" w:rsidRPr="000E709B" w:rsidRDefault="000E709B" w:rsidP="009A2B60">
            <w:pPr>
              <w:pStyle w:val="TableLeft"/>
              <w:rPr>
                <w:rFonts w:ascii="Arial Narrow" w:hAnsi="Arial Narrow"/>
                <w:color w:val="000000" w:themeColor="text1"/>
                <w:szCs w:val="20"/>
              </w:rPr>
            </w:pPr>
            <w:r w:rsidRPr="000E709B">
              <w:rPr>
                <w:rFonts w:ascii="Arial Narrow" w:hAnsi="Arial Narrow"/>
                <w:color w:val="000000" w:themeColor="text1"/>
                <w:szCs w:val="20"/>
              </w:rPr>
              <w:t>Treatment must be the sole PBS-subsidised therapy for this condition.</w:t>
            </w:r>
          </w:p>
        </w:tc>
      </w:tr>
      <w:tr w:rsidR="000E709B" w:rsidRPr="00427986" w14:paraId="5D0711BD"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0" w:type="dxa"/>
            <w:gridSpan w:val="6"/>
            <w:tcBorders>
              <w:top w:val="single" w:sz="4" w:space="0" w:color="auto"/>
              <w:left w:val="single" w:sz="4" w:space="0" w:color="auto"/>
              <w:bottom w:val="single" w:sz="4" w:space="0" w:color="auto"/>
              <w:right w:val="single" w:sz="4" w:space="0" w:color="auto"/>
            </w:tcBorders>
          </w:tcPr>
          <w:p w14:paraId="690E19F7"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b/>
                <w:bCs/>
                <w:color w:val="000000" w:themeColor="text1"/>
                <w:szCs w:val="20"/>
              </w:rPr>
              <w:t>AND</w:t>
            </w:r>
          </w:p>
        </w:tc>
      </w:tr>
      <w:tr w:rsidR="000E709B" w:rsidRPr="00427986" w14:paraId="372A5CE1"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0" w:type="dxa"/>
            <w:gridSpan w:val="6"/>
            <w:tcBorders>
              <w:top w:val="single" w:sz="4" w:space="0" w:color="auto"/>
              <w:left w:val="single" w:sz="4" w:space="0" w:color="auto"/>
              <w:bottom w:val="single" w:sz="4" w:space="0" w:color="auto"/>
              <w:right w:val="single" w:sz="4" w:space="0" w:color="auto"/>
            </w:tcBorders>
          </w:tcPr>
          <w:p w14:paraId="08B8DE07"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b/>
                <w:bCs/>
                <w:color w:val="000000" w:themeColor="text1"/>
                <w:szCs w:val="20"/>
              </w:rPr>
              <w:t>Clinical criteria:</w:t>
            </w:r>
          </w:p>
        </w:tc>
      </w:tr>
      <w:tr w:rsidR="000E709B" w:rsidRPr="00427986" w14:paraId="4975E909"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0" w:type="dxa"/>
            <w:gridSpan w:val="6"/>
            <w:tcBorders>
              <w:top w:val="single" w:sz="4" w:space="0" w:color="auto"/>
              <w:left w:val="single" w:sz="4" w:space="0" w:color="auto"/>
              <w:bottom w:val="single" w:sz="4" w:space="0" w:color="auto"/>
              <w:right w:val="single" w:sz="4" w:space="0" w:color="auto"/>
            </w:tcBorders>
          </w:tcPr>
          <w:p w14:paraId="1C9CE124" w14:textId="77777777" w:rsidR="000E709B" w:rsidRPr="000E709B" w:rsidRDefault="000E709B" w:rsidP="009A2B60">
            <w:pPr>
              <w:pStyle w:val="TableLeft"/>
              <w:rPr>
                <w:rFonts w:ascii="Arial Narrow" w:hAnsi="Arial Narrow"/>
                <w:b/>
                <w:bCs/>
                <w:color w:val="000000" w:themeColor="text1"/>
                <w:szCs w:val="20"/>
              </w:rPr>
            </w:pPr>
            <w:r w:rsidRPr="000E709B">
              <w:rPr>
                <w:rFonts w:ascii="Arial Narrow" w:hAnsi="Arial Narrow" w:cstheme="minorHAnsi"/>
                <w:color w:val="000000" w:themeColor="text1"/>
                <w:szCs w:val="20"/>
              </w:rPr>
              <w:t>Patient must have stable or responding disease according to the Response Evaluation Criteria In Solid Tumours (RECIST).</w:t>
            </w:r>
          </w:p>
        </w:tc>
      </w:tr>
      <w:tr w:rsidR="000E709B" w:rsidRPr="00427986" w14:paraId="59DCCC17"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0" w:type="dxa"/>
            <w:gridSpan w:val="6"/>
            <w:tcBorders>
              <w:top w:val="single" w:sz="4" w:space="0" w:color="auto"/>
              <w:left w:val="single" w:sz="4" w:space="0" w:color="auto"/>
              <w:bottom w:val="single" w:sz="4" w:space="0" w:color="auto"/>
              <w:right w:val="single" w:sz="4" w:space="0" w:color="auto"/>
            </w:tcBorders>
          </w:tcPr>
          <w:p w14:paraId="1C789AF1" w14:textId="77777777" w:rsidR="000E709B" w:rsidRPr="000E709B" w:rsidRDefault="000E709B" w:rsidP="009A2B60">
            <w:pPr>
              <w:pStyle w:val="TableLeft"/>
              <w:rPr>
                <w:rFonts w:ascii="Arial Narrow" w:hAnsi="Arial Narrow"/>
                <w:szCs w:val="20"/>
              </w:rPr>
            </w:pPr>
          </w:p>
        </w:tc>
      </w:tr>
      <w:tr w:rsidR="000E709B" w:rsidRPr="00427986" w14:paraId="31B16B46"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0" w:type="dxa"/>
            <w:gridSpan w:val="6"/>
            <w:tcBorders>
              <w:top w:val="single" w:sz="4" w:space="0" w:color="auto"/>
              <w:left w:val="single" w:sz="4" w:space="0" w:color="auto"/>
              <w:bottom w:val="single" w:sz="4" w:space="0" w:color="auto"/>
              <w:right w:val="single" w:sz="4" w:space="0" w:color="auto"/>
            </w:tcBorders>
          </w:tcPr>
          <w:p w14:paraId="24A6E524"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b/>
                <w:bCs/>
                <w:i/>
                <w:iCs/>
                <w:color w:val="000000" w:themeColor="text1"/>
                <w:szCs w:val="20"/>
              </w:rPr>
              <w:t>Administrative Advice:</w:t>
            </w:r>
            <w:r w:rsidRPr="000E709B">
              <w:rPr>
                <w:rFonts w:ascii="Arial Narrow" w:hAnsi="Arial Narrow"/>
                <w:i/>
                <w:iCs/>
                <w:color w:val="000000" w:themeColor="text1"/>
                <w:szCs w:val="20"/>
              </w:rPr>
              <w:t xml:space="preserve"> No increase in the maximum number of repeats may be authorised</w:t>
            </w:r>
          </w:p>
        </w:tc>
      </w:tr>
      <w:tr w:rsidR="000E709B" w:rsidRPr="00427986" w14:paraId="644996B1"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000" w:type="dxa"/>
            <w:gridSpan w:val="6"/>
            <w:tcBorders>
              <w:top w:val="single" w:sz="4" w:space="0" w:color="auto"/>
              <w:left w:val="single" w:sz="4" w:space="0" w:color="auto"/>
              <w:bottom w:val="single" w:sz="4" w:space="0" w:color="auto"/>
              <w:right w:val="single" w:sz="4" w:space="0" w:color="auto"/>
            </w:tcBorders>
          </w:tcPr>
          <w:p w14:paraId="3C0D462A"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b/>
                <w:bCs/>
                <w:i/>
                <w:iCs/>
                <w:color w:val="000000" w:themeColor="text1"/>
                <w:szCs w:val="20"/>
              </w:rPr>
              <w:t>Administrative Advice:</w:t>
            </w:r>
            <w:r w:rsidRPr="000E709B">
              <w:rPr>
                <w:rFonts w:ascii="Arial Narrow" w:hAnsi="Arial Narrow"/>
                <w:i/>
                <w:iCs/>
                <w:color w:val="000000" w:themeColor="text1"/>
                <w:szCs w:val="20"/>
              </w:rPr>
              <w:t xml:space="preserve"> Special Pricing Arrangements apply</w:t>
            </w:r>
          </w:p>
        </w:tc>
      </w:tr>
      <w:tr w:rsidR="000E709B" w:rsidRPr="00427986" w14:paraId="4E72ACE5"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000" w:type="dxa"/>
            <w:gridSpan w:val="6"/>
            <w:tcBorders>
              <w:top w:val="single" w:sz="4" w:space="0" w:color="auto"/>
              <w:left w:val="single" w:sz="4" w:space="0" w:color="auto"/>
              <w:bottom w:val="single" w:sz="4" w:space="0" w:color="auto"/>
              <w:right w:val="single" w:sz="4" w:space="0" w:color="auto"/>
            </w:tcBorders>
          </w:tcPr>
          <w:p w14:paraId="4F0D5B41"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 xml:space="preserve">Administrative Advice: </w:t>
            </w:r>
            <w:r w:rsidRPr="000E709B">
              <w:rPr>
                <w:rFonts w:ascii="Arial Narrow" w:hAnsi="Arial Narrow"/>
                <w:i/>
                <w:iCs/>
                <w:color w:val="000000" w:themeColor="text1"/>
                <w:szCs w:val="20"/>
              </w:rPr>
              <w:t>No increase in the maximum quantity or number of units may be authorised</w:t>
            </w:r>
          </w:p>
        </w:tc>
      </w:tr>
      <w:tr w:rsidR="000E709B" w:rsidRPr="00427986" w14:paraId="2DB40D4E"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000" w:type="dxa"/>
            <w:gridSpan w:val="6"/>
            <w:tcBorders>
              <w:top w:val="single" w:sz="4" w:space="0" w:color="auto"/>
              <w:left w:val="single" w:sz="4" w:space="0" w:color="auto"/>
              <w:bottom w:val="single" w:sz="4" w:space="0" w:color="auto"/>
              <w:right w:val="single" w:sz="4" w:space="0" w:color="auto"/>
            </w:tcBorders>
          </w:tcPr>
          <w:p w14:paraId="12F0748D" w14:textId="77777777" w:rsidR="000E709B" w:rsidRPr="000E709B" w:rsidRDefault="000E709B" w:rsidP="009A2B60">
            <w:pPr>
              <w:pStyle w:val="TableLeft"/>
              <w:rPr>
                <w:rFonts w:ascii="Arial Narrow" w:hAnsi="Arial Narrow"/>
                <w:b/>
                <w:bCs/>
                <w:i/>
                <w:iCs/>
                <w:color w:val="000000" w:themeColor="text1"/>
                <w:szCs w:val="20"/>
              </w:rPr>
            </w:pPr>
          </w:p>
        </w:tc>
      </w:tr>
      <w:tr w:rsidR="000E709B" w:rsidRPr="00427986" w14:paraId="55170F7A"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000" w:type="dxa"/>
            <w:gridSpan w:val="6"/>
            <w:tcBorders>
              <w:top w:val="single" w:sz="4" w:space="0" w:color="auto"/>
              <w:left w:val="single" w:sz="4" w:space="0" w:color="auto"/>
              <w:bottom w:val="single" w:sz="4" w:space="0" w:color="auto"/>
              <w:right w:val="single" w:sz="4" w:space="0" w:color="auto"/>
            </w:tcBorders>
          </w:tcPr>
          <w:p w14:paraId="18EFB85A"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 xml:space="preserve">Note: </w:t>
            </w:r>
          </w:p>
          <w:p w14:paraId="3F8016DB"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Response Evaluation Criteria In Solid Tumours (RESIST) is defined as follows:</w:t>
            </w:r>
          </w:p>
          <w:p w14:paraId="2FF9B84F"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Complete response (CR) is disappearance of all targeted lesions.</w:t>
            </w:r>
          </w:p>
          <w:p w14:paraId="1A2085FE"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Partial response (PR) is a 30% decrease in the sum of the longest diameter of target lesions.</w:t>
            </w:r>
          </w:p>
          <w:p w14:paraId="6CC12C33"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Progressive disease (PD) is a 20% increase in the sum of the longest diameter of target lesions.</w:t>
            </w:r>
          </w:p>
          <w:p w14:paraId="49C992F1"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Stable disease (SD) is small changes that do not meet above criteria.</w:t>
            </w:r>
          </w:p>
        </w:tc>
      </w:tr>
      <w:tr w:rsidR="000E709B" w:rsidRPr="00427986" w14:paraId="764CB694" w14:textId="77777777" w:rsidTr="000E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000" w:type="dxa"/>
            <w:gridSpan w:val="6"/>
            <w:tcBorders>
              <w:top w:val="single" w:sz="4" w:space="0" w:color="auto"/>
              <w:left w:val="single" w:sz="4" w:space="0" w:color="auto"/>
              <w:bottom w:val="single" w:sz="4" w:space="0" w:color="auto"/>
              <w:right w:val="single" w:sz="4" w:space="0" w:color="auto"/>
            </w:tcBorders>
          </w:tcPr>
          <w:p w14:paraId="1A3D3BD6"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Note:</w:t>
            </w:r>
          </w:p>
          <w:p w14:paraId="3A2D48C0"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Vascular endothelial growth factor (VEGF)-targeted tyrosine kinase inhibitor’s (TKI) include: lenvatinib</w:t>
            </w:r>
          </w:p>
        </w:tc>
      </w:tr>
    </w:tbl>
    <w:p w14:paraId="6DA717C2" w14:textId="77777777" w:rsidR="000E709B" w:rsidRDefault="000E709B" w:rsidP="004B1CB4"/>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2450"/>
        <w:gridCol w:w="835"/>
        <w:gridCol w:w="834"/>
        <w:gridCol w:w="835"/>
        <w:gridCol w:w="1635"/>
      </w:tblGrid>
      <w:tr w:rsidR="000E709B" w:rsidRPr="001428E9" w14:paraId="6133589E" w14:textId="77777777" w:rsidTr="00247602">
        <w:trPr>
          <w:cantSplit/>
          <w:trHeight w:val="20"/>
        </w:trPr>
        <w:tc>
          <w:tcPr>
            <w:tcW w:w="2412" w:type="dxa"/>
            <w:vAlign w:val="center"/>
          </w:tcPr>
          <w:p w14:paraId="09552401" w14:textId="77777777" w:rsidR="000E709B" w:rsidRPr="001428E9" w:rsidRDefault="000E709B" w:rsidP="009A2B60">
            <w:pPr>
              <w:keepNext/>
              <w:keepLines/>
              <w:jc w:val="center"/>
              <w:rPr>
                <w:rFonts w:ascii="Arial Narrow" w:hAnsi="Arial Narrow"/>
                <w:b/>
                <w:bCs/>
                <w:sz w:val="20"/>
                <w:szCs w:val="20"/>
              </w:rPr>
            </w:pPr>
            <w:r w:rsidRPr="001428E9">
              <w:rPr>
                <w:rFonts w:ascii="Arial Narrow" w:hAnsi="Arial Narrow"/>
                <w:b/>
                <w:bCs/>
                <w:sz w:val="20"/>
                <w:szCs w:val="20"/>
              </w:rPr>
              <w:lastRenderedPageBreak/>
              <w:t>MEDICINAL PRODUCT</w:t>
            </w:r>
          </w:p>
          <w:p w14:paraId="2252EB5E" w14:textId="77777777" w:rsidR="000E709B" w:rsidRPr="001428E9" w:rsidRDefault="000E709B" w:rsidP="009A2B60">
            <w:pPr>
              <w:keepNext/>
              <w:keepLines/>
              <w:jc w:val="center"/>
              <w:rPr>
                <w:rFonts w:ascii="Arial Narrow" w:hAnsi="Arial Narrow"/>
                <w:b/>
                <w:sz w:val="20"/>
                <w:szCs w:val="20"/>
              </w:rPr>
            </w:pPr>
            <w:r w:rsidRPr="001428E9">
              <w:rPr>
                <w:rFonts w:ascii="Arial Narrow" w:hAnsi="Arial Narrow"/>
                <w:b/>
                <w:bCs/>
                <w:sz w:val="20"/>
                <w:szCs w:val="20"/>
              </w:rPr>
              <w:t>medicinal product pack</w:t>
            </w:r>
          </w:p>
        </w:tc>
        <w:tc>
          <w:tcPr>
            <w:tcW w:w="2450" w:type="dxa"/>
            <w:vAlign w:val="center"/>
          </w:tcPr>
          <w:p w14:paraId="621C470B" w14:textId="77777777" w:rsidR="000E709B" w:rsidRPr="00C61A59" w:rsidRDefault="000E709B" w:rsidP="009A2B60">
            <w:pPr>
              <w:pStyle w:val="TableText0"/>
              <w:keepLines/>
              <w:jc w:val="center"/>
              <w:rPr>
                <w:b/>
                <w:bCs w:val="0"/>
                <w:szCs w:val="20"/>
              </w:rPr>
            </w:pPr>
            <w:r w:rsidRPr="00C61A59">
              <w:rPr>
                <w:b/>
                <w:bCs w:val="0"/>
                <w:snapToGrid w:val="0"/>
              </w:rPr>
              <w:t>Dispensed Price for Max. Qty</w:t>
            </w:r>
          </w:p>
        </w:tc>
        <w:tc>
          <w:tcPr>
            <w:tcW w:w="835" w:type="dxa"/>
            <w:vAlign w:val="center"/>
          </w:tcPr>
          <w:p w14:paraId="71DE5F4A" w14:textId="77777777" w:rsidR="000E709B" w:rsidRPr="001428E9" w:rsidRDefault="000E709B" w:rsidP="009A2B60">
            <w:pPr>
              <w:keepNext/>
              <w:keepLines/>
              <w:jc w:val="center"/>
              <w:rPr>
                <w:rFonts w:ascii="Arial Narrow" w:hAnsi="Arial Narrow"/>
                <w:b/>
                <w:sz w:val="20"/>
                <w:szCs w:val="20"/>
              </w:rPr>
            </w:pPr>
            <w:r w:rsidRPr="001428E9">
              <w:rPr>
                <w:rFonts w:ascii="Arial Narrow" w:hAnsi="Arial Narrow"/>
                <w:b/>
                <w:sz w:val="20"/>
                <w:szCs w:val="20"/>
              </w:rPr>
              <w:t>Max. qty packs</w:t>
            </w:r>
          </w:p>
        </w:tc>
        <w:tc>
          <w:tcPr>
            <w:tcW w:w="834" w:type="dxa"/>
            <w:vAlign w:val="center"/>
          </w:tcPr>
          <w:p w14:paraId="7AFA821B" w14:textId="77777777" w:rsidR="000E709B" w:rsidRPr="001428E9" w:rsidRDefault="000E709B" w:rsidP="009A2B60">
            <w:pPr>
              <w:keepNext/>
              <w:keepLines/>
              <w:jc w:val="center"/>
              <w:rPr>
                <w:rFonts w:ascii="Arial Narrow" w:hAnsi="Arial Narrow"/>
                <w:b/>
                <w:sz w:val="20"/>
                <w:szCs w:val="20"/>
              </w:rPr>
            </w:pPr>
            <w:r w:rsidRPr="001428E9">
              <w:rPr>
                <w:rFonts w:ascii="Arial Narrow" w:hAnsi="Arial Narrow"/>
                <w:b/>
                <w:sz w:val="20"/>
                <w:szCs w:val="20"/>
              </w:rPr>
              <w:t>Max. qty units</w:t>
            </w:r>
          </w:p>
        </w:tc>
        <w:tc>
          <w:tcPr>
            <w:tcW w:w="835" w:type="dxa"/>
            <w:vAlign w:val="center"/>
          </w:tcPr>
          <w:p w14:paraId="775E391F" w14:textId="77777777" w:rsidR="000E709B" w:rsidRPr="001428E9" w:rsidRDefault="000E709B" w:rsidP="009A2B60">
            <w:pPr>
              <w:keepNext/>
              <w:keepLines/>
              <w:jc w:val="center"/>
              <w:rPr>
                <w:rFonts w:ascii="Arial Narrow" w:hAnsi="Arial Narrow"/>
                <w:b/>
                <w:sz w:val="20"/>
                <w:szCs w:val="20"/>
              </w:rPr>
            </w:pPr>
            <w:r w:rsidRPr="001428E9">
              <w:rPr>
                <w:rFonts w:ascii="Arial Narrow" w:hAnsi="Arial Narrow"/>
                <w:b/>
                <w:sz w:val="20"/>
                <w:szCs w:val="20"/>
              </w:rPr>
              <w:t>№.of</w:t>
            </w:r>
          </w:p>
          <w:p w14:paraId="74C24914" w14:textId="77777777" w:rsidR="000E709B" w:rsidRPr="001428E9" w:rsidRDefault="000E709B" w:rsidP="009A2B60">
            <w:pPr>
              <w:keepNext/>
              <w:keepLines/>
              <w:jc w:val="center"/>
              <w:rPr>
                <w:rFonts w:ascii="Arial Narrow" w:hAnsi="Arial Narrow"/>
                <w:b/>
                <w:sz w:val="20"/>
                <w:szCs w:val="20"/>
              </w:rPr>
            </w:pPr>
            <w:r w:rsidRPr="001428E9">
              <w:rPr>
                <w:rFonts w:ascii="Arial Narrow" w:hAnsi="Arial Narrow"/>
                <w:b/>
                <w:sz w:val="20"/>
                <w:szCs w:val="20"/>
              </w:rPr>
              <w:t>Rpts</w:t>
            </w:r>
          </w:p>
        </w:tc>
        <w:tc>
          <w:tcPr>
            <w:tcW w:w="1635" w:type="dxa"/>
            <w:vAlign w:val="center"/>
          </w:tcPr>
          <w:p w14:paraId="5C7A76FB" w14:textId="77777777" w:rsidR="000E709B" w:rsidRPr="001428E9" w:rsidRDefault="000E709B" w:rsidP="009A2B60">
            <w:pPr>
              <w:keepNext/>
              <w:keepLines/>
              <w:jc w:val="center"/>
              <w:rPr>
                <w:rFonts w:ascii="Arial Narrow" w:hAnsi="Arial Narrow"/>
                <w:b/>
                <w:sz w:val="20"/>
                <w:szCs w:val="20"/>
                <w:lang w:val="fr-FR"/>
              </w:rPr>
            </w:pPr>
            <w:r w:rsidRPr="001428E9">
              <w:rPr>
                <w:rFonts w:ascii="Arial Narrow" w:hAnsi="Arial Narrow"/>
                <w:b/>
                <w:sz w:val="20"/>
                <w:szCs w:val="20"/>
              </w:rPr>
              <w:t>Available brands</w:t>
            </w:r>
          </w:p>
        </w:tc>
      </w:tr>
      <w:tr w:rsidR="000E709B" w:rsidRPr="001428E9" w14:paraId="47959756" w14:textId="77777777" w:rsidTr="00247602">
        <w:trPr>
          <w:cantSplit/>
          <w:trHeight w:val="20"/>
        </w:trPr>
        <w:tc>
          <w:tcPr>
            <w:tcW w:w="9001" w:type="dxa"/>
            <w:gridSpan w:val="6"/>
            <w:vAlign w:val="center"/>
          </w:tcPr>
          <w:p w14:paraId="09DB92A6" w14:textId="77777777" w:rsidR="000E709B" w:rsidRPr="00632A2B" w:rsidRDefault="000E709B" w:rsidP="009A2B60">
            <w:pPr>
              <w:pStyle w:val="TableText0"/>
              <w:keepLines/>
              <w:rPr>
                <w:rFonts w:cs="Arial"/>
                <w:szCs w:val="20"/>
              </w:rPr>
            </w:pPr>
            <w:r w:rsidRPr="00632A2B">
              <w:rPr>
                <w:rFonts w:cs="Arial"/>
                <w:szCs w:val="20"/>
              </w:rPr>
              <w:t>CABOZANTINIB</w:t>
            </w:r>
          </w:p>
        </w:tc>
      </w:tr>
      <w:tr w:rsidR="000E709B" w:rsidRPr="003A4C14" w14:paraId="183D45D2" w14:textId="77777777" w:rsidTr="00247602">
        <w:trPr>
          <w:cantSplit/>
          <w:trHeight w:val="20"/>
        </w:trPr>
        <w:tc>
          <w:tcPr>
            <w:tcW w:w="2412" w:type="dxa"/>
            <w:vAlign w:val="center"/>
          </w:tcPr>
          <w:p w14:paraId="50DB9E73" w14:textId="77777777" w:rsidR="000E709B" w:rsidRDefault="000E709B" w:rsidP="009A2B60">
            <w:pPr>
              <w:pStyle w:val="TableText0"/>
              <w:keepLines/>
            </w:pPr>
            <w:r>
              <w:t>C</w:t>
            </w:r>
            <w:r w:rsidRPr="00632A2B">
              <w:t>abozantinib</w:t>
            </w:r>
          </w:p>
          <w:p w14:paraId="145A8450" w14:textId="77777777" w:rsidR="000E709B" w:rsidRPr="00632A2B" w:rsidRDefault="000E709B" w:rsidP="009A2B60">
            <w:pPr>
              <w:keepNext/>
              <w:keepLines/>
              <w:rPr>
                <w:rFonts w:ascii="Arial Narrow" w:hAnsi="Arial Narrow"/>
                <w:sz w:val="20"/>
                <w:szCs w:val="20"/>
              </w:rPr>
            </w:pPr>
            <w:r w:rsidRPr="00632A2B">
              <w:rPr>
                <w:rFonts w:ascii="Arial Narrow" w:hAnsi="Arial Narrow"/>
                <w:sz w:val="20"/>
                <w:szCs w:val="20"/>
              </w:rPr>
              <w:t xml:space="preserve">20 mg tablet, 30 </w:t>
            </w:r>
          </w:p>
        </w:tc>
        <w:tc>
          <w:tcPr>
            <w:tcW w:w="2450" w:type="dxa"/>
          </w:tcPr>
          <w:p w14:paraId="6F929F11" w14:textId="052C14E8" w:rsidR="000E709B" w:rsidRPr="00565C79" w:rsidRDefault="000E709B" w:rsidP="009A2B60">
            <w:pPr>
              <w:pStyle w:val="TableText0"/>
              <w:keepLines/>
              <w:jc w:val="center"/>
            </w:pPr>
            <w:r w:rsidRPr="00565C79">
              <w:t>$</w:t>
            </w:r>
            <w:r w:rsidRPr="00632A2B">
              <w:t>9,961.22</w:t>
            </w:r>
            <w:r>
              <w:t xml:space="preserve"> published price</w:t>
            </w:r>
          </w:p>
          <w:p w14:paraId="66ED3D3E" w14:textId="0886DB84" w:rsidR="000E709B" w:rsidRPr="001428E9" w:rsidRDefault="00B1620B" w:rsidP="009A2B60">
            <w:pPr>
              <w:pStyle w:val="TableText0"/>
              <w:keepLines/>
              <w:jc w:val="center"/>
              <w:rPr>
                <w:szCs w:val="20"/>
              </w:rPr>
            </w:pPr>
            <w:r>
              <w:t>$</w:t>
            </w:r>
            <w:r w:rsidR="005860C6" w:rsidRPr="00B1620B">
              <w:rPr>
                <w:rFonts w:hint="eastAsia"/>
                <w:color w:val="000000"/>
                <w:w w:val="15"/>
                <w:shd w:val="solid" w:color="000000" w:fill="000000"/>
                <w:fitText w:val="50" w:id="-1032107258"/>
                <w14:textFill>
                  <w14:solidFill>
                    <w14:srgbClr w14:val="000000">
                      <w14:alpha w14:val="100000"/>
                    </w14:srgbClr>
                  </w14:solidFill>
                </w14:textFill>
              </w:rPr>
              <w:t xml:space="preserve">　</w:t>
            </w:r>
            <w:r w:rsidR="005860C6" w:rsidRPr="00B1620B">
              <w:rPr>
                <w:color w:val="000000"/>
                <w:w w:val="15"/>
                <w:shd w:val="solid" w:color="000000" w:fill="000000"/>
                <w:fitText w:val="50" w:id="-1032107258"/>
                <w14:textFill>
                  <w14:solidFill>
                    <w14:srgbClr w14:val="000000">
                      <w14:alpha w14:val="100000"/>
                    </w14:srgbClr>
                  </w14:solidFill>
                </w14:textFill>
              </w:rPr>
              <w:t>|</w:t>
            </w:r>
            <w:r w:rsidR="005860C6" w:rsidRPr="00B1620B">
              <w:rPr>
                <w:rFonts w:hint="eastAsia"/>
                <w:color w:val="000000"/>
                <w:spacing w:val="-15"/>
                <w:w w:val="15"/>
                <w:shd w:val="solid" w:color="000000" w:fill="000000"/>
                <w:fitText w:val="50" w:id="-1032107258"/>
                <w14:textFill>
                  <w14:solidFill>
                    <w14:srgbClr w14:val="000000">
                      <w14:alpha w14:val="100000"/>
                    </w14:srgbClr>
                  </w14:solidFill>
                </w14:textFill>
              </w:rPr>
              <w:t xml:space="preserve">　</w:t>
            </w:r>
            <w:r w:rsidR="00247602">
              <w:t xml:space="preserve"> </w:t>
            </w:r>
            <w:r w:rsidR="000E709B">
              <w:t>effective price</w:t>
            </w:r>
          </w:p>
        </w:tc>
        <w:tc>
          <w:tcPr>
            <w:tcW w:w="835" w:type="dxa"/>
            <w:vAlign w:val="center"/>
          </w:tcPr>
          <w:p w14:paraId="36536D48" w14:textId="77777777" w:rsidR="000E709B" w:rsidRPr="001428E9" w:rsidRDefault="000E709B" w:rsidP="009A2B60">
            <w:pPr>
              <w:keepNext/>
              <w:keepLines/>
              <w:jc w:val="center"/>
              <w:rPr>
                <w:rFonts w:ascii="Arial Narrow" w:hAnsi="Arial Narrow"/>
                <w:sz w:val="20"/>
                <w:szCs w:val="20"/>
              </w:rPr>
            </w:pPr>
            <w:r>
              <w:rPr>
                <w:rFonts w:ascii="Arial Narrow" w:hAnsi="Arial Narrow"/>
                <w:sz w:val="20"/>
              </w:rPr>
              <w:t>1</w:t>
            </w:r>
          </w:p>
        </w:tc>
        <w:tc>
          <w:tcPr>
            <w:tcW w:w="834" w:type="dxa"/>
            <w:vAlign w:val="center"/>
          </w:tcPr>
          <w:p w14:paraId="3994435D" w14:textId="77777777" w:rsidR="000E709B" w:rsidRPr="001428E9" w:rsidRDefault="000E709B" w:rsidP="009A2B60">
            <w:pPr>
              <w:keepNext/>
              <w:keepLines/>
              <w:jc w:val="center"/>
              <w:rPr>
                <w:rFonts w:ascii="Arial Narrow" w:hAnsi="Arial Narrow"/>
                <w:sz w:val="20"/>
                <w:szCs w:val="20"/>
              </w:rPr>
            </w:pPr>
            <w:r>
              <w:rPr>
                <w:rFonts w:ascii="Arial Narrow" w:hAnsi="Arial Narrow"/>
                <w:sz w:val="20"/>
              </w:rPr>
              <w:t>30</w:t>
            </w:r>
          </w:p>
        </w:tc>
        <w:tc>
          <w:tcPr>
            <w:tcW w:w="835" w:type="dxa"/>
            <w:vAlign w:val="center"/>
          </w:tcPr>
          <w:p w14:paraId="07E92952" w14:textId="77777777" w:rsidR="000E709B" w:rsidRPr="001428E9" w:rsidRDefault="000E709B" w:rsidP="009A2B60">
            <w:pPr>
              <w:keepNext/>
              <w:keepLines/>
              <w:jc w:val="center"/>
              <w:rPr>
                <w:rFonts w:ascii="Arial Narrow" w:hAnsi="Arial Narrow"/>
                <w:sz w:val="20"/>
                <w:szCs w:val="20"/>
              </w:rPr>
            </w:pPr>
            <w:r>
              <w:rPr>
                <w:rFonts w:ascii="Arial Narrow" w:hAnsi="Arial Narrow"/>
                <w:sz w:val="20"/>
              </w:rPr>
              <w:t>2</w:t>
            </w:r>
          </w:p>
        </w:tc>
        <w:tc>
          <w:tcPr>
            <w:tcW w:w="1635" w:type="dxa"/>
            <w:vAlign w:val="center"/>
          </w:tcPr>
          <w:p w14:paraId="16E2DCCC" w14:textId="77777777" w:rsidR="000E709B" w:rsidRPr="00632A2B" w:rsidRDefault="000E709B" w:rsidP="009A2B60">
            <w:pPr>
              <w:keepNext/>
              <w:keepLines/>
              <w:jc w:val="left"/>
              <w:rPr>
                <w:rFonts w:ascii="Arial Narrow" w:hAnsi="Arial Narrow"/>
                <w:sz w:val="20"/>
                <w:szCs w:val="20"/>
              </w:rPr>
            </w:pPr>
            <w:r w:rsidRPr="00632A2B">
              <w:rPr>
                <w:rFonts w:ascii="Arial Narrow" w:hAnsi="Arial Narrow"/>
                <w:sz w:val="20"/>
                <w:szCs w:val="20"/>
              </w:rPr>
              <w:t>Cabometyx</w:t>
            </w:r>
            <w:r>
              <w:rPr>
                <w:rFonts w:ascii="Arial Narrow" w:hAnsi="Arial Narrow"/>
                <w:sz w:val="20"/>
                <w:szCs w:val="20"/>
              </w:rPr>
              <w:t xml:space="preserve">, </w:t>
            </w:r>
            <w:r>
              <w:rPr>
                <w:rFonts w:ascii="Arial Narrow" w:hAnsi="Arial Narrow"/>
                <w:sz w:val="20"/>
                <w:szCs w:val="20"/>
              </w:rPr>
              <w:br/>
            </w:r>
            <w:r w:rsidRPr="00632A2B">
              <w:rPr>
                <w:rFonts w:ascii="Arial Narrow" w:hAnsi="Arial Narrow"/>
                <w:sz w:val="20"/>
                <w:szCs w:val="20"/>
              </w:rPr>
              <w:t>Ipsen Pty Ltd</w:t>
            </w:r>
          </w:p>
        </w:tc>
      </w:tr>
      <w:tr w:rsidR="000E709B" w:rsidRPr="003A4C14" w14:paraId="35D67F8F" w14:textId="77777777" w:rsidTr="00247602">
        <w:trPr>
          <w:cantSplit/>
          <w:trHeight w:val="20"/>
        </w:trPr>
        <w:tc>
          <w:tcPr>
            <w:tcW w:w="2412" w:type="dxa"/>
            <w:vAlign w:val="center"/>
          </w:tcPr>
          <w:p w14:paraId="01AC3640" w14:textId="77777777" w:rsidR="000E709B" w:rsidRDefault="000E709B" w:rsidP="009A2B60">
            <w:pPr>
              <w:pStyle w:val="TableText0"/>
              <w:keepLines/>
            </w:pPr>
            <w:r>
              <w:t>Cabozantinib</w:t>
            </w:r>
          </w:p>
          <w:p w14:paraId="46A9E820" w14:textId="77777777" w:rsidR="000E709B" w:rsidRDefault="000E709B" w:rsidP="009A2B60">
            <w:pPr>
              <w:pStyle w:val="TableText0"/>
              <w:keepLines/>
            </w:pPr>
            <w:r>
              <w:t>40 mg tablet, 30</w:t>
            </w:r>
          </w:p>
        </w:tc>
        <w:tc>
          <w:tcPr>
            <w:tcW w:w="2450" w:type="dxa"/>
          </w:tcPr>
          <w:p w14:paraId="7F3AFA47" w14:textId="072AAE33" w:rsidR="000E709B" w:rsidRDefault="000E709B" w:rsidP="009A2B60">
            <w:pPr>
              <w:pStyle w:val="TableText0"/>
              <w:keepLines/>
              <w:jc w:val="center"/>
            </w:pPr>
            <w:r>
              <w:t>$9,961.22 published price</w:t>
            </w:r>
          </w:p>
          <w:p w14:paraId="14A060CB" w14:textId="71B61C40" w:rsidR="000E709B" w:rsidRPr="00565C79" w:rsidRDefault="00B1620B" w:rsidP="009A2B60">
            <w:pPr>
              <w:pStyle w:val="TableText0"/>
              <w:keepLines/>
              <w:jc w:val="center"/>
            </w:pPr>
            <w:r>
              <w:t>$</w:t>
            </w:r>
            <w:r w:rsidR="005860C6" w:rsidRPr="00B1620B">
              <w:rPr>
                <w:rFonts w:hint="eastAsia"/>
                <w:color w:val="000000"/>
                <w:w w:val="15"/>
                <w:shd w:val="solid" w:color="000000" w:fill="000000"/>
                <w:fitText w:val="30" w:id="-1032107257"/>
                <w14:textFill>
                  <w14:solidFill>
                    <w14:srgbClr w14:val="000000">
                      <w14:alpha w14:val="100000"/>
                    </w14:srgbClr>
                  </w14:solidFill>
                </w14:textFill>
              </w:rPr>
              <w:t xml:space="preserve">　</w:t>
            </w:r>
            <w:r w:rsidR="005860C6" w:rsidRPr="00B1620B">
              <w:rPr>
                <w:color w:val="000000"/>
                <w:w w:val="15"/>
                <w:shd w:val="solid" w:color="000000" w:fill="000000"/>
                <w:fitText w:val="30" w:id="-1032107257"/>
                <w14:textFill>
                  <w14:solidFill>
                    <w14:srgbClr w14:val="000000">
                      <w14:alpha w14:val="100000"/>
                    </w14:srgbClr>
                  </w14:solidFill>
                </w14:textFill>
              </w:rPr>
              <w:t>|</w:t>
            </w:r>
            <w:r w:rsidR="005860C6" w:rsidRPr="00B1620B">
              <w:rPr>
                <w:rFonts w:hint="eastAsia"/>
                <w:color w:val="000000"/>
                <w:spacing w:val="-35"/>
                <w:w w:val="15"/>
                <w:shd w:val="solid" w:color="000000" w:fill="000000"/>
                <w:fitText w:val="30" w:id="-1032107257"/>
                <w14:textFill>
                  <w14:solidFill>
                    <w14:srgbClr w14:val="000000">
                      <w14:alpha w14:val="100000"/>
                    </w14:srgbClr>
                  </w14:solidFill>
                </w14:textFill>
              </w:rPr>
              <w:t xml:space="preserve">　</w:t>
            </w:r>
            <w:r w:rsidR="000E709B">
              <w:t xml:space="preserve"> effective price</w:t>
            </w:r>
          </w:p>
        </w:tc>
        <w:tc>
          <w:tcPr>
            <w:tcW w:w="835" w:type="dxa"/>
            <w:vAlign w:val="center"/>
          </w:tcPr>
          <w:p w14:paraId="67AE0DE8" w14:textId="77777777" w:rsidR="000E709B" w:rsidRPr="001C37BA" w:rsidRDefault="000E709B" w:rsidP="009A2B60">
            <w:pPr>
              <w:keepNext/>
              <w:keepLines/>
              <w:jc w:val="center"/>
              <w:rPr>
                <w:rFonts w:ascii="Arial Narrow" w:hAnsi="Arial Narrow"/>
                <w:sz w:val="20"/>
              </w:rPr>
            </w:pPr>
            <w:r>
              <w:rPr>
                <w:rFonts w:ascii="Arial Narrow" w:hAnsi="Arial Narrow"/>
                <w:sz w:val="20"/>
              </w:rPr>
              <w:t>1</w:t>
            </w:r>
          </w:p>
        </w:tc>
        <w:tc>
          <w:tcPr>
            <w:tcW w:w="834" w:type="dxa"/>
            <w:vAlign w:val="center"/>
          </w:tcPr>
          <w:p w14:paraId="1B586609" w14:textId="77777777" w:rsidR="000E709B" w:rsidRPr="001C37BA" w:rsidRDefault="000E709B" w:rsidP="009A2B60">
            <w:pPr>
              <w:keepNext/>
              <w:keepLines/>
              <w:jc w:val="center"/>
              <w:rPr>
                <w:rFonts w:ascii="Arial Narrow" w:hAnsi="Arial Narrow"/>
                <w:sz w:val="20"/>
              </w:rPr>
            </w:pPr>
            <w:r>
              <w:rPr>
                <w:rFonts w:ascii="Arial Narrow" w:hAnsi="Arial Narrow"/>
                <w:sz w:val="20"/>
              </w:rPr>
              <w:t>30</w:t>
            </w:r>
          </w:p>
        </w:tc>
        <w:tc>
          <w:tcPr>
            <w:tcW w:w="835" w:type="dxa"/>
            <w:vAlign w:val="center"/>
          </w:tcPr>
          <w:p w14:paraId="294F1833" w14:textId="77777777" w:rsidR="000E709B" w:rsidRPr="001C37BA" w:rsidRDefault="000E709B" w:rsidP="009A2B60">
            <w:pPr>
              <w:keepNext/>
              <w:keepLines/>
              <w:jc w:val="center"/>
              <w:rPr>
                <w:rFonts w:ascii="Arial Narrow" w:hAnsi="Arial Narrow"/>
                <w:sz w:val="20"/>
              </w:rPr>
            </w:pPr>
            <w:r>
              <w:rPr>
                <w:rFonts w:ascii="Arial Narrow" w:hAnsi="Arial Narrow"/>
                <w:sz w:val="20"/>
              </w:rPr>
              <w:t>2</w:t>
            </w:r>
          </w:p>
        </w:tc>
        <w:tc>
          <w:tcPr>
            <w:tcW w:w="1635" w:type="dxa"/>
            <w:vAlign w:val="center"/>
          </w:tcPr>
          <w:p w14:paraId="5A602774" w14:textId="77777777" w:rsidR="000E709B" w:rsidRPr="003A4C14" w:rsidRDefault="000E709B" w:rsidP="009A2B60">
            <w:pPr>
              <w:keepNext/>
              <w:keepLines/>
              <w:jc w:val="left"/>
              <w:rPr>
                <w:rFonts w:ascii="Arial Narrow" w:hAnsi="Arial Narrow"/>
                <w:sz w:val="20"/>
                <w:szCs w:val="20"/>
              </w:rPr>
            </w:pPr>
            <w:r w:rsidRPr="00632A2B">
              <w:rPr>
                <w:rFonts w:ascii="Arial Narrow" w:hAnsi="Arial Narrow"/>
                <w:sz w:val="20"/>
                <w:szCs w:val="20"/>
              </w:rPr>
              <w:t>Cabometyx</w:t>
            </w:r>
            <w:r>
              <w:rPr>
                <w:rFonts w:ascii="Arial Narrow" w:hAnsi="Arial Narrow"/>
                <w:sz w:val="20"/>
                <w:szCs w:val="20"/>
              </w:rPr>
              <w:t xml:space="preserve">, </w:t>
            </w:r>
            <w:r>
              <w:rPr>
                <w:rFonts w:ascii="Arial Narrow" w:hAnsi="Arial Narrow"/>
                <w:sz w:val="20"/>
                <w:szCs w:val="20"/>
              </w:rPr>
              <w:br/>
            </w:r>
            <w:r w:rsidRPr="00632A2B">
              <w:rPr>
                <w:rFonts w:ascii="Arial Narrow" w:hAnsi="Arial Narrow"/>
                <w:sz w:val="20"/>
                <w:szCs w:val="20"/>
              </w:rPr>
              <w:t>Ipsen Pty Ltd</w:t>
            </w:r>
          </w:p>
        </w:tc>
      </w:tr>
      <w:tr w:rsidR="000E709B" w:rsidRPr="003A4C14" w14:paraId="501EE0C3" w14:textId="77777777" w:rsidTr="00247602">
        <w:trPr>
          <w:cantSplit/>
          <w:trHeight w:val="20"/>
        </w:trPr>
        <w:tc>
          <w:tcPr>
            <w:tcW w:w="2412" w:type="dxa"/>
            <w:vAlign w:val="center"/>
          </w:tcPr>
          <w:p w14:paraId="00E85271" w14:textId="77777777" w:rsidR="000E709B" w:rsidRDefault="000E709B" w:rsidP="009A2B60">
            <w:pPr>
              <w:pStyle w:val="TableText0"/>
              <w:keepLines/>
            </w:pPr>
            <w:r>
              <w:t>Cabozantinib</w:t>
            </w:r>
          </w:p>
          <w:p w14:paraId="6BAF6315" w14:textId="77777777" w:rsidR="000E709B" w:rsidRDefault="000E709B" w:rsidP="009A2B60">
            <w:pPr>
              <w:pStyle w:val="TableText0"/>
              <w:keepLines/>
            </w:pPr>
            <w:r>
              <w:t>60 mg tablet, 30</w:t>
            </w:r>
          </w:p>
        </w:tc>
        <w:tc>
          <w:tcPr>
            <w:tcW w:w="2450" w:type="dxa"/>
          </w:tcPr>
          <w:p w14:paraId="42791903" w14:textId="0B698A8F" w:rsidR="000E709B" w:rsidRDefault="000E709B" w:rsidP="009A2B60">
            <w:pPr>
              <w:pStyle w:val="TableText0"/>
              <w:keepLines/>
              <w:jc w:val="center"/>
            </w:pPr>
            <w:r>
              <w:t>$9,961.22 published price</w:t>
            </w:r>
          </w:p>
          <w:p w14:paraId="3AC15B30" w14:textId="22F83E7B" w:rsidR="000E709B" w:rsidRPr="00565C79" w:rsidRDefault="00B1620B" w:rsidP="009A2B60">
            <w:pPr>
              <w:pStyle w:val="TableText0"/>
              <w:keepLines/>
              <w:jc w:val="center"/>
            </w:pPr>
            <w:r>
              <w:t>$</w:t>
            </w:r>
            <w:r w:rsidR="005860C6" w:rsidRPr="00B1620B">
              <w:rPr>
                <w:rFonts w:hint="eastAsia"/>
                <w:color w:val="000000"/>
                <w:w w:val="15"/>
                <w:shd w:val="solid" w:color="000000" w:fill="000000"/>
                <w:fitText w:val="30" w:id="-1032107256"/>
                <w14:textFill>
                  <w14:solidFill>
                    <w14:srgbClr w14:val="000000">
                      <w14:alpha w14:val="100000"/>
                    </w14:srgbClr>
                  </w14:solidFill>
                </w14:textFill>
              </w:rPr>
              <w:t xml:space="preserve">　</w:t>
            </w:r>
            <w:r w:rsidR="005860C6" w:rsidRPr="00B1620B">
              <w:rPr>
                <w:color w:val="000000"/>
                <w:w w:val="15"/>
                <w:shd w:val="solid" w:color="000000" w:fill="000000"/>
                <w:fitText w:val="30" w:id="-1032107256"/>
                <w14:textFill>
                  <w14:solidFill>
                    <w14:srgbClr w14:val="000000">
                      <w14:alpha w14:val="100000"/>
                    </w14:srgbClr>
                  </w14:solidFill>
                </w14:textFill>
              </w:rPr>
              <w:t>|</w:t>
            </w:r>
            <w:r w:rsidR="005860C6" w:rsidRPr="00B1620B">
              <w:rPr>
                <w:rFonts w:hint="eastAsia"/>
                <w:color w:val="000000"/>
                <w:spacing w:val="-35"/>
                <w:w w:val="15"/>
                <w:shd w:val="solid" w:color="000000" w:fill="000000"/>
                <w:fitText w:val="30" w:id="-1032107256"/>
                <w14:textFill>
                  <w14:solidFill>
                    <w14:srgbClr w14:val="000000">
                      <w14:alpha w14:val="100000"/>
                    </w14:srgbClr>
                  </w14:solidFill>
                </w14:textFill>
              </w:rPr>
              <w:t xml:space="preserve">　</w:t>
            </w:r>
            <w:r w:rsidR="000E709B">
              <w:t xml:space="preserve"> effective price</w:t>
            </w:r>
          </w:p>
        </w:tc>
        <w:tc>
          <w:tcPr>
            <w:tcW w:w="835" w:type="dxa"/>
            <w:vAlign w:val="center"/>
          </w:tcPr>
          <w:p w14:paraId="26D404C6" w14:textId="77777777" w:rsidR="000E709B" w:rsidRPr="001C37BA" w:rsidRDefault="000E709B" w:rsidP="009A2B60">
            <w:pPr>
              <w:keepNext/>
              <w:keepLines/>
              <w:jc w:val="center"/>
              <w:rPr>
                <w:rFonts w:ascii="Arial Narrow" w:hAnsi="Arial Narrow"/>
                <w:sz w:val="20"/>
              </w:rPr>
            </w:pPr>
            <w:r>
              <w:rPr>
                <w:rFonts w:ascii="Arial Narrow" w:hAnsi="Arial Narrow"/>
                <w:sz w:val="20"/>
              </w:rPr>
              <w:t>1</w:t>
            </w:r>
          </w:p>
        </w:tc>
        <w:tc>
          <w:tcPr>
            <w:tcW w:w="834" w:type="dxa"/>
            <w:vAlign w:val="center"/>
          </w:tcPr>
          <w:p w14:paraId="2EC7EC95" w14:textId="77777777" w:rsidR="000E709B" w:rsidRPr="001C37BA" w:rsidRDefault="000E709B" w:rsidP="009A2B60">
            <w:pPr>
              <w:keepNext/>
              <w:keepLines/>
              <w:jc w:val="center"/>
              <w:rPr>
                <w:rFonts w:ascii="Arial Narrow" w:hAnsi="Arial Narrow"/>
                <w:sz w:val="20"/>
              </w:rPr>
            </w:pPr>
            <w:r>
              <w:rPr>
                <w:rFonts w:ascii="Arial Narrow" w:hAnsi="Arial Narrow"/>
                <w:sz w:val="20"/>
              </w:rPr>
              <w:t>30</w:t>
            </w:r>
          </w:p>
        </w:tc>
        <w:tc>
          <w:tcPr>
            <w:tcW w:w="835" w:type="dxa"/>
            <w:vAlign w:val="center"/>
          </w:tcPr>
          <w:p w14:paraId="46CBE300" w14:textId="77777777" w:rsidR="000E709B" w:rsidRPr="001C37BA" w:rsidRDefault="000E709B" w:rsidP="009A2B60">
            <w:pPr>
              <w:keepNext/>
              <w:keepLines/>
              <w:jc w:val="center"/>
              <w:rPr>
                <w:rFonts w:ascii="Arial Narrow" w:hAnsi="Arial Narrow"/>
                <w:sz w:val="20"/>
              </w:rPr>
            </w:pPr>
            <w:r>
              <w:rPr>
                <w:rFonts w:ascii="Arial Narrow" w:hAnsi="Arial Narrow"/>
                <w:sz w:val="20"/>
              </w:rPr>
              <w:t>2</w:t>
            </w:r>
          </w:p>
        </w:tc>
        <w:tc>
          <w:tcPr>
            <w:tcW w:w="1635" w:type="dxa"/>
            <w:vAlign w:val="center"/>
          </w:tcPr>
          <w:p w14:paraId="16D04CCC" w14:textId="77777777" w:rsidR="000E709B" w:rsidRPr="003A4C14" w:rsidRDefault="000E709B" w:rsidP="009A2B60">
            <w:pPr>
              <w:keepNext/>
              <w:keepLines/>
              <w:jc w:val="left"/>
              <w:rPr>
                <w:rFonts w:ascii="Arial Narrow" w:hAnsi="Arial Narrow"/>
                <w:sz w:val="20"/>
                <w:szCs w:val="20"/>
              </w:rPr>
            </w:pPr>
            <w:r w:rsidRPr="00632A2B">
              <w:rPr>
                <w:rFonts w:ascii="Arial Narrow" w:hAnsi="Arial Narrow"/>
                <w:sz w:val="20"/>
                <w:szCs w:val="20"/>
              </w:rPr>
              <w:t>Cabometyx</w:t>
            </w:r>
            <w:r>
              <w:rPr>
                <w:rFonts w:ascii="Arial Narrow" w:hAnsi="Arial Narrow"/>
                <w:sz w:val="20"/>
                <w:szCs w:val="20"/>
              </w:rPr>
              <w:t xml:space="preserve">, </w:t>
            </w:r>
            <w:r>
              <w:rPr>
                <w:rFonts w:ascii="Arial Narrow" w:hAnsi="Arial Narrow"/>
                <w:sz w:val="20"/>
                <w:szCs w:val="20"/>
              </w:rPr>
              <w:br/>
            </w:r>
            <w:r w:rsidRPr="00632A2B">
              <w:rPr>
                <w:rFonts w:ascii="Arial Narrow" w:hAnsi="Arial Narrow"/>
                <w:sz w:val="20"/>
                <w:szCs w:val="20"/>
              </w:rPr>
              <w:t>Ipsen Pty Ltd</w:t>
            </w:r>
          </w:p>
        </w:tc>
      </w:tr>
      <w:tr w:rsidR="000E709B" w:rsidRPr="00427986" w14:paraId="24E735D2"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0"/>
        </w:trPr>
        <w:tc>
          <w:tcPr>
            <w:tcW w:w="9001" w:type="dxa"/>
            <w:gridSpan w:val="6"/>
            <w:tcBorders>
              <w:top w:val="single" w:sz="4" w:space="0" w:color="auto"/>
              <w:left w:val="single" w:sz="4" w:space="0" w:color="auto"/>
              <w:bottom w:val="single" w:sz="4" w:space="0" w:color="auto"/>
              <w:right w:val="single" w:sz="4" w:space="0" w:color="auto"/>
            </w:tcBorders>
          </w:tcPr>
          <w:p w14:paraId="607C8AD7"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b/>
                <w:bCs/>
                <w:i/>
                <w:iCs/>
                <w:color w:val="000000" w:themeColor="text1"/>
                <w:szCs w:val="20"/>
              </w:rPr>
              <w:t>Category / Program:</w:t>
            </w:r>
            <w:r w:rsidRPr="000E709B">
              <w:rPr>
                <w:rFonts w:ascii="Arial Narrow" w:hAnsi="Arial Narrow"/>
                <w:i/>
                <w:iCs/>
                <w:color w:val="000000" w:themeColor="text1"/>
                <w:szCs w:val="20"/>
              </w:rPr>
              <w:t xml:space="preserve"> Section 85 (General Schedule)</w:t>
            </w:r>
          </w:p>
        </w:tc>
      </w:tr>
      <w:tr w:rsidR="000E709B" w:rsidRPr="00427986" w14:paraId="2A302466"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41245726"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b/>
                <w:bCs/>
                <w:i/>
                <w:iCs/>
                <w:color w:val="000000" w:themeColor="text1"/>
                <w:szCs w:val="20"/>
              </w:rPr>
              <w:t>Prescriber type:</w:t>
            </w:r>
            <w:r w:rsidRPr="000E709B">
              <w:rPr>
                <w:rFonts w:ascii="Arial Narrow" w:hAnsi="Arial Narrow"/>
                <w:i/>
                <w:iCs/>
                <w:color w:val="000000" w:themeColor="text1"/>
                <w:szCs w:val="20"/>
              </w:rPr>
              <w:t xml:space="preserve"> </w:t>
            </w:r>
            <w:r w:rsidRPr="000E709B">
              <w:rPr>
                <w:rFonts w:ascii="Arial Narrow" w:hAnsi="Arial Narrow"/>
                <w:i/>
                <w:iCs/>
                <w:color w:val="000000" w:themeColor="text1"/>
                <w:szCs w:val="20"/>
              </w:rPr>
              <w:fldChar w:fldCharType="begin" w:fldLock="1">
                <w:ffData>
                  <w:name w:val=""/>
                  <w:enabled/>
                  <w:calcOnExit w:val="0"/>
                  <w:checkBox>
                    <w:sizeAuto/>
                    <w:default w:val="1"/>
                  </w:checkBox>
                </w:ffData>
              </w:fldChar>
            </w:r>
            <w:r w:rsidRPr="000E709B">
              <w:rPr>
                <w:rFonts w:ascii="Arial Narrow" w:hAnsi="Arial Narrow"/>
                <w:i/>
                <w:iCs/>
                <w:color w:val="000000" w:themeColor="text1"/>
                <w:szCs w:val="20"/>
              </w:rPr>
              <w:instrText xml:space="preserve"> FORMCHECKBOX </w:instrText>
            </w:r>
            <w:r w:rsidR="00737A69">
              <w:rPr>
                <w:rFonts w:ascii="Arial Narrow" w:hAnsi="Arial Narrow"/>
                <w:i/>
                <w:iCs/>
                <w:color w:val="000000" w:themeColor="text1"/>
                <w:szCs w:val="20"/>
              </w:rPr>
            </w:r>
            <w:r w:rsidR="00737A69">
              <w:rPr>
                <w:rFonts w:ascii="Arial Narrow" w:hAnsi="Arial Narrow"/>
                <w:i/>
                <w:iCs/>
                <w:color w:val="000000" w:themeColor="text1"/>
                <w:szCs w:val="20"/>
              </w:rPr>
              <w:fldChar w:fldCharType="separate"/>
            </w:r>
            <w:r w:rsidRPr="000E709B">
              <w:rPr>
                <w:rFonts w:ascii="Arial Narrow" w:hAnsi="Arial Narrow"/>
                <w:i/>
                <w:iCs/>
                <w:color w:val="000000" w:themeColor="text1"/>
                <w:szCs w:val="20"/>
              </w:rPr>
              <w:fldChar w:fldCharType="end"/>
            </w:r>
            <w:r w:rsidRPr="000E709B">
              <w:rPr>
                <w:rFonts w:ascii="Arial Narrow" w:hAnsi="Arial Narrow"/>
                <w:i/>
                <w:iCs/>
                <w:color w:val="000000" w:themeColor="text1"/>
                <w:szCs w:val="20"/>
              </w:rPr>
              <w:t xml:space="preserve">Medical Practitioners  </w:t>
            </w:r>
          </w:p>
        </w:tc>
      </w:tr>
      <w:tr w:rsidR="000E709B" w:rsidRPr="00427986" w14:paraId="7A5C7EBD"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9001" w:type="dxa"/>
            <w:gridSpan w:val="6"/>
            <w:tcBorders>
              <w:top w:val="single" w:sz="4" w:space="0" w:color="auto"/>
              <w:left w:val="single" w:sz="4" w:space="0" w:color="auto"/>
              <w:bottom w:val="single" w:sz="4" w:space="0" w:color="auto"/>
              <w:right w:val="single" w:sz="4" w:space="0" w:color="auto"/>
            </w:tcBorders>
          </w:tcPr>
          <w:p w14:paraId="24054CB5"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b/>
                <w:bCs/>
                <w:i/>
                <w:iCs/>
                <w:color w:val="000000" w:themeColor="text1"/>
                <w:szCs w:val="20"/>
              </w:rPr>
              <w:t>Restriction Level / Method:</w:t>
            </w:r>
            <w:r w:rsidRPr="000E709B">
              <w:rPr>
                <w:rFonts w:ascii="Arial Narrow" w:hAnsi="Arial Narrow"/>
                <w:i/>
                <w:iCs/>
                <w:color w:val="000000" w:themeColor="text1"/>
                <w:szCs w:val="20"/>
              </w:rPr>
              <w:t xml:space="preserve"> </w:t>
            </w:r>
            <w:r w:rsidRPr="000E709B">
              <w:rPr>
                <w:rFonts w:ascii="Arial Narrow" w:hAnsi="Arial Narrow"/>
                <w:i/>
                <w:iCs/>
                <w:color w:val="000000" w:themeColor="text1"/>
                <w:szCs w:val="20"/>
              </w:rPr>
              <w:fldChar w:fldCharType="begin" w:fldLock="1">
                <w:ffData>
                  <w:name w:val=""/>
                  <w:enabled/>
                  <w:calcOnExit w:val="0"/>
                  <w:checkBox>
                    <w:sizeAuto/>
                    <w:default w:val="1"/>
                  </w:checkBox>
                </w:ffData>
              </w:fldChar>
            </w:r>
            <w:r w:rsidRPr="000E709B">
              <w:rPr>
                <w:rFonts w:ascii="Arial Narrow" w:hAnsi="Arial Narrow"/>
                <w:i/>
                <w:iCs/>
                <w:color w:val="000000" w:themeColor="text1"/>
                <w:szCs w:val="20"/>
              </w:rPr>
              <w:instrText xml:space="preserve"> FORMCHECKBOX </w:instrText>
            </w:r>
            <w:r w:rsidR="00737A69">
              <w:rPr>
                <w:rFonts w:ascii="Arial Narrow" w:hAnsi="Arial Narrow"/>
                <w:i/>
                <w:iCs/>
                <w:color w:val="000000" w:themeColor="text1"/>
                <w:szCs w:val="20"/>
              </w:rPr>
            </w:r>
            <w:r w:rsidR="00737A69">
              <w:rPr>
                <w:rFonts w:ascii="Arial Narrow" w:hAnsi="Arial Narrow"/>
                <w:i/>
                <w:iCs/>
                <w:color w:val="000000" w:themeColor="text1"/>
                <w:szCs w:val="20"/>
              </w:rPr>
              <w:fldChar w:fldCharType="separate"/>
            </w:r>
            <w:r w:rsidRPr="000E709B">
              <w:rPr>
                <w:rFonts w:ascii="Arial Narrow" w:hAnsi="Arial Narrow"/>
                <w:i/>
                <w:iCs/>
                <w:color w:val="000000" w:themeColor="text1"/>
                <w:szCs w:val="20"/>
              </w:rPr>
              <w:fldChar w:fldCharType="end"/>
            </w:r>
            <w:r w:rsidRPr="000E709B">
              <w:rPr>
                <w:rFonts w:ascii="Arial Narrow" w:hAnsi="Arial Narrow"/>
                <w:i/>
                <w:iCs/>
                <w:color w:val="000000" w:themeColor="text1"/>
                <w:szCs w:val="20"/>
              </w:rPr>
              <w:t>Streamlined</w:t>
            </w:r>
          </w:p>
        </w:tc>
      </w:tr>
      <w:tr w:rsidR="000E709B" w:rsidRPr="00427986" w14:paraId="0D3A3999"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757B10A3"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b/>
                <w:bCs/>
                <w:i/>
                <w:iCs/>
                <w:szCs w:val="20"/>
              </w:rPr>
              <w:t>Severity:</w:t>
            </w:r>
            <w:r w:rsidRPr="000E709B">
              <w:rPr>
                <w:rFonts w:ascii="Arial Narrow" w:hAnsi="Arial Narrow"/>
                <w:i/>
                <w:iCs/>
                <w:szCs w:val="20"/>
              </w:rPr>
              <w:t xml:space="preserve"> Locally advanced or metastatic </w:t>
            </w:r>
          </w:p>
        </w:tc>
      </w:tr>
      <w:tr w:rsidR="000E709B" w:rsidRPr="00427986" w14:paraId="13490C5A"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29B4AC77"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b/>
                <w:bCs/>
                <w:i/>
                <w:iCs/>
                <w:color w:val="000000" w:themeColor="text1"/>
                <w:szCs w:val="20"/>
              </w:rPr>
              <w:t>Condition:</w:t>
            </w:r>
            <w:r w:rsidRPr="000E709B">
              <w:rPr>
                <w:rFonts w:ascii="Arial Narrow" w:hAnsi="Arial Narrow"/>
                <w:i/>
                <w:iCs/>
                <w:color w:val="000000" w:themeColor="text1"/>
                <w:szCs w:val="20"/>
              </w:rPr>
              <w:t xml:space="preserve"> Differentiated thyroid carcinoma (DTC)</w:t>
            </w:r>
          </w:p>
        </w:tc>
      </w:tr>
      <w:tr w:rsidR="000E709B" w:rsidRPr="00427986" w14:paraId="6FDEAFE4"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5EBC10D5"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b/>
                <w:bCs/>
                <w:i/>
                <w:iCs/>
                <w:color w:val="000000" w:themeColor="text1"/>
                <w:szCs w:val="20"/>
              </w:rPr>
              <w:t>PBS Indication:</w:t>
            </w:r>
            <w:r w:rsidRPr="000E709B">
              <w:rPr>
                <w:rFonts w:ascii="Arial Narrow" w:hAnsi="Arial Narrow"/>
                <w:i/>
                <w:iCs/>
                <w:color w:val="000000" w:themeColor="text1"/>
                <w:szCs w:val="20"/>
              </w:rPr>
              <w:t xml:space="preserve"> Locally advanced or metastatic differentiated thyroid carcinoma</w:t>
            </w:r>
          </w:p>
        </w:tc>
      </w:tr>
      <w:tr w:rsidR="000E709B" w:rsidRPr="00427986" w14:paraId="1D672D9F"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46754F12"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b/>
                <w:bCs/>
                <w:i/>
                <w:iCs/>
                <w:color w:val="000000" w:themeColor="text1"/>
                <w:szCs w:val="20"/>
              </w:rPr>
              <w:t>Treatment phase:</w:t>
            </w:r>
            <w:r w:rsidRPr="000E709B">
              <w:rPr>
                <w:rFonts w:ascii="Arial Narrow" w:hAnsi="Arial Narrow"/>
                <w:i/>
                <w:iCs/>
                <w:color w:val="000000" w:themeColor="text1"/>
                <w:szCs w:val="20"/>
              </w:rPr>
              <w:t xml:space="preserve"> Grandfather supply</w:t>
            </w:r>
          </w:p>
        </w:tc>
      </w:tr>
      <w:tr w:rsidR="000E709B" w:rsidRPr="00427986" w14:paraId="4E020070"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3CDEE4F3" w14:textId="77777777" w:rsidR="000E709B" w:rsidRPr="000E709B" w:rsidRDefault="000E709B" w:rsidP="009A2B60">
            <w:pPr>
              <w:pStyle w:val="TableLeft"/>
              <w:rPr>
                <w:rFonts w:ascii="Arial Narrow" w:hAnsi="Arial Narrow"/>
                <w:b/>
                <w:bCs/>
                <w:i/>
                <w:iCs/>
                <w:color w:val="000000" w:themeColor="text1"/>
                <w:szCs w:val="20"/>
              </w:rPr>
            </w:pPr>
          </w:p>
        </w:tc>
      </w:tr>
      <w:tr w:rsidR="000E709B" w:rsidRPr="00427986" w14:paraId="3596241D"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16BEECFB"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Clinical criteria:</w:t>
            </w:r>
          </w:p>
        </w:tc>
      </w:tr>
      <w:tr w:rsidR="000E709B" w:rsidRPr="00427986" w14:paraId="7F98925D"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001" w:type="dxa"/>
            <w:gridSpan w:val="6"/>
            <w:tcBorders>
              <w:top w:val="single" w:sz="4" w:space="0" w:color="auto"/>
              <w:left w:val="single" w:sz="4" w:space="0" w:color="auto"/>
              <w:bottom w:val="single" w:sz="4" w:space="0" w:color="auto"/>
              <w:right w:val="single" w:sz="4" w:space="0" w:color="auto"/>
            </w:tcBorders>
          </w:tcPr>
          <w:p w14:paraId="432BBA58" w14:textId="77777777" w:rsidR="000E709B" w:rsidRPr="000E709B" w:rsidRDefault="000E709B" w:rsidP="009A2B60">
            <w:pPr>
              <w:pStyle w:val="TableLeft"/>
              <w:rPr>
                <w:rFonts w:ascii="Arial Narrow" w:hAnsi="Arial Narrow" w:cstheme="minorHAnsi"/>
                <w:i/>
                <w:iCs/>
                <w:color w:val="000000" w:themeColor="text1"/>
                <w:szCs w:val="20"/>
              </w:rPr>
            </w:pPr>
            <w:r w:rsidRPr="000E709B">
              <w:rPr>
                <w:rFonts w:ascii="Arial Narrow" w:hAnsi="Arial Narrow" w:cstheme="minorHAnsi"/>
                <w:i/>
                <w:iCs/>
                <w:color w:val="000000" w:themeColor="text1"/>
                <w:szCs w:val="20"/>
              </w:rPr>
              <w:t xml:space="preserve">Patient must have previously received non-PBS subsidised treatment with this drug for this condition prior to </w:t>
            </w:r>
            <w:r w:rsidRPr="000E709B">
              <w:rPr>
                <w:rFonts w:ascii="Arial Narrow" w:hAnsi="Arial Narrow"/>
                <w:i/>
                <w:iCs/>
              </w:rPr>
              <w:t>[</w:t>
            </w:r>
            <w:r w:rsidRPr="000E709B">
              <w:rPr>
                <w:rFonts w:ascii="Arial Narrow" w:hAnsi="Arial Narrow" w:cstheme="minorHAnsi"/>
                <w:i/>
                <w:iCs/>
                <w:color w:val="000000" w:themeColor="text1"/>
                <w:szCs w:val="20"/>
              </w:rPr>
              <w:t xml:space="preserve">PBS listing date]; </w:t>
            </w:r>
          </w:p>
        </w:tc>
      </w:tr>
      <w:tr w:rsidR="000E709B" w:rsidRPr="00427986" w14:paraId="0DEF8519"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3377972E" w14:textId="77777777" w:rsidR="000E709B" w:rsidRPr="000E709B" w:rsidRDefault="000E709B" w:rsidP="009A2B60">
            <w:pPr>
              <w:pStyle w:val="TableLeft"/>
              <w:rPr>
                <w:rFonts w:ascii="Arial Narrow" w:hAnsi="Arial Narrow" w:cstheme="minorHAnsi"/>
                <w:b/>
                <w:bCs/>
                <w:i/>
                <w:iCs/>
                <w:color w:val="000000" w:themeColor="text1"/>
                <w:szCs w:val="20"/>
              </w:rPr>
            </w:pPr>
            <w:r w:rsidRPr="000E709B">
              <w:rPr>
                <w:rFonts w:ascii="Arial Narrow" w:hAnsi="Arial Narrow" w:cstheme="minorHAnsi"/>
                <w:b/>
                <w:bCs/>
                <w:i/>
                <w:iCs/>
                <w:color w:val="000000" w:themeColor="text1"/>
                <w:szCs w:val="20"/>
              </w:rPr>
              <w:t>AND</w:t>
            </w:r>
          </w:p>
        </w:tc>
      </w:tr>
      <w:tr w:rsidR="000E709B" w:rsidRPr="00427986" w14:paraId="72A6DBFF"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9001" w:type="dxa"/>
            <w:gridSpan w:val="6"/>
            <w:tcBorders>
              <w:top w:val="single" w:sz="4" w:space="0" w:color="auto"/>
              <w:left w:val="single" w:sz="4" w:space="0" w:color="auto"/>
              <w:bottom w:val="single" w:sz="4" w:space="0" w:color="auto"/>
              <w:right w:val="single" w:sz="4" w:space="0" w:color="auto"/>
            </w:tcBorders>
          </w:tcPr>
          <w:p w14:paraId="636D496E"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Clinical criteria:</w:t>
            </w:r>
          </w:p>
        </w:tc>
      </w:tr>
      <w:tr w:rsidR="000E709B" w:rsidRPr="00427986" w14:paraId="16216C98"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2EB94F3C"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i/>
                <w:iCs/>
                <w:color w:val="000000" w:themeColor="text1"/>
                <w:szCs w:val="20"/>
              </w:rPr>
              <w:t>The condition must be refractory to radioactive iodine; or</w:t>
            </w:r>
          </w:p>
        </w:tc>
      </w:tr>
      <w:tr w:rsidR="000E709B" w:rsidRPr="00427986" w14:paraId="36F3A77A"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5BD5DFB2"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Patient must be deemed ineligible for treatment with radioactive iodine,</w:t>
            </w:r>
          </w:p>
        </w:tc>
      </w:tr>
      <w:tr w:rsidR="000E709B" w:rsidRPr="00427986" w14:paraId="34EC043A"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
        </w:trPr>
        <w:tc>
          <w:tcPr>
            <w:tcW w:w="9001" w:type="dxa"/>
            <w:gridSpan w:val="6"/>
            <w:tcBorders>
              <w:top w:val="single" w:sz="4" w:space="0" w:color="auto"/>
              <w:left w:val="single" w:sz="4" w:space="0" w:color="auto"/>
              <w:bottom w:val="single" w:sz="4" w:space="0" w:color="auto"/>
              <w:right w:val="single" w:sz="4" w:space="0" w:color="auto"/>
            </w:tcBorders>
          </w:tcPr>
          <w:p w14:paraId="31D4346D"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AND</w:t>
            </w:r>
          </w:p>
        </w:tc>
      </w:tr>
      <w:tr w:rsidR="000E709B" w:rsidRPr="00427986" w14:paraId="75C583A0"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6C438801"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Clinical criteria:</w:t>
            </w:r>
          </w:p>
        </w:tc>
      </w:tr>
      <w:tr w:rsidR="000E709B" w:rsidRPr="00427986" w14:paraId="54B0D897"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001" w:type="dxa"/>
            <w:gridSpan w:val="6"/>
            <w:tcBorders>
              <w:top w:val="single" w:sz="4" w:space="0" w:color="auto"/>
              <w:left w:val="single" w:sz="4" w:space="0" w:color="auto"/>
              <w:bottom w:val="single" w:sz="4" w:space="0" w:color="auto"/>
              <w:right w:val="single" w:sz="4" w:space="0" w:color="auto"/>
            </w:tcBorders>
          </w:tcPr>
          <w:p w14:paraId="773C05A1"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i/>
                <w:iCs/>
                <w:color w:val="000000" w:themeColor="text1"/>
                <w:szCs w:val="20"/>
              </w:rPr>
              <w:t>Patient must have had progressive disease according to Response Evaluation Criteria in Solid Tumours (RECIST) whilst on treatment with a vascular endothelial growth factor (VEGF)-targeted tyrosine kinase inhibitor (TKI) prior to receiving this drug for this indication;</w:t>
            </w:r>
          </w:p>
        </w:tc>
      </w:tr>
      <w:tr w:rsidR="000E709B" w:rsidRPr="00427986" w14:paraId="6A7A4821"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9001" w:type="dxa"/>
            <w:gridSpan w:val="6"/>
            <w:tcBorders>
              <w:top w:val="single" w:sz="4" w:space="0" w:color="auto"/>
              <w:left w:val="single" w:sz="4" w:space="0" w:color="auto"/>
              <w:bottom w:val="single" w:sz="4" w:space="0" w:color="auto"/>
              <w:right w:val="single" w:sz="4" w:space="0" w:color="auto"/>
            </w:tcBorders>
          </w:tcPr>
          <w:p w14:paraId="711C6C79"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OR</w:t>
            </w:r>
          </w:p>
        </w:tc>
      </w:tr>
      <w:tr w:rsidR="000E709B" w:rsidRPr="00427986" w14:paraId="308E68AE"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9001" w:type="dxa"/>
            <w:gridSpan w:val="6"/>
            <w:tcBorders>
              <w:top w:val="single" w:sz="4" w:space="0" w:color="auto"/>
              <w:left w:val="single" w:sz="4" w:space="0" w:color="auto"/>
              <w:bottom w:val="single" w:sz="4" w:space="0" w:color="auto"/>
              <w:right w:val="single" w:sz="4" w:space="0" w:color="auto"/>
            </w:tcBorders>
          </w:tcPr>
          <w:p w14:paraId="30290415"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 xml:space="preserve">Patient must have developed intolerance of a severity necessitating permanent treatment withdrawal, in the absence of disease progression, to prior </w:t>
            </w:r>
            <w:r w:rsidRPr="000E709B">
              <w:rPr>
                <w:rFonts w:ascii="Arial Narrow" w:hAnsi="Arial Narrow"/>
                <w:i/>
                <w:iCs/>
                <w:szCs w:val="20"/>
              </w:rPr>
              <w:t>VEGF</w:t>
            </w:r>
            <w:r w:rsidRPr="000E709B">
              <w:rPr>
                <w:rFonts w:ascii="Arial Narrow" w:hAnsi="Arial Narrow"/>
                <w:i/>
                <w:iCs/>
                <w:color w:val="000000" w:themeColor="text1"/>
                <w:szCs w:val="20"/>
              </w:rPr>
              <w:t>-targeted TKI therapy prior to receiving this drug for this indication</w:t>
            </w:r>
          </w:p>
        </w:tc>
      </w:tr>
      <w:tr w:rsidR="000E709B" w:rsidRPr="00427986" w14:paraId="04261FC0"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
        </w:trPr>
        <w:tc>
          <w:tcPr>
            <w:tcW w:w="9001" w:type="dxa"/>
            <w:gridSpan w:val="6"/>
            <w:tcBorders>
              <w:top w:val="single" w:sz="4" w:space="0" w:color="auto"/>
              <w:left w:val="single" w:sz="4" w:space="0" w:color="auto"/>
              <w:bottom w:val="single" w:sz="4" w:space="0" w:color="auto"/>
              <w:right w:val="single" w:sz="4" w:space="0" w:color="auto"/>
            </w:tcBorders>
          </w:tcPr>
          <w:p w14:paraId="17D93DD7"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AND</w:t>
            </w:r>
          </w:p>
        </w:tc>
      </w:tr>
      <w:tr w:rsidR="000E709B" w:rsidRPr="00427986" w14:paraId="0939B8BA"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28135893"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Clinical criteria:</w:t>
            </w:r>
          </w:p>
        </w:tc>
      </w:tr>
      <w:tr w:rsidR="000E709B" w:rsidRPr="00427986" w14:paraId="14C0F1D0"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21856002"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Patient must have a WHO performance status of not greater than 2 prior to receiving this drug for this indication</w:t>
            </w:r>
          </w:p>
        </w:tc>
      </w:tr>
      <w:tr w:rsidR="000E709B" w:rsidRPr="00427986" w14:paraId="2F03DC44"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0C3A2E03"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AND</w:t>
            </w:r>
          </w:p>
        </w:tc>
      </w:tr>
      <w:tr w:rsidR="000E709B" w:rsidRPr="00427986" w14:paraId="4FE3919F"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45C92029"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Clinical criteria:</w:t>
            </w:r>
          </w:p>
        </w:tc>
      </w:tr>
      <w:tr w:rsidR="000E709B" w:rsidRPr="00427986" w14:paraId="1D6B61CA"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53DE979E"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i/>
                <w:iCs/>
                <w:color w:val="000000" w:themeColor="text1"/>
                <w:szCs w:val="20"/>
              </w:rPr>
              <w:t>The treatment must be the sole PBS-subsidised therapy for this condition.</w:t>
            </w:r>
          </w:p>
        </w:tc>
      </w:tr>
      <w:tr w:rsidR="000E709B" w:rsidRPr="00427986" w14:paraId="0E82ED94"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001" w:type="dxa"/>
            <w:gridSpan w:val="6"/>
            <w:tcBorders>
              <w:top w:val="single" w:sz="4" w:space="0" w:color="auto"/>
              <w:left w:val="single" w:sz="4" w:space="0" w:color="auto"/>
              <w:bottom w:val="single" w:sz="4" w:space="0" w:color="auto"/>
              <w:right w:val="single" w:sz="4" w:space="0" w:color="auto"/>
            </w:tcBorders>
          </w:tcPr>
          <w:p w14:paraId="1D883C6D"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AND</w:t>
            </w:r>
          </w:p>
        </w:tc>
      </w:tr>
      <w:tr w:rsidR="000E709B" w:rsidRPr="00427986" w14:paraId="0E55AF47"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001" w:type="dxa"/>
            <w:gridSpan w:val="6"/>
            <w:tcBorders>
              <w:top w:val="single" w:sz="4" w:space="0" w:color="auto"/>
              <w:left w:val="single" w:sz="4" w:space="0" w:color="auto"/>
              <w:bottom w:val="single" w:sz="4" w:space="0" w:color="auto"/>
              <w:right w:val="single" w:sz="4" w:space="0" w:color="auto"/>
            </w:tcBorders>
          </w:tcPr>
          <w:p w14:paraId="05FB220B"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Clinical criteria:</w:t>
            </w:r>
          </w:p>
        </w:tc>
      </w:tr>
      <w:tr w:rsidR="000E709B" w:rsidRPr="00427986" w14:paraId="7219B99B"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001" w:type="dxa"/>
            <w:gridSpan w:val="6"/>
            <w:tcBorders>
              <w:top w:val="single" w:sz="4" w:space="0" w:color="auto"/>
              <w:left w:val="single" w:sz="4" w:space="0" w:color="auto"/>
              <w:bottom w:val="single" w:sz="4" w:space="0" w:color="auto"/>
              <w:right w:val="single" w:sz="4" w:space="0" w:color="auto"/>
            </w:tcBorders>
          </w:tcPr>
          <w:p w14:paraId="017EA201"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Patient must have thyroid stimulating hormone adequately repressed</w:t>
            </w:r>
          </w:p>
        </w:tc>
      </w:tr>
      <w:tr w:rsidR="000E709B" w:rsidRPr="00427986" w14:paraId="7314625D"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001" w:type="dxa"/>
            <w:gridSpan w:val="6"/>
            <w:tcBorders>
              <w:top w:val="single" w:sz="4" w:space="0" w:color="auto"/>
              <w:left w:val="single" w:sz="4" w:space="0" w:color="auto"/>
              <w:bottom w:val="single" w:sz="4" w:space="0" w:color="auto"/>
              <w:right w:val="single" w:sz="4" w:space="0" w:color="auto"/>
            </w:tcBorders>
          </w:tcPr>
          <w:p w14:paraId="715F60E0" w14:textId="77777777" w:rsidR="000E709B" w:rsidRPr="000E709B" w:rsidRDefault="000E709B" w:rsidP="009A2B60">
            <w:pPr>
              <w:pStyle w:val="TableLeft"/>
              <w:rPr>
                <w:rFonts w:ascii="Arial Narrow" w:hAnsi="Arial Narrow"/>
                <w:b/>
                <w:bCs/>
                <w:i/>
                <w:iCs/>
                <w:color w:val="000000" w:themeColor="text1"/>
                <w:szCs w:val="20"/>
              </w:rPr>
            </w:pPr>
          </w:p>
        </w:tc>
      </w:tr>
      <w:tr w:rsidR="000E709B" w:rsidRPr="00427986" w14:paraId="7DCA5A45"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78520658"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Population criteria:</w:t>
            </w:r>
          </w:p>
        </w:tc>
      </w:tr>
      <w:tr w:rsidR="000E709B" w:rsidRPr="00427986" w14:paraId="55C071AD"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001" w:type="dxa"/>
            <w:gridSpan w:val="6"/>
            <w:tcBorders>
              <w:top w:val="single" w:sz="4" w:space="0" w:color="auto"/>
              <w:left w:val="single" w:sz="4" w:space="0" w:color="auto"/>
              <w:bottom w:val="single" w:sz="4" w:space="0" w:color="auto"/>
              <w:right w:val="single" w:sz="4" w:space="0" w:color="auto"/>
            </w:tcBorders>
          </w:tcPr>
          <w:p w14:paraId="39C8570D" w14:textId="77777777" w:rsidR="000E709B" w:rsidRPr="000E709B" w:rsidRDefault="000E709B" w:rsidP="009A2B60">
            <w:pPr>
              <w:pStyle w:val="TableLeft"/>
              <w:rPr>
                <w:rFonts w:ascii="Arial Narrow" w:hAnsi="Arial Narrow"/>
                <w:i/>
                <w:iCs/>
                <w:szCs w:val="20"/>
              </w:rPr>
            </w:pPr>
            <w:r w:rsidRPr="000E709B">
              <w:rPr>
                <w:rFonts w:ascii="Arial Narrow" w:hAnsi="Arial Narrow"/>
                <w:i/>
                <w:iCs/>
                <w:szCs w:val="20"/>
              </w:rPr>
              <w:t>Patient must be aged 12 years or older.</w:t>
            </w:r>
          </w:p>
        </w:tc>
      </w:tr>
      <w:tr w:rsidR="000E709B" w:rsidRPr="00427986" w14:paraId="2CC60CCA"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71ED042C" w14:textId="77777777" w:rsidR="000E709B" w:rsidRPr="000E709B" w:rsidRDefault="000E709B" w:rsidP="009A2B60">
            <w:pPr>
              <w:pStyle w:val="TableLeft"/>
              <w:rPr>
                <w:rFonts w:ascii="Arial Narrow" w:hAnsi="Arial Narrow"/>
                <w:i/>
                <w:iCs/>
                <w:szCs w:val="20"/>
              </w:rPr>
            </w:pPr>
          </w:p>
        </w:tc>
      </w:tr>
      <w:tr w:rsidR="000E709B" w:rsidRPr="00427986" w14:paraId="4B87C9EB"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2E59BD8F" w14:textId="77777777" w:rsidR="000E709B" w:rsidRPr="000E709B" w:rsidRDefault="000E709B" w:rsidP="009A2B60">
            <w:pPr>
              <w:pStyle w:val="TableLeft"/>
              <w:rPr>
                <w:rFonts w:ascii="Arial Narrow" w:hAnsi="Arial Narrow"/>
                <w:b/>
                <w:bCs/>
                <w:i/>
                <w:iCs/>
                <w:szCs w:val="20"/>
              </w:rPr>
            </w:pPr>
            <w:r w:rsidRPr="000E709B">
              <w:rPr>
                <w:rFonts w:ascii="Arial Narrow" w:hAnsi="Arial Narrow"/>
                <w:b/>
                <w:bCs/>
                <w:i/>
                <w:iCs/>
                <w:szCs w:val="20"/>
              </w:rPr>
              <w:t>Prescribing instructions:</w:t>
            </w:r>
          </w:p>
          <w:p w14:paraId="43C9E40D" w14:textId="77777777" w:rsidR="000E709B" w:rsidRPr="000E709B" w:rsidRDefault="000E709B" w:rsidP="009A2B60">
            <w:pPr>
              <w:pStyle w:val="TableLeft"/>
              <w:rPr>
                <w:rFonts w:ascii="Arial Narrow" w:hAnsi="Arial Narrow"/>
                <w:i/>
                <w:iCs/>
                <w:szCs w:val="20"/>
              </w:rPr>
            </w:pPr>
            <w:r w:rsidRPr="000E709B">
              <w:rPr>
                <w:rFonts w:ascii="Arial Narrow" w:hAnsi="Arial Narrow"/>
                <w:i/>
                <w:iCs/>
                <w:szCs w:val="20"/>
              </w:rPr>
              <w:t>Radioactive iodine refractory is defined as:</w:t>
            </w:r>
          </w:p>
          <w:p w14:paraId="333E9D0B" w14:textId="77777777" w:rsidR="000E709B" w:rsidRPr="000E709B" w:rsidRDefault="000E709B" w:rsidP="009A2B60">
            <w:pPr>
              <w:pStyle w:val="TableLeft"/>
              <w:numPr>
                <w:ilvl w:val="0"/>
                <w:numId w:val="19"/>
              </w:numPr>
              <w:rPr>
                <w:rFonts w:ascii="Arial Narrow" w:hAnsi="Arial Narrow"/>
                <w:i/>
                <w:iCs/>
                <w:szCs w:val="20"/>
              </w:rPr>
            </w:pPr>
            <w:r w:rsidRPr="000E709B">
              <w:rPr>
                <w:rFonts w:ascii="Arial Narrow" w:hAnsi="Arial Narrow"/>
                <w:i/>
                <w:iCs/>
                <w:szCs w:val="20"/>
              </w:rPr>
              <w:t>a lesion without iodine uptake on a radioactive iodine (RAI) scan; or</w:t>
            </w:r>
          </w:p>
          <w:p w14:paraId="041B6C11" w14:textId="77777777" w:rsidR="000E709B" w:rsidRPr="000E709B" w:rsidRDefault="000E709B" w:rsidP="009A2B60">
            <w:pPr>
              <w:pStyle w:val="TableLeft"/>
              <w:numPr>
                <w:ilvl w:val="0"/>
                <w:numId w:val="19"/>
              </w:numPr>
              <w:rPr>
                <w:rFonts w:ascii="Arial Narrow" w:hAnsi="Arial Narrow"/>
                <w:i/>
                <w:iCs/>
                <w:szCs w:val="20"/>
              </w:rPr>
            </w:pPr>
            <w:r w:rsidRPr="000E709B">
              <w:rPr>
                <w:rFonts w:ascii="Arial Narrow" w:hAnsi="Arial Narrow"/>
                <w:i/>
                <w:iCs/>
                <w:szCs w:val="20"/>
              </w:rPr>
              <w:t xml:space="preserve">having received a cumulative RAI dose of greater than or equal to 600 </w:t>
            </w:r>
            <w:proofErr w:type="spellStart"/>
            <w:r w:rsidRPr="000E709B">
              <w:rPr>
                <w:rFonts w:ascii="Arial Narrow" w:hAnsi="Arial Narrow"/>
                <w:i/>
                <w:iCs/>
                <w:szCs w:val="20"/>
              </w:rPr>
              <w:t>mCi</w:t>
            </w:r>
            <w:proofErr w:type="spellEnd"/>
            <w:r w:rsidRPr="000E709B">
              <w:rPr>
                <w:rFonts w:ascii="Arial Narrow" w:hAnsi="Arial Narrow"/>
                <w:i/>
                <w:iCs/>
                <w:szCs w:val="20"/>
              </w:rPr>
              <w:t>; or</w:t>
            </w:r>
          </w:p>
          <w:p w14:paraId="2B0D7D14" w14:textId="77777777" w:rsidR="000E709B" w:rsidRPr="000E709B" w:rsidRDefault="000E709B" w:rsidP="009A2B60">
            <w:pPr>
              <w:pStyle w:val="TableLeft"/>
              <w:numPr>
                <w:ilvl w:val="0"/>
                <w:numId w:val="19"/>
              </w:numPr>
              <w:rPr>
                <w:rFonts w:ascii="Arial Narrow" w:hAnsi="Arial Narrow"/>
                <w:i/>
                <w:iCs/>
                <w:szCs w:val="20"/>
              </w:rPr>
            </w:pPr>
            <w:r w:rsidRPr="000E709B">
              <w:rPr>
                <w:rFonts w:ascii="Arial Narrow" w:hAnsi="Arial Narrow"/>
                <w:i/>
                <w:iCs/>
                <w:szCs w:val="20"/>
              </w:rPr>
              <w:t>progression within 12 months of a single RAI treatment; or</w:t>
            </w:r>
          </w:p>
          <w:p w14:paraId="3F8424E2" w14:textId="77777777" w:rsidR="000E709B" w:rsidRPr="000E709B" w:rsidRDefault="000E709B" w:rsidP="009A2B60">
            <w:pPr>
              <w:pStyle w:val="TableLeft"/>
              <w:numPr>
                <w:ilvl w:val="0"/>
                <w:numId w:val="19"/>
              </w:numPr>
              <w:rPr>
                <w:rFonts w:ascii="Arial Narrow" w:hAnsi="Arial Narrow"/>
                <w:i/>
                <w:iCs/>
                <w:szCs w:val="20"/>
              </w:rPr>
            </w:pPr>
            <w:r w:rsidRPr="000E709B">
              <w:rPr>
                <w:rFonts w:ascii="Arial Narrow" w:hAnsi="Arial Narrow"/>
                <w:i/>
                <w:iCs/>
                <w:szCs w:val="20"/>
              </w:rPr>
              <w:t>progression after two RAI treatments administered within 12 months of each other</w:t>
            </w:r>
          </w:p>
        </w:tc>
      </w:tr>
      <w:tr w:rsidR="000E709B" w:rsidRPr="00427986" w14:paraId="71BF09D4"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21666F0D" w14:textId="77777777" w:rsidR="000E709B" w:rsidRPr="000E709B" w:rsidRDefault="000E709B" w:rsidP="009A2B60">
            <w:pPr>
              <w:pStyle w:val="TableLeft"/>
              <w:rPr>
                <w:rFonts w:ascii="Arial Narrow" w:hAnsi="Arial Narrow"/>
                <w:b/>
                <w:bCs/>
                <w:i/>
                <w:iCs/>
                <w:color w:val="000000" w:themeColor="text1"/>
                <w:szCs w:val="20"/>
              </w:rPr>
            </w:pPr>
          </w:p>
        </w:tc>
      </w:tr>
      <w:tr w:rsidR="000E709B" w:rsidRPr="00427986" w14:paraId="66CE7E9C"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2FDDB0A5" w14:textId="77777777" w:rsidR="000E709B" w:rsidRPr="000E709B" w:rsidRDefault="000E709B" w:rsidP="009A2B60">
            <w:pPr>
              <w:pStyle w:val="TableLeft"/>
              <w:rPr>
                <w:rFonts w:ascii="Arial Narrow" w:hAnsi="Arial Narrow"/>
                <w:i/>
                <w:iCs/>
                <w:szCs w:val="20"/>
              </w:rPr>
            </w:pPr>
            <w:r w:rsidRPr="000E709B">
              <w:rPr>
                <w:rFonts w:ascii="Arial Narrow" w:hAnsi="Arial Narrow"/>
                <w:b/>
                <w:bCs/>
                <w:i/>
                <w:iCs/>
                <w:color w:val="000000" w:themeColor="text1"/>
                <w:szCs w:val="20"/>
              </w:rPr>
              <w:lastRenderedPageBreak/>
              <w:t xml:space="preserve">Administrative Advice: </w:t>
            </w:r>
            <w:r w:rsidRPr="000E709B">
              <w:rPr>
                <w:rFonts w:ascii="Arial Narrow" w:hAnsi="Arial Narrow"/>
                <w:i/>
                <w:iCs/>
                <w:color w:val="000000" w:themeColor="text1"/>
                <w:szCs w:val="20"/>
              </w:rPr>
              <w:t>No increase in the maximum quantity or number of units may be authorised</w:t>
            </w:r>
          </w:p>
        </w:tc>
      </w:tr>
      <w:tr w:rsidR="000E709B" w:rsidRPr="00427986" w14:paraId="49707084"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
        </w:trPr>
        <w:tc>
          <w:tcPr>
            <w:tcW w:w="9001" w:type="dxa"/>
            <w:gridSpan w:val="6"/>
            <w:tcBorders>
              <w:top w:val="single" w:sz="4" w:space="0" w:color="auto"/>
              <w:left w:val="single" w:sz="4" w:space="0" w:color="auto"/>
              <w:bottom w:val="single" w:sz="4" w:space="0" w:color="auto"/>
              <w:right w:val="single" w:sz="4" w:space="0" w:color="auto"/>
            </w:tcBorders>
          </w:tcPr>
          <w:p w14:paraId="06822274"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b/>
                <w:bCs/>
                <w:i/>
                <w:iCs/>
                <w:color w:val="000000" w:themeColor="text1"/>
                <w:szCs w:val="20"/>
              </w:rPr>
              <w:t>Administrative Advice:</w:t>
            </w:r>
            <w:r w:rsidRPr="000E709B">
              <w:rPr>
                <w:rFonts w:ascii="Arial Narrow" w:hAnsi="Arial Narrow"/>
                <w:i/>
                <w:iCs/>
                <w:color w:val="000000" w:themeColor="text1"/>
                <w:szCs w:val="20"/>
              </w:rPr>
              <w:t xml:space="preserve"> No increase in the maximum number of repeats may be authorised</w:t>
            </w:r>
          </w:p>
        </w:tc>
      </w:tr>
      <w:tr w:rsidR="000E709B" w:rsidRPr="00427986" w14:paraId="2B609C32"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001" w:type="dxa"/>
            <w:gridSpan w:val="6"/>
            <w:tcBorders>
              <w:top w:val="single" w:sz="4" w:space="0" w:color="auto"/>
              <w:left w:val="single" w:sz="4" w:space="0" w:color="auto"/>
              <w:bottom w:val="single" w:sz="4" w:space="0" w:color="auto"/>
              <w:right w:val="single" w:sz="4" w:space="0" w:color="auto"/>
            </w:tcBorders>
          </w:tcPr>
          <w:p w14:paraId="09B2CC9F"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b/>
                <w:bCs/>
                <w:i/>
                <w:iCs/>
                <w:color w:val="000000" w:themeColor="text1"/>
                <w:szCs w:val="20"/>
              </w:rPr>
              <w:t>Administrative Advice:</w:t>
            </w:r>
            <w:r w:rsidRPr="000E709B">
              <w:rPr>
                <w:rFonts w:ascii="Arial Narrow" w:hAnsi="Arial Narrow"/>
                <w:i/>
                <w:iCs/>
                <w:color w:val="000000" w:themeColor="text1"/>
                <w:szCs w:val="20"/>
              </w:rPr>
              <w:t xml:space="preserve"> Special Pricing Arrangements apply</w:t>
            </w:r>
          </w:p>
        </w:tc>
      </w:tr>
      <w:tr w:rsidR="000E709B" w:rsidRPr="00427986" w14:paraId="5FD9A0BB"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001" w:type="dxa"/>
            <w:gridSpan w:val="6"/>
            <w:tcBorders>
              <w:top w:val="single" w:sz="4" w:space="0" w:color="auto"/>
              <w:left w:val="single" w:sz="4" w:space="0" w:color="auto"/>
              <w:bottom w:val="single" w:sz="4" w:space="0" w:color="auto"/>
              <w:right w:val="single" w:sz="4" w:space="0" w:color="auto"/>
            </w:tcBorders>
          </w:tcPr>
          <w:p w14:paraId="3AE0DF0C" w14:textId="77777777" w:rsidR="000E709B" w:rsidRPr="000E709B" w:rsidRDefault="000E709B" w:rsidP="009A2B60">
            <w:pPr>
              <w:pStyle w:val="TableLeft"/>
              <w:rPr>
                <w:rFonts w:ascii="Arial Narrow" w:hAnsi="Arial Narrow"/>
                <w:b/>
                <w:bCs/>
                <w:i/>
                <w:iCs/>
                <w:color w:val="000000" w:themeColor="text1"/>
                <w:szCs w:val="20"/>
              </w:rPr>
            </w:pPr>
          </w:p>
        </w:tc>
      </w:tr>
      <w:tr w:rsidR="000E709B" w:rsidRPr="00427986" w14:paraId="1B6AC659"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001" w:type="dxa"/>
            <w:gridSpan w:val="6"/>
            <w:tcBorders>
              <w:top w:val="single" w:sz="4" w:space="0" w:color="auto"/>
              <w:left w:val="single" w:sz="4" w:space="0" w:color="auto"/>
              <w:bottom w:val="single" w:sz="4" w:space="0" w:color="auto"/>
              <w:right w:val="single" w:sz="4" w:space="0" w:color="auto"/>
            </w:tcBorders>
          </w:tcPr>
          <w:p w14:paraId="589D4F45"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 xml:space="preserve">Note: </w:t>
            </w:r>
          </w:p>
          <w:p w14:paraId="25F6FAAF"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Response Evaluation Criteria In Solid Tumours (RESIST) is defined as follows:</w:t>
            </w:r>
          </w:p>
          <w:p w14:paraId="0EFBE5A4"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Complete response (CR) is disappearance of all targeted lesions.</w:t>
            </w:r>
          </w:p>
          <w:p w14:paraId="70A584CA"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Partial response (PR) is a 30% decrease in the sum of the longest diameter of target lesions.</w:t>
            </w:r>
          </w:p>
          <w:p w14:paraId="18E42CC6"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Progressive disease (PD) is a 20% increase in the sum of the longest diameter of target lesions.</w:t>
            </w:r>
          </w:p>
          <w:p w14:paraId="04967748"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Stable disease (SD) is small changes that do not meet above criteria.</w:t>
            </w:r>
          </w:p>
        </w:tc>
      </w:tr>
      <w:tr w:rsidR="000E709B" w:rsidRPr="006A2E1A" w14:paraId="44F82D7B" w14:textId="77777777" w:rsidTr="002476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6"/>
        </w:trPr>
        <w:tc>
          <w:tcPr>
            <w:tcW w:w="9001" w:type="dxa"/>
            <w:gridSpan w:val="6"/>
            <w:tcBorders>
              <w:top w:val="single" w:sz="4" w:space="0" w:color="auto"/>
              <w:left w:val="single" w:sz="4" w:space="0" w:color="auto"/>
              <w:bottom w:val="single" w:sz="4" w:space="0" w:color="auto"/>
              <w:right w:val="single" w:sz="4" w:space="0" w:color="auto"/>
            </w:tcBorders>
          </w:tcPr>
          <w:p w14:paraId="6622D00F" w14:textId="77777777" w:rsidR="000E709B" w:rsidRPr="000E709B" w:rsidRDefault="000E709B" w:rsidP="009A2B60">
            <w:pPr>
              <w:pStyle w:val="TableLeft"/>
              <w:rPr>
                <w:rFonts w:ascii="Arial Narrow" w:hAnsi="Arial Narrow"/>
                <w:b/>
                <w:bCs/>
                <w:i/>
                <w:iCs/>
                <w:color w:val="000000" w:themeColor="text1"/>
                <w:szCs w:val="20"/>
              </w:rPr>
            </w:pPr>
            <w:r w:rsidRPr="000E709B">
              <w:rPr>
                <w:rFonts w:ascii="Arial Narrow" w:hAnsi="Arial Narrow"/>
                <w:b/>
                <w:bCs/>
                <w:i/>
                <w:iCs/>
                <w:color w:val="000000" w:themeColor="text1"/>
                <w:szCs w:val="20"/>
              </w:rPr>
              <w:t>Note:</w:t>
            </w:r>
          </w:p>
          <w:p w14:paraId="6094BBDE" w14:textId="77777777" w:rsidR="000E709B" w:rsidRPr="000E709B" w:rsidRDefault="000E709B" w:rsidP="009A2B60">
            <w:pPr>
              <w:pStyle w:val="TableLeft"/>
              <w:rPr>
                <w:rFonts w:ascii="Arial Narrow" w:hAnsi="Arial Narrow"/>
                <w:i/>
                <w:iCs/>
                <w:color w:val="000000" w:themeColor="text1"/>
                <w:szCs w:val="20"/>
              </w:rPr>
            </w:pPr>
            <w:r w:rsidRPr="000E709B">
              <w:rPr>
                <w:rFonts w:ascii="Arial Narrow" w:hAnsi="Arial Narrow"/>
                <w:i/>
                <w:iCs/>
                <w:color w:val="000000" w:themeColor="text1"/>
                <w:szCs w:val="20"/>
              </w:rPr>
              <w:t>Vascular endothelial growth factor (VEGF)-targeted tyrosine kinase inhibitor’s (TKI) include: lenvatinib</w:t>
            </w:r>
          </w:p>
        </w:tc>
      </w:tr>
    </w:tbl>
    <w:p w14:paraId="599C34E1" w14:textId="77777777" w:rsidR="000E709B" w:rsidRPr="00882085" w:rsidRDefault="000E709B" w:rsidP="004B1CB4"/>
    <w:p w14:paraId="5FFD72D0" w14:textId="61395525" w:rsidR="009E483D" w:rsidRPr="0023484B" w:rsidRDefault="00B73243" w:rsidP="009E483D">
      <w:pPr>
        <w:pStyle w:val="3-BodyText"/>
      </w:pPr>
      <w:r w:rsidRPr="0023484B">
        <w:t xml:space="preserve">The requested effective DPMQ </w:t>
      </w:r>
      <w:r w:rsidR="00A9715E" w:rsidRPr="0023484B">
        <w:t>(</w:t>
      </w:r>
      <w:r w:rsidR="00B1620B">
        <w:t>$</w:t>
      </w:r>
      <w:r w:rsidR="005860C6" w:rsidRPr="00FC479C">
        <w:rPr>
          <w:color w:val="000000"/>
          <w:w w:val="60"/>
          <w:shd w:val="solid" w:color="000000" w:fill="000000"/>
          <w:fitText w:val="470" w:id="-1032107255"/>
          <w14:textFill>
            <w14:solidFill>
              <w14:srgbClr w14:val="000000">
                <w14:alpha w14:val="100000"/>
              </w14:srgbClr>
            </w14:solidFill>
          </w14:textFill>
        </w:rPr>
        <w:t>|||  ||</w:t>
      </w:r>
      <w:r w:rsidR="005860C6" w:rsidRPr="00FC479C">
        <w:rPr>
          <w:color w:val="000000"/>
          <w:spacing w:val="6"/>
          <w:w w:val="60"/>
          <w:shd w:val="solid" w:color="000000" w:fill="000000"/>
          <w:fitText w:val="470" w:id="-1032107255"/>
          <w14:textFill>
            <w14:solidFill>
              <w14:srgbClr w14:val="000000">
                <w14:alpha w14:val="100000"/>
              </w14:srgbClr>
            </w14:solidFill>
          </w14:textFill>
        </w:rPr>
        <w:t>|</w:t>
      </w:r>
      <w:r w:rsidR="00A9715E" w:rsidRPr="0023484B">
        <w:t xml:space="preserve">) </w:t>
      </w:r>
      <w:r w:rsidR="003E5300" w:rsidRPr="0023484B">
        <w:t>was the same as</w:t>
      </w:r>
      <w:r w:rsidR="006A62AB" w:rsidRPr="0023484B">
        <w:t xml:space="preserve"> the current effective price</w:t>
      </w:r>
      <w:r w:rsidR="009D04EA" w:rsidRPr="0023484B">
        <w:t xml:space="preserve"> for RCC</w:t>
      </w:r>
      <w:r w:rsidR="00136473" w:rsidRPr="0023484B">
        <w:t>.</w:t>
      </w:r>
      <w:r w:rsidR="003E5300" w:rsidRPr="0023484B">
        <w:t xml:space="preserve"> </w:t>
      </w:r>
    </w:p>
    <w:p w14:paraId="7A55DE00" w14:textId="080BEDA4" w:rsidR="00282124" w:rsidRPr="0023484B" w:rsidRDefault="00282124" w:rsidP="002770A3">
      <w:pPr>
        <w:pStyle w:val="3-BodyText"/>
      </w:pPr>
      <w:bookmarkStart w:id="13" w:name="_Hlk142574461"/>
      <w:r w:rsidRPr="0023484B">
        <w:t xml:space="preserve">The recommended dose for adults is 60 mg once daily until the patient is no longer clinically benefiting from therapy or until unacceptable toxicity occurs. The recommended dose in paediatric patients aged 12 years and older is based on body weight: ≥ 40 kg: 60 mg once daily, and &lt; 40 kg: 40 mg once daily. The dosing regimen for paediatric patients with DTC was based on pharmacokinetic simulation. The toxicity profile of cabozantinib </w:t>
      </w:r>
      <w:r w:rsidR="00E46033" w:rsidRPr="0023484B">
        <w:t xml:space="preserve">can be </w:t>
      </w:r>
      <w:r w:rsidRPr="0023484B">
        <w:t>managed through dose reductions.</w:t>
      </w:r>
    </w:p>
    <w:bookmarkEnd w:id="13"/>
    <w:p w14:paraId="7E60A90C" w14:textId="4A818A17" w:rsidR="0006136D" w:rsidRPr="0023484B" w:rsidRDefault="24305172" w:rsidP="0C23568E">
      <w:pPr>
        <w:pStyle w:val="3-BodyText"/>
      </w:pPr>
      <w:r w:rsidRPr="0023484B">
        <w:t xml:space="preserve">The requested PBS restriction </w:t>
      </w:r>
      <w:r w:rsidR="00B9492A" w:rsidRPr="0023484B">
        <w:t>differed to</w:t>
      </w:r>
      <w:r w:rsidRPr="0023484B">
        <w:t xml:space="preserve"> the TGA-approved indication</w:t>
      </w:r>
      <w:r w:rsidR="007E0A4C" w:rsidRPr="0023484B">
        <w:t xml:space="preserve">. </w:t>
      </w:r>
      <w:bookmarkStart w:id="14" w:name="_Hlk143170352"/>
      <w:r w:rsidR="007E0A4C" w:rsidRPr="0023484B">
        <w:t xml:space="preserve">The TGA indication required patients to have progressed during or after prior VEGF-targeted therapy; </w:t>
      </w:r>
      <w:r w:rsidR="00150500" w:rsidRPr="0023484B">
        <w:t>whereas</w:t>
      </w:r>
      <w:r w:rsidR="007E0A4C" w:rsidRPr="0023484B">
        <w:t xml:space="preserve"> the proposed PBS restriction require</w:t>
      </w:r>
      <w:r w:rsidR="0006136D" w:rsidRPr="0023484B">
        <w:t>d</w:t>
      </w:r>
      <w:r w:rsidR="007E0A4C" w:rsidRPr="0023484B">
        <w:t xml:space="preserve"> patients to have progressed after receiving a TKI or to have developed an intolerance, in the absence of disease progression, to a VEGF-targeted therapy. As patients in Australia would receive lenvatinib on the PBS, which is a VEGF-targeted TKI, it is suggested that the proposed restriction </w:t>
      </w:r>
      <w:r w:rsidR="002F758D" w:rsidRPr="0023484B">
        <w:t>could be</w:t>
      </w:r>
      <w:r w:rsidR="007E0A4C" w:rsidRPr="0023484B">
        <w:t xml:space="preserve"> amended as follows</w:t>
      </w:r>
      <w:bookmarkEnd w:id="14"/>
      <w:r w:rsidR="007E0A4C" w:rsidRPr="0023484B">
        <w:t xml:space="preserve">: </w:t>
      </w:r>
    </w:p>
    <w:p w14:paraId="05A800DF" w14:textId="77777777" w:rsidR="00E120DC" w:rsidRDefault="00143374" w:rsidP="00E120DC">
      <w:pPr>
        <w:pStyle w:val="3-BodyText"/>
        <w:numPr>
          <w:ilvl w:val="0"/>
          <w:numId w:val="0"/>
        </w:numPr>
        <w:ind w:left="1120"/>
      </w:pPr>
      <w:r w:rsidRPr="0023484B">
        <w:t>Patient must have progressed</w:t>
      </w:r>
      <w:r w:rsidR="006B0B9D" w:rsidRPr="0023484B">
        <w:t xml:space="preserve"> according to Response Evaluation Criteria in Solid Tumours (RECIST)</w:t>
      </w:r>
      <w:r w:rsidRPr="0023484B">
        <w:t xml:space="preserve"> or developed intolerance whist receiving or following treatment with </w:t>
      </w:r>
      <w:r w:rsidR="006B0B9D" w:rsidRPr="0023484B">
        <w:t xml:space="preserve">a </w:t>
      </w:r>
      <w:r w:rsidRPr="0023484B">
        <w:t>vascular endothelial growth factor (VEGF)-targeted tyrosine kinase inhibitor (TKI) for this indication</w:t>
      </w:r>
      <w:r w:rsidR="006B0B9D" w:rsidRPr="0023484B">
        <w:t>.</w:t>
      </w:r>
    </w:p>
    <w:p w14:paraId="02AC855C" w14:textId="7CDB54FD" w:rsidR="00AF1E6C" w:rsidRPr="00427986" w:rsidRDefault="00AF1E6C" w:rsidP="00FC479C">
      <w:pPr>
        <w:pStyle w:val="3-BodyText"/>
        <w:numPr>
          <w:ilvl w:val="0"/>
          <w:numId w:val="0"/>
        </w:numPr>
        <w:ind w:left="709" w:firstLine="11"/>
      </w:pPr>
      <w:r w:rsidRPr="00427986">
        <w:t>The proposed change was supported in the</w:t>
      </w:r>
      <w:r w:rsidR="001E033A" w:rsidRPr="001E033A">
        <w:t xml:space="preserve"> Pre-Sub-Committee Response</w:t>
      </w:r>
      <w:r w:rsidR="001E033A">
        <w:t xml:space="preserve"> (</w:t>
      </w:r>
      <w:r w:rsidRPr="00427986">
        <w:t>PSCR</w:t>
      </w:r>
      <w:r w:rsidR="001E033A">
        <w:t>)</w:t>
      </w:r>
      <w:r w:rsidR="00FC479C">
        <w:t xml:space="preserve"> </w:t>
      </w:r>
      <w:r w:rsidRPr="00427986">
        <w:t>and by ESC.</w:t>
      </w:r>
    </w:p>
    <w:p w14:paraId="4516B5CB" w14:textId="577ECA7F" w:rsidR="00E1071C" w:rsidRPr="0023484B" w:rsidRDefault="4040D402" w:rsidP="009E483D">
      <w:pPr>
        <w:pStyle w:val="3-BodyText"/>
      </w:pPr>
      <w:r w:rsidRPr="0023484B">
        <w:t xml:space="preserve">The proposed restriction was not </w:t>
      </w:r>
      <w:r w:rsidR="00517B98">
        <w:t xml:space="preserve">entirely </w:t>
      </w:r>
      <w:r w:rsidRPr="0023484B">
        <w:t xml:space="preserve">consistent with </w:t>
      </w:r>
      <w:r w:rsidR="007E0A4C" w:rsidRPr="0023484B">
        <w:t xml:space="preserve">the key clinical trial, COSMIC-311, or the population presented in </w:t>
      </w:r>
      <w:r w:rsidR="00AF1E6C">
        <w:t>the clinical evaluation</w:t>
      </w:r>
      <w:r w:rsidR="007E0A4C" w:rsidRPr="0023484B">
        <w:t xml:space="preserve"> and modelled in </w:t>
      </w:r>
      <w:r w:rsidR="00AF1E6C">
        <w:t>economic evaluation</w:t>
      </w:r>
      <w:r w:rsidRPr="00E120DC">
        <w:t>.</w:t>
      </w:r>
      <w:r w:rsidRPr="0023484B">
        <w:t xml:space="preserve"> </w:t>
      </w:r>
      <w:r w:rsidR="107CE703" w:rsidRPr="0023484B">
        <w:t xml:space="preserve">Patients </w:t>
      </w:r>
      <w:r w:rsidR="12E1750C" w:rsidRPr="0023484B">
        <w:t>were included</w:t>
      </w:r>
      <w:r w:rsidR="107CE703" w:rsidRPr="0023484B">
        <w:t xml:space="preserve"> in the </w:t>
      </w:r>
      <w:r w:rsidRPr="0023484B">
        <w:t xml:space="preserve">COSMIC-311 </w:t>
      </w:r>
      <w:r w:rsidR="107CE703" w:rsidRPr="0023484B">
        <w:t xml:space="preserve">trial </w:t>
      </w:r>
      <w:r w:rsidR="12E1750C" w:rsidRPr="0023484B">
        <w:t>if they were aged 16 years or older</w:t>
      </w:r>
      <w:r w:rsidR="007E0A4C" w:rsidRPr="0023484B">
        <w:t xml:space="preserve"> (</w:t>
      </w:r>
      <w:r w:rsidR="006B0B9D" w:rsidRPr="0023484B">
        <w:t xml:space="preserve">PBS </w:t>
      </w:r>
      <w:r w:rsidR="007E0A4C" w:rsidRPr="0023484B">
        <w:t xml:space="preserve">restriction </w:t>
      </w:r>
      <w:r w:rsidR="006B0B9D" w:rsidRPr="0023484B">
        <w:t>was</w:t>
      </w:r>
      <w:r w:rsidR="007E0A4C" w:rsidRPr="0023484B">
        <w:t xml:space="preserve"> for </w:t>
      </w:r>
      <w:r w:rsidR="007E0A4C" w:rsidRPr="0023484B">
        <w:rPr>
          <w:rFonts w:cstheme="minorHAnsi"/>
        </w:rPr>
        <w:t>≥</w:t>
      </w:r>
      <w:r w:rsidR="007E0A4C" w:rsidRPr="0023484B">
        <w:t xml:space="preserve"> 12 years</w:t>
      </w:r>
      <w:r w:rsidR="00AF1E6C">
        <w:t>, which aligns with the approved Product Information</w:t>
      </w:r>
      <w:r w:rsidR="007E0A4C" w:rsidRPr="0023484B">
        <w:t>)</w:t>
      </w:r>
      <w:r w:rsidR="12E1750C" w:rsidRPr="0023484B">
        <w:t xml:space="preserve"> </w:t>
      </w:r>
      <w:r w:rsidR="0515422C" w:rsidRPr="0023484B">
        <w:t xml:space="preserve">or </w:t>
      </w:r>
      <w:r w:rsidR="12E1750C" w:rsidRPr="0023484B">
        <w:t xml:space="preserve">had a </w:t>
      </w:r>
      <w:r w:rsidR="0572CF48" w:rsidRPr="0023484B">
        <w:t>WHO/ECOG</w:t>
      </w:r>
      <w:r w:rsidR="12E1750C" w:rsidRPr="0023484B">
        <w:t xml:space="preserve"> performance status of </w:t>
      </w:r>
      <w:r w:rsidR="4C9F14A5" w:rsidRPr="0023484B">
        <w:t>zero</w:t>
      </w:r>
      <w:r w:rsidR="12E1750C" w:rsidRPr="0023484B">
        <w:t xml:space="preserve"> or </w:t>
      </w:r>
      <w:r w:rsidR="6D39C245" w:rsidRPr="0023484B">
        <w:t>one</w:t>
      </w:r>
      <w:r w:rsidR="007E0A4C" w:rsidRPr="0023484B">
        <w:t xml:space="preserve"> (</w:t>
      </w:r>
      <w:r w:rsidR="006B0B9D" w:rsidRPr="0023484B">
        <w:t xml:space="preserve">PBS </w:t>
      </w:r>
      <w:r w:rsidR="007E0A4C" w:rsidRPr="0023484B">
        <w:t xml:space="preserve">restriction </w:t>
      </w:r>
      <w:r w:rsidR="006B0B9D" w:rsidRPr="0023484B">
        <w:t>was</w:t>
      </w:r>
      <w:r w:rsidR="007E0A4C" w:rsidRPr="0023484B">
        <w:t xml:space="preserve"> WHO/ECOG performance status of </w:t>
      </w:r>
      <w:r w:rsidR="007E0A4C" w:rsidRPr="0023484B">
        <w:rPr>
          <w:rFonts w:cstheme="minorHAnsi"/>
        </w:rPr>
        <w:t>≤</w:t>
      </w:r>
      <w:r w:rsidR="007E0A4C" w:rsidRPr="0023484B">
        <w:t xml:space="preserve"> 2)</w:t>
      </w:r>
      <w:r w:rsidR="0515422C" w:rsidRPr="0023484B">
        <w:t xml:space="preserve">. </w:t>
      </w:r>
      <w:r w:rsidR="3EB6F61E" w:rsidRPr="0023484B">
        <w:t>This reduced the applicability of the COSMIC-311 trial to the Australian setting.</w:t>
      </w:r>
    </w:p>
    <w:p w14:paraId="4A1EBA09" w14:textId="63CE98F5" w:rsidR="00427986" w:rsidRDefault="498ED862" w:rsidP="00427986">
      <w:pPr>
        <w:pStyle w:val="3-BodyText"/>
      </w:pPr>
      <w:bookmarkStart w:id="15" w:name="_Hlk142574525"/>
      <w:r w:rsidRPr="0023484B">
        <w:lastRenderedPageBreak/>
        <w:t xml:space="preserve">The submission included grandfathered patients in the financial </w:t>
      </w:r>
      <w:r w:rsidR="6051CD6A" w:rsidRPr="0023484B">
        <w:t>estimates</w:t>
      </w:r>
      <w:r w:rsidRPr="0023484B">
        <w:t>. The submission reported there were 15 patients enrolled in the Ipsen patient access program.</w:t>
      </w:r>
    </w:p>
    <w:p w14:paraId="51103FBC" w14:textId="13BCB955" w:rsidR="00427986" w:rsidRPr="00427986" w:rsidRDefault="00427986" w:rsidP="00427986">
      <w:pPr>
        <w:pStyle w:val="3-BodyText"/>
        <w:numPr>
          <w:ilvl w:val="0"/>
          <w:numId w:val="0"/>
        </w:numPr>
        <w:ind w:left="720"/>
        <w:rPr>
          <w:i/>
          <w:iCs/>
        </w:rPr>
      </w:pPr>
      <w:r w:rsidRPr="00427986">
        <w:rPr>
          <w:i/>
          <w:iCs/>
        </w:rPr>
        <w:t>For more detail on PBAC’s view, see section 7 PBAC outcome.</w:t>
      </w:r>
    </w:p>
    <w:p w14:paraId="7075B85C" w14:textId="62A47B7B" w:rsidR="00B50DB8" w:rsidRPr="00407F2D" w:rsidDel="00195452" w:rsidRDefault="00203181" w:rsidP="004E18E9">
      <w:pPr>
        <w:pStyle w:val="2-SectionHeading"/>
      </w:pPr>
      <w:bookmarkStart w:id="16" w:name="_Toc145504680"/>
      <w:bookmarkEnd w:id="15"/>
      <w:r w:rsidDel="00195452">
        <w:t xml:space="preserve">Population and </w:t>
      </w:r>
      <w:r w:rsidR="008E0D3C" w:rsidDel="00195452">
        <w:t>d</w:t>
      </w:r>
      <w:r w:rsidDel="00195452">
        <w:t>isease</w:t>
      </w:r>
      <w:bookmarkEnd w:id="16"/>
    </w:p>
    <w:p w14:paraId="5B11622B" w14:textId="546CBDED" w:rsidR="00E1071C" w:rsidRPr="00A10F6C" w:rsidRDefault="009E483D" w:rsidP="00A10F6C">
      <w:pPr>
        <w:pStyle w:val="3-BodyText"/>
        <w:rPr>
          <w:rFonts w:ascii="Calibri" w:hAnsi="Calibri"/>
          <w:snapToGrid/>
          <w:color w:val="000000" w:themeColor="text1"/>
          <w:lang w:val="en-GB"/>
        </w:rPr>
      </w:pPr>
      <w:r w:rsidRPr="00F74D25">
        <w:t xml:space="preserve">Thyroid cancer </w:t>
      </w:r>
      <w:r w:rsidR="4D932609">
        <w:t>results from</w:t>
      </w:r>
      <w:r w:rsidRPr="00F74D25">
        <w:t xml:space="preserve"> abnormal cell growth in thyroid gland tissue. In Australia in 2020, there were approximately 3,906 new cases and 152 </w:t>
      </w:r>
      <w:r w:rsidR="004E5DB5" w:rsidRPr="00F74D25">
        <w:t>thyroid</w:t>
      </w:r>
      <w:r w:rsidR="004E5DB5">
        <w:t xml:space="preserve"> cancer</w:t>
      </w:r>
      <w:r w:rsidR="729EC75A">
        <w:t xml:space="preserve"> deaths</w:t>
      </w:r>
      <w:r w:rsidR="00F6447F">
        <w:rPr>
          <w:rStyle w:val="FootnoteReference"/>
        </w:rPr>
        <w:footnoteReference w:id="2"/>
      </w:r>
      <w:r w:rsidR="00FC479C">
        <w:t>.</w:t>
      </w:r>
      <w:r w:rsidR="005F17CA">
        <w:t xml:space="preserve"> </w:t>
      </w:r>
      <w:r w:rsidR="00D62BF9">
        <w:t>DTC is the most common type of thyroid cancer, accounting for 90-95%</w:t>
      </w:r>
      <w:r w:rsidR="34673019">
        <w:t xml:space="preserve"> of cases</w:t>
      </w:r>
      <w:r w:rsidR="00FD119A">
        <w:rPr>
          <w:rStyle w:val="FootnoteReference"/>
        </w:rPr>
        <w:footnoteReference w:id="3"/>
      </w:r>
      <w:r w:rsidR="00FD119A" w:rsidRPr="00FD119A">
        <w:rPr>
          <w:vertAlign w:val="superscript"/>
        </w:rPr>
        <w:t>,</w:t>
      </w:r>
      <w:r w:rsidR="00FD119A">
        <w:rPr>
          <w:rStyle w:val="FootnoteReference"/>
        </w:rPr>
        <w:footnoteReference w:id="4"/>
      </w:r>
      <w:r w:rsidR="0882782F" w:rsidRPr="2C37D786">
        <w:rPr>
          <w:rStyle w:val="FootnoteReference"/>
        </w:rPr>
        <w:t xml:space="preserve"> </w:t>
      </w:r>
      <w:r w:rsidR="00FC479C">
        <w:t xml:space="preserve">. </w:t>
      </w:r>
      <w:r w:rsidR="002F456F" w:rsidRPr="00B22F6A">
        <w:rPr>
          <w:color w:val="000000" w:themeColor="text1"/>
        </w:rPr>
        <w:t>Distant metastases are rare in DTC and occur in fewer than 10% of patients</w:t>
      </w:r>
      <w:r w:rsidR="006E066F">
        <w:rPr>
          <w:rStyle w:val="FootnoteReference"/>
          <w:color w:val="000000" w:themeColor="text1"/>
        </w:rPr>
        <w:footnoteReference w:id="5"/>
      </w:r>
      <w:r w:rsidR="007A5CFF" w:rsidRPr="00180F22">
        <w:rPr>
          <w:color w:val="000000" w:themeColor="text1"/>
          <w:vertAlign w:val="superscript"/>
        </w:rPr>
        <w:t>,</w:t>
      </w:r>
      <w:r w:rsidR="004E3147">
        <w:rPr>
          <w:rStyle w:val="FootnoteReference"/>
          <w:color w:val="000000" w:themeColor="text1"/>
        </w:rPr>
        <w:footnoteReference w:id="6"/>
      </w:r>
      <w:r w:rsidR="00FC479C">
        <w:rPr>
          <w:color w:val="000000" w:themeColor="text1"/>
        </w:rPr>
        <w:t xml:space="preserve">. </w:t>
      </w:r>
      <w:r w:rsidR="00573456" w:rsidRPr="00A10F6C">
        <w:rPr>
          <w:color w:val="000000" w:themeColor="text1"/>
        </w:rPr>
        <w:t>A</w:t>
      </w:r>
      <w:r w:rsidR="002F456F" w:rsidRPr="00A10F6C">
        <w:rPr>
          <w:color w:val="000000" w:themeColor="text1"/>
        </w:rPr>
        <w:t xml:space="preserve">bout 33% of DTC patients with distant metastases are successfully treated with RAI therapy and the </w:t>
      </w:r>
      <w:r w:rsidR="002F456F" w:rsidRPr="00E120DC">
        <w:rPr>
          <w:color w:val="000000" w:themeColor="text1"/>
        </w:rPr>
        <w:t xml:space="preserve">remainder </w:t>
      </w:r>
      <w:r w:rsidR="00A10F6C" w:rsidRPr="00E120DC">
        <w:rPr>
          <w:color w:val="000000" w:themeColor="text1"/>
        </w:rPr>
        <w:t>(</w:t>
      </w:r>
      <w:r w:rsidR="003E00B9" w:rsidRPr="00E120DC">
        <w:rPr>
          <w:color w:val="000000" w:themeColor="text1"/>
        </w:rPr>
        <w:t>~</w:t>
      </w:r>
      <w:r w:rsidR="00A10F6C" w:rsidRPr="00E120DC">
        <w:rPr>
          <w:color w:val="000000" w:themeColor="text1"/>
        </w:rPr>
        <w:t xml:space="preserve">66%) </w:t>
      </w:r>
      <w:r w:rsidR="002F456F" w:rsidRPr="00E120DC">
        <w:rPr>
          <w:color w:val="000000" w:themeColor="text1"/>
        </w:rPr>
        <w:t>will</w:t>
      </w:r>
      <w:r w:rsidR="002F456F" w:rsidRPr="00A10F6C">
        <w:rPr>
          <w:color w:val="000000" w:themeColor="text1"/>
        </w:rPr>
        <w:t xml:space="preserve"> become refractory to RAI therapy</w:t>
      </w:r>
      <w:r w:rsidR="00AD2375">
        <w:rPr>
          <w:rStyle w:val="FootnoteReference"/>
          <w:color w:val="000000" w:themeColor="text1"/>
        </w:rPr>
        <w:footnoteReference w:id="7"/>
      </w:r>
      <w:r w:rsidR="00AD2375" w:rsidRPr="00180F22">
        <w:rPr>
          <w:color w:val="000000" w:themeColor="text1"/>
          <w:vertAlign w:val="superscript"/>
        </w:rPr>
        <w:t>,</w:t>
      </w:r>
      <w:r w:rsidR="00FE1ADA">
        <w:rPr>
          <w:rStyle w:val="FootnoteReference"/>
          <w:color w:val="000000" w:themeColor="text1"/>
        </w:rPr>
        <w:footnoteReference w:id="8"/>
      </w:r>
      <w:r w:rsidR="00FC479C">
        <w:rPr>
          <w:snapToGrid/>
          <w:color w:val="000000" w:themeColor="text1"/>
          <w:lang w:val="en-GB"/>
        </w:rPr>
        <w:t xml:space="preserve">. </w:t>
      </w:r>
      <w:r w:rsidR="004D0CD2" w:rsidRPr="00A10F6C">
        <w:rPr>
          <w:rFonts w:ascii="Calibri" w:hAnsi="Calibri"/>
          <w:snapToGrid/>
          <w:color w:val="000000" w:themeColor="text1"/>
          <w:lang w:val="en-GB"/>
        </w:rPr>
        <w:t>The prognosis of metastatic cases of follicular origin is favourable if there is a response to radioiodine</w:t>
      </w:r>
      <w:r w:rsidR="00861B0B">
        <w:rPr>
          <w:rStyle w:val="FootnoteReference"/>
          <w:rFonts w:ascii="Calibri" w:hAnsi="Calibri"/>
          <w:snapToGrid/>
          <w:color w:val="000000" w:themeColor="text1"/>
          <w:lang w:val="en-GB"/>
        </w:rPr>
        <w:footnoteReference w:id="9"/>
      </w:r>
      <w:r w:rsidR="00FC479C">
        <w:rPr>
          <w:rFonts w:ascii="Calibri" w:hAnsi="Calibri"/>
          <w:color w:val="000000" w:themeColor="text1"/>
          <w:lang w:val="en-GB"/>
        </w:rPr>
        <w:t>.</w:t>
      </w:r>
    </w:p>
    <w:p w14:paraId="7BFEC556" w14:textId="3CB95F86" w:rsidR="00E1071C" w:rsidRPr="00E1071C" w:rsidRDefault="009E483D" w:rsidP="00E04509">
      <w:pPr>
        <w:pStyle w:val="3-BodyText"/>
        <w:rPr>
          <w:rFonts w:ascii="Calibri" w:hAnsi="Calibri"/>
          <w:snapToGrid/>
          <w:color w:val="000000" w:themeColor="text1"/>
          <w:lang w:val="en-GB"/>
        </w:rPr>
      </w:pPr>
      <w:r w:rsidRPr="006E4A95">
        <w:t xml:space="preserve">The 10-year life expectancy of </w:t>
      </w:r>
      <w:r w:rsidR="00346402">
        <w:t xml:space="preserve">patients with DTC </w:t>
      </w:r>
      <w:r w:rsidRPr="006E4A95">
        <w:t>is 80-95%</w:t>
      </w:r>
      <w:r w:rsidR="008221D8">
        <w:rPr>
          <w:rStyle w:val="FootnoteReference"/>
        </w:rPr>
        <w:footnoteReference w:id="10"/>
      </w:r>
      <w:r w:rsidRPr="006E4A95">
        <w:t xml:space="preserve">, </w:t>
      </w:r>
      <w:r w:rsidR="00346402">
        <w:t xml:space="preserve">however, </w:t>
      </w:r>
      <w:r w:rsidRPr="006E4A95">
        <w:t xml:space="preserve">this drops </w:t>
      </w:r>
      <w:r w:rsidR="00D62BF9">
        <w:t>to three to five years for</w:t>
      </w:r>
      <w:r w:rsidR="00D62BF9" w:rsidRPr="006E4A95">
        <w:t xml:space="preserve"> </w:t>
      </w:r>
      <w:r w:rsidRPr="006E4A95">
        <w:t xml:space="preserve">patients with </w:t>
      </w:r>
      <w:r w:rsidR="00D62BF9">
        <w:t>RAI</w:t>
      </w:r>
      <w:r w:rsidRPr="006E4A95">
        <w:t xml:space="preserve"> refractory or not eligible DTC</w:t>
      </w:r>
      <w:r w:rsidR="00366D40">
        <w:rPr>
          <w:rStyle w:val="FootnoteReference"/>
        </w:rPr>
        <w:footnoteReference w:id="11"/>
      </w:r>
      <w:r w:rsidR="00FC479C">
        <w:t>.</w:t>
      </w:r>
    </w:p>
    <w:p w14:paraId="350D7068" w14:textId="5994CFCC" w:rsidR="009E483D" w:rsidRPr="004D0CD2" w:rsidRDefault="00346402" w:rsidP="00E04509">
      <w:pPr>
        <w:pStyle w:val="3-BodyText"/>
        <w:rPr>
          <w:rFonts w:ascii="Calibri" w:hAnsi="Calibri"/>
          <w:snapToGrid/>
          <w:color w:val="000000" w:themeColor="text1"/>
          <w:lang w:val="en-GB"/>
        </w:rPr>
      </w:pPr>
      <w:r>
        <w:t>The standard of care for patients with RAI-</w:t>
      </w:r>
      <w:r w:rsidR="00AF1E6C">
        <w:t>refractory</w:t>
      </w:r>
      <w:r>
        <w:t xml:space="preserve"> DTC is systemic treatment with TKIs (lenvatinib</w:t>
      </w:r>
      <w:r w:rsidR="00AF1E6C">
        <w:t>, which is PBS listed,</w:t>
      </w:r>
      <w:r>
        <w:t xml:space="preserve"> and sorafenib</w:t>
      </w:r>
      <w:r w:rsidR="00AF1E6C">
        <w:t>, which is not PBS listed</w:t>
      </w:r>
      <w:r>
        <w:t xml:space="preserve">). However, </w:t>
      </w:r>
      <w:r w:rsidR="009E483D" w:rsidRPr="006E4A95">
        <w:t xml:space="preserve">patients </w:t>
      </w:r>
      <w:r>
        <w:t>may</w:t>
      </w:r>
      <w:r w:rsidRPr="006E4A95">
        <w:t xml:space="preserve"> </w:t>
      </w:r>
      <w:r w:rsidR="009E483D" w:rsidRPr="006E4A95">
        <w:t>develop resistance to current therapy due to mutations in their cancer that overcome the targeted disruption of pathways with known oncogenic potential in DTC.</w:t>
      </w:r>
    </w:p>
    <w:p w14:paraId="3AEF17EF" w14:textId="0263204D" w:rsidR="00F03661" w:rsidRPr="004E5DB5" w:rsidRDefault="00F03661" w:rsidP="00E04509">
      <w:pPr>
        <w:pStyle w:val="3-BodyText"/>
      </w:pPr>
      <w:r w:rsidRPr="006E4A95">
        <w:t xml:space="preserve">Cabozantinib is a multiple receptor </w:t>
      </w:r>
      <w:r w:rsidR="00851729">
        <w:t>TKI</w:t>
      </w:r>
      <w:r w:rsidRPr="006E4A95">
        <w:t xml:space="preserve"> </w:t>
      </w:r>
      <w:r>
        <w:t>that</w:t>
      </w:r>
      <w:r w:rsidRPr="006E4A95">
        <w:t xml:space="preserve"> targets multiple receptor kinases involved in angiogenesis, tumour growth and metastasis</w:t>
      </w:r>
      <w:r>
        <w:t xml:space="preserve"> (</w:t>
      </w:r>
      <w:r w:rsidRPr="00F03661">
        <w:t>mesenchymal-epithelial transition</w:t>
      </w:r>
      <w:r w:rsidR="006C1559">
        <w:t>,</w:t>
      </w:r>
      <w:r w:rsidRPr="00F03661">
        <w:t xml:space="preserve"> </w:t>
      </w:r>
      <w:r>
        <w:t xml:space="preserve">MET, </w:t>
      </w:r>
      <w:proofErr w:type="spellStart"/>
      <w:r w:rsidRPr="00F03661">
        <w:t>anexelekto</w:t>
      </w:r>
      <w:proofErr w:type="spellEnd"/>
      <w:r w:rsidR="006C1559">
        <w:t>,</w:t>
      </w:r>
      <w:r w:rsidRPr="00F03661">
        <w:t xml:space="preserve"> </w:t>
      </w:r>
      <w:r>
        <w:t>AXL and VEGF receptors)</w:t>
      </w:r>
      <w:r w:rsidRPr="006E4A95">
        <w:t xml:space="preserve">. The mechanism of action targets multiple key pathways in DTC, which also reduces the risk of drug-resistance. </w:t>
      </w:r>
    </w:p>
    <w:p w14:paraId="7C08C678" w14:textId="1AC9B310" w:rsidR="00C00AE0" w:rsidRPr="00D16124" w:rsidRDefault="00346402" w:rsidP="002770A3">
      <w:pPr>
        <w:pStyle w:val="3-BodyText"/>
        <w:rPr>
          <w:i/>
          <w:iCs/>
        </w:rPr>
      </w:pPr>
      <w:r>
        <w:t xml:space="preserve">The submission proposed cabozantinib to be used in patients who progress </w:t>
      </w:r>
      <w:r w:rsidR="00F03661">
        <w:t xml:space="preserve">following treatment with a </w:t>
      </w:r>
      <w:r w:rsidR="00D76C41">
        <w:t>TKI</w:t>
      </w:r>
      <w:r w:rsidR="00F03661">
        <w:t xml:space="preserve"> or have developed intolerance to prior VEGF-targeted therapy.</w:t>
      </w:r>
    </w:p>
    <w:p w14:paraId="5F9E1F65" w14:textId="442AE0B4" w:rsidR="009E483D" w:rsidRPr="00D16124" w:rsidRDefault="009E483D" w:rsidP="00F74D25">
      <w:pPr>
        <w:pStyle w:val="3-BodyText"/>
      </w:pPr>
      <w:r w:rsidRPr="006E4A95">
        <w:lastRenderedPageBreak/>
        <w:t xml:space="preserve">The </w:t>
      </w:r>
      <w:r w:rsidR="00F03661">
        <w:t xml:space="preserve">US </w:t>
      </w:r>
      <w:r w:rsidR="00F03661" w:rsidRPr="002C6818">
        <w:rPr>
          <w:noProof/>
          <w:color w:val="000000" w:themeColor="text1"/>
        </w:rPr>
        <w:t>National Comprehensive Cancer Network</w:t>
      </w:r>
      <w:r w:rsidR="00F03661" w:rsidRPr="006E4A95">
        <w:t xml:space="preserve"> </w:t>
      </w:r>
      <w:r w:rsidR="00F03661">
        <w:t>(NCCN) recommend</w:t>
      </w:r>
      <w:r w:rsidR="000F778C">
        <w:t>ed</w:t>
      </w:r>
      <w:r w:rsidR="00F03661">
        <w:t xml:space="preserve"> cabozantinib </w:t>
      </w:r>
      <w:r w:rsidR="00F03661" w:rsidRPr="00F03661">
        <w:t>for patients with disease progression after lenvatinib and/or sorafenib</w:t>
      </w:r>
      <w:r w:rsidR="00683529">
        <w:rPr>
          <w:rStyle w:val="FootnoteReference"/>
        </w:rPr>
        <w:footnoteReference w:id="12"/>
      </w:r>
      <w:r w:rsidR="00FC479C">
        <w:t>.</w:t>
      </w:r>
      <w:r w:rsidR="00F03661">
        <w:t xml:space="preserve"> The</w:t>
      </w:r>
      <w:r w:rsidR="00F03661" w:rsidRPr="00F03661">
        <w:t xml:space="preserve"> </w:t>
      </w:r>
      <w:r w:rsidRPr="006E4A95">
        <w:t xml:space="preserve">European Society for Medical Oncology (ESMO) </w:t>
      </w:r>
      <w:r w:rsidR="004E5DB5">
        <w:t>2022</w:t>
      </w:r>
      <w:r w:rsidR="00683529">
        <w:rPr>
          <w:rStyle w:val="FootnoteReference"/>
        </w:rPr>
        <w:footnoteReference w:id="13"/>
      </w:r>
      <w:r w:rsidR="004E5DB5">
        <w:t xml:space="preserve"> </w:t>
      </w:r>
      <w:r w:rsidR="000F778C">
        <w:t>recommended cabozantinib</w:t>
      </w:r>
      <w:r w:rsidR="000F778C" w:rsidRPr="000F778C">
        <w:t xml:space="preserve"> </w:t>
      </w:r>
      <w:r w:rsidR="000F778C" w:rsidRPr="00F03661">
        <w:t xml:space="preserve">for patients </w:t>
      </w:r>
      <w:r w:rsidR="000F778C">
        <w:t xml:space="preserve">that have progressed </w:t>
      </w:r>
      <w:r w:rsidR="000F778C" w:rsidRPr="001B082C">
        <w:rPr>
          <w:color w:val="000000" w:themeColor="text1"/>
        </w:rPr>
        <w:t xml:space="preserve">following treatment with </w:t>
      </w:r>
      <w:r w:rsidR="000F778C">
        <w:rPr>
          <w:color w:val="000000" w:themeColor="text1"/>
        </w:rPr>
        <w:t>a T</w:t>
      </w:r>
      <w:r w:rsidR="000F778C" w:rsidRPr="001B082C">
        <w:rPr>
          <w:color w:val="000000" w:themeColor="text1"/>
        </w:rPr>
        <w:t>KI</w:t>
      </w:r>
      <w:r w:rsidR="000F778C">
        <w:rPr>
          <w:color w:val="000000" w:themeColor="text1"/>
        </w:rPr>
        <w:t xml:space="preserve">. </w:t>
      </w:r>
    </w:p>
    <w:p w14:paraId="651E1302" w14:textId="77777777" w:rsidR="00427986" w:rsidRDefault="00D16124" w:rsidP="00427986">
      <w:pPr>
        <w:pStyle w:val="3-BodyText"/>
      </w:pPr>
      <w:bookmarkStart w:id="17" w:name="_Hlk142574685"/>
      <w:r w:rsidRPr="0023484B">
        <w:t>Overall, the population eligible for treatment with cabozantinib is small (approximately 70 patients per year).</w:t>
      </w:r>
    </w:p>
    <w:p w14:paraId="6DD148E9" w14:textId="7FB886F3" w:rsidR="00427986" w:rsidRPr="00427986" w:rsidRDefault="00427986" w:rsidP="00427986">
      <w:pPr>
        <w:pStyle w:val="3-BodyText"/>
        <w:numPr>
          <w:ilvl w:val="0"/>
          <w:numId w:val="0"/>
        </w:numPr>
        <w:ind w:left="720"/>
        <w:rPr>
          <w:i/>
          <w:iCs/>
        </w:rPr>
      </w:pPr>
      <w:r w:rsidRPr="00427986">
        <w:rPr>
          <w:i/>
          <w:iCs/>
        </w:rPr>
        <w:t>For more detail on PBAC’s view, see section 7 PBAC outcome.</w:t>
      </w:r>
    </w:p>
    <w:p w14:paraId="51E5AE96" w14:textId="136A63B1" w:rsidR="00B50DB8" w:rsidRPr="00407F2D" w:rsidRDefault="00B50DB8" w:rsidP="004E18E9">
      <w:pPr>
        <w:pStyle w:val="2-SectionHeading"/>
      </w:pPr>
      <w:bookmarkStart w:id="18" w:name="_Toc145504681"/>
      <w:bookmarkEnd w:id="17"/>
      <w:r w:rsidRPr="00407F2D">
        <w:t>Comparator</w:t>
      </w:r>
      <w:bookmarkEnd w:id="18"/>
    </w:p>
    <w:p w14:paraId="17E7490A" w14:textId="70DEAE2F" w:rsidR="00E11B1F" w:rsidRPr="0023484B" w:rsidRDefault="00B35B3E" w:rsidP="00B35B3E">
      <w:pPr>
        <w:pStyle w:val="3-BodyText"/>
      </w:pPr>
      <w:bookmarkStart w:id="19" w:name="_Hlk140744405"/>
      <w:r w:rsidRPr="006E4A95">
        <w:t xml:space="preserve">The submission nominated </w:t>
      </w:r>
      <w:r w:rsidR="00D76C41">
        <w:t>BSC</w:t>
      </w:r>
      <w:r w:rsidRPr="006E4A95">
        <w:t xml:space="preserve"> as the main comparator</w:t>
      </w:r>
      <w:r w:rsidR="00E11B1F">
        <w:t xml:space="preserve">, </w:t>
      </w:r>
      <w:r w:rsidR="00E11B1F">
        <w:rPr>
          <w:rStyle w:val="Font"/>
        </w:rPr>
        <w:t>comprising any intervention including medications, medical procedures, psychotherapy, growth factors, palliative surgery or any other symptomatic therapy</w:t>
      </w:r>
      <w:r w:rsidR="00B2787C">
        <w:rPr>
          <w:rStyle w:val="Font"/>
        </w:rPr>
        <w:t>,</w:t>
      </w:r>
      <w:r w:rsidR="00E11B1F">
        <w:rPr>
          <w:rStyle w:val="Font"/>
        </w:rPr>
        <w:t xml:space="preserve"> except </w:t>
      </w:r>
      <w:r w:rsidR="00E11B1F" w:rsidRPr="0023484B">
        <w:rPr>
          <w:rStyle w:val="Font"/>
        </w:rPr>
        <w:t>for anti-tumour agents, anti-neoplastic chemotherapy, hormonal or immunotherapy</w:t>
      </w:r>
      <w:r w:rsidRPr="0023484B">
        <w:t xml:space="preserve">. </w:t>
      </w:r>
    </w:p>
    <w:p w14:paraId="71933C09" w14:textId="77777777" w:rsidR="00427986" w:rsidRDefault="00E11B1F" w:rsidP="00427986">
      <w:pPr>
        <w:pStyle w:val="3-BodyText"/>
      </w:pPr>
      <w:r w:rsidRPr="00427986">
        <w:t xml:space="preserve">The </w:t>
      </w:r>
      <w:r w:rsidR="00AF1E6C" w:rsidRPr="00427986">
        <w:t xml:space="preserve">ESC considered that the </w:t>
      </w:r>
      <w:r w:rsidRPr="00427986">
        <w:t>nominated comparator</w:t>
      </w:r>
      <w:r w:rsidRPr="0023484B">
        <w:t xml:space="preserve"> </w:t>
      </w:r>
      <w:r w:rsidR="006C1559" w:rsidRPr="0023484B">
        <w:t>was</w:t>
      </w:r>
      <w:r w:rsidRPr="0023484B">
        <w:t xml:space="preserve"> appropriate. </w:t>
      </w:r>
      <w:bookmarkEnd w:id="19"/>
    </w:p>
    <w:p w14:paraId="5AE58D71" w14:textId="7F2CB7C7" w:rsidR="00427986" w:rsidRPr="00427986" w:rsidRDefault="00427986" w:rsidP="00427986">
      <w:pPr>
        <w:pStyle w:val="3-BodyText"/>
        <w:numPr>
          <w:ilvl w:val="0"/>
          <w:numId w:val="0"/>
        </w:numPr>
        <w:ind w:left="720"/>
        <w:rPr>
          <w:i/>
          <w:iCs/>
        </w:rPr>
      </w:pPr>
      <w:r w:rsidRPr="00427986">
        <w:rPr>
          <w:i/>
          <w:iCs/>
        </w:rPr>
        <w:t>For more detail on PBAC’s view, see section 7 PBAC outcome.</w:t>
      </w:r>
    </w:p>
    <w:p w14:paraId="7F9C27C8" w14:textId="76E3ABA6" w:rsidR="00223D5A" w:rsidRPr="00407F2D" w:rsidRDefault="00223D5A" w:rsidP="001D1175">
      <w:pPr>
        <w:pStyle w:val="2-SectionHeading"/>
      </w:pPr>
      <w:bookmarkStart w:id="20" w:name="_Toc145504682"/>
      <w:bookmarkStart w:id="21" w:name="_Toc22897640"/>
      <w:r>
        <w:t>C</w:t>
      </w:r>
      <w:r w:rsidRPr="00407F2D">
        <w:t>onsideration of the evidence</w:t>
      </w:r>
      <w:bookmarkEnd w:id="20"/>
    </w:p>
    <w:p w14:paraId="5621C946" w14:textId="77777777" w:rsidR="00427986" w:rsidRPr="00985104" w:rsidRDefault="00427986" w:rsidP="00D22B13">
      <w:pPr>
        <w:pStyle w:val="Heading2"/>
        <w:keepNext/>
      </w:pPr>
      <w:bookmarkStart w:id="22" w:name="_Hlk76375935"/>
      <w:bookmarkStart w:id="23" w:name="_Toc145504683"/>
      <w:r w:rsidRPr="00985104">
        <w:t>Sponsor hearing</w:t>
      </w:r>
    </w:p>
    <w:p w14:paraId="74F6F740" w14:textId="241F6246" w:rsidR="00427986" w:rsidRPr="00985104" w:rsidRDefault="00D87267" w:rsidP="00427986">
      <w:pPr>
        <w:widowControl w:val="0"/>
        <w:numPr>
          <w:ilvl w:val="1"/>
          <w:numId w:val="1"/>
        </w:numPr>
        <w:spacing w:after="120"/>
        <w:ind w:left="720"/>
        <w:rPr>
          <w:rFonts w:cs="Calibri"/>
          <w:bCs/>
          <w:snapToGrid w:val="0"/>
        </w:rPr>
      </w:pPr>
      <w:r w:rsidRPr="00985104">
        <w:rPr>
          <w:rFonts w:cs="Calibri"/>
          <w:bCs/>
          <w:snapToGrid w:val="0"/>
        </w:rPr>
        <w:t>The sponsor requested a hearing for this item</w:t>
      </w:r>
      <w:r w:rsidR="00427986" w:rsidRPr="00985104">
        <w:rPr>
          <w:rFonts w:cs="Calibri"/>
          <w:bCs/>
          <w:snapToGrid w:val="0"/>
        </w:rPr>
        <w:t>.</w:t>
      </w:r>
      <w:r w:rsidRPr="00985104">
        <w:rPr>
          <w:rFonts w:cs="Calibri"/>
          <w:bCs/>
          <w:snapToGrid w:val="0"/>
        </w:rPr>
        <w:t xml:space="preserve"> The clinician discussed the trial design, noting that the OS data were uncertain, and stated that due to ethical considerations placebo patients ha</w:t>
      </w:r>
      <w:r w:rsidR="00B54FFE" w:rsidRPr="00985104">
        <w:rPr>
          <w:rFonts w:cs="Calibri"/>
          <w:bCs/>
          <w:snapToGrid w:val="0"/>
        </w:rPr>
        <w:t>d</w:t>
      </w:r>
      <w:r w:rsidRPr="00985104">
        <w:rPr>
          <w:rFonts w:cs="Calibri"/>
          <w:bCs/>
          <w:snapToGrid w:val="0"/>
        </w:rPr>
        <w:t xml:space="preserve"> to be allowed to cross over to receive active treatment. The clinician further discussed the progression of disease, noting that once patients cease treatment with lenvatinib they decline very quickly. The clinician advised that approximately 50-60% of patients who progress following lenvatinib will receive cabozantinib. The PBAC considered that the hearing was informative.</w:t>
      </w:r>
    </w:p>
    <w:p w14:paraId="3D1A5F41" w14:textId="77777777" w:rsidR="00427986" w:rsidRPr="00985104" w:rsidRDefault="00427986" w:rsidP="00427986">
      <w:pPr>
        <w:pStyle w:val="Heading2"/>
      </w:pPr>
      <w:r w:rsidRPr="00985104">
        <w:t>Consumer comments</w:t>
      </w:r>
    </w:p>
    <w:p w14:paraId="37C51608" w14:textId="321068DA" w:rsidR="00427986" w:rsidRPr="00985104" w:rsidRDefault="00427986" w:rsidP="00427986">
      <w:pPr>
        <w:widowControl w:val="0"/>
        <w:numPr>
          <w:ilvl w:val="1"/>
          <w:numId w:val="1"/>
        </w:numPr>
        <w:spacing w:after="120"/>
        <w:ind w:left="720"/>
        <w:rPr>
          <w:rFonts w:asciiTheme="minorHAnsi" w:hAnsiTheme="minorHAnsi"/>
          <w:bCs/>
          <w:snapToGrid w:val="0"/>
        </w:rPr>
      </w:pPr>
      <w:bookmarkStart w:id="24" w:name="_Hlk76382618"/>
      <w:r w:rsidRPr="00985104">
        <w:rPr>
          <w:rFonts w:asciiTheme="minorHAnsi" w:hAnsiTheme="minorHAnsi"/>
          <w:bCs/>
          <w:snapToGrid w:val="0"/>
        </w:rPr>
        <w:t>The PBAC noted and welcomed the input from health care professionals (</w:t>
      </w:r>
      <w:r w:rsidR="000E709B" w:rsidRPr="00985104">
        <w:rPr>
          <w:rFonts w:asciiTheme="minorHAnsi" w:hAnsiTheme="minorHAnsi"/>
          <w:bCs/>
          <w:snapToGrid w:val="0"/>
        </w:rPr>
        <w:t>2</w:t>
      </w:r>
      <w:r w:rsidRPr="00985104">
        <w:rPr>
          <w:rFonts w:asciiTheme="minorHAnsi" w:hAnsiTheme="minorHAnsi"/>
          <w:bCs/>
          <w:snapToGrid w:val="0"/>
        </w:rPr>
        <w:t xml:space="preserve">) and organisations (1) via the Consumer Comments facility on the PBS website. The comments described a range of benefits of treatment with </w:t>
      </w:r>
      <w:r w:rsidR="000E709B" w:rsidRPr="00985104">
        <w:rPr>
          <w:rFonts w:asciiTheme="minorHAnsi" w:hAnsiTheme="minorHAnsi"/>
          <w:bCs/>
          <w:snapToGrid w:val="0"/>
        </w:rPr>
        <w:t>cabozantinib</w:t>
      </w:r>
      <w:r w:rsidRPr="00985104">
        <w:rPr>
          <w:rFonts w:asciiTheme="minorHAnsi" w:hAnsiTheme="minorHAnsi"/>
          <w:bCs/>
          <w:snapToGrid w:val="0"/>
        </w:rPr>
        <w:t xml:space="preserve"> including the </w:t>
      </w:r>
      <w:r w:rsidR="000E709B" w:rsidRPr="00985104">
        <w:rPr>
          <w:rFonts w:asciiTheme="minorHAnsi" w:hAnsiTheme="minorHAnsi"/>
          <w:bCs/>
          <w:snapToGrid w:val="0"/>
        </w:rPr>
        <w:t xml:space="preserve">prolonged progression free survival in patients with differentiated thyroid cancer </w:t>
      </w:r>
      <w:r w:rsidR="00F667AB" w:rsidRPr="00985104">
        <w:rPr>
          <w:rFonts w:asciiTheme="minorHAnsi" w:hAnsiTheme="minorHAnsi"/>
          <w:bCs/>
          <w:snapToGrid w:val="0"/>
        </w:rPr>
        <w:t>that has</w:t>
      </w:r>
      <w:r w:rsidR="000E709B" w:rsidRPr="00985104">
        <w:rPr>
          <w:rFonts w:asciiTheme="minorHAnsi" w:hAnsiTheme="minorHAnsi"/>
          <w:bCs/>
          <w:snapToGrid w:val="0"/>
        </w:rPr>
        <w:t xml:space="preserve"> progressed on first-line treatment. The comments also acknowledged that adverse events associated with treatment but advised that they were manageable. </w:t>
      </w:r>
    </w:p>
    <w:p w14:paraId="1EEB0D72" w14:textId="3ACD70A2" w:rsidR="00427986" w:rsidRPr="00985104" w:rsidRDefault="00427986" w:rsidP="00427986">
      <w:pPr>
        <w:widowControl w:val="0"/>
        <w:numPr>
          <w:ilvl w:val="1"/>
          <w:numId w:val="1"/>
        </w:numPr>
        <w:spacing w:after="120"/>
        <w:ind w:left="720"/>
        <w:rPr>
          <w:rFonts w:asciiTheme="minorHAnsi" w:hAnsiTheme="minorHAnsi"/>
          <w:bCs/>
          <w:snapToGrid w:val="0"/>
        </w:rPr>
      </w:pPr>
      <w:r w:rsidRPr="00985104">
        <w:rPr>
          <w:rFonts w:asciiTheme="minorHAnsi" w:hAnsiTheme="minorHAnsi"/>
          <w:bCs/>
          <w:snapToGrid w:val="0"/>
        </w:rPr>
        <w:t xml:space="preserve">The PBAC noted the advice received from </w:t>
      </w:r>
      <w:r w:rsidR="000E709B" w:rsidRPr="00985104">
        <w:rPr>
          <w:rFonts w:asciiTheme="minorHAnsi" w:hAnsiTheme="minorHAnsi"/>
          <w:bCs/>
          <w:snapToGrid w:val="0"/>
        </w:rPr>
        <w:t>the Australian Thyroid Foundation</w:t>
      </w:r>
      <w:r w:rsidRPr="00985104">
        <w:rPr>
          <w:rFonts w:asciiTheme="minorHAnsi" w:hAnsiTheme="minorHAnsi"/>
          <w:bCs/>
          <w:snapToGrid w:val="0"/>
        </w:rPr>
        <w:t xml:space="preserve"> </w:t>
      </w:r>
      <w:r w:rsidR="000E709B" w:rsidRPr="00985104">
        <w:rPr>
          <w:rFonts w:asciiTheme="minorHAnsi" w:hAnsiTheme="minorHAnsi"/>
          <w:bCs/>
          <w:snapToGrid w:val="0"/>
        </w:rPr>
        <w:t xml:space="preserve">describing the prolonged progression free survival and improved quality of life </w:t>
      </w:r>
      <w:r w:rsidR="000E709B" w:rsidRPr="00985104">
        <w:rPr>
          <w:rFonts w:asciiTheme="minorHAnsi" w:hAnsiTheme="minorHAnsi"/>
          <w:bCs/>
          <w:snapToGrid w:val="0"/>
        </w:rPr>
        <w:lastRenderedPageBreak/>
        <w:t xml:space="preserve">associated with cabozantinib. </w:t>
      </w:r>
      <w:r w:rsidR="00D87267" w:rsidRPr="00985104">
        <w:rPr>
          <w:rFonts w:asciiTheme="minorHAnsi" w:hAnsiTheme="minorHAnsi"/>
          <w:bCs/>
          <w:snapToGrid w:val="0"/>
        </w:rPr>
        <w:t xml:space="preserve">The Foundation also noted that listing cabozantinib on the PBS would improve equity. </w:t>
      </w:r>
      <w:r w:rsidRPr="00985104">
        <w:rPr>
          <w:rFonts w:asciiTheme="minorHAnsi" w:hAnsiTheme="minorHAnsi"/>
          <w:bCs/>
          <w:snapToGrid w:val="0"/>
        </w:rPr>
        <w:t>The PBAC noted that this advice was supportive of the evidence provided in the submission.</w:t>
      </w:r>
    </w:p>
    <w:bookmarkEnd w:id="22"/>
    <w:bookmarkEnd w:id="24"/>
    <w:p w14:paraId="609C0765" w14:textId="417C381A" w:rsidR="00B60939" w:rsidRPr="00C9624D" w:rsidRDefault="00B60939" w:rsidP="002E4F02">
      <w:pPr>
        <w:pStyle w:val="4-SubsectionHeading"/>
      </w:pPr>
      <w:r w:rsidRPr="00985104">
        <w:t>Clinical trial</w:t>
      </w:r>
      <w:bookmarkEnd w:id="21"/>
      <w:bookmarkEnd w:id="23"/>
    </w:p>
    <w:p w14:paraId="59402EBD" w14:textId="06CD1E71" w:rsidR="00E11B1F" w:rsidRDefault="00A73134" w:rsidP="00834C4C">
      <w:pPr>
        <w:pStyle w:val="3-BodyText"/>
        <w:rPr>
          <w:snapToGrid/>
          <w:lang w:val="en-US"/>
        </w:rPr>
      </w:pPr>
      <w:r>
        <w:rPr>
          <w:snapToGrid/>
          <w:lang w:val="en-US"/>
        </w:rPr>
        <w:t xml:space="preserve">The submission </w:t>
      </w:r>
      <w:r w:rsidR="00D5243B">
        <w:rPr>
          <w:snapToGrid/>
          <w:lang w:val="en-US"/>
        </w:rPr>
        <w:t>wa</w:t>
      </w:r>
      <w:r>
        <w:rPr>
          <w:snapToGrid/>
          <w:lang w:val="en-US"/>
        </w:rPr>
        <w:t>s based on one head-to-head trial comparing</w:t>
      </w:r>
      <w:r w:rsidR="00834C4C">
        <w:rPr>
          <w:snapToGrid/>
          <w:lang w:val="en-US"/>
        </w:rPr>
        <w:t xml:space="preserve"> cabozantinib</w:t>
      </w:r>
      <w:r>
        <w:rPr>
          <w:snapToGrid/>
          <w:lang w:val="en-US"/>
        </w:rPr>
        <w:t xml:space="preserve"> to </w:t>
      </w:r>
      <w:r w:rsidR="00834C4C">
        <w:rPr>
          <w:snapToGrid/>
          <w:lang w:val="en-US"/>
        </w:rPr>
        <w:t>placebo</w:t>
      </w:r>
      <w:r w:rsidR="005F2C39">
        <w:rPr>
          <w:snapToGrid/>
          <w:lang w:val="en-US"/>
        </w:rPr>
        <w:t>:</w:t>
      </w:r>
      <w:r>
        <w:rPr>
          <w:snapToGrid/>
          <w:lang w:val="en-US"/>
        </w:rPr>
        <w:t xml:space="preserve"> </w:t>
      </w:r>
      <w:r w:rsidR="00834C4C">
        <w:rPr>
          <w:snapToGrid/>
          <w:lang w:val="en-US"/>
        </w:rPr>
        <w:t>COSMIC-311</w:t>
      </w:r>
      <w:r w:rsidR="005F2C39">
        <w:rPr>
          <w:snapToGrid/>
          <w:lang w:val="en-US"/>
        </w:rPr>
        <w:t xml:space="preserve"> (N=258)</w:t>
      </w:r>
      <w:r w:rsidR="00834C4C">
        <w:rPr>
          <w:snapToGrid/>
          <w:lang w:val="en-US"/>
        </w:rPr>
        <w:t>.</w:t>
      </w:r>
    </w:p>
    <w:p w14:paraId="2B59ABAC" w14:textId="1C8FE78E" w:rsidR="00862502" w:rsidRPr="00B50DB8" w:rsidRDefault="00A73134" w:rsidP="002E4F02">
      <w:pPr>
        <w:pStyle w:val="3-BodyText"/>
      </w:pPr>
      <w:r>
        <w:rPr>
          <w:snapToGrid/>
          <w:lang w:val="en-US"/>
        </w:rPr>
        <w:t xml:space="preserve">Details of the trial presented in the submission are provided in </w:t>
      </w:r>
      <w:r w:rsidR="00696EF9">
        <w:rPr>
          <w:snapToGrid/>
          <w:lang w:val="en-US"/>
        </w:rPr>
        <w:fldChar w:fldCharType="begin" w:fldLock="1"/>
      </w:r>
      <w:r w:rsidR="00696EF9">
        <w:rPr>
          <w:snapToGrid/>
          <w:lang w:val="en-US"/>
        </w:rPr>
        <w:instrText xml:space="preserve"> REF _Ref104803956 \h </w:instrText>
      </w:r>
      <w:r w:rsidR="00696EF9">
        <w:rPr>
          <w:snapToGrid/>
          <w:lang w:val="en-US"/>
        </w:rPr>
      </w:r>
      <w:r w:rsidR="00696EF9">
        <w:rPr>
          <w:snapToGrid/>
          <w:lang w:val="en-US"/>
        </w:rPr>
        <w:fldChar w:fldCharType="separate"/>
      </w:r>
      <w:r w:rsidR="008760F8">
        <w:t xml:space="preserve">Table </w:t>
      </w:r>
      <w:r w:rsidR="008760F8">
        <w:rPr>
          <w:noProof/>
        </w:rPr>
        <w:t>2</w:t>
      </w:r>
      <w:r w:rsidR="00696EF9">
        <w:rPr>
          <w:snapToGrid/>
          <w:lang w:val="en-US"/>
        </w:rPr>
        <w:fldChar w:fldCharType="end"/>
      </w:r>
      <w:r>
        <w:rPr>
          <w:snapToGrid/>
          <w:lang w:val="en-US"/>
        </w:rPr>
        <w:t>.</w:t>
      </w:r>
      <w:r w:rsidR="00BC591F">
        <w:rPr>
          <w:snapToGrid/>
          <w:lang w:val="en-US"/>
        </w:rPr>
        <w:t xml:space="preserve"> </w:t>
      </w:r>
    </w:p>
    <w:p w14:paraId="7DE3A286" w14:textId="6062E270" w:rsidR="008E0D3C" w:rsidRPr="002E4F02" w:rsidRDefault="00696EF9" w:rsidP="005F1914">
      <w:pPr>
        <w:pStyle w:val="TableFigureHeading"/>
        <w:rPr>
          <w:rStyle w:val="CommentReference"/>
          <w:b/>
          <w:szCs w:val="24"/>
        </w:rPr>
      </w:pPr>
      <w:bookmarkStart w:id="25" w:name="_Ref104803956"/>
      <w:r>
        <w:t xml:space="preserve">Table </w:t>
      </w:r>
      <w:r>
        <w:fldChar w:fldCharType="begin" w:fldLock="1"/>
      </w:r>
      <w:r>
        <w:instrText>SEQ Table \* ARABIC</w:instrText>
      </w:r>
      <w:r>
        <w:fldChar w:fldCharType="separate"/>
      </w:r>
      <w:r w:rsidR="008760F8">
        <w:rPr>
          <w:noProof/>
        </w:rPr>
        <w:t>2</w:t>
      </w:r>
      <w:r>
        <w:fldChar w:fldCharType="end"/>
      </w:r>
      <w:bookmarkEnd w:id="25"/>
      <w:r>
        <w:t>:</w:t>
      </w:r>
      <w:r w:rsidR="00BC591F" w:rsidRPr="002E4F02">
        <w:rPr>
          <w:rStyle w:val="CommentReference"/>
          <w:b/>
          <w:szCs w:val="24"/>
        </w:rPr>
        <w:t xml:space="preserve"> </w:t>
      </w:r>
      <w:r w:rsidR="008E0D3C" w:rsidRPr="002E4F02">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6"/>
        <w:gridCol w:w="5080"/>
        <w:gridCol w:w="2501"/>
      </w:tblGrid>
      <w:tr w:rsidR="008E0D3C" w:rsidRPr="00B41614" w14:paraId="6ACD35C4" w14:textId="77777777" w:rsidTr="00703B86">
        <w:trPr>
          <w:cantSplit/>
          <w:tblHeader/>
        </w:trPr>
        <w:tc>
          <w:tcPr>
            <w:tcW w:w="796" w:type="pct"/>
            <w:vAlign w:val="center"/>
          </w:tcPr>
          <w:p w14:paraId="20DEEB23" w14:textId="77777777" w:rsidR="008E0D3C" w:rsidRPr="00B41614" w:rsidRDefault="008E0D3C" w:rsidP="005F1914">
            <w:pPr>
              <w:pStyle w:val="In-tableHeading"/>
              <w:jc w:val="center"/>
            </w:pPr>
            <w:r w:rsidRPr="00B41614">
              <w:t>Trial ID</w:t>
            </w:r>
          </w:p>
        </w:tc>
        <w:tc>
          <w:tcPr>
            <w:tcW w:w="2817" w:type="pct"/>
            <w:vAlign w:val="center"/>
          </w:tcPr>
          <w:p w14:paraId="22EF6C51" w14:textId="77777777" w:rsidR="008E0D3C" w:rsidRPr="00B41614" w:rsidRDefault="008E0D3C" w:rsidP="005F1914">
            <w:pPr>
              <w:pStyle w:val="In-tableHeading"/>
              <w:jc w:val="center"/>
            </w:pPr>
            <w:r w:rsidRPr="00B41614">
              <w:t>Protocol title/ Publication title</w:t>
            </w:r>
          </w:p>
        </w:tc>
        <w:tc>
          <w:tcPr>
            <w:tcW w:w="1387" w:type="pct"/>
            <w:vAlign w:val="center"/>
          </w:tcPr>
          <w:p w14:paraId="561B27A8" w14:textId="77777777" w:rsidR="008E0D3C" w:rsidRPr="00B41614" w:rsidRDefault="008E0D3C" w:rsidP="005F1914">
            <w:pPr>
              <w:pStyle w:val="In-tableHeading"/>
              <w:jc w:val="center"/>
            </w:pPr>
            <w:r w:rsidRPr="00B41614">
              <w:t>Publication citation</w:t>
            </w:r>
          </w:p>
        </w:tc>
      </w:tr>
      <w:tr w:rsidR="00703B86" w:rsidRPr="00CB38A8" w14:paraId="1A16741E" w14:textId="77777777" w:rsidTr="00703B86">
        <w:trPr>
          <w:cantSplit/>
        </w:trPr>
        <w:tc>
          <w:tcPr>
            <w:tcW w:w="796" w:type="pct"/>
            <w:vMerge w:val="restart"/>
            <w:tcBorders>
              <w:left w:val="single" w:sz="4" w:space="0" w:color="auto"/>
              <w:right w:val="single" w:sz="4" w:space="0" w:color="auto"/>
            </w:tcBorders>
            <w:vAlign w:val="center"/>
          </w:tcPr>
          <w:p w14:paraId="5038A80B" w14:textId="53307354" w:rsidR="00703B86" w:rsidRDefault="00703B86" w:rsidP="005F1914">
            <w:pPr>
              <w:pStyle w:val="In-tableHeading"/>
              <w:widowControl w:val="0"/>
              <w:rPr>
                <w:b w:val="0"/>
                <w:bCs/>
              </w:rPr>
            </w:pPr>
            <w:r>
              <w:rPr>
                <w:b w:val="0"/>
                <w:bCs/>
              </w:rPr>
              <w:t>COSMIC-311</w:t>
            </w:r>
          </w:p>
          <w:p w14:paraId="0E5249D6" w14:textId="6A7388DC" w:rsidR="00703B86" w:rsidRPr="00CB38A8" w:rsidRDefault="00703B86" w:rsidP="005F1914">
            <w:pPr>
              <w:pStyle w:val="Tabletext"/>
              <w:keepNext/>
              <w:keepLines/>
            </w:pPr>
            <w:r>
              <w:rPr>
                <w:bCs/>
              </w:rPr>
              <w:t>(</w:t>
            </w:r>
            <w:hyperlink r:id="rId8" w:history="1">
              <w:r w:rsidRPr="00F013AA">
                <w:rPr>
                  <w:rStyle w:val="Hyperlink"/>
                  <w:bCs/>
                </w:rPr>
                <w:t>NCT03690388</w:t>
              </w:r>
            </w:hyperlink>
            <w:r>
              <w:rPr>
                <w:bCs/>
              </w:rPr>
              <w:t>)</w:t>
            </w:r>
          </w:p>
        </w:tc>
        <w:tc>
          <w:tcPr>
            <w:tcW w:w="2817" w:type="pct"/>
            <w:tcBorders>
              <w:top w:val="single" w:sz="4" w:space="0" w:color="auto"/>
              <w:left w:val="single" w:sz="4" w:space="0" w:color="auto"/>
              <w:bottom w:val="nil"/>
              <w:right w:val="single" w:sz="4" w:space="0" w:color="auto"/>
            </w:tcBorders>
          </w:tcPr>
          <w:p w14:paraId="3FFCC0D6" w14:textId="77777777" w:rsidR="00703B86" w:rsidRPr="00D043C8" w:rsidRDefault="00703B86" w:rsidP="005F1914">
            <w:pPr>
              <w:pStyle w:val="In-tableHeading"/>
              <w:widowControl w:val="0"/>
              <w:spacing w:after="120"/>
              <w:rPr>
                <w:b w:val="0"/>
                <w:bCs/>
              </w:rPr>
            </w:pPr>
            <w:r w:rsidRPr="00D043C8">
              <w:rPr>
                <w:b w:val="0"/>
                <w:bCs/>
              </w:rPr>
              <w:t xml:space="preserve">Clinical study report: XL184-311 </w:t>
            </w:r>
          </w:p>
          <w:p w14:paraId="05E755B0" w14:textId="5E7EA06A" w:rsidR="00703B86" w:rsidRDefault="00703B86" w:rsidP="005F1914">
            <w:pPr>
              <w:pStyle w:val="TableText0"/>
            </w:pPr>
            <w:r w:rsidRPr="00D043C8">
              <w:t>A Phase 3, Randomized, Double-Blind, Placebo-Controlled Study of Cabozantinib (XL184) in Subjects with Radioiodine-Refractory Differentiated Thyroid Cancer Who Have Progressed after Prior VEGFR-Targeted Therapy.</w:t>
            </w:r>
          </w:p>
        </w:tc>
        <w:tc>
          <w:tcPr>
            <w:tcW w:w="1387" w:type="pct"/>
            <w:tcBorders>
              <w:top w:val="single" w:sz="4" w:space="0" w:color="auto"/>
              <w:left w:val="single" w:sz="4" w:space="0" w:color="auto"/>
              <w:bottom w:val="nil"/>
              <w:right w:val="single" w:sz="4" w:space="0" w:color="auto"/>
            </w:tcBorders>
          </w:tcPr>
          <w:p w14:paraId="16CEE43B" w14:textId="3ADCF812" w:rsidR="00703B86" w:rsidRDefault="00703B86" w:rsidP="005F1914">
            <w:pPr>
              <w:pStyle w:val="TableText0"/>
              <w:rPr>
                <w:i/>
              </w:rPr>
            </w:pPr>
            <w:r w:rsidRPr="00D043C8">
              <w:t>May 2021</w:t>
            </w:r>
          </w:p>
        </w:tc>
      </w:tr>
      <w:tr w:rsidR="00703B86" w:rsidRPr="004F550E" w14:paraId="4035A541" w14:textId="77777777" w:rsidTr="00703B86">
        <w:tc>
          <w:tcPr>
            <w:tcW w:w="796" w:type="pct"/>
            <w:vMerge/>
            <w:tcBorders>
              <w:left w:val="single" w:sz="4" w:space="0" w:color="auto"/>
              <w:right w:val="single" w:sz="4" w:space="0" w:color="auto"/>
            </w:tcBorders>
            <w:vAlign w:val="center"/>
          </w:tcPr>
          <w:p w14:paraId="2F6348E3" w14:textId="77777777" w:rsidR="00703B86" w:rsidRPr="0077569B" w:rsidRDefault="00703B86" w:rsidP="005F1914">
            <w:pPr>
              <w:pStyle w:val="In-tableHeading"/>
              <w:widowControl w:val="0"/>
              <w:rPr>
                <w:b w:val="0"/>
                <w:bCs/>
              </w:rPr>
            </w:pPr>
          </w:p>
        </w:tc>
        <w:tc>
          <w:tcPr>
            <w:tcW w:w="2817" w:type="pct"/>
            <w:tcBorders>
              <w:top w:val="nil"/>
              <w:left w:val="single" w:sz="4" w:space="0" w:color="auto"/>
              <w:bottom w:val="nil"/>
              <w:right w:val="single" w:sz="4" w:space="0" w:color="auto"/>
            </w:tcBorders>
          </w:tcPr>
          <w:p w14:paraId="0EF002C9" w14:textId="65119197" w:rsidR="00703B86" w:rsidRPr="00D043C8" w:rsidRDefault="00703B86" w:rsidP="005F1914">
            <w:pPr>
              <w:pStyle w:val="In-tableHeading"/>
              <w:widowControl w:val="0"/>
              <w:spacing w:after="120"/>
              <w:rPr>
                <w:b w:val="0"/>
                <w:bCs/>
              </w:rPr>
            </w:pPr>
            <w:r w:rsidRPr="00D043C8">
              <w:rPr>
                <w:b w:val="0"/>
                <w:bCs/>
              </w:rPr>
              <w:t>Clinical study report: XL184-311 ADDENDUM 1</w:t>
            </w:r>
          </w:p>
        </w:tc>
        <w:tc>
          <w:tcPr>
            <w:tcW w:w="1387" w:type="pct"/>
            <w:tcBorders>
              <w:top w:val="nil"/>
              <w:left w:val="single" w:sz="4" w:space="0" w:color="auto"/>
              <w:bottom w:val="nil"/>
              <w:right w:val="single" w:sz="4" w:space="0" w:color="auto"/>
            </w:tcBorders>
          </w:tcPr>
          <w:p w14:paraId="28A79616" w14:textId="6E0B4C08" w:rsidR="00703B86" w:rsidRPr="00D043C8" w:rsidRDefault="00703B86" w:rsidP="005F1914">
            <w:pPr>
              <w:pStyle w:val="In-tableHeading"/>
              <w:widowControl w:val="0"/>
              <w:spacing w:after="120"/>
              <w:rPr>
                <w:b w:val="0"/>
                <w:bCs/>
              </w:rPr>
            </w:pPr>
            <w:r w:rsidRPr="00D043C8">
              <w:rPr>
                <w:b w:val="0"/>
                <w:bCs/>
              </w:rPr>
              <w:t>May 2021</w:t>
            </w:r>
          </w:p>
        </w:tc>
      </w:tr>
      <w:tr w:rsidR="00703B86" w:rsidRPr="004F550E" w14:paraId="34413431" w14:textId="77777777" w:rsidTr="00703B86">
        <w:tc>
          <w:tcPr>
            <w:tcW w:w="796" w:type="pct"/>
            <w:vMerge/>
            <w:tcBorders>
              <w:left w:val="single" w:sz="4" w:space="0" w:color="auto"/>
              <w:right w:val="single" w:sz="4" w:space="0" w:color="auto"/>
            </w:tcBorders>
            <w:vAlign w:val="center"/>
          </w:tcPr>
          <w:p w14:paraId="70A6C505" w14:textId="77777777" w:rsidR="00703B86" w:rsidRPr="0077569B" w:rsidRDefault="00703B86" w:rsidP="005F1914">
            <w:pPr>
              <w:pStyle w:val="In-tableHeading"/>
              <w:widowControl w:val="0"/>
              <w:rPr>
                <w:b w:val="0"/>
                <w:bCs/>
              </w:rPr>
            </w:pPr>
          </w:p>
        </w:tc>
        <w:tc>
          <w:tcPr>
            <w:tcW w:w="2817" w:type="pct"/>
            <w:tcBorders>
              <w:top w:val="nil"/>
              <w:left w:val="single" w:sz="4" w:space="0" w:color="auto"/>
              <w:bottom w:val="nil"/>
              <w:right w:val="single" w:sz="4" w:space="0" w:color="auto"/>
            </w:tcBorders>
          </w:tcPr>
          <w:p w14:paraId="48E13E5D" w14:textId="447C1C89" w:rsidR="00703B86" w:rsidRPr="00D043C8" w:rsidRDefault="00703B86" w:rsidP="005F1914">
            <w:pPr>
              <w:pStyle w:val="In-tableHeading"/>
              <w:widowControl w:val="0"/>
              <w:spacing w:after="120"/>
              <w:rPr>
                <w:b w:val="0"/>
                <w:bCs/>
              </w:rPr>
            </w:pPr>
            <w:r w:rsidRPr="00D043C8">
              <w:rPr>
                <w:b w:val="0"/>
                <w:bCs/>
              </w:rPr>
              <w:t>Clinical Study report: XL184-311 ADDENDUM 2</w:t>
            </w:r>
          </w:p>
        </w:tc>
        <w:tc>
          <w:tcPr>
            <w:tcW w:w="1387" w:type="pct"/>
            <w:tcBorders>
              <w:top w:val="nil"/>
              <w:left w:val="single" w:sz="4" w:space="0" w:color="auto"/>
              <w:bottom w:val="nil"/>
              <w:right w:val="single" w:sz="4" w:space="0" w:color="auto"/>
            </w:tcBorders>
          </w:tcPr>
          <w:p w14:paraId="042255C6" w14:textId="685F7A5A" w:rsidR="00703B86" w:rsidRPr="00D043C8" w:rsidRDefault="00703B86" w:rsidP="005F1914">
            <w:pPr>
              <w:pStyle w:val="In-tableHeading"/>
              <w:widowControl w:val="0"/>
              <w:spacing w:after="120"/>
              <w:rPr>
                <w:b w:val="0"/>
                <w:bCs/>
              </w:rPr>
            </w:pPr>
            <w:r w:rsidRPr="00D043C8">
              <w:rPr>
                <w:b w:val="0"/>
                <w:bCs/>
              </w:rPr>
              <w:t>August 2021</w:t>
            </w:r>
          </w:p>
        </w:tc>
      </w:tr>
      <w:tr w:rsidR="00703B86" w:rsidRPr="0077569B" w14:paraId="55BD55F7" w14:textId="77777777" w:rsidTr="00703B86">
        <w:tc>
          <w:tcPr>
            <w:tcW w:w="796" w:type="pct"/>
            <w:vMerge/>
            <w:tcBorders>
              <w:left w:val="single" w:sz="4" w:space="0" w:color="auto"/>
              <w:right w:val="single" w:sz="4" w:space="0" w:color="auto"/>
            </w:tcBorders>
            <w:vAlign w:val="center"/>
          </w:tcPr>
          <w:p w14:paraId="4258793A" w14:textId="77777777" w:rsidR="00703B86" w:rsidRPr="0077569B" w:rsidRDefault="00703B86" w:rsidP="005F1914">
            <w:pPr>
              <w:pStyle w:val="In-tableHeading"/>
              <w:widowControl w:val="0"/>
              <w:rPr>
                <w:b w:val="0"/>
                <w:bCs/>
              </w:rPr>
            </w:pPr>
          </w:p>
        </w:tc>
        <w:tc>
          <w:tcPr>
            <w:tcW w:w="2817" w:type="pct"/>
            <w:tcBorders>
              <w:top w:val="nil"/>
              <w:left w:val="single" w:sz="4" w:space="0" w:color="auto"/>
              <w:bottom w:val="nil"/>
              <w:right w:val="single" w:sz="4" w:space="0" w:color="auto"/>
            </w:tcBorders>
          </w:tcPr>
          <w:p w14:paraId="572F7378" w14:textId="5B97C17E" w:rsidR="00703B86" w:rsidRPr="00D043C8" w:rsidRDefault="00703B86" w:rsidP="005F1914">
            <w:pPr>
              <w:pStyle w:val="In-tableHeading"/>
              <w:widowControl w:val="0"/>
              <w:spacing w:after="120"/>
              <w:rPr>
                <w:b w:val="0"/>
                <w:bCs/>
              </w:rPr>
            </w:pPr>
            <w:r w:rsidRPr="00D043C8">
              <w:rPr>
                <w:b w:val="0"/>
                <w:bCs/>
              </w:rPr>
              <w:t>Brose</w:t>
            </w:r>
            <w:r>
              <w:rPr>
                <w:b w:val="0"/>
                <w:bCs/>
              </w:rPr>
              <w:t xml:space="preserve"> M</w:t>
            </w:r>
            <w:r w:rsidRPr="00D043C8">
              <w:rPr>
                <w:b w:val="0"/>
                <w:bCs/>
              </w:rPr>
              <w:t>, Robinson</w:t>
            </w:r>
            <w:r>
              <w:rPr>
                <w:b w:val="0"/>
                <w:bCs/>
              </w:rPr>
              <w:t xml:space="preserve"> B</w:t>
            </w:r>
            <w:r w:rsidRPr="00D043C8">
              <w:rPr>
                <w:b w:val="0"/>
                <w:bCs/>
              </w:rPr>
              <w:t>, Sherman</w:t>
            </w:r>
            <w:r>
              <w:rPr>
                <w:b w:val="0"/>
                <w:bCs/>
              </w:rPr>
              <w:t xml:space="preserve"> S et al.</w:t>
            </w:r>
            <w:r w:rsidRPr="00D043C8">
              <w:rPr>
                <w:b w:val="0"/>
                <w:bCs/>
              </w:rPr>
              <w:t xml:space="preserve"> Cabozantinib for previously treated radioiodine-refractory differentiated thyroid cancer: updated results from the phase 3 COSMIC-311 trial.</w:t>
            </w:r>
          </w:p>
        </w:tc>
        <w:tc>
          <w:tcPr>
            <w:tcW w:w="1387" w:type="pct"/>
            <w:tcBorders>
              <w:top w:val="nil"/>
              <w:left w:val="single" w:sz="4" w:space="0" w:color="auto"/>
              <w:bottom w:val="nil"/>
              <w:right w:val="single" w:sz="4" w:space="0" w:color="auto"/>
            </w:tcBorders>
          </w:tcPr>
          <w:p w14:paraId="526DB4C9" w14:textId="67E6D3AA" w:rsidR="00703B86" w:rsidRPr="00EC4875" w:rsidRDefault="00703B86" w:rsidP="005F1914">
            <w:pPr>
              <w:pStyle w:val="In-tableHeading"/>
              <w:widowControl w:val="0"/>
              <w:spacing w:after="120"/>
              <w:rPr>
                <w:b w:val="0"/>
                <w:bCs/>
                <w:i/>
                <w:iCs/>
              </w:rPr>
            </w:pPr>
            <w:r w:rsidRPr="00EC4875">
              <w:rPr>
                <w:b w:val="0"/>
                <w:bCs/>
                <w:i/>
                <w:iCs/>
              </w:rPr>
              <w:t xml:space="preserve">Cancer </w:t>
            </w:r>
            <w:r w:rsidRPr="00EC4875">
              <w:rPr>
                <w:b w:val="0"/>
                <w:bCs/>
              </w:rPr>
              <w:t>2022;</w:t>
            </w:r>
            <w:r>
              <w:rPr>
                <w:b w:val="0"/>
                <w:bCs/>
              </w:rPr>
              <w:t xml:space="preserve"> </w:t>
            </w:r>
            <w:r w:rsidRPr="00D043C8">
              <w:rPr>
                <w:b w:val="0"/>
                <w:bCs/>
              </w:rPr>
              <w:t>128</w:t>
            </w:r>
            <w:r>
              <w:rPr>
                <w:b w:val="0"/>
                <w:bCs/>
              </w:rPr>
              <w:t>(</w:t>
            </w:r>
            <w:r w:rsidRPr="00D043C8">
              <w:rPr>
                <w:b w:val="0"/>
                <w:bCs/>
              </w:rPr>
              <w:t>24</w:t>
            </w:r>
            <w:r>
              <w:rPr>
                <w:b w:val="0"/>
                <w:bCs/>
              </w:rPr>
              <w:t>):</w:t>
            </w:r>
            <w:r w:rsidRPr="00D043C8">
              <w:rPr>
                <w:b w:val="0"/>
                <w:bCs/>
              </w:rPr>
              <w:t>4203</w:t>
            </w:r>
            <w:r w:rsidRPr="00D043C8">
              <w:rPr>
                <w:rFonts w:ascii="Cambria Math" w:hAnsi="Cambria Math" w:cs="Cambria Math"/>
                <w:b w:val="0"/>
                <w:bCs/>
              </w:rPr>
              <w:t>‐</w:t>
            </w:r>
            <w:r w:rsidRPr="00D043C8">
              <w:rPr>
                <w:b w:val="0"/>
                <w:bCs/>
              </w:rPr>
              <w:t>4212</w:t>
            </w:r>
          </w:p>
        </w:tc>
      </w:tr>
      <w:tr w:rsidR="00703B86" w:rsidRPr="00D043C8" w14:paraId="362DD05D" w14:textId="77777777" w:rsidTr="00703B86">
        <w:tc>
          <w:tcPr>
            <w:tcW w:w="796" w:type="pct"/>
            <w:vMerge/>
            <w:tcBorders>
              <w:left w:val="single" w:sz="4" w:space="0" w:color="auto"/>
              <w:right w:val="single" w:sz="4" w:space="0" w:color="auto"/>
            </w:tcBorders>
            <w:vAlign w:val="center"/>
          </w:tcPr>
          <w:p w14:paraId="399ACB85" w14:textId="77777777" w:rsidR="00703B86" w:rsidRPr="0077569B" w:rsidRDefault="00703B86" w:rsidP="005F1914">
            <w:pPr>
              <w:pStyle w:val="In-tableHeading"/>
              <w:widowControl w:val="0"/>
              <w:rPr>
                <w:b w:val="0"/>
                <w:bCs/>
              </w:rPr>
            </w:pPr>
          </w:p>
        </w:tc>
        <w:tc>
          <w:tcPr>
            <w:tcW w:w="2817" w:type="pct"/>
            <w:tcBorders>
              <w:top w:val="nil"/>
              <w:left w:val="single" w:sz="4" w:space="0" w:color="auto"/>
              <w:bottom w:val="nil"/>
              <w:right w:val="single" w:sz="4" w:space="0" w:color="auto"/>
            </w:tcBorders>
          </w:tcPr>
          <w:p w14:paraId="027E8A88" w14:textId="169F4F83" w:rsidR="00703B86" w:rsidRPr="00EC4875" w:rsidRDefault="00703B86" w:rsidP="005F1914">
            <w:pPr>
              <w:pStyle w:val="In-tableHeading"/>
              <w:widowControl w:val="0"/>
              <w:spacing w:after="120"/>
              <w:rPr>
                <w:b w:val="0"/>
                <w:bCs/>
              </w:rPr>
            </w:pPr>
            <w:r w:rsidRPr="00EC4875">
              <w:rPr>
                <w:b w:val="0"/>
                <w:bCs/>
              </w:rPr>
              <w:t>Erratum to “Cabozantinib for previously treated radioiodine-refractory differentiated thyroid cancer: updated results from the phase 3 COSMIC-311 trial”</w:t>
            </w:r>
          </w:p>
        </w:tc>
        <w:tc>
          <w:tcPr>
            <w:tcW w:w="1387" w:type="pct"/>
            <w:tcBorders>
              <w:top w:val="nil"/>
              <w:left w:val="single" w:sz="4" w:space="0" w:color="auto"/>
              <w:bottom w:val="nil"/>
              <w:right w:val="single" w:sz="4" w:space="0" w:color="auto"/>
            </w:tcBorders>
          </w:tcPr>
          <w:p w14:paraId="4B953562" w14:textId="78BA1241" w:rsidR="00703B86" w:rsidRPr="00EC4875" w:rsidRDefault="00703B86" w:rsidP="005F1914">
            <w:pPr>
              <w:pStyle w:val="In-tableHeading"/>
              <w:widowControl w:val="0"/>
              <w:spacing w:after="120"/>
              <w:rPr>
                <w:b w:val="0"/>
                <w:bCs/>
                <w:i/>
                <w:iCs/>
              </w:rPr>
            </w:pPr>
            <w:r w:rsidRPr="00EC4875">
              <w:rPr>
                <w:b w:val="0"/>
                <w:bCs/>
                <w:i/>
                <w:iCs/>
              </w:rPr>
              <w:t xml:space="preserve">Cancer </w:t>
            </w:r>
            <w:r w:rsidRPr="00EC4875">
              <w:rPr>
                <w:b w:val="0"/>
                <w:bCs/>
              </w:rPr>
              <w:t>2022; 128(24):4203</w:t>
            </w:r>
            <w:r w:rsidRPr="00EC4875">
              <w:rPr>
                <w:rFonts w:ascii="Cambria Math" w:hAnsi="Cambria Math" w:cs="Cambria Math"/>
                <w:b w:val="0"/>
                <w:bCs/>
              </w:rPr>
              <w:t>‐</w:t>
            </w:r>
            <w:r w:rsidRPr="00EC4875">
              <w:rPr>
                <w:b w:val="0"/>
                <w:bCs/>
              </w:rPr>
              <w:t>4212</w:t>
            </w:r>
          </w:p>
        </w:tc>
      </w:tr>
      <w:tr w:rsidR="00703B86" w:rsidRPr="00D043C8" w14:paraId="5C507927" w14:textId="77777777" w:rsidTr="00703B86">
        <w:tc>
          <w:tcPr>
            <w:tcW w:w="796" w:type="pct"/>
            <w:vMerge/>
            <w:tcBorders>
              <w:left w:val="single" w:sz="4" w:space="0" w:color="auto"/>
              <w:right w:val="single" w:sz="4" w:space="0" w:color="auto"/>
            </w:tcBorders>
            <w:vAlign w:val="center"/>
          </w:tcPr>
          <w:p w14:paraId="0E12F98B" w14:textId="77777777" w:rsidR="00703B86" w:rsidRPr="0077569B" w:rsidRDefault="00703B86" w:rsidP="005F1914">
            <w:pPr>
              <w:pStyle w:val="In-tableHeading"/>
              <w:widowControl w:val="0"/>
              <w:rPr>
                <w:b w:val="0"/>
                <w:bCs/>
              </w:rPr>
            </w:pPr>
          </w:p>
        </w:tc>
        <w:tc>
          <w:tcPr>
            <w:tcW w:w="2817" w:type="pct"/>
            <w:tcBorders>
              <w:top w:val="nil"/>
              <w:left w:val="single" w:sz="4" w:space="0" w:color="auto"/>
              <w:bottom w:val="nil"/>
              <w:right w:val="single" w:sz="4" w:space="0" w:color="auto"/>
            </w:tcBorders>
          </w:tcPr>
          <w:p w14:paraId="08FC146E" w14:textId="1644C3EF" w:rsidR="00703B86" w:rsidRPr="00D043C8" w:rsidRDefault="00703B86" w:rsidP="005F1914">
            <w:pPr>
              <w:pStyle w:val="In-tableHeading"/>
              <w:widowControl w:val="0"/>
              <w:spacing w:after="120"/>
              <w:rPr>
                <w:b w:val="0"/>
                <w:bCs/>
              </w:rPr>
            </w:pPr>
            <w:r w:rsidRPr="00D043C8">
              <w:rPr>
                <w:b w:val="0"/>
                <w:bCs/>
              </w:rPr>
              <w:t>Brose M, Robinson B, Sherman S et al. Cabozantinib for radioiodine-refractory differentiated thyroid cancer (COSMIC-311): a randomised, double-blind, placebo-controlled, phase 3 trial</w:t>
            </w:r>
          </w:p>
        </w:tc>
        <w:tc>
          <w:tcPr>
            <w:tcW w:w="1387" w:type="pct"/>
            <w:tcBorders>
              <w:top w:val="nil"/>
              <w:left w:val="single" w:sz="4" w:space="0" w:color="auto"/>
              <w:bottom w:val="nil"/>
              <w:right w:val="single" w:sz="4" w:space="0" w:color="auto"/>
            </w:tcBorders>
          </w:tcPr>
          <w:p w14:paraId="49A865A6" w14:textId="671D577A" w:rsidR="00703B86" w:rsidRPr="00D043C8" w:rsidRDefault="00703B86" w:rsidP="005F1914">
            <w:pPr>
              <w:pStyle w:val="In-tableHeading"/>
              <w:widowControl w:val="0"/>
              <w:spacing w:after="120"/>
              <w:rPr>
                <w:b w:val="0"/>
                <w:bCs/>
                <w:i/>
                <w:iCs/>
              </w:rPr>
            </w:pPr>
            <w:r w:rsidRPr="00D043C8">
              <w:rPr>
                <w:b w:val="0"/>
                <w:bCs/>
                <w:i/>
                <w:iCs/>
              </w:rPr>
              <w:t>The Lancet Oncology</w:t>
            </w:r>
            <w:r>
              <w:rPr>
                <w:b w:val="0"/>
                <w:bCs/>
                <w:i/>
                <w:iCs/>
              </w:rPr>
              <w:t xml:space="preserve"> </w:t>
            </w:r>
            <w:r w:rsidRPr="00EC4875">
              <w:rPr>
                <w:b w:val="0"/>
                <w:bCs/>
              </w:rPr>
              <w:t>2021;</w:t>
            </w:r>
            <w:r>
              <w:rPr>
                <w:b w:val="0"/>
                <w:bCs/>
                <w:i/>
                <w:iCs/>
              </w:rPr>
              <w:t xml:space="preserve"> </w:t>
            </w:r>
            <w:r w:rsidRPr="00D043C8">
              <w:rPr>
                <w:b w:val="0"/>
                <w:bCs/>
              </w:rPr>
              <w:t>22</w:t>
            </w:r>
            <w:r>
              <w:rPr>
                <w:b w:val="0"/>
                <w:bCs/>
              </w:rPr>
              <w:t>(8):</w:t>
            </w:r>
            <w:r w:rsidRPr="00D043C8">
              <w:rPr>
                <w:b w:val="0"/>
                <w:bCs/>
              </w:rPr>
              <w:t>1126-1138</w:t>
            </w:r>
          </w:p>
        </w:tc>
      </w:tr>
      <w:tr w:rsidR="00703B86" w:rsidRPr="009A1D1C" w14:paraId="4FB47D50" w14:textId="77777777" w:rsidTr="00703B86">
        <w:tc>
          <w:tcPr>
            <w:tcW w:w="796" w:type="pct"/>
            <w:vMerge/>
            <w:tcBorders>
              <w:left w:val="single" w:sz="4" w:space="0" w:color="auto"/>
              <w:right w:val="single" w:sz="4" w:space="0" w:color="auto"/>
            </w:tcBorders>
            <w:vAlign w:val="center"/>
          </w:tcPr>
          <w:p w14:paraId="1522AB7D" w14:textId="77777777" w:rsidR="00703B86" w:rsidRPr="009A1D1C" w:rsidRDefault="00703B86" w:rsidP="005F1914">
            <w:pPr>
              <w:pStyle w:val="In-tableHeading"/>
              <w:widowControl w:val="0"/>
              <w:rPr>
                <w:b w:val="0"/>
                <w:bCs/>
              </w:rPr>
            </w:pPr>
          </w:p>
        </w:tc>
        <w:tc>
          <w:tcPr>
            <w:tcW w:w="2817" w:type="pct"/>
            <w:tcBorders>
              <w:top w:val="nil"/>
              <w:left w:val="single" w:sz="4" w:space="0" w:color="auto"/>
              <w:bottom w:val="nil"/>
              <w:right w:val="single" w:sz="4" w:space="0" w:color="auto"/>
            </w:tcBorders>
          </w:tcPr>
          <w:p w14:paraId="6E1986FD" w14:textId="5A38461F" w:rsidR="00703B86" w:rsidRPr="009A1D1C" w:rsidRDefault="00703B86" w:rsidP="005F1914">
            <w:pPr>
              <w:pStyle w:val="In-tableHeading"/>
              <w:widowControl w:val="0"/>
              <w:spacing w:after="120"/>
              <w:rPr>
                <w:b w:val="0"/>
                <w:bCs/>
              </w:rPr>
            </w:pPr>
            <w:r w:rsidRPr="009A1D1C">
              <w:rPr>
                <w:b w:val="0"/>
                <w:bCs/>
              </w:rPr>
              <w:t>Brose</w:t>
            </w:r>
            <w:r>
              <w:rPr>
                <w:b w:val="0"/>
                <w:bCs/>
              </w:rPr>
              <w:t xml:space="preserve"> M</w:t>
            </w:r>
            <w:r w:rsidRPr="009A1D1C">
              <w:rPr>
                <w:b w:val="0"/>
                <w:bCs/>
              </w:rPr>
              <w:t xml:space="preserve">, </w:t>
            </w:r>
            <w:proofErr w:type="spellStart"/>
            <w:r w:rsidRPr="009A1D1C">
              <w:rPr>
                <w:b w:val="0"/>
                <w:bCs/>
              </w:rPr>
              <w:t>Krajewska</w:t>
            </w:r>
            <w:proofErr w:type="spellEnd"/>
            <w:r>
              <w:rPr>
                <w:b w:val="0"/>
                <w:bCs/>
              </w:rPr>
              <w:t xml:space="preserve"> J</w:t>
            </w:r>
            <w:r w:rsidRPr="009A1D1C">
              <w:rPr>
                <w:b w:val="0"/>
                <w:bCs/>
              </w:rPr>
              <w:t xml:space="preserve">, </w:t>
            </w:r>
            <w:proofErr w:type="spellStart"/>
            <w:r w:rsidRPr="009A1D1C">
              <w:rPr>
                <w:b w:val="0"/>
                <w:bCs/>
              </w:rPr>
              <w:t>Vaisman</w:t>
            </w:r>
            <w:proofErr w:type="spellEnd"/>
            <w:r>
              <w:rPr>
                <w:b w:val="0"/>
                <w:bCs/>
              </w:rPr>
              <w:t xml:space="preserve"> F</w:t>
            </w:r>
            <w:r w:rsidRPr="009A1D1C">
              <w:rPr>
                <w:b w:val="0"/>
                <w:bCs/>
              </w:rPr>
              <w:t xml:space="preserve"> et al. Cabozantinib versus placebo in patients with radioiodine-refractory differentiated thyroid cancer (RAIR-DTC) who progressed after prior VEGFR-targeted therapy: outcomes by duration of prior lenvatinib treatment. </w:t>
            </w:r>
          </w:p>
        </w:tc>
        <w:tc>
          <w:tcPr>
            <w:tcW w:w="1387" w:type="pct"/>
            <w:tcBorders>
              <w:top w:val="nil"/>
              <w:left w:val="single" w:sz="4" w:space="0" w:color="auto"/>
              <w:bottom w:val="nil"/>
              <w:right w:val="single" w:sz="4" w:space="0" w:color="auto"/>
            </w:tcBorders>
          </w:tcPr>
          <w:p w14:paraId="645C9B08" w14:textId="66AB0175" w:rsidR="00703B86" w:rsidRPr="009C7E30" w:rsidRDefault="00703B86" w:rsidP="005F1914">
            <w:pPr>
              <w:pStyle w:val="In-tableHeading"/>
              <w:widowControl w:val="0"/>
              <w:spacing w:after="120"/>
              <w:rPr>
                <w:b w:val="0"/>
                <w:bCs/>
                <w:i/>
                <w:iCs/>
              </w:rPr>
            </w:pPr>
            <w:r w:rsidRPr="009C7E30">
              <w:rPr>
                <w:b w:val="0"/>
                <w:bCs/>
                <w:i/>
                <w:iCs/>
              </w:rPr>
              <w:t xml:space="preserve">Thyroid </w:t>
            </w:r>
            <w:r w:rsidRPr="00EC4875">
              <w:rPr>
                <w:b w:val="0"/>
                <w:bCs/>
              </w:rPr>
              <w:t xml:space="preserve">2022 </w:t>
            </w:r>
            <w:r w:rsidR="00872631" w:rsidRPr="00EC4875">
              <w:rPr>
                <w:b w:val="0"/>
                <w:bCs/>
              </w:rPr>
              <w:t>32</w:t>
            </w:r>
            <w:r w:rsidR="00872631">
              <w:rPr>
                <w:b w:val="0"/>
                <w:bCs/>
              </w:rPr>
              <w:t>:</w:t>
            </w:r>
            <w:r w:rsidR="00872631" w:rsidRPr="00EC4875">
              <w:rPr>
                <w:b w:val="0"/>
                <w:bCs/>
              </w:rPr>
              <w:t xml:space="preserve"> A</w:t>
            </w:r>
            <w:r w:rsidRPr="00EC4875">
              <w:rPr>
                <w:b w:val="0"/>
                <w:bCs/>
              </w:rPr>
              <w:t>97</w:t>
            </w:r>
          </w:p>
        </w:tc>
      </w:tr>
      <w:tr w:rsidR="00703B86" w:rsidRPr="009A1D1C" w14:paraId="37C35DEC" w14:textId="77777777" w:rsidTr="00703B86">
        <w:tc>
          <w:tcPr>
            <w:tcW w:w="796" w:type="pct"/>
            <w:vMerge/>
            <w:tcBorders>
              <w:left w:val="single" w:sz="4" w:space="0" w:color="auto"/>
              <w:right w:val="single" w:sz="4" w:space="0" w:color="auto"/>
            </w:tcBorders>
            <w:vAlign w:val="center"/>
          </w:tcPr>
          <w:p w14:paraId="41867318" w14:textId="77777777" w:rsidR="00703B86" w:rsidRPr="009A1D1C" w:rsidRDefault="00703B86" w:rsidP="005F1914">
            <w:pPr>
              <w:pStyle w:val="In-tableHeading"/>
              <w:widowControl w:val="0"/>
              <w:rPr>
                <w:b w:val="0"/>
                <w:bCs/>
              </w:rPr>
            </w:pPr>
          </w:p>
        </w:tc>
        <w:tc>
          <w:tcPr>
            <w:tcW w:w="2817" w:type="pct"/>
            <w:tcBorders>
              <w:top w:val="nil"/>
              <w:left w:val="single" w:sz="4" w:space="0" w:color="auto"/>
              <w:bottom w:val="nil"/>
              <w:right w:val="single" w:sz="4" w:space="0" w:color="auto"/>
            </w:tcBorders>
          </w:tcPr>
          <w:p w14:paraId="5DFA429F" w14:textId="3605F8C3" w:rsidR="00703B86" w:rsidRPr="009A1D1C" w:rsidRDefault="00703B86" w:rsidP="005F1914">
            <w:pPr>
              <w:pStyle w:val="In-tableHeading"/>
              <w:widowControl w:val="0"/>
              <w:spacing w:after="120"/>
              <w:rPr>
                <w:b w:val="0"/>
                <w:bCs/>
              </w:rPr>
            </w:pPr>
            <w:r w:rsidRPr="00585411">
              <w:rPr>
                <w:b w:val="0"/>
                <w:bCs/>
              </w:rPr>
              <w:t xml:space="preserve">Brose M, </w:t>
            </w:r>
            <w:proofErr w:type="spellStart"/>
            <w:r w:rsidRPr="00585411">
              <w:rPr>
                <w:b w:val="0"/>
                <w:bCs/>
              </w:rPr>
              <w:t>Krajewska</w:t>
            </w:r>
            <w:proofErr w:type="spellEnd"/>
            <w:r w:rsidRPr="00585411">
              <w:rPr>
                <w:b w:val="0"/>
                <w:bCs/>
              </w:rPr>
              <w:t xml:space="preserve"> J, </w:t>
            </w:r>
            <w:proofErr w:type="spellStart"/>
            <w:r w:rsidRPr="00585411">
              <w:rPr>
                <w:b w:val="0"/>
                <w:bCs/>
              </w:rPr>
              <w:t>Vaisman</w:t>
            </w:r>
            <w:proofErr w:type="spellEnd"/>
            <w:r w:rsidRPr="00585411">
              <w:rPr>
                <w:b w:val="0"/>
                <w:bCs/>
              </w:rPr>
              <w:t xml:space="preserve"> A et al. 1653P Cabozantinib © vs placebo (P) in patients (pts) with radioiodine-refractory (RAIR) differentiated thyroid cancer (DTC) who progressed after prior VEGFR-targeted therapy: Outcomes by duration of pri</w:t>
            </w:r>
            <w:r w:rsidR="00585411" w:rsidRPr="00585411">
              <w:rPr>
                <w:b w:val="0"/>
                <w:bCs/>
              </w:rPr>
              <w:t>or lenvatinib</w:t>
            </w:r>
            <w:r w:rsidRPr="00585411">
              <w:rPr>
                <w:b w:val="0"/>
                <w:bCs/>
              </w:rPr>
              <w:t xml:space="preserve"> (L) treatment.</w:t>
            </w:r>
            <w:r w:rsidRPr="009A1D1C">
              <w:rPr>
                <w:b w:val="0"/>
                <w:bCs/>
              </w:rPr>
              <w:t xml:space="preserve">  </w:t>
            </w:r>
          </w:p>
        </w:tc>
        <w:tc>
          <w:tcPr>
            <w:tcW w:w="1387" w:type="pct"/>
            <w:tcBorders>
              <w:top w:val="nil"/>
              <w:left w:val="single" w:sz="4" w:space="0" w:color="auto"/>
              <w:bottom w:val="nil"/>
              <w:right w:val="single" w:sz="4" w:space="0" w:color="auto"/>
            </w:tcBorders>
          </w:tcPr>
          <w:p w14:paraId="64DAC4F9" w14:textId="75D47E0F" w:rsidR="00703B86" w:rsidRPr="009C7E30" w:rsidRDefault="00703B86" w:rsidP="005F1914">
            <w:pPr>
              <w:pStyle w:val="In-tableHeading"/>
              <w:widowControl w:val="0"/>
              <w:spacing w:after="120"/>
              <w:rPr>
                <w:b w:val="0"/>
                <w:bCs/>
                <w:i/>
                <w:iCs/>
              </w:rPr>
            </w:pPr>
            <w:r w:rsidRPr="009C7E30">
              <w:rPr>
                <w:b w:val="0"/>
                <w:bCs/>
                <w:i/>
                <w:iCs/>
              </w:rPr>
              <w:t>Annals of Oncology</w:t>
            </w:r>
            <w:r w:rsidRPr="00EC4875">
              <w:rPr>
                <w:b w:val="0"/>
                <w:bCs/>
              </w:rPr>
              <w:t xml:space="preserve"> 2022</w:t>
            </w:r>
            <w:r>
              <w:rPr>
                <w:b w:val="0"/>
                <w:bCs/>
              </w:rPr>
              <w:t>;</w:t>
            </w:r>
            <w:r w:rsidRPr="00EC4875">
              <w:rPr>
                <w:b w:val="0"/>
                <w:bCs/>
              </w:rPr>
              <w:t xml:space="preserve"> </w:t>
            </w:r>
            <w:r w:rsidR="00872631" w:rsidRPr="00EC4875">
              <w:rPr>
                <w:b w:val="0"/>
                <w:bCs/>
              </w:rPr>
              <w:t>33</w:t>
            </w:r>
            <w:r w:rsidR="00872631">
              <w:rPr>
                <w:b w:val="0"/>
                <w:bCs/>
              </w:rPr>
              <w:t>:</w:t>
            </w:r>
            <w:r w:rsidR="00872631" w:rsidRPr="00EC4875">
              <w:rPr>
                <w:b w:val="0"/>
                <w:bCs/>
              </w:rPr>
              <w:t xml:space="preserve"> S</w:t>
            </w:r>
            <w:r w:rsidRPr="00EC4875">
              <w:rPr>
                <w:b w:val="0"/>
                <w:bCs/>
              </w:rPr>
              <w:t>1297-S1298</w:t>
            </w:r>
          </w:p>
        </w:tc>
      </w:tr>
      <w:tr w:rsidR="00703B86" w:rsidRPr="009A1D1C" w14:paraId="67798CE8" w14:textId="77777777" w:rsidTr="00703B86">
        <w:tc>
          <w:tcPr>
            <w:tcW w:w="796" w:type="pct"/>
            <w:vMerge/>
            <w:tcBorders>
              <w:left w:val="single" w:sz="4" w:space="0" w:color="auto"/>
              <w:right w:val="single" w:sz="4" w:space="0" w:color="auto"/>
            </w:tcBorders>
            <w:vAlign w:val="center"/>
          </w:tcPr>
          <w:p w14:paraId="00993CE6" w14:textId="77777777" w:rsidR="00703B86" w:rsidRPr="009A1D1C" w:rsidRDefault="00703B86" w:rsidP="005F1914">
            <w:pPr>
              <w:pStyle w:val="In-tableHeading"/>
              <w:widowControl w:val="0"/>
              <w:rPr>
                <w:b w:val="0"/>
                <w:bCs/>
              </w:rPr>
            </w:pPr>
          </w:p>
        </w:tc>
        <w:tc>
          <w:tcPr>
            <w:tcW w:w="2817" w:type="pct"/>
            <w:tcBorders>
              <w:top w:val="nil"/>
              <w:left w:val="single" w:sz="4" w:space="0" w:color="auto"/>
              <w:bottom w:val="nil"/>
              <w:right w:val="single" w:sz="4" w:space="0" w:color="auto"/>
            </w:tcBorders>
          </w:tcPr>
          <w:p w14:paraId="11C1FD07" w14:textId="3D1F9B2A" w:rsidR="00703B86" w:rsidRPr="009A1D1C" w:rsidRDefault="00703B86" w:rsidP="005F1914">
            <w:pPr>
              <w:pStyle w:val="In-tableHeading"/>
              <w:widowControl w:val="0"/>
              <w:spacing w:after="120"/>
              <w:rPr>
                <w:b w:val="0"/>
                <w:bCs/>
              </w:rPr>
            </w:pPr>
            <w:proofErr w:type="spellStart"/>
            <w:r w:rsidRPr="009A1D1C">
              <w:rPr>
                <w:b w:val="0"/>
                <w:bCs/>
              </w:rPr>
              <w:t>Capdevila</w:t>
            </w:r>
            <w:proofErr w:type="spellEnd"/>
            <w:r>
              <w:rPr>
                <w:b w:val="0"/>
                <w:bCs/>
              </w:rPr>
              <w:t xml:space="preserve"> J</w:t>
            </w:r>
            <w:r w:rsidRPr="009A1D1C">
              <w:rPr>
                <w:b w:val="0"/>
                <w:bCs/>
              </w:rPr>
              <w:t xml:space="preserve">, </w:t>
            </w:r>
            <w:r w:rsidRPr="003A385D">
              <w:rPr>
                <w:b w:val="0"/>
                <w:bCs/>
              </w:rPr>
              <w:t>Robinson</w:t>
            </w:r>
            <w:r>
              <w:rPr>
                <w:b w:val="0"/>
                <w:bCs/>
              </w:rPr>
              <w:t xml:space="preserve"> B</w:t>
            </w:r>
            <w:r w:rsidRPr="003A385D">
              <w:rPr>
                <w:b w:val="0"/>
                <w:bCs/>
              </w:rPr>
              <w:t>, Sherman</w:t>
            </w:r>
            <w:r>
              <w:rPr>
                <w:b w:val="0"/>
                <w:bCs/>
              </w:rPr>
              <w:t xml:space="preserve"> S </w:t>
            </w:r>
            <w:r w:rsidRPr="003A385D">
              <w:rPr>
                <w:b w:val="0"/>
                <w:bCs/>
              </w:rPr>
              <w:t>et al.</w:t>
            </w:r>
            <w:r>
              <w:rPr>
                <w:b w:val="0"/>
                <w:bCs/>
              </w:rPr>
              <w:t xml:space="preserve"> </w:t>
            </w:r>
            <w:r w:rsidRPr="003A385D">
              <w:rPr>
                <w:b w:val="0"/>
                <w:bCs/>
              </w:rPr>
              <w:t>Cabozantinib versus placebo in patients (pts) with radioiodine-refractory (RAIR) differentiated thyroid</w:t>
            </w:r>
            <w:r w:rsidRPr="009A1D1C">
              <w:rPr>
                <w:b w:val="0"/>
                <w:bCs/>
              </w:rPr>
              <w:t xml:space="preserve"> cancer (DTC) who progressed after prior VEGFR-targeted therapy: Outcomes in prespecified subgroups based on histology subtypes. </w:t>
            </w:r>
          </w:p>
        </w:tc>
        <w:tc>
          <w:tcPr>
            <w:tcW w:w="1387" w:type="pct"/>
            <w:tcBorders>
              <w:top w:val="nil"/>
              <w:left w:val="single" w:sz="4" w:space="0" w:color="auto"/>
              <w:bottom w:val="nil"/>
              <w:right w:val="single" w:sz="4" w:space="0" w:color="auto"/>
            </w:tcBorders>
          </w:tcPr>
          <w:p w14:paraId="5A14B53B" w14:textId="00906FE8" w:rsidR="00703B86" w:rsidRPr="009C7E30" w:rsidRDefault="00703B86" w:rsidP="005F1914">
            <w:pPr>
              <w:pStyle w:val="In-tableHeading"/>
              <w:widowControl w:val="0"/>
              <w:spacing w:after="120"/>
              <w:rPr>
                <w:b w:val="0"/>
                <w:bCs/>
                <w:i/>
                <w:iCs/>
              </w:rPr>
            </w:pPr>
            <w:r w:rsidRPr="009C7E30">
              <w:rPr>
                <w:b w:val="0"/>
                <w:bCs/>
                <w:i/>
                <w:iCs/>
              </w:rPr>
              <w:t>Journal of Clinical Oncology</w:t>
            </w:r>
            <w:r w:rsidRPr="00EC4875">
              <w:rPr>
                <w:b w:val="0"/>
                <w:bCs/>
              </w:rPr>
              <w:t xml:space="preserve"> 2022</w:t>
            </w:r>
            <w:r>
              <w:rPr>
                <w:b w:val="0"/>
                <w:bCs/>
              </w:rPr>
              <w:t>;</w:t>
            </w:r>
            <w:r w:rsidRPr="00EC4875">
              <w:rPr>
                <w:b w:val="0"/>
                <w:bCs/>
              </w:rPr>
              <w:t xml:space="preserve"> 40</w:t>
            </w:r>
            <w:r>
              <w:rPr>
                <w:b w:val="0"/>
                <w:bCs/>
              </w:rPr>
              <w:t>(</w:t>
            </w:r>
            <w:r w:rsidRPr="00EC4875">
              <w:rPr>
                <w:b w:val="0"/>
                <w:bCs/>
              </w:rPr>
              <w:t>16</w:t>
            </w:r>
            <w:r>
              <w:rPr>
                <w:b w:val="0"/>
                <w:bCs/>
              </w:rPr>
              <w:t>)</w:t>
            </w:r>
          </w:p>
        </w:tc>
      </w:tr>
      <w:tr w:rsidR="00703B86" w:rsidRPr="00EC4875" w14:paraId="11D04E39" w14:textId="77777777" w:rsidTr="00703B86">
        <w:tc>
          <w:tcPr>
            <w:tcW w:w="796" w:type="pct"/>
            <w:vMerge/>
            <w:tcBorders>
              <w:left w:val="single" w:sz="4" w:space="0" w:color="auto"/>
              <w:right w:val="single" w:sz="4" w:space="0" w:color="auto"/>
            </w:tcBorders>
            <w:vAlign w:val="center"/>
          </w:tcPr>
          <w:p w14:paraId="2B21D5A9" w14:textId="77777777" w:rsidR="00703B86" w:rsidRPr="009A1D1C" w:rsidRDefault="00703B86" w:rsidP="0043400E">
            <w:pPr>
              <w:pStyle w:val="In-tableHeading"/>
              <w:keepNext w:val="0"/>
              <w:widowControl w:val="0"/>
              <w:rPr>
                <w:b w:val="0"/>
                <w:bCs/>
              </w:rPr>
            </w:pPr>
          </w:p>
        </w:tc>
        <w:tc>
          <w:tcPr>
            <w:tcW w:w="2817" w:type="pct"/>
            <w:tcBorders>
              <w:top w:val="nil"/>
              <w:left w:val="single" w:sz="4" w:space="0" w:color="auto"/>
              <w:bottom w:val="nil"/>
              <w:right w:val="single" w:sz="4" w:space="0" w:color="auto"/>
            </w:tcBorders>
          </w:tcPr>
          <w:p w14:paraId="4C0E72A9" w14:textId="7F559827" w:rsidR="00703B86" w:rsidRPr="008065C2" w:rsidRDefault="00703B86" w:rsidP="0043400E">
            <w:pPr>
              <w:pStyle w:val="In-tableHeading"/>
              <w:keepNext w:val="0"/>
              <w:widowControl w:val="0"/>
              <w:spacing w:after="120"/>
              <w:rPr>
                <w:b w:val="0"/>
                <w:bCs/>
              </w:rPr>
            </w:pPr>
            <w:r w:rsidRPr="008065C2">
              <w:rPr>
                <w:b w:val="0"/>
                <w:bCs/>
              </w:rPr>
              <w:t xml:space="preserve">Robinson B, Sherman S, </w:t>
            </w:r>
            <w:proofErr w:type="spellStart"/>
            <w:r w:rsidRPr="008065C2">
              <w:rPr>
                <w:b w:val="0"/>
                <w:bCs/>
              </w:rPr>
              <w:t>Krajewska</w:t>
            </w:r>
            <w:proofErr w:type="spellEnd"/>
            <w:r w:rsidRPr="008065C2">
              <w:rPr>
                <w:b w:val="0"/>
                <w:bCs/>
              </w:rPr>
              <w:t xml:space="preserve"> J</w:t>
            </w:r>
            <w:r>
              <w:rPr>
                <w:b w:val="0"/>
                <w:bCs/>
              </w:rPr>
              <w:t xml:space="preserve"> et al. </w:t>
            </w:r>
            <w:r w:rsidRPr="008065C2">
              <w:rPr>
                <w:b w:val="0"/>
                <w:bCs/>
              </w:rPr>
              <w:t>Effect of age on efficacy and safety of cabozantinib versus placebo in patients with radioiodine (rai)-refractory differentiated thyroid cancer (</w:t>
            </w:r>
            <w:r>
              <w:rPr>
                <w:b w:val="0"/>
                <w:bCs/>
              </w:rPr>
              <w:t>DTC</w:t>
            </w:r>
            <w:r w:rsidRPr="008065C2">
              <w:rPr>
                <w:b w:val="0"/>
                <w:bCs/>
              </w:rPr>
              <w:t xml:space="preserve">) with progression after </w:t>
            </w:r>
            <w:r w:rsidRPr="004F550E">
              <w:rPr>
                <w:b w:val="0"/>
                <w:bCs/>
              </w:rPr>
              <w:t>VEGFR</w:t>
            </w:r>
            <w:r w:rsidRPr="008065C2">
              <w:rPr>
                <w:b w:val="0"/>
                <w:bCs/>
              </w:rPr>
              <w:t>-targeted therapy: Subgroup analysis from the phase 3 cosmic 311 study</w:t>
            </w:r>
          </w:p>
        </w:tc>
        <w:tc>
          <w:tcPr>
            <w:tcW w:w="1387" w:type="pct"/>
            <w:tcBorders>
              <w:top w:val="nil"/>
              <w:left w:val="single" w:sz="4" w:space="0" w:color="auto"/>
              <w:bottom w:val="nil"/>
              <w:right w:val="single" w:sz="4" w:space="0" w:color="auto"/>
            </w:tcBorders>
          </w:tcPr>
          <w:p w14:paraId="6151950F" w14:textId="277400EE" w:rsidR="00703B86" w:rsidRPr="009C7E30" w:rsidRDefault="00703B86" w:rsidP="0043400E">
            <w:pPr>
              <w:pStyle w:val="In-tableHeading"/>
              <w:keepNext w:val="0"/>
              <w:widowControl w:val="0"/>
              <w:spacing w:after="120"/>
              <w:rPr>
                <w:b w:val="0"/>
                <w:bCs/>
                <w:i/>
                <w:iCs/>
              </w:rPr>
            </w:pPr>
            <w:r w:rsidRPr="009C7E30">
              <w:rPr>
                <w:b w:val="0"/>
                <w:bCs/>
                <w:i/>
                <w:iCs/>
              </w:rPr>
              <w:t xml:space="preserve">Thyroid </w:t>
            </w:r>
            <w:r w:rsidRPr="008065C2">
              <w:rPr>
                <w:b w:val="0"/>
                <w:bCs/>
              </w:rPr>
              <w:t>2021</w:t>
            </w:r>
            <w:r>
              <w:rPr>
                <w:b w:val="0"/>
                <w:bCs/>
              </w:rPr>
              <w:t>;</w:t>
            </w:r>
            <w:r w:rsidRPr="008065C2">
              <w:rPr>
                <w:b w:val="0"/>
                <w:bCs/>
              </w:rPr>
              <w:t xml:space="preserve"> </w:t>
            </w:r>
            <w:r w:rsidR="00872631" w:rsidRPr="008065C2">
              <w:rPr>
                <w:b w:val="0"/>
                <w:bCs/>
              </w:rPr>
              <w:t>31: A</w:t>
            </w:r>
            <w:r w:rsidRPr="008065C2">
              <w:rPr>
                <w:b w:val="0"/>
                <w:bCs/>
              </w:rPr>
              <w:t>129-A130</w:t>
            </w:r>
          </w:p>
        </w:tc>
      </w:tr>
      <w:tr w:rsidR="00703B86" w:rsidRPr="00EC4875" w14:paraId="738BF16B" w14:textId="77777777" w:rsidTr="00703B86">
        <w:tc>
          <w:tcPr>
            <w:tcW w:w="796" w:type="pct"/>
            <w:vMerge/>
            <w:tcBorders>
              <w:left w:val="single" w:sz="4" w:space="0" w:color="auto"/>
              <w:right w:val="single" w:sz="4" w:space="0" w:color="auto"/>
            </w:tcBorders>
            <w:vAlign w:val="center"/>
          </w:tcPr>
          <w:p w14:paraId="3FD2D2C3" w14:textId="77777777" w:rsidR="00703B86" w:rsidRPr="009A1D1C" w:rsidRDefault="00703B86" w:rsidP="0043400E">
            <w:pPr>
              <w:pStyle w:val="In-tableHeading"/>
              <w:keepNext w:val="0"/>
              <w:widowControl w:val="0"/>
              <w:rPr>
                <w:b w:val="0"/>
                <w:bCs/>
              </w:rPr>
            </w:pPr>
          </w:p>
        </w:tc>
        <w:tc>
          <w:tcPr>
            <w:tcW w:w="2817" w:type="pct"/>
            <w:tcBorders>
              <w:top w:val="nil"/>
              <w:left w:val="single" w:sz="4" w:space="0" w:color="auto"/>
              <w:bottom w:val="nil"/>
              <w:right w:val="single" w:sz="4" w:space="0" w:color="auto"/>
            </w:tcBorders>
          </w:tcPr>
          <w:p w14:paraId="15EC5065" w14:textId="5AB999BE" w:rsidR="00703B86" w:rsidRPr="008065C2" w:rsidRDefault="00703B86" w:rsidP="0043400E">
            <w:pPr>
              <w:pStyle w:val="In-tableHeading"/>
              <w:keepNext w:val="0"/>
              <w:widowControl w:val="0"/>
              <w:spacing w:after="120"/>
              <w:rPr>
                <w:b w:val="0"/>
                <w:bCs/>
              </w:rPr>
            </w:pPr>
            <w:proofErr w:type="spellStart"/>
            <w:r w:rsidRPr="008065C2">
              <w:rPr>
                <w:b w:val="0"/>
                <w:bCs/>
              </w:rPr>
              <w:t>Jarzab</w:t>
            </w:r>
            <w:proofErr w:type="spellEnd"/>
            <w:r w:rsidRPr="008065C2">
              <w:rPr>
                <w:b w:val="0"/>
                <w:bCs/>
              </w:rPr>
              <w:t xml:space="preserve"> B, </w:t>
            </w:r>
            <w:proofErr w:type="spellStart"/>
            <w:r w:rsidRPr="008065C2">
              <w:rPr>
                <w:b w:val="0"/>
                <w:bCs/>
              </w:rPr>
              <w:t>Krajewska</w:t>
            </w:r>
            <w:proofErr w:type="spellEnd"/>
            <w:r w:rsidRPr="008065C2">
              <w:rPr>
                <w:b w:val="0"/>
                <w:bCs/>
              </w:rPr>
              <w:t xml:space="preserve"> J, Brose M</w:t>
            </w:r>
            <w:r>
              <w:rPr>
                <w:b w:val="0"/>
                <w:bCs/>
              </w:rPr>
              <w:t xml:space="preserve"> et al. </w:t>
            </w:r>
            <w:r w:rsidRPr="008065C2">
              <w:rPr>
                <w:b w:val="0"/>
                <w:bCs/>
              </w:rPr>
              <w:t xml:space="preserve">A phase 3 (COSMIC-311), </w:t>
            </w:r>
            <w:r w:rsidRPr="008065C2">
              <w:rPr>
                <w:b w:val="0"/>
                <w:bCs/>
              </w:rPr>
              <w:lastRenderedPageBreak/>
              <w:t xml:space="preserve">randomized double-blind, placebo-controlled study of cabozantinib in patients with radioiodine (RAI)-refractory differentiated thyroid cancer (DTC) who have progressed after prior </w:t>
            </w:r>
            <w:r w:rsidRPr="004F550E">
              <w:rPr>
                <w:b w:val="0"/>
                <w:bCs/>
              </w:rPr>
              <w:t>VEGFR</w:t>
            </w:r>
            <w:r>
              <w:rPr>
                <w:b w:val="0"/>
                <w:bCs/>
              </w:rPr>
              <w:t>-</w:t>
            </w:r>
            <w:r w:rsidRPr="008065C2">
              <w:rPr>
                <w:b w:val="0"/>
                <w:bCs/>
              </w:rPr>
              <w:t>targeted therapy: trial in progress</w:t>
            </w:r>
          </w:p>
        </w:tc>
        <w:tc>
          <w:tcPr>
            <w:tcW w:w="1387" w:type="pct"/>
            <w:tcBorders>
              <w:top w:val="nil"/>
              <w:left w:val="single" w:sz="4" w:space="0" w:color="auto"/>
              <w:bottom w:val="nil"/>
              <w:right w:val="single" w:sz="4" w:space="0" w:color="auto"/>
            </w:tcBorders>
          </w:tcPr>
          <w:p w14:paraId="25D4E618" w14:textId="1D4C023D" w:rsidR="00703B86" w:rsidRPr="009C7E30" w:rsidRDefault="00703B86" w:rsidP="0043400E">
            <w:pPr>
              <w:pStyle w:val="In-tableHeading"/>
              <w:keepNext w:val="0"/>
              <w:widowControl w:val="0"/>
              <w:spacing w:after="120"/>
              <w:rPr>
                <w:b w:val="0"/>
                <w:bCs/>
                <w:i/>
                <w:iCs/>
              </w:rPr>
            </w:pPr>
            <w:r w:rsidRPr="009C7E30">
              <w:rPr>
                <w:b w:val="0"/>
                <w:bCs/>
                <w:i/>
                <w:iCs/>
              </w:rPr>
              <w:lastRenderedPageBreak/>
              <w:t>European Thyroid Journal</w:t>
            </w:r>
            <w:r w:rsidRPr="008065C2">
              <w:rPr>
                <w:b w:val="0"/>
                <w:bCs/>
              </w:rPr>
              <w:t xml:space="preserve"> 2019</w:t>
            </w:r>
            <w:r>
              <w:rPr>
                <w:b w:val="0"/>
                <w:bCs/>
              </w:rPr>
              <w:t xml:space="preserve">; </w:t>
            </w:r>
            <w:r w:rsidRPr="008065C2">
              <w:rPr>
                <w:b w:val="0"/>
                <w:bCs/>
              </w:rPr>
              <w:lastRenderedPageBreak/>
              <w:t>8:102</w:t>
            </w:r>
          </w:p>
        </w:tc>
      </w:tr>
      <w:tr w:rsidR="00703B86" w:rsidRPr="009A1D1C" w14:paraId="36C52A8B" w14:textId="77777777" w:rsidTr="00703B86">
        <w:tc>
          <w:tcPr>
            <w:tcW w:w="796" w:type="pct"/>
            <w:vMerge/>
            <w:tcBorders>
              <w:left w:val="single" w:sz="4" w:space="0" w:color="auto"/>
              <w:right w:val="single" w:sz="4" w:space="0" w:color="auto"/>
            </w:tcBorders>
            <w:vAlign w:val="center"/>
          </w:tcPr>
          <w:p w14:paraId="54DEA702" w14:textId="77777777" w:rsidR="00703B86" w:rsidRPr="009A1D1C" w:rsidRDefault="00703B86" w:rsidP="0043400E">
            <w:pPr>
              <w:pStyle w:val="In-tableHeading"/>
              <w:keepNext w:val="0"/>
              <w:widowControl w:val="0"/>
              <w:rPr>
                <w:b w:val="0"/>
                <w:bCs/>
              </w:rPr>
            </w:pPr>
          </w:p>
        </w:tc>
        <w:tc>
          <w:tcPr>
            <w:tcW w:w="2817" w:type="pct"/>
            <w:tcBorders>
              <w:top w:val="nil"/>
              <w:left w:val="single" w:sz="4" w:space="0" w:color="auto"/>
              <w:bottom w:val="nil"/>
              <w:right w:val="single" w:sz="4" w:space="0" w:color="auto"/>
            </w:tcBorders>
          </w:tcPr>
          <w:p w14:paraId="7CB9E7AB" w14:textId="44FDE71F" w:rsidR="00703B86" w:rsidRPr="00EC4875" w:rsidRDefault="00703B86" w:rsidP="0043400E">
            <w:pPr>
              <w:pStyle w:val="In-tableHeading"/>
              <w:keepNext w:val="0"/>
              <w:widowControl w:val="0"/>
              <w:spacing w:after="120"/>
              <w:rPr>
                <w:b w:val="0"/>
                <w:bCs/>
              </w:rPr>
            </w:pPr>
            <w:proofErr w:type="spellStart"/>
            <w:r w:rsidRPr="00EC4875">
              <w:rPr>
                <w:b w:val="0"/>
                <w:bCs/>
              </w:rPr>
              <w:t>Capdevila</w:t>
            </w:r>
            <w:proofErr w:type="spellEnd"/>
            <w:r w:rsidRPr="00EC4875">
              <w:rPr>
                <w:b w:val="0"/>
                <w:bCs/>
              </w:rPr>
              <w:t xml:space="preserve"> J</w:t>
            </w:r>
            <w:r>
              <w:rPr>
                <w:b w:val="0"/>
                <w:bCs/>
              </w:rPr>
              <w:t xml:space="preserve">, </w:t>
            </w:r>
            <w:r w:rsidRPr="00EC4875">
              <w:rPr>
                <w:b w:val="0"/>
                <w:bCs/>
              </w:rPr>
              <w:t>Robinson B</w:t>
            </w:r>
            <w:r>
              <w:rPr>
                <w:b w:val="0"/>
                <w:bCs/>
              </w:rPr>
              <w:t>,</w:t>
            </w:r>
            <w:r w:rsidRPr="00EC4875">
              <w:rPr>
                <w:b w:val="0"/>
                <w:bCs/>
              </w:rPr>
              <w:t xml:space="preserve"> Sherman S</w:t>
            </w:r>
            <w:r>
              <w:rPr>
                <w:b w:val="0"/>
                <w:bCs/>
              </w:rPr>
              <w:t xml:space="preserve"> et al. </w:t>
            </w:r>
            <w:r w:rsidRPr="00EC4875">
              <w:rPr>
                <w:b w:val="0"/>
                <w:bCs/>
              </w:rPr>
              <w:t>LBA67 Cabozantinib versus placebo in patients with radioiodine-refractory differentiated thyroid cancer who have progressed after prior VEGFR-targeted therapy: Updated results from the phase III COSMIC-311 trial and prespecified subgroup analyses by prior therapy</w:t>
            </w:r>
          </w:p>
        </w:tc>
        <w:tc>
          <w:tcPr>
            <w:tcW w:w="1387" w:type="pct"/>
            <w:tcBorders>
              <w:top w:val="nil"/>
              <w:left w:val="single" w:sz="4" w:space="0" w:color="auto"/>
              <w:bottom w:val="nil"/>
              <w:right w:val="single" w:sz="4" w:space="0" w:color="auto"/>
            </w:tcBorders>
          </w:tcPr>
          <w:p w14:paraId="02F97333" w14:textId="5B986BD3" w:rsidR="00703B86" w:rsidRPr="009C7E30" w:rsidRDefault="00703B86" w:rsidP="0043400E">
            <w:pPr>
              <w:pStyle w:val="In-tableHeading"/>
              <w:keepNext w:val="0"/>
              <w:widowControl w:val="0"/>
              <w:spacing w:after="120"/>
              <w:rPr>
                <w:b w:val="0"/>
                <w:bCs/>
                <w:i/>
                <w:iCs/>
              </w:rPr>
            </w:pPr>
            <w:r w:rsidRPr="009C7E30">
              <w:rPr>
                <w:b w:val="0"/>
                <w:bCs/>
                <w:i/>
                <w:iCs/>
              </w:rPr>
              <w:t>Annals of Oncology</w:t>
            </w:r>
            <w:r w:rsidRPr="00EC4875">
              <w:rPr>
                <w:b w:val="0"/>
                <w:bCs/>
              </w:rPr>
              <w:t xml:space="preserve"> 2021</w:t>
            </w:r>
            <w:r>
              <w:rPr>
                <w:b w:val="0"/>
                <w:bCs/>
              </w:rPr>
              <w:t>;</w:t>
            </w:r>
            <w:r w:rsidRPr="00EC4875">
              <w:rPr>
                <w:b w:val="0"/>
                <w:bCs/>
              </w:rPr>
              <w:t xml:space="preserve"> 32</w:t>
            </w:r>
            <w:r>
              <w:rPr>
                <w:b w:val="0"/>
                <w:bCs/>
              </w:rPr>
              <w:t>(</w:t>
            </w:r>
            <w:r w:rsidRPr="00EC4875">
              <w:rPr>
                <w:b w:val="0"/>
                <w:bCs/>
              </w:rPr>
              <w:t>5</w:t>
            </w:r>
            <w:r>
              <w:rPr>
                <w:b w:val="0"/>
                <w:bCs/>
              </w:rPr>
              <w:t>):</w:t>
            </w:r>
            <w:r w:rsidRPr="00EC4875">
              <w:rPr>
                <w:b w:val="0"/>
                <w:bCs/>
              </w:rPr>
              <w:t xml:space="preserve"> S1343</w:t>
            </w:r>
          </w:p>
        </w:tc>
      </w:tr>
      <w:tr w:rsidR="00703B86" w:rsidRPr="009A1D1C" w14:paraId="54335FCB" w14:textId="77777777" w:rsidTr="00703B86">
        <w:tc>
          <w:tcPr>
            <w:tcW w:w="796" w:type="pct"/>
            <w:vMerge/>
            <w:tcBorders>
              <w:left w:val="single" w:sz="4" w:space="0" w:color="auto"/>
              <w:right w:val="single" w:sz="4" w:space="0" w:color="auto"/>
            </w:tcBorders>
            <w:vAlign w:val="center"/>
          </w:tcPr>
          <w:p w14:paraId="1326C8E1" w14:textId="77777777" w:rsidR="00703B86" w:rsidRPr="009A1D1C" w:rsidRDefault="00703B86" w:rsidP="0043400E">
            <w:pPr>
              <w:pStyle w:val="In-tableHeading"/>
              <w:keepNext w:val="0"/>
              <w:widowControl w:val="0"/>
              <w:rPr>
                <w:b w:val="0"/>
                <w:bCs/>
              </w:rPr>
            </w:pPr>
          </w:p>
        </w:tc>
        <w:tc>
          <w:tcPr>
            <w:tcW w:w="2817" w:type="pct"/>
            <w:tcBorders>
              <w:top w:val="nil"/>
              <w:left w:val="single" w:sz="4" w:space="0" w:color="auto"/>
              <w:bottom w:val="nil"/>
              <w:right w:val="single" w:sz="4" w:space="0" w:color="auto"/>
            </w:tcBorders>
          </w:tcPr>
          <w:p w14:paraId="51F51623" w14:textId="51EECB95" w:rsidR="00703B86" w:rsidRPr="008065C2" w:rsidRDefault="00703B86" w:rsidP="0043400E">
            <w:pPr>
              <w:pStyle w:val="In-tableHeading"/>
              <w:keepNext w:val="0"/>
              <w:widowControl w:val="0"/>
              <w:spacing w:after="120"/>
              <w:rPr>
                <w:b w:val="0"/>
                <w:bCs/>
              </w:rPr>
            </w:pPr>
            <w:r w:rsidRPr="008065C2">
              <w:rPr>
                <w:b w:val="0"/>
                <w:bCs/>
              </w:rPr>
              <w:t>Brose M, Robinson B, Sherman S</w:t>
            </w:r>
            <w:r>
              <w:rPr>
                <w:b w:val="0"/>
                <w:bCs/>
              </w:rPr>
              <w:t xml:space="preserve"> et al. </w:t>
            </w:r>
            <w:r w:rsidRPr="008065C2">
              <w:rPr>
                <w:b w:val="0"/>
                <w:bCs/>
              </w:rPr>
              <w:t>Cabozantinib versus placebo in patients with radioiodine-refractory differentiated thyroid cancer (</w:t>
            </w:r>
            <w:r>
              <w:rPr>
                <w:b w:val="0"/>
                <w:bCs/>
              </w:rPr>
              <w:t>DTC</w:t>
            </w:r>
            <w:r w:rsidRPr="008065C2">
              <w:rPr>
                <w:b w:val="0"/>
                <w:bCs/>
              </w:rPr>
              <w:t>) who have progressed after prior</w:t>
            </w:r>
            <w:r>
              <w:t xml:space="preserve"> </w:t>
            </w:r>
            <w:r w:rsidRPr="004F550E">
              <w:rPr>
                <w:b w:val="0"/>
                <w:bCs/>
              </w:rPr>
              <w:t>VEGFR</w:t>
            </w:r>
            <w:r w:rsidRPr="008065C2">
              <w:rPr>
                <w:b w:val="0"/>
                <w:bCs/>
              </w:rPr>
              <w:t xml:space="preserve">-targeted therapy: Updated results from the phase 3 cosmic-311 trial and prespecified subgroup analyses based on prior </w:t>
            </w:r>
            <w:r>
              <w:rPr>
                <w:b w:val="0"/>
                <w:bCs/>
              </w:rPr>
              <w:t>VEGFR-</w:t>
            </w:r>
            <w:r w:rsidRPr="008065C2">
              <w:rPr>
                <w:b w:val="0"/>
                <w:bCs/>
              </w:rPr>
              <w:t>targeted therapy</w:t>
            </w:r>
          </w:p>
        </w:tc>
        <w:tc>
          <w:tcPr>
            <w:tcW w:w="1387" w:type="pct"/>
            <w:tcBorders>
              <w:top w:val="nil"/>
              <w:left w:val="single" w:sz="4" w:space="0" w:color="auto"/>
              <w:bottom w:val="nil"/>
              <w:right w:val="single" w:sz="4" w:space="0" w:color="auto"/>
            </w:tcBorders>
          </w:tcPr>
          <w:p w14:paraId="425F119C" w14:textId="5104EEFE" w:rsidR="00703B86" w:rsidRPr="009C7E30" w:rsidRDefault="00703B86" w:rsidP="0043400E">
            <w:pPr>
              <w:pStyle w:val="In-tableHeading"/>
              <w:keepNext w:val="0"/>
              <w:widowControl w:val="0"/>
              <w:spacing w:after="120"/>
              <w:rPr>
                <w:b w:val="0"/>
                <w:bCs/>
                <w:i/>
                <w:iCs/>
              </w:rPr>
            </w:pPr>
            <w:r w:rsidRPr="009C7E30">
              <w:rPr>
                <w:b w:val="0"/>
                <w:bCs/>
                <w:i/>
                <w:iCs/>
              </w:rPr>
              <w:t>Thyroid</w:t>
            </w:r>
            <w:r w:rsidRPr="008065C2">
              <w:rPr>
                <w:b w:val="0"/>
                <w:bCs/>
              </w:rPr>
              <w:t xml:space="preserve"> 2021</w:t>
            </w:r>
            <w:r>
              <w:rPr>
                <w:b w:val="0"/>
                <w:bCs/>
              </w:rPr>
              <w:t>;</w:t>
            </w:r>
            <w:r w:rsidRPr="008065C2">
              <w:rPr>
                <w:b w:val="0"/>
                <w:bCs/>
              </w:rPr>
              <w:t xml:space="preserve"> 31:A125</w:t>
            </w:r>
            <w:r>
              <w:rPr>
                <w:b w:val="0"/>
                <w:bCs/>
              </w:rPr>
              <w:t>-</w:t>
            </w:r>
            <w:r w:rsidRPr="008065C2">
              <w:rPr>
                <w:b w:val="0"/>
                <w:bCs/>
              </w:rPr>
              <w:t>A126</w:t>
            </w:r>
          </w:p>
        </w:tc>
      </w:tr>
      <w:tr w:rsidR="00703B86" w:rsidRPr="009A1D1C" w14:paraId="231F62AD" w14:textId="77777777" w:rsidTr="00703B86">
        <w:tc>
          <w:tcPr>
            <w:tcW w:w="796" w:type="pct"/>
            <w:vMerge/>
            <w:tcBorders>
              <w:left w:val="single" w:sz="4" w:space="0" w:color="auto"/>
              <w:right w:val="single" w:sz="4" w:space="0" w:color="auto"/>
            </w:tcBorders>
            <w:vAlign w:val="center"/>
          </w:tcPr>
          <w:p w14:paraId="4EA84421" w14:textId="77777777" w:rsidR="00703B86" w:rsidRPr="009A1D1C" w:rsidRDefault="00703B86" w:rsidP="0043400E">
            <w:pPr>
              <w:pStyle w:val="In-tableHeading"/>
              <w:keepNext w:val="0"/>
              <w:widowControl w:val="0"/>
              <w:rPr>
                <w:b w:val="0"/>
                <w:bCs/>
              </w:rPr>
            </w:pPr>
          </w:p>
        </w:tc>
        <w:tc>
          <w:tcPr>
            <w:tcW w:w="2817" w:type="pct"/>
            <w:tcBorders>
              <w:top w:val="nil"/>
              <w:left w:val="single" w:sz="4" w:space="0" w:color="auto"/>
              <w:bottom w:val="nil"/>
              <w:right w:val="single" w:sz="4" w:space="0" w:color="auto"/>
            </w:tcBorders>
          </w:tcPr>
          <w:p w14:paraId="284A8513" w14:textId="061948F0" w:rsidR="00703B86" w:rsidRPr="008065C2" w:rsidRDefault="00703B86" w:rsidP="0043400E">
            <w:pPr>
              <w:pStyle w:val="In-tableHeading"/>
              <w:keepNext w:val="0"/>
              <w:widowControl w:val="0"/>
              <w:spacing w:after="120"/>
              <w:rPr>
                <w:b w:val="0"/>
                <w:bCs/>
              </w:rPr>
            </w:pPr>
            <w:r w:rsidRPr="008065C2">
              <w:rPr>
                <w:b w:val="0"/>
                <w:bCs/>
              </w:rPr>
              <w:t>Brose M</w:t>
            </w:r>
            <w:r>
              <w:rPr>
                <w:b w:val="0"/>
                <w:bCs/>
              </w:rPr>
              <w:t xml:space="preserve">, </w:t>
            </w:r>
            <w:r w:rsidRPr="008065C2">
              <w:rPr>
                <w:b w:val="0"/>
                <w:bCs/>
              </w:rPr>
              <w:t>Robinson B, Sherman S</w:t>
            </w:r>
            <w:r>
              <w:rPr>
                <w:b w:val="0"/>
                <w:bCs/>
              </w:rPr>
              <w:t xml:space="preserve"> et al. </w:t>
            </w:r>
            <w:bookmarkStart w:id="26" w:name="_Hlk142060589"/>
            <w:r>
              <w:rPr>
                <w:b w:val="0"/>
                <w:bCs/>
              </w:rPr>
              <w:t>C</w:t>
            </w:r>
            <w:r w:rsidRPr="008065C2">
              <w:rPr>
                <w:b w:val="0"/>
                <w:bCs/>
              </w:rPr>
              <w:t xml:space="preserve">abozantinib versus placebo in patients with radioiodine (RAI)-refractory differentiated thyroid cancer (DTC) who have progressed after prior VEGFR-targeted therapy: results from the </w:t>
            </w:r>
            <w:r>
              <w:rPr>
                <w:b w:val="0"/>
                <w:bCs/>
              </w:rPr>
              <w:t>P</w:t>
            </w:r>
            <w:r w:rsidRPr="008065C2">
              <w:rPr>
                <w:b w:val="0"/>
                <w:bCs/>
              </w:rPr>
              <w:t>hase 3 COSMIC-311 trial</w:t>
            </w:r>
            <w:bookmarkEnd w:id="26"/>
          </w:p>
        </w:tc>
        <w:tc>
          <w:tcPr>
            <w:tcW w:w="1387" w:type="pct"/>
            <w:tcBorders>
              <w:top w:val="nil"/>
              <w:left w:val="single" w:sz="4" w:space="0" w:color="auto"/>
              <w:bottom w:val="nil"/>
              <w:right w:val="single" w:sz="4" w:space="0" w:color="auto"/>
            </w:tcBorders>
          </w:tcPr>
          <w:p w14:paraId="4DDFF0A2" w14:textId="130FDA9C" w:rsidR="00703B86" w:rsidRPr="009C7E30" w:rsidRDefault="00703B86" w:rsidP="0043400E">
            <w:pPr>
              <w:pStyle w:val="In-tableHeading"/>
              <w:keepNext w:val="0"/>
              <w:widowControl w:val="0"/>
              <w:spacing w:after="120"/>
              <w:rPr>
                <w:b w:val="0"/>
                <w:bCs/>
                <w:i/>
                <w:iCs/>
              </w:rPr>
            </w:pPr>
            <w:r w:rsidRPr="009C7E30">
              <w:rPr>
                <w:b w:val="0"/>
                <w:bCs/>
                <w:i/>
                <w:iCs/>
              </w:rPr>
              <w:t>European Thyroid Journal</w:t>
            </w:r>
            <w:r w:rsidRPr="008065C2">
              <w:rPr>
                <w:b w:val="0"/>
                <w:bCs/>
              </w:rPr>
              <w:t xml:space="preserve"> 2021</w:t>
            </w:r>
            <w:r>
              <w:rPr>
                <w:b w:val="0"/>
                <w:bCs/>
              </w:rPr>
              <w:t xml:space="preserve">; </w:t>
            </w:r>
            <w:r w:rsidRPr="008065C2">
              <w:rPr>
                <w:b w:val="0"/>
                <w:bCs/>
              </w:rPr>
              <w:t>10:12-13</w:t>
            </w:r>
          </w:p>
        </w:tc>
      </w:tr>
      <w:tr w:rsidR="00703B86" w:rsidRPr="009A1D1C" w14:paraId="6FBC8546" w14:textId="77777777" w:rsidTr="00703B86">
        <w:tc>
          <w:tcPr>
            <w:tcW w:w="796" w:type="pct"/>
            <w:vMerge/>
            <w:tcBorders>
              <w:left w:val="single" w:sz="4" w:space="0" w:color="auto"/>
              <w:right w:val="single" w:sz="4" w:space="0" w:color="auto"/>
            </w:tcBorders>
            <w:vAlign w:val="center"/>
          </w:tcPr>
          <w:p w14:paraId="66DADE99" w14:textId="77777777" w:rsidR="00703B86" w:rsidRPr="009A1D1C" w:rsidRDefault="00703B86" w:rsidP="0043400E">
            <w:pPr>
              <w:pStyle w:val="In-tableHeading"/>
              <w:keepNext w:val="0"/>
              <w:widowControl w:val="0"/>
              <w:rPr>
                <w:b w:val="0"/>
                <w:bCs/>
              </w:rPr>
            </w:pPr>
          </w:p>
        </w:tc>
        <w:tc>
          <w:tcPr>
            <w:tcW w:w="2817" w:type="pct"/>
            <w:tcBorders>
              <w:top w:val="nil"/>
              <w:left w:val="single" w:sz="4" w:space="0" w:color="auto"/>
              <w:bottom w:val="nil"/>
              <w:right w:val="single" w:sz="4" w:space="0" w:color="auto"/>
            </w:tcBorders>
          </w:tcPr>
          <w:p w14:paraId="759A8878" w14:textId="2E51B7C8" w:rsidR="00703B86" w:rsidRPr="008065C2" w:rsidRDefault="00703B86" w:rsidP="0043400E">
            <w:pPr>
              <w:pStyle w:val="In-tableHeading"/>
              <w:keepNext w:val="0"/>
              <w:widowControl w:val="0"/>
              <w:spacing w:after="120"/>
              <w:rPr>
                <w:b w:val="0"/>
                <w:bCs/>
              </w:rPr>
            </w:pPr>
            <w:r w:rsidRPr="008065C2">
              <w:rPr>
                <w:b w:val="0"/>
                <w:bCs/>
              </w:rPr>
              <w:t>Brose</w:t>
            </w:r>
            <w:r>
              <w:rPr>
                <w:b w:val="0"/>
                <w:bCs/>
              </w:rPr>
              <w:t xml:space="preserve"> M</w:t>
            </w:r>
            <w:r w:rsidRPr="008065C2">
              <w:rPr>
                <w:b w:val="0"/>
                <w:bCs/>
              </w:rPr>
              <w:t>, Robinson B, Sherman S</w:t>
            </w:r>
            <w:r>
              <w:rPr>
                <w:b w:val="0"/>
                <w:bCs/>
              </w:rPr>
              <w:t xml:space="preserve"> et al. </w:t>
            </w:r>
            <w:r w:rsidRPr="008065C2">
              <w:rPr>
                <w:b w:val="0"/>
                <w:bCs/>
              </w:rPr>
              <w:t>Cabozantinib versus placebo in patients with radio</w:t>
            </w:r>
            <w:r>
              <w:rPr>
                <w:b w:val="0"/>
                <w:bCs/>
              </w:rPr>
              <w:t xml:space="preserve"> </w:t>
            </w:r>
            <w:r w:rsidRPr="008065C2">
              <w:rPr>
                <w:b w:val="0"/>
                <w:bCs/>
              </w:rPr>
              <w:t>iodine</w:t>
            </w:r>
            <w:r>
              <w:rPr>
                <w:b w:val="0"/>
                <w:bCs/>
              </w:rPr>
              <w:t xml:space="preserve"> </w:t>
            </w:r>
            <w:r w:rsidRPr="008065C2">
              <w:rPr>
                <w:b w:val="0"/>
                <w:bCs/>
              </w:rPr>
              <w:t>refractory differentiated thyroid cancer who have progressed after prior VEGFR-targeted therapy: Results from the phase 3 COSMIC311 trial</w:t>
            </w:r>
          </w:p>
        </w:tc>
        <w:tc>
          <w:tcPr>
            <w:tcW w:w="1387" w:type="pct"/>
            <w:tcBorders>
              <w:top w:val="nil"/>
              <w:left w:val="single" w:sz="4" w:space="0" w:color="auto"/>
              <w:bottom w:val="nil"/>
              <w:right w:val="single" w:sz="4" w:space="0" w:color="auto"/>
            </w:tcBorders>
          </w:tcPr>
          <w:p w14:paraId="44724B38" w14:textId="1004361F" w:rsidR="00703B86" w:rsidRPr="009C7E30" w:rsidRDefault="00703B86" w:rsidP="0043400E">
            <w:pPr>
              <w:pStyle w:val="In-tableHeading"/>
              <w:keepNext w:val="0"/>
              <w:widowControl w:val="0"/>
              <w:spacing w:after="120"/>
              <w:rPr>
                <w:b w:val="0"/>
                <w:bCs/>
                <w:i/>
                <w:iCs/>
              </w:rPr>
            </w:pPr>
            <w:r w:rsidRPr="009C7E30">
              <w:rPr>
                <w:b w:val="0"/>
                <w:bCs/>
                <w:i/>
                <w:iCs/>
              </w:rPr>
              <w:t>Journal of Clinical Oncology</w:t>
            </w:r>
            <w:r w:rsidRPr="008065C2">
              <w:rPr>
                <w:b w:val="0"/>
                <w:bCs/>
              </w:rPr>
              <w:t xml:space="preserve"> 2021</w:t>
            </w:r>
            <w:r>
              <w:rPr>
                <w:b w:val="0"/>
                <w:bCs/>
              </w:rPr>
              <w:t xml:space="preserve">; </w:t>
            </w:r>
            <w:r w:rsidRPr="008065C2">
              <w:rPr>
                <w:b w:val="0"/>
                <w:bCs/>
              </w:rPr>
              <w:t xml:space="preserve">39:15 </w:t>
            </w:r>
          </w:p>
        </w:tc>
      </w:tr>
      <w:tr w:rsidR="00703B86" w:rsidRPr="009C7E30" w14:paraId="1999F9D1" w14:textId="77777777" w:rsidTr="00703B86">
        <w:tc>
          <w:tcPr>
            <w:tcW w:w="796" w:type="pct"/>
            <w:vMerge/>
            <w:tcBorders>
              <w:left w:val="single" w:sz="4" w:space="0" w:color="auto"/>
              <w:right w:val="single" w:sz="4" w:space="0" w:color="auto"/>
            </w:tcBorders>
            <w:vAlign w:val="center"/>
          </w:tcPr>
          <w:p w14:paraId="325F3142" w14:textId="77777777" w:rsidR="00703B86" w:rsidRPr="009A1D1C" w:rsidRDefault="00703B86" w:rsidP="0043400E">
            <w:pPr>
              <w:pStyle w:val="In-tableHeading"/>
              <w:keepNext w:val="0"/>
              <w:widowControl w:val="0"/>
              <w:rPr>
                <w:b w:val="0"/>
                <w:bCs/>
              </w:rPr>
            </w:pPr>
          </w:p>
        </w:tc>
        <w:tc>
          <w:tcPr>
            <w:tcW w:w="2817" w:type="pct"/>
            <w:tcBorders>
              <w:top w:val="nil"/>
              <w:left w:val="single" w:sz="4" w:space="0" w:color="auto"/>
              <w:bottom w:val="nil"/>
              <w:right w:val="single" w:sz="4" w:space="0" w:color="auto"/>
            </w:tcBorders>
          </w:tcPr>
          <w:p w14:paraId="08F16CC6" w14:textId="4311985F" w:rsidR="00703B86" w:rsidRPr="00360440" w:rsidRDefault="00703B86" w:rsidP="0043400E">
            <w:pPr>
              <w:pStyle w:val="In-tableHeading"/>
              <w:keepNext w:val="0"/>
              <w:widowControl w:val="0"/>
              <w:spacing w:after="120"/>
              <w:rPr>
                <w:b w:val="0"/>
                <w:bCs/>
              </w:rPr>
            </w:pPr>
            <w:r w:rsidRPr="00360440">
              <w:rPr>
                <w:b w:val="0"/>
                <w:bCs/>
              </w:rPr>
              <w:t>Clinical study report erratum: XL184-311</w:t>
            </w:r>
          </w:p>
        </w:tc>
        <w:tc>
          <w:tcPr>
            <w:tcW w:w="1387" w:type="pct"/>
            <w:tcBorders>
              <w:top w:val="nil"/>
              <w:left w:val="single" w:sz="4" w:space="0" w:color="auto"/>
              <w:bottom w:val="nil"/>
              <w:right w:val="single" w:sz="4" w:space="0" w:color="auto"/>
            </w:tcBorders>
          </w:tcPr>
          <w:p w14:paraId="30E69975" w14:textId="150F5F5D" w:rsidR="00703B86" w:rsidRPr="00360440" w:rsidRDefault="00703B86" w:rsidP="0043400E">
            <w:pPr>
              <w:pStyle w:val="In-tableHeading"/>
              <w:keepNext w:val="0"/>
              <w:widowControl w:val="0"/>
              <w:spacing w:after="120"/>
              <w:rPr>
                <w:b w:val="0"/>
                <w:bCs/>
              </w:rPr>
            </w:pPr>
            <w:r w:rsidRPr="00360440">
              <w:rPr>
                <w:b w:val="0"/>
                <w:bCs/>
              </w:rPr>
              <w:t>May 2021</w:t>
            </w:r>
          </w:p>
        </w:tc>
      </w:tr>
      <w:tr w:rsidR="00703B86" w:rsidRPr="009C7E30" w14:paraId="4FD28A1D" w14:textId="77777777" w:rsidTr="00703B86">
        <w:tc>
          <w:tcPr>
            <w:tcW w:w="796" w:type="pct"/>
            <w:vMerge/>
            <w:tcBorders>
              <w:left w:val="single" w:sz="4" w:space="0" w:color="auto"/>
              <w:right w:val="single" w:sz="4" w:space="0" w:color="auto"/>
            </w:tcBorders>
            <w:vAlign w:val="center"/>
          </w:tcPr>
          <w:p w14:paraId="433874F0" w14:textId="77777777" w:rsidR="00703B86" w:rsidRPr="009A1D1C" w:rsidRDefault="00703B86" w:rsidP="0043400E">
            <w:pPr>
              <w:pStyle w:val="In-tableHeading"/>
              <w:keepNext w:val="0"/>
              <w:widowControl w:val="0"/>
              <w:rPr>
                <w:b w:val="0"/>
                <w:bCs/>
              </w:rPr>
            </w:pPr>
          </w:p>
        </w:tc>
        <w:tc>
          <w:tcPr>
            <w:tcW w:w="2817" w:type="pct"/>
            <w:tcBorders>
              <w:top w:val="nil"/>
              <w:left w:val="single" w:sz="4" w:space="0" w:color="auto"/>
              <w:bottom w:val="single" w:sz="4" w:space="0" w:color="auto"/>
              <w:right w:val="single" w:sz="4" w:space="0" w:color="auto"/>
            </w:tcBorders>
            <w:vAlign w:val="center"/>
          </w:tcPr>
          <w:p w14:paraId="67EAEA3C" w14:textId="5B095F8A" w:rsidR="00703B86" w:rsidRPr="00360440" w:rsidRDefault="00703B86" w:rsidP="0043400E">
            <w:pPr>
              <w:pStyle w:val="In-tableHeading"/>
              <w:keepNext w:val="0"/>
              <w:widowControl w:val="0"/>
              <w:spacing w:after="120"/>
              <w:rPr>
                <w:b w:val="0"/>
                <w:bCs/>
              </w:rPr>
            </w:pPr>
            <w:r w:rsidRPr="00360440">
              <w:rPr>
                <w:b w:val="0"/>
                <w:bCs/>
              </w:rPr>
              <w:t>Ly N, Li J et al. Population Pharmacokinetics and Exposure-Response Analysis for the Phase 3 COSMIC-311 Trial of Cabozantinib for Radioiodine-Refractory Differentiated Thyroid Cancer.</w:t>
            </w:r>
          </w:p>
        </w:tc>
        <w:tc>
          <w:tcPr>
            <w:tcW w:w="1387" w:type="pct"/>
            <w:tcBorders>
              <w:top w:val="nil"/>
              <w:left w:val="single" w:sz="4" w:space="0" w:color="auto"/>
              <w:bottom w:val="single" w:sz="4" w:space="0" w:color="auto"/>
              <w:right w:val="single" w:sz="4" w:space="0" w:color="auto"/>
            </w:tcBorders>
          </w:tcPr>
          <w:p w14:paraId="3A28F1D7" w14:textId="11A30548" w:rsidR="00703B86" w:rsidRPr="00360440" w:rsidRDefault="00703B86" w:rsidP="0043400E">
            <w:pPr>
              <w:pStyle w:val="In-tableHeading"/>
              <w:keepNext w:val="0"/>
              <w:widowControl w:val="0"/>
              <w:spacing w:after="120"/>
              <w:rPr>
                <w:b w:val="0"/>
                <w:bCs/>
                <w:i/>
                <w:iCs/>
              </w:rPr>
            </w:pPr>
            <w:r w:rsidRPr="00360440">
              <w:rPr>
                <w:b w:val="0"/>
                <w:bCs/>
                <w:i/>
                <w:iCs/>
              </w:rPr>
              <w:t xml:space="preserve">Clin </w:t>
            </w:r>
            <w:proofErr w:type="spellStart"/>
            <w:r w:rsidRPr="00360440">
              <w:rPr>
                <w:b w:val="0"/>
                <w:bCs/>
                <w:i/>
                <w:iCs/>
              </w:rPr>
              <w:t>Pharmacokinet</w:t>
            </w:r>
            <w:proofErr w:type="spellEnd"/>
            <w:r w:rsidRPr="00360440">
              <w:rPr>
                <w:b w:val="0"/>
                <w:bCs/>
              </w:rPr>
              <w:t xml:space="preserve"> 2023; 62(4):587-598.</w:t>
            </w:r>
          </w:p>
        </w:tc>
      </w:tr>
    </w:tbl>
    <w:p w14:paraId="51D8173A" w14:textId="3BE9DBCA" w:rsidR="008E0D3C" w:rsidRPr="00B1011F" w:rsidRDefault="008E0D3C" w:rsidP="00EC5836">
      <w:pPr>
        <w:pStyle w:val="FooterTableFigure"/>
        <w:rPr>
          <w:sz w:val="20"/>
        </w:rPr>
      </w:pPr>
      <w:r>
        <w:t xml:space="preserve">Source: </w:t>
      </w:r>
      <w:r w:rsidR="00F052A0" w:rsidRPr="00F052A0">
        <w:t>Source: Table 2-2, p37; Cabozantinib Literature Search Strategy and Annotated Results.xlsx; Attachment 5 – Updated Annotated screening FINAL.xlsx of the submission</w:t>
      </w:r>
    </w:p>
    <w:p w14:paraId="1DD06D7D" w14:textId="50D473EA" w:rsidR="007F1017" w:rsidRPr="007C4C78" w:rsidRDefault="008F120A" w:rsidP="00EC5836">
      <w:pPr>
        <w:pStyle w:val="3-BodyText"/>
      </w:pPr>
      <w:r w:rsidRPr="007C4C78">
        <w:t>The key features of the direct randomised trial</w:t>
      </w:r>
      <w:r w:rsidR="00D1433C" w:rsidRPr="007C4C78">
        <w:t xml:space="preserve"> are </w:t>
      </w:r>
      <w:r w:rsidRPr="007C4C78">
        <w:t>summarised in</w:t>
      </w:r>
      <w:r w:rsidR="00D6076E" w:rsidRPr="007C4C78">
        <w:t xml:space="preserve"> </w:t>
      </w:r>
      <w:r w:rsidR="00D6076E" w:rsidRPr="007C4C78">
        <w:fldChar w:fldCharType="begin" w:fldLock="1"/>
      </w:r>
      <w:r w:rsidR="00D6076E" w:rsidRPr="007C4C78">
        <w:instrText xml:space="preserve"> REF _Ref104804098 \h  \* MERGEFORMAT </w:instrText>
      </w:r>
      <w:r w:rsidR="00D6076E" w:rsidRPr="007C4C78">
        <w:fldChar w:fldCharType="separate"/>
      </w:r>
      <w:r w:rsidR="008760F8" w:rsidRPr="008760F8">
        <w:t>Table 3</w:t>
      </w:r>
      <w:r w:rsidR="00D6076E" w:rsidRPr="007C4C78">
        <w:fldChar w:fldCharType="end"/>
      </w:r>
      <w:r w:rsidRPr="007C4C78">
        <w:t>.</w:t>
      </w:r>
      <w:r w:rsidR="00BC591F" w:rsidRPr="007C4C78">
        <w:t xml:space="preserve"> </w:t>
      </w:r>
    </w:p>
    <w:p w14:paraId="355E2F15" w14:textId="5E399BFF" w:rsidR="007F1017" w:rsidRPr="00D6076E" w:rsidRDefault="00696EF9" w:rsidP="00FC479C">
      <w:pPr>
        <w:pStyle w:val="Caption"/>
        <w:rPr>
          <w:rStyle w:val="CommentReference"/>
          <w:rFonts w:eastAsiaTheme="majorEastAsia" w:cstheme="majorBidi"/>
          <w:b/>
          <w:szCs w:val="24"/>
        </w:rPr>
      </w:pPr>
      <w:bookmarkStart w:id="27" w:name="_Ref104804098"/>
      <w:r w:rsidRPr="00D6076E">
        <w:rPr>
          <w:rStyle w:val="CommentReference"/>
          <w:rFonts w:eastAsiaTheme="majorEastAsia" w:cstheme="majorBidi"/>
          <w:b/>
          <w:szCs w:val="24"/>
        </w:rPr>
        <w:lastRenderedPageBreak/>
        <w:t xml:space="preserve">Table </w:t>
      </w:r>
      <w:r w:rsidRPr="00D6076E">
        <w:rPr>
          <w:rStyle w:val="CommentReference"/>
          <w:rFonts w:eastAsiaTheme="majorEastAsia" w:cstheme="majorBidi"/>
          <w:b/>
          <w:szCs w:val="24"/>
        </w:rPr>
        <w:fldChar w:fldCharType="begin" w:fldLock="1"/>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8760F8">
        <w:rPr>
          <w:rStyle w:val="CommentReference"/>
          <w:rFonts w:eastAsiaTheme="majorEastAsia" w:cstheme="majorBidi"/>
          <w:b/>
          <w:noProof/>
          <w:szCs w:val="24"/>
        </w:rPr>
        <w:t>3</w:t>
      </w:r>
      <w:r w:rsidRPr="00D6076E">
        <w:rPr>
          <w:rStyle w:val="CommentReference"/>
          <w:rFonts w:eastAsiaTheme="majorEastAsia" w:cstheme="majorBidi"/>
          <w:b/>
          <w:szCs w:val="24"/>
        </w:rPr>
        <w:fldChar w:fldCharType="end"/>
      </w:r>
      <w:bookmarkEnd w:id="27"/>
      <w:r w:rsidR="00D6076E" w:rsidRPr="00D6076E">
        <w:rPr>
          <w:rStyle w:val="CommentReference"/>
          <w:rFonts w:eastAsiaTheme="majorEastAsia" w:cstheme="majorBidi"/>
          <w:b/>
          <w:szCs w:val="24"/>
        </w:rPr>
        <w:t xml:space="preserve">: </w:t>
      </w:r>
      <w:r w:rsidR="007F1017" w:rsidRPr="00D6076E">
        <w:rPr>
          <w:rStyle w:val="CommentReference"/>
          <w:rFonts w:eastAsiaTheme="majorEastAsia" w:cstheme="majorBidi"/>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78"/>
        <w:gridCol w:w="1199"/>
        <w:gridCol w:w="1439"/>
        <w:gridCol w:w="721"/>
        <w:gridCol w:w="1562"/>
        <w:gridCol w:w="1078"/>
        <w:gridCol w:w="1940"/>
      </w:tblGrid>
      <w:tr w:rsidR="00B41614" w:rsidRPr="00B41614" w14:paraId="53DD7CC6" w14:textId="77777777" w:rsidTr="00B17422">
        <w:trPr>
          <w:cantSplit/>
          <w:tblHeader/>
        </w:trPr>
        <w:tc>
          <w:tcPr>
            <w:tcW w:w="597" w:type="pct"/>
            <w:shd w:val="clear" w:color="auto" w:fill="auto"/>
            <w:vAlign w:val="center"/>
          </w:tcPr>
          <w:p w14:paraId="794116BC" w14:textId="77777777" w:rsidR="007F1017" w:rsidRPr="00B41614" w:rsidRDefault="007F1017" w:rsidP="00FC479C">
            <w:pPr>
              <w:pStyle w:val="In-tableHeading"/>
              <w:keepLines/>
              <w:jc w:val="center"/>
            </w:pPr>
            <w:r w:rsidRPr="00B41614">
              <w:t>Trial</w:t>
            </w:r>
          </w:p>
        </w:tc>
        <w:tc>
          <w:tcPr>
            <w:tcW w:w="665" w:type="pct"/>
            <w:shd w:val="clear" w:color="auto" w:fill="auto"/>
            <w:vAlign w:val="center"/>
          </w:tcPr>
          <w:p w14:paraId="51122FE5" w14:textId="77777777" w:rsidR="007F1017" w:rsidRPr="00B41614" w:rsidRDefault="007F1017" w:rsidP="00FC479C">
            <w:pPr>
              <w:pStyle w:val="In-tableHeading"/>
              <w:keepLines/>
              <w:jc w:val="center"/>
            </w:pPr>
            <w:r w:rsidRPr="00B41614">
              <w:t>N</w:t>
            </w:r>
          </w:p>
        </w:tc>
        <w:tc>
          <w:tcPr>
            <w:tcW w:w="798" w:type="pct"/>
            <w:shd w:val="clear" w:color="auto" w:fill="auto"/>
            <w:vAlign w:val="center"/>
          </w:tcPr>
          <w:p w14:paraId="41C438EF" w14:textId="4AA5D28A" w:rsidR="007F1017" w:rsidRPr="00B41614" w:rsidRDefault="007F1017" w:rsidP="00FC479C">
            <w:pPr>
              <w:pStyle w:val="In-tableHeading"/>
              <w:keepLines/>
              <w:jc w:val="center"/>
            </w:pPr>
            <w:r w:rsidRPr="00B41614">
              <w:t>Design/duration</w:t>
            </w:r>
          </w:p>
        </w:tc>
        <w:tc>
          <w:tcPr>
            <w:tcW w:w="400" w:type="pct"/>
            <w:shd w:val="clear" w:color="auto" w:fill="auto"/>
            <w:vAlign w:val="center"/>
          </w:tcPr>
          <w:p w14:paraId="1FC91360" w14:textId="77777777" w:rsidR="007F1017" w:rsidRPr="00B41614" w:rsidRDefault="007F1017" w:rsidP="00FC479C">
            <w:pPr>
              <w:pStyle w:val="In-tableHeading"/>
              <w:keepLines/>
              <w:jc w:val="center"/>
            </w:pPr>
            <w:r w:rsidRPr="00B41614">
              <w:t>Risk of bias</w:t>
            </w:r>
          </w:p>
        </w:tc>
        <w:tc>
          <w:tcPr>
            <w:tcW w:w="866" w:type="pct"/>
            <w:shd w:val="clear" w:color="auto" w:fill="auto"/>
            <w:vAlign w:val="center"/>
          </w:tcPr>
          <w:p w14:paraId="7FF90896" w14:textId="77777777" w:rsidR="007F1017" w:rsidRPr="00B41614" w:rsidRDefault="007F1017" w:rsidP="00FC479C">
            <w:pPr>
              <w:pStyle w:val="In-tableHeading"/>
              <w:keepLines/>
              <w:jc w:val="center"/>
            </w:pPr>
            <w:r w:rsidRPr="00B41614">
              <w:t>Patient population</w:t>
            </w:r>
          </w:p>
        </w:tc>
        <w:tc>
          <w:tcPr>
            <w:tcW w:w="598" w:type="pct"/>
            <w:shd w:val="clear" w:color="auto" w:fill="auto"/>
            <w:vAlign w:val="center"/>
          </w:tcPr>
          <w:p w14:paraId="0FCB63F9" w14:textId="07E374B1" w:rsidR="007F1017" w:rsidRPr="00B41614" w:rsidRDefault="007F1017" w:rsidP="00FC479C">
            <w:pPr>
              <w:pStyle w:val="In-tableHeading"/>
              <w:keepLines/>
              <w:jc w:val="center"/>
            </w:pPr>
            <w:r w:rsidRPr="00B41614">
              <w:t>Outcomes</w:t>
            </w:r>
          </w:p>
        </w:tc>
        <w:tc>
          <w:tcPr>
            <w:tcW w:w="1077" w:type="pct"/>
            <w:shd w:val="clear" w:color="auto" w:fill="auto"/>
            <w:vAlign w:val="center"/>
          </w:tcPr>
          <w:p w14:paraId="08C6F624" w14:textId="77777777" w:rsidR="007F1017" w:rsidRPr="00B41614" w:rsidRDefault="007F1017" w:rsidP="00FC479C">
            <w:pPr>
              <w:pStyle w:val="In-tableHeading"/>
              <w:keepLines/>
              <w:jc w:val="center"/>
            </w:pPr>
            <w:r w:rsidRPr="00B41614">
              <w:t>Use in modelled evaluation</w:t>
            </w:r>
          </w:p>
        </w:tc>
      </w:tr>
      <w:tr w:rsidR="007F1017" w:rsidRPr="00E2771E" w14:paraId="2A03CD4B" w14:textId="77777777" w:rsidTr="00682BA6">
        <w:trPr>
          <w:cantSplit/>
        </w:trPr>
        <w:tc>
          <w:tcPr>
            <w:tcW w:w="5000" w:type="pct"/>
            <w:gridSpan w:val="7"/>
            <w:shd w:val="clear" w:color="auto" w:fill="auto"/>
            <w:vAlign w:val="center"/>
          </w:tcPr>
          <w:p w14:paraId="73088C85" w14:textId="3BFA8BCB" w:rsidR="007F1017" w:rsidRPr="00EC5836" w:rsidRDefault="00E440F6" w:rsidP="00FC479C">
            <w:pPr>
              <w:pStyle w:val="In-tableHeading"/>
              <w:keepLines/>
            </w:pPr>
            <w:r>
              <w:t>cabozantinib</w:t>
            </w:r>
            <w:r w:rsidR="007F1017" w:rsidRPr="00EC5836">
              <w:t xml:space="preserve"> vs. </w:t>
            </w:r>
            <w:r>
              <w:t xml:space="preserve">best </w:t>
            </w:r>
            <w:r w:rsidR="00834C4C">
              <w:t xml:space="preserve">supportive </w:t>
            </w:r>
            <w:r>
              <w:t>care</w:t>
            </w:r>
          </w:p>
        </w:tc>
      </w:tr>
      <w:tr w:rsidR="00B41614" w:rsidRPr="00E2771E" w14:paraId="4EE88DCB" w14:textId="77777777" w:rsidTr="00B17422">
        <w:trPr>
          <w:cantSplit/>
        </w:trPr>
        <w:tc>
          <w:tcPr>
            <w:tcW w:w="597" w:type="pct"/>
            <w:shd w:val="clear" w:color="auto" w:fill="auto"/>
            <w:vAlign w:val="center"/>
          </w:tcPr>
          <w:p w14:paraId="6EE77D33" w14:textId="204D140F" w:rsidR="007F1017" w:rsidRPr="00E2771E" w:rsidRDefault="0085221A" w:rsidP="00FC479C">
            <w:pPr>
              <w:pStyle w:val="TableText0"/>
              <w:keepLines/>
              <w:rPr>
                <w:lang w:val="en-US"/>
              </w:rPr>
            </w:pPr>
            <w:r>
              <w:rPr>
                <w:lang w:val="en-US"/>
              </w:rPr>
              <w:t>COSMIC-311</w:t>
            </w:r>
          </w:p>
        </w:tc>
        <w:tc>
          <w:tcPr>
            <w:tcW w:w="665" w:type="pct"/>
            <w:shd w:val="clear" w:color="auto" w:fill="auto"/>
            <w:vAlign w:val="center"/>
          </w:tcPr>
          <w:p w14:paraId="4159317D" w14:textId="6936D4AC" w:rsidR="00170C60" w:rsidRDefault="00170C60" w:rsidP="00FC479C">
            <w:pPr>
              <w:pStyle w:val="TableText0"/>
              <w:keepLines/>
              <w:jc w:val="center"/>
              <w:rPr>
                <w:lang w:val="en-US"/>
              </w:rPr>
            </w:pPr>
            <w:r>
              <w:rPr>
                <w:lang w:val="en-US"/>
              </w:rPr>
              <w:t xml:space="preserve">OITT = </w:t>
            </w:r>
            <w:r w:rsidRPr="00F50C61">
              <w:rPr>
                <w:lang w:val="en-US"/>
              </w:rPr>
              <w:t>100</w:t>
            </w:r>
            <w:r w:rsidRPr="00170C60">
              <w:rPr>
                <w:vertAlign w:val="superscript"/>
                <w:lang w:val="en-US"/>
              </w:rPr>
              <w:t>a</w:t>
            </w:r>
          </w:p>
          <w:p w14:paraId="1875D663" w14:textId="754499FC" w:rsidR="00170C60" w:rsidRDefault="00170C60" w:rsidP="00FC479C">
            <w:pPr>
              <w:pStyle w:val="TableText0"/>
              <w:keepLines/>
              <w:jc w:val="center"/>
              <w:rPr>
                <w:lang w:val="en-US"/>
              </w:rPr>
            </w:pPr>
            <w:r>
              <w:rPr>
                <w:lang w:val="en-US"/>
              </w:rPr>
              <w:t xml:space="preserve">ITT = </w:t>
            </w:r>
            <w:r w:rsidRPr="00F50C61">
              <w:rPr>
                <w:lang w:val="en-US"/>
              </w:rPr>
              <w:t>187</w:t>
            </w:r>
            <w:r w:rsidRPr="00170C60">
              <w:rPr>
                <w:vertAlign w:val="superscript"/>
                <w:lang w:val="en-US"/>
              </w:rPr>
              <w:t>b</w:t>
            </w:r>
          </w:p>
          <w:p w14:paraId="41BB0E41" w14:textId="04D4E099" w:rsidR="00170C60" w:rsidRPr="00E2771E" w:rsidRDefault="00170C60" w:rsidP="00FC479C">
            <w:pPr>
              <w:pStyle w:val="TableText0"/>
              <w:keepLines/>
              <w:jc w:val="center"/>
              <w:rPr>
                <w:lang w:val="en-US"/>
              </w:rPr>
            </w:pPr>
            <w:r>
              <w:rPr>
                <w:lang w:val="en-US"/>
              </w:rPr>
              <w:t xml:space="preserve">Full ITT= </w:t>
            </w:r>
            <w:r w:rsidR="007F1017" w:rsidRPr="00F50C61">
              <w:rPr>
                <w:lang w:val="en-US"/>
              </w:rPr>
              <w:t>2</w:t>
            </w:r>
            <w:r w:rsidR="0085221A" w:rsidRPr="00F50C61">
              <w:rPr>
                <w:lang w:val="en-US"/>
              </w:rPr>
              <w:t>58</w:t>
            </w:r>
            <w:r w:rsidRPr="00170C60">
              <w:rPr>
                <w:vertAlign w:val="superscript"/>
                <w:lang w:val="en-US"/>
              </w:rPr>
              <w:t>c</w:t>
            </w:r>
          </w:p>
        </w:tc>
        <w:tc>
          <w:tcPr>
            <w:tcW w:w="798" w:type="pct"/>
            <w:shd w:val="clear" w:color="auto" w:fill="auto"/>
            <w:vAlign w:val="center"/>
          </w:tcPr>
          <w:p w14:paraId="10A10497" w14:textId="51F55FB8" w:rsidR="00F74D51" w:rsidRDefault="007F1017" w:rsidP="00FC479C">
            <w:pPr>
              <w:pStyle w:val="TableText0"/>
              <w:keepLines/>
              <w:jc w:val="center"/>
              <w:rPr>
                <w:lang w:val="en-US"/>
              </w:rPr>
            </w:pPr>
            <w:r w:rsidRPr="00E2771E">
              <w:rPr>
                <w:lang w:val="en-US"/>
              </w:rPr>
              <w:t>R, D</w:t>
            </w:r>
            <w:r w:rsidR="0085221A">
              <w:rPr>
                <w:lang w:val="en-US"/>
              </w:rPr>
              <w:t>B, MC</w:t>
            </w:r>
          </w:p>
          <w:p w14:paraId="744D08AC" w14:textId="568AE1C8" w:rsidR="0085221A" w:rsidRPr="00E2771E" w:rsidRDefault="00152384" w:rsidP="00FC479C">
            <w:pPr>
              <w:pStyle w:val="TableText0"/>
              <w:keepLines/>
              <w:jc w:val="center"/>
              <w:rPr>
                <w:lang w:val="en-US"/>
              </w:rPr>
            </w:pPr>
            <w:r>
              <w:rPr>
                <w:lang w:val="en-US"/>
              </w:rPr>
              <w:t xml:space="preserve">Median duration of follow up: </w:t>
            </w:r>
            <w:r w:rsidR="00B17422">
              <w:rPr>
                <w:lang w:val="en-US"/>
              </w:rPr>
              <w:br/>
            </w:r>
            <w:r w:rsidR="0085221A" w:rsidRPr="00F74D51">
              <w:rPr>
                <w:lang w:val="en-US"/>
              </w:rPr>
              <w:t>6</w:t>
            </w:r>
            <w:r w:rsidR="00170C60" w:rsidRPr="00170C60">
              <w:rPr>
                <w:vertAlign w:val="superscript"/>
                <w:lang w:val="en-US"/>
              </w:rPr>
              <w:t>d</w:t>
            </w:r>
            <w:r>
              <w:rPr>
                <w:lang w:val="en-US"/>
              </w:rPr>
              <w:t xml:space="preserve"> and </w:t>
            </w:r>
            <w:r w:rsidR="0085221A" w:rsidRPr="00F74D51">
              <w:rPr>
                <w:lang w:val="en-US"/>
              </w:rPr>
              <w:t>10</w:t>
            </w:r>
            <w:r>
              <w:rPr>
                <w:lang w:val="en-US"/>
              </w:rPr>
              <w:t>.1</w:t>
            </w:r>
            <w:r w:rsidR="0085221A" w:rsidRPr="00F74D51">
              <w:rPr>
                <w:lang w:val="en-US"/>
              </w:rPr>
              <w:t xml:space="preserve"> </w:t>
            </w:r>
            <w:proofErr w:type="spellStart"/>
            <w:r w:rsidR="0085221A" w:rsidRPr="00F74D51">
              <w:rPr>
                <w:lang w:val="en-US"/>
              </w:rPr>
              <w:t>mths</w:t>
            </w:r>
            <w:r w:rsidR="00170C60">
              <w:rPr>
                <w:vertAlign w:val="superscript"/>
                <w:lang w:val="en-US"/>
              </w:rPr>
              <w:t>e</w:t>
            </w:r>
            <w:proofErr w:type="spellEnd"/>
          </w:p>
        </w:tc>
        <w:tc>
          <w:tcPr>
            <w:tcW w:w="400" w:type="pct"/>
            <w:shd w:val="clear" w:color="auto" w:fill="auto"/>
            <w:vAlign w:val="center"/>
          </w:tcPr>
          <w:p w14:paraId="4A529D74" w14:textId="39247B91" w:rsidR="007F1017" w:rsidRPr="00E120DC" w:rsidRDefault="00734917" w:rsidP="00FC479C">
            <w:pPr>
              <w:pStyle w:val="TableText0"/>
              <w:keepLines/>
              <w:jc w:val="center"/>
              <w:rPr>
                <w:iCs/>
                <w:lang w:val="en-US"/>
              </w:rPr>
            </w:pPr>
            <w:r w:rsidRPr="00E120DC">
              <w:rPr>
                <w:iCs/>
                <w:lang w:val="en-US"/>
              </w:rPr>
              <w:t>High</w:t>
            </w:r>
            <w:r w:rsidR="002F7F76" w:rsidRPr="00E120DC">
              <w:rPr>
                <w:iCs/>
                <w:lang w:val="en-US"/>
              </w:rPr>
              <w:t xml:space="preserve"> </w:t>
            </w:r>
            <w:r w:rsidR="00170C60" w:rsidRPr="00E120DC">
              <w:rPr>
                <w:iCs/>
                <w:vertAlign w:val="superscript"/>
                <w:lang w:val="en-US"/>
              </w:rPr>
              <w:t>f</w:t>
            </w:r>
          </w:p>
        </w:tc>
        <w:tc>
          <w:tcPr>
            <w:tcW w:w="866" w:type="pct"/>
            <w:shd w:val="clear" w:color="auto" w:fill="auto"/>
            <w:vAlign w:val="center"/>
          </w:tcPr>
          <w:p w14:paraId="5E6F456D" w14:textId="76425610" w:rsidR="007F1017" w:rsidRPr="00D1433C" w:rsidRDefault="00734917" w:rsidP="00FC479C">
            <w:pPr>
              <w:pStyle w:val="TableText0"/>
              <w:keepLines/>
              <w:rPr>
                <w:lang w:val="en-US"/>
              </w:rPr>
            </w:pPr>
            <w:r>
              <w:rPr>
                <w:rFonts w:cs="Times New Roman"/>
                <w:bCs w:val="0"/>
                <w:szCs w:val="20"/>
              </w:rPr>
              <w:t>≥16 years of age</w:t>
            </w:r>
            <w:r w:rsidR="00D1433C">
              <w:rPr>
                <w:lang w:val="en-US"/>
              </w:rPr>
              <w:t xml:space="preserve">; </w:t>
            </w:r>
            <w:r>
              <w:rPr>
                <w:lang w:val="en-US"/>
              </w:rPr>
              <w:t>WHO/</w:t>
            </w:r>
            <w:r w:rsidR="00CD062D" w:rsidRPr="00CD062D">
              <w:rPr>
                <w:lang w:val="en-US"/>
              </w:rPr>
              <w:t>ECOG performance status of 0 or 1</w:t>
            </w:r>
            <w:r w:rsidR="00D1433C">
              <w:rPr>
                <w:lang w:val="en-US"/>
              </w:rPr>
              <w:t>;</w:t>
            </w:r>
            <w:r>
              <w:rPr>
                <w:lang w:val="en-US"/>
              </w:rPr>
              <w:t xml:space="preserve"> DTC; RAI-refractory or ineligible;</w:t>
            </w:r>
            <w:r w:rsidR="00D1433C">
              <w:rPr>
                <w:lang w:val="en-US"/>
              </w:rPr>
              <w:t xml:space="preserve"> </w:t>
            </w:r>
            <w:r w:rsidR="00CD062D" w:rsidRPr="00CD062D">
              <w:rPr>
                <w:rFonts w:eastAsia="Times New Roman" w:cs="Arial"/>
                <w:lang w:val="en-US"/>
              </w:rPr>
              <w:t xml:space="preserve">previous treatment with </w:t>
            </w:r>
            <w:r>
              <w:rPr>
                <w:rFonts w:eastAsia="Times New Roman" w:cs="Arial"/>
                <w:lang w:val="en-US"/>
              </w:rPr>
              <w:t>lenvatinib or sorafenib</w:t>
            </w:r>
          </w:p>
        </w:tc>
        <w:tc>
          <w:tcPr>
            <w:tcW w:w="598" w:type="pct"/>
            <w:shd w:val="clear" w:color="auto" w:fill="auto"/>
            <w:vAlign w:val="center"/>
          </w:tcPr>
          <w:p w14:paraId="22E41184" w14:textId="77777777" w:rsidR="00E120DC" w:rsidRDefault="00E120DC" w:rsidP="00FC479C">
            <w:pPr>
              <w:pStyle w:val="TableText0"/>
              <w:keepLines/>
              <w:jc w:val="center"/>
              <w:rPr>
                <w:lang w:val="en-US"/>
              </w:rPr>
            </w:pPr>
            <w:r>
              <w:rPr>
                <w:lang w:val="en-US"/>
              </w:rPr>
              <w:t xml:space="preserve">1°: </w:t>
            </w:r>
            <w:r w:rsidR="00CD062D">
              <w:rPr>
                <w:lang w:val="en-US"/>
              </w:rPr>
              <w:t xml:space="preserve">ORR, PFS </w:t>
            </w:r>
          </w:p>
          <w:p w14:paraId="6DC76214" w14:textId="3EBB9CC8" w:rsidR="007F1017" w:rsidRPr="00E2771E" w:rsidRDefault="00E120DC" w:rsidP="00FC479C">
            <w:pPr>
              <w:pStyle w:val="TableText0"/>
              <w:keepLines/>
              <w:jc w:val="center"/>
              <w:rPr>
                <w:lang w:val="en-US"/>
              </w:rPr>
            </w:pPr>
            <w:r>
              <w:rPr>
                <w:lang w:val="en-US"/>
              </w:rPr>
              <w:t xml:space="preserve">2°: </w:t>
            </w:r>
            <w:r w:rsidR="007F1017" w:rsidRPr="00E2771E">
              <w:rPr>
                <w:lang w:val="en-US"/>
              </w:rPr>
              <w:t>OS</w:t>
            </w:r>
            <w:r w:rsidR="00CD062D">
              <w:rPr>
                <w:lang w:val="en-US"/>
              </w:rPr>
              <w:t>,</w:t>
            </w:r>
            <w:r>
              <w:rPr>
                <w:lang w:val="en-US"/>
              </w:rPr>
              <w:t xml:space="preserve"> duration of tumour response,</w:t>
            </w:r>
            <w:r w:rsidR="00CD062D">
              <w:rPr>
                <w:lang w:val="en-US"/>
              </w:rPr>
              <w:t xml:space="preserve"> HRQoL</w:t>
            </w:r>
            <w:r w:rsidR="00734917">
              <w:rPr>
                <w:lang w:val="en-US"/>
              </w:rPr>
              <w:t xml:space="preserve"> (EQ-5D-5L)</w:t>
            </w:r>
            <w:r w:rsidR="00CD062D">
              <w:rPr>
                <w:lang w:val="en-US"/>
              </w:rPr>
              <w:t>, safety</w:t>
            </w:r>
          </w:p>
        </w:tc>
        <w:tc>
          <w:tcPr>
            <w:tcW w:w="1077" w:type="pct"/>
            <w:shd w:val="clear" w:color="auto" w:fill="auto"/>
            <w:vAlign w:val="center"/>
          </w:tcPr>
          <w:p w14:paraId="799DDCEC" w14:textId="55047E7E" w:rsidR="00373EB0" w:rsidRDefault="00CD062D" w:rsidP="00FC479C">
            <w:pPr>
              <w:pStyle w:val="TableText0"/>
              <w:keepLines/>
              <w:jc w:val="center"/>
              <w:rPr>
                <w:lang w:val="en-US"/>
              </w:rPr>
            </w:pPr>
            <w:r>
              <w:rPr>
                <w:lang w:val="en-US"/>
              </w:rPr>
              <w:t>PFS, TTD, OS</w:t>
            </w:r>
            <w:r w:rsidR="00DD4D69">
              <w:rPr>
                <w:lang w:val="en-US"/>
              </w:rPr>
              <w:t xml:space="preserve"> (sub-</w:t>
            </w:r>
            <w:r w:rsidR="006B0B9D">
              <w:rPr>
                <w:lang w:val="en-US"/>
              </w:rPr>
              <w:t xml:space="preserve">group </w:t>
            </w:r>
            <w:r w:rsidR="00DD4D69">
              <w:rPr>
                <w:lang w:val="en-US"/>
              </w:rPr>
              <w:t>previously treated with lenvatinib</w:t>
            </w:r>
            <w:r w:rsidR="00A706CE">
              <w:rPr>
                <w:lang w:val="en-US"/>
              </w:rPr>
              <w:t>, OS adjusted using RPSFT</w:t>
            </w:r>
            <w:r w:rsidR="00DD4D69">
              <w:rPr>
                <w:lang w:val="en-US"/>
              </w:rPr>
              <w:t>)</w:t>
            </w:r>
          </w:p>
          <w:p w14:paraId="748F48E1" w14:textId="77777777" w:rsidR="00373EB0" w:rsidRDefault="00373EB0" w:rsidP="00FC479C">
            <w:pPr>
              <w:pStyle w:val="TableText0"/>
              <w:keepLines/>
              <w:jc w:val="center"/>
              <w:rPr>
                <w:lang w:val="en-US"/>
              </w:rPr>
            </w:pPr>
          </w:p>
          <w:p w14:paraId="150A804C" w14:textId="351D5409" w:rsidR="007F1017" w:rsidRPr="00E2771E" w:rsidRDefault="00373EB0" w:rsidP="00FC479C">
            <w:pPr>
              <w:pStyle w:val="TableText0"/>
              <w:keepLines/>
              <w:jc w:val="center"/>
              <w:rPr>
                <w:lang w:val="en-US"/>
              </w:rPr>
            </w:pPr>
            <w:r>
              <w:rPr>
                <w:lang w:val="en-US"/>
              </w:rPr>
              <w:t xml:space="preserve">Median duration of </w:t>
            </w:r>
            <w:r w:rsidR="00667352">
              <w:rPr>
                <w:lang w:val="en-US"/>
              </w:rPr>
              <w:t xml:space="preserve">follow-up = </w:t>
            </w:r>
            <w:r>
              <w:rPr>
                <w:lang w:val="en-US"/>
              </w:rPr>
              <w:t>10.1 months</w:t>
            </w:r>
            <w:r w:rsidR="00667352">
              <w:rPr>
                <w:lang w:val="en-US"/>
              </w:rPr>
              <w:t>,</w:t>
            </w:r>
            <w:r>
              <w:rPr>
                <w:lang w:val="en-US"/>
              </w:rPr>
              <w:t xml:space="preserve"> beyond which parametric survival functions were used to extrapolate the survival outcomes.</w:t>
            </w:r>
            <w:r w:rsidR="00CD062D">
              <w:rPr>
                <w:lang w:val="en-US"/>
              </w:rPr>
              <w:t xml:space="preserve"> </w:t>
            </w:r>
          </w:p>
        </w:tc>
      </w:tr>
    </w:tbl>
    <w:p w14:paraId="560080D2" w14:textId="545B8EB3" w:rsidR="00045017" w:rsidRDefault="00045017" w:rsidP="00FC479C">
      <w:pPr>
        <w:pStyle w:val="FooterTableFigure"/>
        <w:keepNext/>
        <w:keepLines/>
      </w:pPr>
      <w:r>
        <w:t>Source: Table</w:t>
      </w:r>
      <w:r w:rsidR="00F74D51">
        <w:t xml:space="preserve"> 2-6, p46; p59; p89 of the submission</w:t>
      </w:r>
      <w:r w:rsidR="00170C60">
        <w:t xml:space="preserve"> and</w:t>
      </w:r>
      <w:r w:rsidR="00170C60" w:rsidRPr="00170C60">
        <w:rPr>
          <w:i/>
          <w:iCs/>
        </w:rPr>
        <w:t xml:space="preserve"> </w:t>
      </w:r>
      <w:r w:rsidR="00170C60" w:rsidRPr="00E120DC">
        <w:t>risk of bias as assessed during the evaluation</w:t>
      </w:r>
      <w:r w:rsidR="00F74D51" w:rsidRPr="00E120DC">
        <w:t>.</w:t>
      </w:r>
      <w:r w:rsidR="00F74D51">
        <w:t xml:space="preserve"> </w:t>
      </w:r>
    </w:p>
    <w:p w14:paraId="1095487C" w14:textId="4F19F303" w:rsidR="00620C25" w:rsidRDefault="00620C25" w:rsidP="00FC479C">
      <w:pPr>
        <w:pStyle w:val="FooterTableFigure"/>
        <w:keepNext/>
        <w:keepLines/>
      </w:pPr>
      <w:r w:rsidRPr="0072416F">
        <w:t>DB</w:t>
      </w:r>
      <w:r>
        <w:t xml:space="preserve"> </w:t>
      </w:r>
      <w:r w:rsidRPr="0072416F">
        <w:t>=</w:t>
      </w:r>
      <w:r>
        <w:t xml:space="preserve"> </w:t>
      </w:r>
      <w:r w:rsidRPr="00F74D51">
        <w:t xml:space="preserve">double blind; </w:t>
      </w:r>
      <w:r w:rsidR="00373EB0">
        <w:t xml:space="preserve">DTC = differential thyroid cancer; </w:t>
      </w:r>
      <w:r w:rsidR="00E440F6" w:rsidRPr="00F74D51">
        <w:t>ECOG =</w:t>
      </w:r>
      <w:r w:rsidR="00F74D51" w:rsidRPr="00F74D51">
        <w:t xml:space="preserve"> Eastern Cooperative Oncology Group</w:t>
      </w:r>
      <w:r w:rsidR="00F74D51">
        <w:t>;</w:t>
      </w:r>
      <w:r w:rsidR="00E440F6">
        <w:t xml:space="preserve"> </w:t>
      </w:r>
      <w:r w:rsidR="00D112AB">
        <w:t>HRQoL = Health</w:t>
      </w:r>
      <w:r w:rsidR="00373EB0">
        <w:t>-</w:t>
      </w:r>
      <w:r w:rsidR="00D112AB">
        <w:t xml:space="preserve">related quality of life; </w:t>
      </w:r>
      <w:r w:rsidR="00170C60">
        <w:t xml:space="preserve">ITT: Intent-to-treat; </w:t>
      </w:r>
      <w:r w:rsidRPr="0072416F">
        <w:t>MC</w:t>
      </w:r>
      <w:r>
        <w:t xml:space="preserve"> </w:t>
      </w:r>
      <w:r w:rsidRPr="0072416F">
        <w:t>=</w:t>
      </w:r>
      <w:r>
        <w:t xml:space="preserve"> </w:t>
      </w:r>
      <w:r w:rsidRPr="0072416F">
        <w:t xml:space="preserve">multi-centre; </w:t>
      </w:r>
      <w:r w:rsidR="00170C60">
        <w:t xml:space="preserve">OITT: Overall response rate intent-to-treat; </w:t>
      </w:r>
      <w:r w:rsidR="00D112AB" w:rsidRPr="00D112AB">
        <w:t xml:space="preserve">ORR </w:t>
      </w:r>
      <w:r w:rsidR="00D112AB">
        <w:t xml:space="preserve">= </w:t>
      </w:r>
      <w:r w:rsidR="00D112AB" w:rsidRPr="00D112AB">
        <w:t>objective response rate</w:t>
      </w:r>
      <w:r w:rsidR="00D112AB">
        <w:t xml:space="preserve">; </w:t>
      </w:r>
      <w:r w:rsidRPr="0072416F">
        <w:t>OS</w:t>
      </w:r>
      <w:r>
        <w:t xml:space="preserve"> </w:t>
      </w:r>
      <w:r w:rsidRPr="0072416F">
        <w:t>=</w:t>
      </w:r>
      <w:r>
        <w:t xml:space="preserve"> </w:t>
      </w:r>
      <w:r w:rsidRPr="0072416F">
        <w:t>overall survival; PFS</w:t>
      </w:r>
      <w:r>
        <w:t xml:space="preserve"> </w:t>
      </w:r>
      <w:r w:rsidRPr="0072416F">
        <w:t>=</w:t>
      </w:r>
      <w:r>
        <w:t xml:space="preserve"> </w:t>
      </w:r>
      <w:r w:rsidRPr="0072416F">
        <w:t>progression-free survival; R</w:t>
      </w:r>
      <w:r>
        <w:t xml:space="preserve"> </w:t>
      </w:r>
      <w:r w:rsidRPr="0072416F">
        <w:t>=</w:t>
      </w:r>
      <w:r>
        <w:t xml:space="preserve"> </w:t>
      </w:r>
      <w:r w:rsidRPr="0072416F">
        <w:t>randomised</w:t>
      </w:r>
      <w:r w:rsidR="00E440F6">
        <w:t xml:space="preserve">; </w:t>
      </w:r>
      <w:r w:rsidR="00373EB0">
        <w:t xml:space="preserve">RAI = radioactive iodine; </w:t>
      </w:r>
      <w:r w:rsidR="00E440F6">
        <w:t>RECIST =</w:t>
      </w:r>
      <w:r w:rsidR="00D112AB" w:rsidRPr="00D112AB">
        <w:t xml:space="preserve"> Response Evaluation Criteria in Solid Tumours</w:t>
      </w:r>
      <w:r w:rsidR="00D112AB">
        <w:t xml:space="preserve">; TTD = </w:t>
      </w:r>
      <w:r w:rsidR="00D112AB" w:rsidRPr="00D112AB">
        <w:t>time to treatment discontinuation</w:t>
      </w:r>
      <w:r w:rsidR="00D112AB">
        <w:t xml:space="preserve">; </w:t>
      </w:r>
      <w:r w:rsidR="00E440F6" w:rsidRPr="00E440F6">
        <w:t>VEGF</w:t>
      </w:r>
      <w:r w:rsidR="00D112AB">
        <w:t xml:space="preserve"> = </w:t>
      </w:r>
      <w:r w:rsidR="00D112AB" w:rsidRPr="00D112AB">
        <w:t>vascular endothelial growth factor</w:t>
      </w:r>
      <w:r w:rsidR="00373EB0">
        <w:t>; WHO = World Health Organisation.</w:t>
      </w:r>
    </w:p>
    <w:p w14:paraId="5522C702" w14:textId="71DB6202" w:rsidR="00170C60" w:rsidRDefault="00FD0514" w:rsidP="00FC479C">
      <w:pPr>
        <w:pStyle w:val="FooterTableFigure"/>
        <w:keepNext/>
        <w:keepLines/>
      </w:pPr>
      <w:r>
        <w:t>a</w:t>
      </w:r>
      <w:r w:rsidR="00170C60" w:rsidRPr="00170C60">
        <w:t xml:space="preserve"> </w:t>
      </w:r>
      <w:r w:rsidR="00170C60">
        <w:t>OITT: The first 100 subjects randomized to receive study treatment.</w:t>
      </w:r>
    </w:p>
    <w:p w14:paraId="32396AC0" w14:textId="44E19174" w:rsidR="00170C60" w:rsidRDefault="00FD0514" w:rsidP="00FC479C">
      <w:pPr>
        <w:pStyle w:val="FooterTableFigure"/>
        <w:keepNext/>
        <w:keepLines/>
      </w:pPr>
      <w:r>
        <w:t>b</w:t>
      </w:r>
      <w:r w:rsidR="00170C60">
        <w:t xml:space="preserve"> ITT population (also referred to as the Primary Analysis subset by the submission): Patients randomised to receive study treatment as of the first clinical cut-off (C</w:t>
      </w:r>
      <w:r w:rsidR="00422285">
        <w:t>C</w:t>
      </w:r>
      <w:r w:rsidR="00170C60">
        <w:t>O1) on 19 August 2020.</w:t>
      </w:r>
    </w:p>
    <w:p w14:paraId="4604878F" w14:textId="3D789F65" w:rsidR="00170C60" w:rsidRDefault="00FD0514" w:rsidP="00FC479C">
      <w:pPr>
        <w:pStyle w:val="FooterTableFigure"/>
        <w:keepNext/>
        <w:keepLines/>
      </w:pPr>
      <w:r>
        <w:t>c</w:t>
      </w:r>
      <w:r w:rsidR="00170C60">
        <w:t xml:space="preserve"> Full ITT population: Patients randomised to receive study treatment as of the second clinical cut-off (C</w:t>
      </w:r>
      <w:r w:rsidR="006F5252">
        <w:t>C</w:t>
      </w:r>
      <w:r w:rsidR="00170C60">
        <w:t>O2) on 2 February 2021.</w:t>
      </w:r>
    </w:p>
    <w:p w14:paraId="62254E66" w14:textId="47A35D6E" w:rsidR="00170C60" w:rsidRDefault="00FD0514" w:rsidP="00FC479C">
      <w:pPr>
        <w:pStyle w:val="FooterTableFigure"/>
        <w:keepNext/>
        <w:keepLines/>
      </w:pPr>
      <w:r>
        <w:t>d</w:t>
      </w:r>
      <w:r w:rsidR="0080393F">
        <w:t xml:space="preserve"> </w:t>
      </w:r>
      <w:r w:rsidR="00F74D51" w:rsidRPr="00F74D51">
        <w:t>The data cut-off for the prespecified primary endpoint analysis of ORR on the OITT population occurred 6 months after the last patient enrolled in the OITT population</w:t>
      </w:r>
    </w:p>
    <w:p w14:paraId="50978E26" w14:textId="33AB5DC2" w:rsidR="0080393F" w:rsidRDefault="00170C60" w:rsidP="00FC479C">
      <w:pPr>
        <w:pStyle w:val="FooterTableFigure"/>
        <w:keepNext/>
        <w:keepLines/>
      </w:pPr>
      <w:r>
        <w:t>e</w:t>
      </w:r>
      <w:r w:rsidR="00F74D51">
        <w:t xml:space="preserve"> </w:t>
      </w:r>
      <w:r>
        <w:t>M</w:t>
      </w:r>
      <w:r w:rsidR="0080393F" w:rsidRPr="0080393F">
        <w:t>edian time of follow-up was 10.1 months</w:t>
      </w:r>
      <w:r>
        <w:t xml:space="preserve"> in the Full ITT population</w:t>
      </w:r>
      <w:r w:rsidR="0080393F">
        <w:t xml:space="preserve">. </w:t>
      </w:r>
    </w:p>
    <w:p w14:paraId="28D3F67B" w14:textId="047D84C6" w:rsidR="00581080" w:rsidRPr="00B1011F" w:rsidRDefault="00FD0514" w:rsidP="00581080">
      <w:pPr>
        <w:pStyle w:val="FooterTableFigure"/>
        <w:rPr>
          <w:sz w:val="20"/>
        </w:rPr>
      </w:pPr>
      <w:r>
        <w:t>f</w:t>
      </w:r>
      <w:r w:rsidR="00872631">
        <w:t xml:space="preserve"> </w:t>
      </w:r>
      <w:r w:rsidR="00872631" w:rsidRPr="00872631">
        <w:t>Risk of bias in C</w:t>
      </w:r>
      <w:r w:rsidR="00872631">
        <w:t>OSMIC-311</w:t>
      </w:r>
      <w:r w:rsidR="00872631" w:rsidRPr="00872631">
        <w:t xml:space="preserve"> were assessed using </w:t>
      </w:r>
      <w:r w:rsidR="00872631">
        <w:t xml:space="preserve">the </w:t>
      </w:r>
      <w:r w:rsidR="00872631" w:rsidRPr="00872631">
        <w:t>Cochrane risk-of-bias tool for randomi</w:t>
      </w:r>
      <w:r w:rsidR="00872631">
        <w:t>s</w:t>
      </w:r>
      <w:r w:rsidR="00872631" w:rsidRPr="00872631">
        <w:t>ed trials</w:t>
      </w:r>
    </w:p>
    <w:p w14:paraId="658C26A3" w14:textId="123FCC2E" w:rsidR="006C1559" w:rsidRPr="00427986" w:rsidRDefault="00FD0514" w:rsidP="006C1559">
      <w:pPr>
        <w:pStyle w:val="3-BodyText"/>
      </w:pPr>
      <w:r w:rsidRPr="00427986">
        <w:t xml:space="preserve">The COSMIC-311 trial was a </w:t>
      </w:r>
      <w:r w:rsidR="000C1FB6" w:rsidRPr="00427986">
        <w:t>phase</w:t>
      </w:r>
      <w:r w:rsidR="00F53711" w:rsidRPr="00427986">
        <w:t xml:space="preserve"> 3, </w:t>
      </w:r>
      <w:r w:rsidRPr="00427986">
        <w:t>randomised, double-blind, multi-centre</w:t>
      </w:r>
      <w:r w:rsidR="00856C8B" w:rsidRPr="00427986">
        <w:t>, placebo-controlled</w:t>
      </w:r>
      <w:r w:rsidRPr="00427986">
        <w:t xml:space="preserve"> trial</w:t>
      </w:r>
      <w:r w:rsidR="00AF417D" w:rsidRPr="00427986">
        <w:t xml:space="preserve"> of cabozantinib in patients with RAI-refractory DTC who have progressed after prior VEGF-targeted therapy</w:t>
      </w:r>
      <w:r w:rsidRPr="00427986">
        <w:t>. P</w:t>
      </w:r>
      <w:r w:rsidR="006C1559" w:rsidRPr="00427986">
        <w:t xml:space="preserve">atients were stratified by </w:t>
      </w:r>
      <w:r w:rsidR="00C36807" w:rsidRPr="00427986">
        <w:t xml:space="preserve">previous </w:t>
      </w:r>
      <w:r w:rsidR="006C1559" w:rsidRPr="00427986">
        <w:t xml:space="preserve">lenvatinib </w:t>
      </w:r>
      <w:r w:rsidR="00C36807" w:rsidRPr="00427986">
        <w:t xml:space="preserve">treatment </w:t>
      </w:r>
      <w:r w:rsidR="00373EB0" w:rsidRPr="00427986">
        <w:t xml:space="preserve">(yes/no) </w:t>
      </w:r>
      <w:r w:rsidR="00C36807" w:rsidRPr="00427986">
        <w:t>and age</w:t>
      </w:r>
      <w:r w:rsidR="00373EB0" w:rsidRPr="00427986">
        <w:t xml:space="preserve"> </w:t>
      </w:r>
      <w:r w:rsidR="00D41669" w:rsidRPr="00427986">
        <w:t>(</w:t>
      </w:r>
      <w:r w:rsidR="00D41669" w:rsidRPr="00427986">
        <w:rPr>
          <w:rFonts w:cstheme="minorBidi"/>
        </w:rPr>
        <w:t>≤</w:t>
      </w:r>
      <w:r w:rsidR="00D41669" w:rsidRPr="00427986">
        <w:t xml:space="preserve">65 years </w:t>
      </w:r>
      <w:r w:rsidR="5D02A627" w:rsidRPr="00427986">
        <w:t>versus</w:t>
      </w:r>
      <w:r w:rsidR="00D41669" w:rsidRPr="00427986">
        <w:t xml:space="preserve"> &gt;65 years)</w:t>
      </w:r>
      <w:r w:rsidR="006C1559" w:rsidRPr="00427986">
        <w:t xml:space="preserve">. </w:t>
      </w:r>
    </w:p>
    <w:p w14:paraId="18B58D8D" w14:textId="5AEA24BD" w:rsidR="00C36807" w:rsidRPr="00427986" w:rsidRDefault="00C36807" w:rsidP="00C36807">
      <w:pPr>
        <w:pStyle w:val="3-BodyText"/>
      </w:pPr>
      <w:r w:rsidRPr="00427986">
        <w:t xml:space="preserve">Following progression (as determined by the investigator per </w:t>
      </w:r>
      <w:r w:rsidR="004E1070" w:rsidRPr="00427986">
        <w:t>Response Evaluation Criteria in Solid Tumours (</w:t>
      </w:r>
      <w:r w:rsidRPr="00427986">
        <w:t>RECIST</w:t>
      </w:r>
      <w:r w:rsidR="004E1070" w:rsidRPr="00427986">
        <w:t>)</w:t>
      </w:r>
      <w:r w:rsidRPr="00427986">
        <w:t xml:space="preserve"> 1.1 and confirmed by the blinded independent radiology committee (BIRC)</w:t>
      </w:r>
      <w:r w:rsidR="006E0BBD" w:rsidRPr="00427986">
        <w:t>)</w:t>
      </w:r>
      <w:r w:rsidRPr="00427986">
        <w:t>:</w:t>
      </w:r>
    </w:p>
    <w:p w14:paraId="0804174B" w14:textId="649DE263" w:rsidR="00C36807" w:rsidRPr="00427986" w:rsidRDefault="00C36807" w:rsidP="00427986">
      <w:pPr>
        <w:pStyle w:val="ListParagraph"/>
        <w:numPr>
          <w:ilvl w:val="0"/>
          <w:numId w:val="9"/>
        </w:numPr>
        <w:snapToGrid w:val="0"/>
        <w:ind w:left="1151" w:hanging="357"/>
      </w:pPr>
      <w:r w:rsidRPr="00427986">
        <w:t xml:space="preserve">Patients randomised to the cabozantinib arm were permitted to </w:t>
      </w:r>
      <w:r w:rsidR="00BB7BC2" w:rsidRPr="00427986">
        <w:t xml:space="preserve">continue </w:t>
      </w:r>
      <w:r w:rsidRPr="00427986">
        <w:t xml:space="preserve">to receive </w:t>
      </w:r>
      <w:r w:rsidR="00D41669" w:rsidRPr="00427986">
        <w:t>open</w:t>
      </w:r>
      <w:r w:rsidR="006E0BBD" w:rsidRPr="00427986">
        <w:t>-</w:t>
      </w:r>
      <w:r w:rsidR="00D41669" w:rsidRPr="00427986">
        <w:t>label</w:t>
      </w:r>
      <w:r w:rsidRPr="00427986">
        <w:t xml:space="preserve"> cabozantinib if the investigator believed the patient was still deriving clinical benefit.</w:t>
      </w:r>
    </w:p>
    <w:p w14:paraId="1FFE4D26" w14:textId="687AF14B" w:rsidR="00C36807" w:rsidRPr="00427986" w:rsidRDefault="00C36807" w:rsidP="00427986">
      <w:pPr>
        <w:pStyle w:val="ListParagraph"/>
        <w:numPr>
          <w:ilvl w:val="0"/>
          <w:numId w:val="9"/>
        </w:numPr>
        <w:snapToGrid w:val="0"/>
        <w:ind w:left="1151" w:hanging="357"/>
      </w:pPr>
      <w:r w:rsidRPr="00427986">
        <w:t xml:space="preserve">Patients randomised to the placebo arm were permitted to crossover to receive </w:t>
      </w:r>
      <w:r w:rsidR="00D41669" w:rsidRPr="00427986">
        <w:t>open</w:t>
      </w:r>
      <w:r w:rsidR="006E0BBD" w:rsidRPr="00427986">
        <w:t>-</w:t>
      </w:r>
      <w:r w:rsidR="00D41669" w:rsidRPr="00427986">
        <w:t>label</w:t>
      </w:r>
      <w:r w:rsidRPr="00427986">
        <w:t xml:space="preserve"> cabozantinib</w:t>
      </w:r>
      <w:r w:rsidR="00150500" w:rsidRPr="00427986">
        <w:t xml:space="preserve"> whilst </w:t>
      </w:r>
      <w:r w:rsidRPr="00427986">
        <w:t xml:space="preserve">the investigator believed the patient was still deriving clinical benefit. </w:t>
      </w:r>
    </w:p>
    <w:p w14:paraId="28CEAD4C" w14:textId="77777777" w:rsidR="00FD0514" w:rsidRPr="00427986" w:rsidRDefault="00FD0514" w:rsidP="00FD0514">
      <w:pPr>
        <w:pStyle w:val="3-BodyText"/>
      </w:pPr>
      <w:r w:rsidRPr="00427986">
        <w:t>The COSMIC-311 trial had several analysis populations, of which the key ones were:</w:t>
      </w:r>
    </w:p>
    <w:p w14:paraId="0B2500E6" w14:textId="43D612B1" w:rsidR="00FD0514" w:rsidRPr="00427986" w:rsidRDefault="00FD0514" w:rsidP="00427986">
      <w:pPr>
        <w:pStyle w:val="3-BodyText"/>
        <w:numPr>
          <w:ilvl w:val="0"/>
          <w:numId w:val="9"/>
        </w:numPr>
        <w:snapToGrid w:val="0"/>
        <w:ind w:left="1151" w:hanging="357"/>
      </w:pPr>
      <w:r w:rsidRPr="00427986">
        <w:t>Overall response rate intent-to-treat (OITT): The first 100 subjects randomi</w:t>
      </w:r>
      <w:r w:rsidR="008C2FBA" w:rsidRPr="00427986">
        <w:t>s</w:t>
      </w:r>
      <w:r w:rsidRPr="00427986">
        <w:t>ed to receive trial treatment (N=100).</w:t>
      </w:r>
    </w:p>
    <w:p w14:paraId="4A747DDF" w14:textId="7F44DACA" w:rsidR="00FD0514" w:rsidRPr="00427986" w:rsidRDefault="00FD0514" w:rsidP="00427986">
      <w:pPr>
        <w:pStyle w:val="ListParagraph"/>
        <w:numPr>
          <w:ilvl w:val="0"/>
          <w:numId w:val="9"/>
        </w:numPr>
        <w:snapToGrid w:val="0"/>
        <w:ind w:left="1151" w:hanging="357"/>
      </w:pPr>
      <w:r w:rsidRPr="00427986">
        <w:t>Intent-to-treat (ITT) population (also referred to as the Primary Analysis subset by the submission): Patients randomised to receive trial treatment as of the first clinical cut-off (C</w:t>
      </w:r>
      <w:r w:rsidR="006F5252" w:rsidRPr="00427986">
        <w:t>C</w:t>
      </w:r>
      <w:r w:rsidRPr="00427986">
        <w:t xml:space="preserve">O1) on 19 August 2020 (N=187). </w:t>
      </w:r>
    </w:p>
    <w:p w14:paraId="30969A64" w14:textId="3C3E1E1B" w:rsidR="00FD0514" w:rsidRPr="00427986" w:rsidRDefault="00FD0514" w:rsidP="00427986">
      <w:pPr>
        <w:pStyle w:val="ListParagraph"/>
        <w:numPr>
          <w:ilvl w:val="0"/>
          <w:numId w:val="9"/>
        </w:numPr>
        <w:snapToGrid w:val="0"/>
        <w:ind w:left="1151" w:hanging="357"/>
      </w:pPr>
      <w:r w:rsidRPr="00427986">
        <w:lastRenderedPageBreak/>
        <w:t>Full ITT population: Patients randomised to receive trial treatment as of the second clinical cut-off (C</w:t>
      </w:r>
      <w:r w:rsidR="006F5252" w:rsidRPr="00427986">
        <w:t>C</w:t>
      </w:r>
      <w:r w:rsidRPr="00427986">
        <w:t>O2) on 2 February 2021 (N=258).</w:t>
      </w:r>
    </w:p>
    <w:p w14:paraId="74BF298B" w14:textId="23A51F63" w:rsidR="00D33DD5" w:rsidRPr="00427986" w:rsidRDefault="0F3DE9D0" w:rsidP="00FD0514">
      <w:pPr>
        <w:pStyle w:val="3-BodyText"/>
      </w:pPr>
      <w:r w:rsidRPr="00427986">
        <w:t xml:space="preserve">The submission claimed that the </w:t>
      </w:r>
      <w:r w:rsidR="5E41C43B" w:rsidRPr="00427986">
        <w:t xml:space="preserve">COSMIC-311 </w:t>
      </w:r>
      <w:r w:rsidRPr="00427986">
        <w:t xml:space="preserve">trial </w:t>
      </w:r>
      <w:r w:rsidR="5E41C43B" w:rsidRPr="00427986">
        <w:t xml:space="preserve">had a low risk of bias. </w:t>
      </w:r>
      <w:r w:rsidR="1500057E" w:rsidRPr="00427986">
        <w:t>T</w:t>
      </w:r>
      <w:r w:rsidR="498BAA51" w:rsidRPr="00427986">
        <w:t xml:space="preserve">he </w:t>
      </w:r>
      <w:r w:rsidR="00AF1E6C" w:rsidRPr="00427986">
        <w:t xml:space="preserve">ESC considered that the </w:t>
      </w:r>
      <w:r w:rsidRPr="00427986">
        <w:t xml:space="preserve">trial had a high risk of bias </w:t>
      </w:r>
      <w:r w:rsidR="00AF1E6C" w:rsidRPr="00427986">
        <w:t xml:space="preserve">as </w:t>
      </w:r>
      <w:r w:rsidR="497B5A93" w:rsidRPr="00427986">
        <w:t>o</w:t>
      </w:r>
      <w:r w:rsidR="498BAA51" w:rsidRPr="00427986">
        <w:t xml:space="preserve">verall survival </w:t>
      </w:r>
      <w:r w:rsidR="7190B58A" w:rsidRPr="00427986">
        <w:t xml:space="preserve">in the placebo arm was </w:t>
      </w:r>
      <w:r w:rsidR="498BAA51" w:rsidRPr="00427986">
        <w:t xml:space="preserve">confounded by </w:t>
      </w:r>
      <w:r w:rsidR="7190B58A" w:rsidRPr="00427986">
        <w:t xml:space="preserve">trial participants crossing-over </w:t>
      </w:r>
      <w:r w:rsidR="498BAA51" w:rsidRPr="00427986">
        <w:t xml:space="preserve">to treatment with </w:t>
      </w:r>
      <w:r w:rsidR="3765F4AC" w:rsidRPr="00427986">
        <w:t>open</w:t>
      </w:r>
      <w:r w:rsidR="7190B58A" w:rsidRPr="00427986">
        <w:t>-</w:t>
      </w:r>
      <w:r w:rsidR="3765F4AC" w:rsidRPr="00427986">
        <w:t>label</w:t>
      </w:r>
      <w:r w:rsidR="498BAA51" w:rsidRPr="00427986">
        <w:t xml:space="preserve"> cabozantinib</w:t>
      </w:r>
      <w:r w:rsidR="7190B58A" w:rsidRPr="00427986">
        <w:t xml:space="preserve"> following progression</w:t>
      </w:r>
      <w:r w:rsidR="498BAA51" w:rsidRPr="00427986">
        <w:t xml:space="preserve">. </w:t>
      </w:r>
      <w:r w:rsidR="1FAF596E" w:rsidRPr="00427986">
        <w:t>Furthermore</w:t>
      </w:r>
      <w:r w:rsidR="497B5A93" w:rsidRPr="00427986">
        <w:t>, a</w:t>
      </w:r>
      <w:r w:rsidR="498BAA51" w:rsidRPr="00427986">
        <w:t xml:space="preserve"> large proportion of patients </w:t>
      </w:r>
      <w:r w:rsidR="56875818" w:rsidRPr="00427986">
        <w:t>were</w:t>
      </w:r>
      <w:r w:rsidR="3CA5B616" w:rsidRPr="00427986">
        <w:t xml:space="preserve"> missing </w:t>
      </w:r>
      <w:bookmarkStart w:id="28" w:name="_Hlk142575812"/>
      <w:r w:rsidR="3814C811" w:rsidRPr="00427986">
        <w:t xml:space="preserve">objective response outcomes </w:t>
      </w:r>
      <w:r w:rsidR="3CA5B616" w:rsidRPr="00427986">
        <w:t xml:space="preserve">or </w:t>
      </w:r>
      <w:r w:rsidR="498BAA51" w:rsidRPr="00427986">
        <w:t xml:space="preserve">had censored </w:t>
      </w:r>
      <w:r w:rsidR="3814C811" w:rsidRPr="00427986">
        <w:t xml:space="preserve">PFS or overall survival </w:t>
      </w:r>
      <w:r w:rsidR="3CA5B616" w:rsidRPr="00427986">
        <w:t>outcomes</w:t>
      </w:r>
      <w:r w:rsidR="498BAA51" w:rsidRPr="00427986">
        <w:t xml:space="preserve">. </w:t>
      </w:r>
      <w:bookmarkStart w:id="29" w:name="_Hlk142247865"/>
      <w:r w:rsidR="3CA5B616" w:rsidRPr="00427986">
        <w:t xml:space="preserve">In the </w:t>
      </w:r>
      <w:r w:rsidR="497B5A93" w:rsidRPr="00427986">
        <w:t xml:space="preserve">OITT </w:t>
      </w:r>
      <w:r w:rsidR="3CA5B616" w:rsidRPr="00427986">
        <w:t>population</w:t>
      </w:r>
      <w:r w:rsidR="3814C811" w:rsidRPr="00427986">
        <w:t>,</w:t>
      </w:r>
      <w:r w:rsidR="3CA5B616" w:rsidRPr="00427986">
        <w:t xml:space="preserve"> 7.5% of patients were missing </w:t>
      </w:r>
      <w:r w:rsidR="490E768E" w:rsidRPr="00427986">
        <w:t>objective response rate</w:t>
      </w:r>
      <w:r w:rsidR="3814C811" w:rsidRPr="00427986">
        <w:t>s</w:t>
      </w:r>
      <w:r w:rsidR="490E768E" w:rsidRPr="00427986">
        <w:t xml:space="preserve"> (</w:t>
      </w:r>
      <w:r w:rsidR="3CA5B616" w:rsidRPr="00427986">
        <w:t>ORR</w:t>
      </w:r>
      <w:r w:rsidR="490E768E" w:rsidRPr="00427986">
        <w:t>)</w:t>
      </w:r>
      <w:r w:rsidR="3CA5B616" w:rsidRPr="00427986">
        <w:t xml:space="preserve"> with cabozantinib versus </w:t>
      </w:r>
      <w:r w:rsidR="3814C811" w:rsidRPr="00427986">
        <w:t xml:space="preserve">0% of patients with </w:t>
      </w:r>
      <w:r w:rsidR="3CA5B616" w:rsidRPr="00427986">
        <w:t>placebo.</w:t>
      </w:r>
      <w:bookmarkEnd w:id="29"/>
      <w:r w:rsidR="1FAF596E" w:rsidRPr="00427986">
        <w:t xml:space="preserve"> </w:t>
      </w:r>
      <w:bookmarkEnd w:id="28"/>
      <w:r w:rsidR="1FAF596E" w:rsidRPr="00427986">
        <w:t xml:space="preserve">Finally, patients and investigators may have been unblinded to treatment due to the high level of toxicity associated with cabozantinib. </w:t>
      </w:r>
    </w:p>
    <w:p w14:paraId="73F41794" w14:textId="55F08DA7" w:rsidR="00707119" w:rsidRPr="00427986" w:rsidRDefault="62BA1CFF" w:rsidP="314FCF8A">
      <w:pPr>
        <w:pStyle w:val="3-BodyText"/>
      </w:pPr>
      <w:r w:rsidRPr="00427986">
        <w:rPr>
          <w:rFonts w:ascii="Calibri" w:eastAsia="Calibri" w:hAnsi="Calibri" w:cs="Calibri"/>
        </w:rPr>
        <w:t>The TGA Delegates Overview accepted that many patients would be reluctant to enrol in a placebo-controlled anti-cancer trial and</w:t>
      </w:r>
      <w:r w:rsidR="00FE1ADA" w:rsidRPr="00427986">
        <w:rPr>
          <w:rFonts w:ascii="Calibri" w:eastAsia="Calibri" w:hAnsi="Calibri" w:cs="Calibri"/>
        </w:rPr>
        <w:t xml:space="preserve"> hence</w:t>
      </w:r>
      <w:r w:rsidR="00180F22" w:rsidRPr="00427986">
        <w:rPr>
          <w:rFonts w:ascii="Calibri" w:eastAsia="Calibri" w:hAnsi="Calibri" w:cs="Calibri"/>
        </w:rPr>
        <w:t>,</w:t>
      </w:r>
      <w:r w:rsidR="00FE1ADA" w:rsidRPr="00427986">
        <w:rPr>
          <w:rFonts w:ascii="Calibri" w:eastAsia="Calibri" w:hAnsi="Calibri" w:cs="Calibri"/>
        </w:rPr>
        <w:t xml:space="preserve"> </w:t>
      </w:r>
      <w:r w:rsidR="002F3999" w:rsidRPr="00427986">
        <w:rPr>
          <w:rFonts w:ascii="Calibri" w:eastAsia="Calibri" w:hAnsi="Calibri" w:cs="Calibri"/>
        </w:rPr>
        <w:t>the trial</w:t>
      </w:r>
      <w:r w:rsidR="00FE1ADA" w:rsidRPr="00427986">
        <w:rPr>
          <w:rFonts w:ascii="Calibri" w:eastAsia="Calibri" w:hAnsi="Calibri" w:cs="Calibri"/>
        </w:rPr>
        <w:t xml:space="preserve"> allow</w:t>
      </w:r>
      <w:r w:rsidR="002F3999" w:rsidRPr="00427986">
        <w:rPr>
          <w:rFonts w:ascii="Calibri" w:eastAsia="Calibri" w:hAnsi="Calibri" w:cs="Calibri"/>
        </w:rPr>
        <w:t>ed</w:t>
      </w:r>
      <w:r w:rsidR="00FE1ADA" w:rsidRPr="00427986">
        <w:rPr>
          <w:rFonts w:ascii="Calibri" w:eastAsia="Calibri" w:hAnsi="Calibri" w:cs="Calibri"/>
        </w:rPr>
        <w:t xml:space="preserve"> patients in the placebo arm to cross</w:t>
      </w:r>
      <w:r w:rsidR="002F3999" w:rsidRPr="00427986">
        <w:rPr>
          <w:rFonts w:ascii="Calibri" w:eastAsia="Calibri" w:hAnsi="Calibri" w:cs="Calibri"/>
        </w:rPr>
        <w:t>-</w:t>
      </w:r>
      <w:r w:rsidR="00FE1ADA" w:rsidRPr="00427986">
        <w:rPr>
          <w:rFonts w:ascii="Calibri" w:eastAsia="Calibri" w:hAnsi="Calibri" w:cs="Calibri"/>
        </w:rPr>
        <w:t xml:space="preserve">over to </w:t>
      </w:r>
      <w:r w:rsidR="002F3999" w:rsidRPr="00427986">
        <w:rPr>
          <w:rFonts w:ascii="Calibri" w:eastAsia="Calibri" w:hAnsi="Calibri" w:cs="Calibri"/>
        </w:rPr>
        <w:t xml:space="preserve">open-label </w:t>
      </w:r>
      <w:r w:rsidR="00FE1ADA" w:rsidRPr="00427986">
        <w:rPr>
          <w:rFonts w:ascii="Calibri" w:eastAsia="Calibri" w:hAnsi="Calibri" w:cs="Calibri"/>
        </w:rPr>
        <w:t>cabozantinib</w:t>
      </w:r>
      <w:r w:rsidR="00180F22" w:rsidRPr="00427986">
        <w:rPr>
          <w:rFonts w:ascii="Calibri" w:eastAsia="Calibri" w:hAnsi="Calibri" w:cs="Calibri"/>
        </w:rPr>
        <w:t>. Therefore,</w:t>
      </w:r>
      <w:r w:rsidRPr="00427986">
        <w:rPr>
          <w:rFonts w:ascii="Calibri" w:eastAsia="Calibri" w:hAnsi="Calibri" w:cs="Calibri"/>
        </w:rPr>
        <w:t xml:space="preserve"> statistically robust estimates</w:t>
      </w:r>
      <w:r w:rsidR="00B43BDF" w:rsidRPr="00427986">
        <w:rPr>
          <w:rFonts w:ascii="Calibri" w:eastAsia="Calibri" w:hAnsi="Calibri" w:cs="Calibri"/>
        </w:rPr>
        <w:t xml:space="preserve"> of </w:t>
      </w:r>
      <w:r w:rsidR="005308A7" w:rsidRPr="00427986">
        <w:rPr>
          <w:rFonts w:ascii="Calibri" w:eastAsia="Calibri" w:hAnsi="Calibri" w:cs="Calibri"/>
        </w:rPr>
        <w:t>overall survival</w:t>
      </w:r>
      <w:r w:rsidRPr="00427986">
        <w:rPr>
          <w:rFonts w:ascii="Calibri" w:eastAsia="Calibri" w:hAnsi="Calibri" w:cs="Calibri"/>
        </w:rPr>
        <w:t xml:space="preserve"> were limited due to the design of the trial (TGA Delegates Overview) due to crossover of patients in the placebo arm to cabozantinib after confirmed disease progression (TGA Delegates Overview). </w:t>
      </w:r>
    </w:p>
    <w:p w14:paraId="277C011F" w14:textId="45A85C6E" w:rsidR="00707119" w:rsidRPr="00427986" w:rsidRDefault="5FB4A28F" w:rsidP="314FCF8A">
      <w:pPr>
        <w:pStyle w:val="3-BodyText"/>
      </w:pPr>
      <w:r w:rsidRPr="00427986">
        <w:t xml:space="preserve">Overall, baseline demographics and disease characteristics were balanced between the treatment arms and were similar across the OITT, ITT and </w:t>
      </w:r>
      <w:r w:rsidR="60CCA0FF" w:rsidRPr="00427986">
        <w:t>f</w:t>
      </w:r>
      <w:r w:rsidRPr="00427986">
        <w:t>ull ITT populations.</w:t>
      </w:r>
      <w:r w:rsidR="00D554D9" w:rsidRPr="00427986">
        <w:t xml:space="preserve"> However, the submission did not provide the baseline characteristics of the </w:t>
      </w:r>
      <w:r w:rsidR="002F3999" w:rsidRPr="00427986">
        <w:t xml:space="preserve">pre-specified </w:t>
      </w:r>
      <w:r w:rsidR="00D554D9" w:rsidRPr="00427986">
        <w:t>sub-</w:t>
      </w:r>
      <w:r w:rsidR="006B0B9D" w:rsidRPr="00427986">
        <w:t xml:space="preserve">groups </w:t>
      </w:r>
      <w:r w:rsidR="00FE1ADA" w:rsidRPr="00427986">
        <w:t xml:space="preserve">(i.e. those </w:t>
      </w:r>
      <w:r w:rsidR="00D554D9" w:rsidRPr="00427986">
        <w:t xml:space="preserve">previously treated with lenvatinib </w:t>
      </w:r>
      <w:r w:rsidR="00FE1ADA" w:rsidRPr="00427986">
        <w:t xml:space="preserve">and </w:t>
      </w:r>
      <w:r w:rsidR="00793452" w:rsidRPr="00427986">
        <w:t>sorafenib</w:t>
      </w:r>
      <w:r w:rsidR="00FE1ADA" w:rsidRPr="00427986">
        <w:t xml:space="preserve"> </w:t>
      </w:r>
      <w:r w:rsidR="007438AE" w:rsidRPr="00427986">
        <w:t>or</w:t>
      </w:r>
      <w:r w:rsidR="00E4026D" w:rsidRPr="00427986">
        <w:t xml:space="preserve"> with</w:t>
      </w:r>
      <w:r w:rsidR="007438AE" w:rsidRPr="00427986">
        <w:t xml:space="preserve"> lenvatinib </w:t>
      </w:r>
      <w:r w:rsidR="00D554D9" w:rsidRPr="00427986">
        <w:t>only</w:t>
      </w:r>
      <w:r w:rsidR="007E5DDA">
        <w:t>;</w:t>
      </w:r>
      <w:r w:rsidR="00D554D9" w:rsidRPr="00427986">
        <w:t xml:space="preserve"> the </w:t>
      </w:r>
      <w:r w:rsidR="00E4132B" w:rsidRPr="00427986">
        <w:t xml:space="preserve">latter was the </w:t>
      </w:r>
      <w:r w:rsidR="00D554D9" w:rsidRPr="00427986">
        <w:t xml:space="preserve">population </w:t>
      </w:r>
      <w:r w:rsidR="00CC7D1D" w:rsidRPr="00427986">
        <w:t xml:space="preserve">used in </w:t>
      </w:r>
      <w:r w:rsidR="00D554D9" w:rsidRPr="00427986">
        <w:t xml:space="preserve">the base case analysis in </w:t>
      </w:r>
      <w:r w:rsidR="00FF0DDC" w:rsidRPr="00427986">
        <w:t>the economic model</w:t>
      </w:r>
      <w:r w:rsidR="00180F22" w:rsidRPr="00427986">
        <w:t>)</w:t>
      </w:r>
      <w:r w:rsidR="00D554D9" w:rsidRPr="00427986">
        <w:t xml:space="preserve">. </w:t>
      </w:r>
      <w:r w:rsidR="004221D8" w:rsidRPr="00427986">
        <w:t>The PSCR provided baseline characteristics for the subgroup of patients treated with lenvatinib only. Overall, the characteristics were well balanced between the treatment arms; however, more patients in the cabozantinib arm had bone metastases (34%) compared to the placebo arm (12%).</w:t>
      </w:r>
    </w:p>
    <w:p w14:paraId="69CA6ECD" w14:textId="3BE22E1D" w:rsidR="00707119" w:rsidRPr="00427986" w:rsidRDefault="78769673" w:rsidP="002770A3">
      <w:pPr>
        <w:pStyle w:val="3-BodyText"/>
      </w:pPr>
      <w:r w:rsidRPr="00427986">
        <w:t xml:space="preserve">Several differences between the trial population and </w:t>
      </w:r>
      <w:r w:rsidR="007E0A4C" w:rsidRPr="00427986">
        <w:t xml:space="preserve">the Australian </w:t>
      </w:r>
      <w:r w:rsidRPr="00427986">
        <w:t xml:space="preserve">setting reduced the applicability </w:t>
      </w:r>
      <w:r w:rsidR="007E0A4C" w:rsidRPr="00427986">
        <w:t xml:space="preserve">of COSMIC-311 </w:t>
      </w:r>
      <w:r w:rsidRPr="00427986">
        <w:t>to the Australian context:</w:t>
      </w:r>
    </w:p>
    <w:p w14:paraId="1D3E99F9" w14:textId="26298B6B" w:rsidR="0015392A" w:rsidRPr="00427986" w:rsidRDefault="0015392A" w:rsidP="00427986">
      <w:pPr>
        <w:pStyle w:val="3-BodyText"/>
        <w:numPr>
          <w:ilvl w:val="1"/>
          <w:numId w:val="14"/>
        </w:numPr>
        <w:ind w:left="1151" w:hanging="357"/>
      </w:pPr>
      <w:r w:rsidRPr="00427986">
        <w:rPr>
          <w:rFonts w:eastAsia="Calibri"/>
        </w:rPr>
        <w:t xml:space="preserve">The </w:t>
      </w:r>
      <w:r w:rsidR="007E0A4C" w:rsidRPr="00427986">
        <w:rPr>
          <w:rFonts w:eastAsia="Calibri"/>
        </w:rPr>
        <w:t xml:space="preserve">allowed </w:t>
      </w:r>
      <w:r w:rsidRPr="00427986">
        <w:rPr>
          <w:rFonts w:eastAsia="Calibri"/>
        </w:rPr>
        <w:t xml:space="preserve">duration of treatment in the COSMIC-311 trial, </w:t>
      </w:r>
      <w:r w:rsidR="007E0A4C" w:rsidRPr="00427986">
        <w:rPr>
          <w:rFonts w:eastAsia="Calibri"/>
        </w:rPr>
        <w:t xml:space="preserve">in which </w:t>
      </w:r>
      <w:r w:rsidRPr="00427986">
        <w:rPr>
          <w:rFonts w:eastAsia="Calibri"/>
        </w:rPr>
        <w:t xml:space="preserve">patients were able to </w:t>
      </w:r>
      <w:r w:rsidR="009518C4" w:rsidRPr="00427986">
        <w:rPr>
          <w:rFonts w:eastAsia="Calibri"/>
        </w:rPr>
        <w:t>continue</w:t>
      </w:r>
      <w:r w:rsidRPr="00427986">
        <w:rPr>
          <w:rFonts w:eastAsia="Calibri"/>
        </w:rPr>
        <w:t xml:space="preserve"> </w:t>
      </w:r>
      <w:r w:rsidR="00180F22" w:rsidRPr="00427986">
        <w:rPr>
          <w:rFonts w:eastAsia="Calibri"/>
        </w:rPr>
        <w:t xml:space="preserve">to receive </w:t>
      </w:r>
      <w:r w:rsidRPr="00427986">
        <w:rPr>
          <w:rFonts w:eastAsia="Calibri"/>
        </w:rPr>
        <w:t>open-label cabozantinib</w:t>
      </w:r>
      <w:r w:rsidR="007E0A4C" w:rsidRPr="00427986">
        <w:rPr>
          <w:rFonts w:eastAsia="Calibri"/>
        </w:rPr>
        <w:t xml:space="preserve"> after progression</w:t>
      </w:r>
      <w:r w:rsidRPr="00427986">
        <w:rPr>
          <w:rFonts w:eastAsia="Calibri"/>
        </w:rPr>
        <w:t xml:space="preserve">, was </w:t>
      </w:r>
      <w:r w:rsidR="007E5DDA">
        <w:rPr>
          <w:rFonts w:eastAsia="Calibri"/>
        </w:rPr>
        <w:t>inconsistent with</w:t>
      </w:r>
      <w:r w:rsidRPr="00427986">
        <w:rPr>
          <w:rFonts w:eastAsia="Calibri"/>
        </w:rPr>
        <w:t xml:space="preserve"> the proposed PBS restriction, which required patients discontinue treatment upon progression.</w:t>
      </w:r>
      <w:r w:rsidRPr="00427986">
        <w:t xml:space="preserve"> </w:t>
      </w:r>
    </w:p>
    <w:p w14:paraId="45BFE78D" w14:textId="528D4A46" w:rsidR="0015392A" w:rsidRPr="00427986" w:rsidRDefault="0015392A" w:rsidP="00427986">
      <w:pPr>
        <w:pStyle w:val="3-BodyText"/>
        <w:numPr>
          <w:ilvl w:val="1"/>
          <w:numId w:val="14"/>
        </w:numPr>
        <w:ind w:left="1151" w:hanging="357"/>
      </w:pPr>
      <w:r w:rsidRPr="00427986">
        <w:t xml:space="preserve">In the COSMIC-311 trial 63% of patients had received prior treatment with lenvatinib, 60% had received prior treatment with sorafenib, and 24% had received prior treatment with both. In contrast, only lenvatinib is currently PBS subsidised for treatment of DTC. </w:t>
      </w:r>
      <w:r w:rsidR="008E7D0C" w:rsidRPr="00427986">
        <w:t>Pre</w:t>
      </w:r>
      <w:r w:rsidR="008366F9" w:rsidRPr="00427986">
        <w:t>-</w:t>
      </w:r>
      <w:r w:rsidR="008E7D0C" w:rsidRPr="00427986">
        <w:t>specified s</w:t>
      </w:r>
      <w:r w:rsidRPr="00427986">
        <w:t xml:space="preserve">ubgroup </w:t>
      </w:r>
      <w:r w:rsidR="007E0A4C" w:rsidRPr="00427986">
        <w:t xml:space="preserve">analyses </w:t>
      </w:r>
      <w:r w:rsidRPr="00427986">
        <w:t xml:space="preserve">suggested </w:t>
      </w:r>
      <w:r w:rsidR="004221D8" w:rsidRPr="00427986">
        <w:t>minimal differences</w:t>
      </w:r>
      <w:r w:rsidRPr="00427986">
        <w:t xml:space="preserve"> in PFS by whether the patient had previously received lenvatinib</w:t>
      </w:r>
      <w:r w:rsidR="001009C8" w:rsidRPr="00427986">
        <w:t xml:space="preserve"> +/- sorafenib</w:t>
      </w:r>
      <w:r w:rsidRPr="00427986">
        <w:t>.</w:t>
      </w:r>
    </w:p>
    <w:p w14:paraId="05CCC784" w14:textId="2BF660E2" w:rsidR="0015392A" w:rsidRPr="00427986" w:rsidRDefault="0015392A" w:rsidP="00427986">
      <w:pPr>
        <w:pStyle w:val="3-BodyText"/>
        <w:numPr>
          <w:ilvl w:val="1"/>
          <w:numId w:val="14"/>
        </w:numPr>
        <w:ind w:left="1151" w:hanging="357"/>
      </w:pPr>
      <w:r w:rsidRPr="00427986">
        <w:t xml:space="preserve">In the COSMIC-311 trial patients with known brain metastases were excluded unless adequately treated with radiotherapy and/or surgery (including </w:t>
      </w:r>
      <w:r w:rsidRPr="00427986">
        <w:lastRenderedPageBreak/>
        <w:t>radiosurgery), stable for at least four weeks before randomi</w:t>
      </w:r>
      <w:r w:rsidR="00872E2D" w:rsidRPr="00427986">
        <w:t>s</w:t>
      </w:r>
      <w:r w:rsidRPr="00427986">
        <w:t>ation, neurologically asymptomatic and without corticosteroid treatment at the time of randomisation.</w:t>
      </w:r>
      <w:r w:rsidR="00AF1E6C" w:rsidRPr="00427986">
        <w:t xml:space="preserve"> The clinical effectiveness of cabozantinib in patients with known brain metastases remains uncertain.</w:t>
      </w:r>
    </w:p>
    <w:p w14:paraId="39598F61" w14:textId="20D5D32F" w:rsidR="00FE6A8E" w:rsidRPr="00DF695C" w:rsidRDefault="00B60939" w:rsidP="00DF695C">
      <w:pPr>
        <w:pStyle w:val="4-SubsectionHeading"/>
      </w:pPr>
      <w:bookmarkStart w:id="30" w:name="_Toc22897641"/>
      <w:bookmarkStart w:id="31" w:name="_Toc145504684"/>
      <w:r w:rsidRPr="008366F9">
        <w:t>Comparative effectiveness</w:t>
      </w:r>
      <w:bookmarkEnd w:id="30"/>
      <w:bookmarkEnd w:id="31"/>
    </w:p>
    <w:p w14:paraId="4C942B64" w14:textId="62A680F3" w:rsidR="0096336A" w:rsidRDefault="7449109E" w:rsidP="002770A3">
      <w:pPr>
        <w:pStyle w:val="3-BodyText"/>
      </w:pPr>
      <w:r>
        <w:t xml:space="preserve">A summary of the main clinical effectiveness results </w:t>
      </w:r>
      <w:r w:rsidR="00B54FFE">
        <w:t xml:space="preserve">is </w:t>
      </w:r>
      <w:r w:rsidR="33BA245F">
        <w:t>presented</w:t>
      </w:r>
      <w:r>
        <w:t xml:space="preserve"> in </w:t>
      </w:r>
      <w:r w:rsidR="00DF695C">
        <w:fldChar w:fldCharType="begin" w:fldLock="1"/>
      </w:r>
      <w:r w:rsidR="00DF695C">
        <w:instrText xml:space="preserve"> REF _Ref142321802 \h  \* MERGEFORMAT </w:instrText>
      </w:r>
      <w:r w:rsidR="00DF695C">
        <w:fldChar w:fldCharType="separate"/>
      </w:r>
      <w:r w:rsidR="008760F8" w:rsidRPr="00E00BFC">
        <w:t xml:space="preserve">Table </w:t>
      </w:r>
      <w:r w:rsidR="008760F8" w:rsidRPr="008760F8">
        <w:t>4</w:t>
      </w:r>
      <w:r w:rsidR="00DF695C">
        <w:fldChar w:fldCharType="end"/>
      </w:r>
      <w:r w:rsidR="589EEE27">
        <w:t xml:space="preserve"> and </w:t>
      </w:r>
      <w:r w:rsidR="00096D4D">
        <w:fldChar w:fldCharType="begin" w:fldLock="1"/>
      </w:r>
      <w:r w:rsidR="00096D4D">
        <w:instrText xml:space="preserve"> REF _Ref142320725 \h  \* MERGEFORMAT </w:instrText>
      </w:r>
      <w:r w:rsidR="00096D4D">
        <w:fldChar w:fldCharType="separate"/>
      </w:r>
      <w:r w:rsidR="008760F8" w:rsidRPr="00E00BFC">
        <w:t xml:space="preserve">Table </w:t>
      </w:r>
      <w:r w:rsidR="008760F8">
        <w:rPr>
          <w:noProof/>
        </w:rPr>
        <w:t>5</w:t>
      </w:r>
      <w:r w:rsidR="00096D4D">
        <w:fldChar w:fldCharType="end"/>
      </w:r>
      <w:r>
        <w:t>.</w:t>
      </w:r>
    </w:p>
    <w:p w14:paraId="623F39B2" w14:textId="2E95459F" w:rsidR="00580081" w:rsidRDefault="00580081" w:rsidP="002770A3">
      <w:pPr>
        <w:pStyle w:val="3-BodyText"/>
      </w:pPr>
      <w:r w:rsidRPr="006F577F">
        <w:t>The economic model used the following outcomes from the COSMIC-311 trial: PFS (in those who previously received lenvatinib only); overall survival (in those who previously received lenvatinib only, and adjusted and unadjusted for cross-over); time to treatment discontinuation (in those who previously received lenvatinib only); and the proportion of patients receiving different type of treatments post-progression.</w:t>
      </w:r>
    </w:p>
    <w:p w14:paraId="0C145369" w14:textId="7099F8ED" w:rsidR="00E00BFC" w:rsidRPr="00E00BFC" w:rsidRDefault="00E00BFC" w:rsidP="00536534">
      <w:pPr>
        <w:pStyle w:val="TableFigureHeading"/>
        <w:rPr>
          <w:bCs w:val="0"/>
        </w:rPr>
      </w:pPr>
      <w:bookmarkStart w:id="32" w:name="_Ref142321802"/>
      <w:r w:rsidRPr="00E00BFC">
        <w:rPr>
          <w:bCs w:val="0"/>
        </w:rPr>
        <w:t xml:space="preserve">Table </w:t>
      </w:r>
      <w:r w:rsidRPr="00E00BFC">
        <w:rPr>
          <w:bCs w:val="0"/>
        </w:rPr>
        <w:fldChar w:fldCharType="begin" w:fldLock="1"/>
      </w:r>
      <w:r w:rsidRPr="00E00BFC">
        <w:rPr>
          <w:bCs w:val="0"/>
        </w:rPr>
        <w:instrText xml:space="preserve"> SEQ Table \* ARABIC </w:instrText>
      </w:r>
      <w:r w:rsidRPr="00E00BFC">
        <w:rPr>
          <w:bCs w:val="0"/>
        </w:rPr>
        <w:fldChar w:fldCharType="separate"/>
      </w:r>
      <w:r w:rsidR="008760F8">
        <w:rPr>
          <w:bCs w:val="0"/>
          <w:noProof/>
        </w:rPr>
        <w:t>4</w:t>
      </w:r>
      <w:r w:rsidRPr="00E00BFC">
        <w:rPr>
          <w:bCs w:val="0"/>
        </w:rPr>
        <w:fldChar w:fldCharType="end"/>
      </w:r>
      <w:bookmarkEnd w:id="32"/>
      <w:r w:rsidRPr="00E00BFC">
        <w:rPr>
          <w:bCs w:val="0"/>
        </w:rPr>
        <w:t>: Results of</w:t>
      </w:r>
      <w:r>
        <w:rPr>
          <w:bCs w:val="0"/>
        </w:rPr>
        <w:t xml:space="preserve"> the</w:t>
      </w:r>
      <w:r w:rsidRPr="00E00BFC">
        <w:rPr>
          <w:bCs w:val="0"/>
        </w:rPr>
        <w:t xml:space="preserve"> objective response rate</w:t>
      </w:r>
      <w:r w:rsidR="006467E7">
        <w:rPr>
          <w:bCs w:val="0"/>
        </w:rPr>
        <w:t xml:space="preserve"> per BICR</w:t>
      </w:r>
      <w:r w:rsidRPr="00E00BFC">
        <w:rPr>
          <w:bCs w:val="0"/>
        </w:rPr>
        <w:t xml:space="preserve"> </w:t>
      </w:r>
      <w:r>
        <w:rPr>
          <w:bCs w:val="0"/>
        </w:rPr>
        <w:t xml:space="preserve">in </w:t>
      </w:r>
      <w:r w:rsidR="00D41669">
        <w:rPr>
          <w:bCs w:val="0"/>
        </w:rPr>
        <w:t xml:space="preserve">the </w:t>
      </w:r>
      <w:r>
        <w:rPr>
          <w:bCs w:val="0"/>
        </w:rPr>
        <w:t>COSMIC-311</w:t>
      </w:r>
      <w:r w:rsidR="00D41669">
        <w:rPr>
          <w:bCs w:val="0"/>
        </w:rPr>
        <w:t xml:space="preserve">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1"/>
        <w:gridCol w:w="1417"/>
        <w:gridCol w:w="1560"/>
        <w:gridCol w:w="4059"/>
      </w:tblGrid>
      <w:tr w:rsidR="00E00BFC" w:rsidRPr="00B84117" w14:paraId="28C7C552" w14:textId="77777777" w:rsidTr="00A245BD">
        <w:trPr>
          <w:cantSplit/>
          <w:tblHeader/>
        </w:trPr>
        <w:tc>
          <w:tcPr>
            <w:tcW w:w="1098" w:type="pct"/>
            <w:vAlign w:val="center"/>
          </w:tcPr>
          <w:p w14:paraId="02D08B9C" w14:textId="77777777" w:rsidR="00E00BFC" w:rsidRPr="00B84117" w:rsidRDefault="00E00BFC" w:rsidP="00536534">
            <w:pPr>
              <w:pStyle w:val="In-tableHeading"/>
              <w:jc w:val="center"/>
            </w:pPr>
            <w:r w:rsidRPr="00B84117">
              <w:t>Trial ID</w:t>
            </w:r>
          </w:p>
        </w:tc>
        <w:tc>
          <w:tcPr>
            <w:tcW w:w="786" w:type="pct"/>
            <w:vAlign w:val="center"/>
          </w:tcPr>
          <w:p w14:paraId="15889673" w14:textId="77777777" w:rsidR="00E00BFC" w:rsidRDefault="00E00BFC" w:rsidP="00536534">
            <w:pPr>
              <w:pStyle w:val="In-tableHeading"/>
              <w:jc w:val="center"/>
            </w:pPr>
            <w:r>
              <w:t>Cabozantinib</w:t>
            </w:r>
          </w:p>
          <w:p w14:paraId="340064CA" w14:textId="77777777" w:rsidR="00E00BFC" w:rsidRPr="00B84117" w:rsidRDefault="00E00BFC" w:rsidP="00536534">
            <w:pPr>
              <w:pStyle w:val="In-tableHeading"/>
              <w:jc w:val="center"/>
            </w:pPr>
            <w:r w:rsidRPr="00FE70C3">
              <w:t>n/N (%)</w:t>
            </w:r>
          </w:p>
        </w:tc>
        <w:tc>
          <w:tcPr>
            <w:tcW w:w="865" w:type="pct"/>
            <w:vAlign w:val="center"/>
          </w:tcPr>
          <w:p w14:paraId="0E276DE8" w14:textId="77777777" w:rsidR="00E00BFC" w:rsidRDefault="00E00BFC" w:rsidP="00536534">
            <w:pPr>
              <w:pStyle w:val="In-tableHeading"/>
              <w:jc w:val="center"/>
            </w:pPr>
            <w:r>
              <w:t>Placebo</w:t>
            </w:r>
          </w:p>
          <w:p w14:paraId="19B00C90" w14:textId="77777777" w:rsidR="00E00BFC" w:rsidRPr="00B84117" w:rsidRDefault="00E00BFC" w:rsidP="00536534">
            <w:pPr>
              <w:pStyle w:val="In-tableHeading"/>
              <w:jc w:val="center"/>
            </w:pPr>
            <w:r w:rsidRPr="00FE70C3">
              <w:t>n/N (%)</w:t>
            </w:r>
          </w:p>
        </w:tc>
        <w:tc>
          <w:tcPr>
            <w:tcW w:w="2251" w:type="pct"/>
            <w:vAlign w:val="center"/>
          </w:tcPr>
          <w:p w14:paraId="07B67F96" w14:textId="1A509707" w:rsidR="00E00BFC" w:rsidRDefault="00E00BFC" w:rsidP="00536534">
            <w:pPr>
              <w:pStyle w:val="In-tableHeading"/>
              <w:jc w:val="center"/>
            </w:pPr>
            <w:r w:rsidRPr="00B84117">
              <w:t>Risk difference</w:t>
            </w:r>
          </w:p>
          <w:p w14:paraId="11DEBB65" w14:textId="78CC60EF" w:rsidR="007624BD" w:rsidRPr="00B84117" w:rsidRDefault="00180F22" w:rsidP="00536534">
            <w:pPr>
              <w:pStyle w:val="In-tableHeading"/>
              <w:jc w:val="center"/>
            </w:pPr>
            <w:r>
              <w:t>p</w:t>
            </w:r>
            <w:r w:rsidR="007624BD">
              <w:t>-value</w:t>
            </w:r>
          </w:p>
        </w:tc>
      </w:tr>
      <w:tr w:rsidR="00E00BFC" w:rsidRPr="00B1011F" w14:paraId="2108B9C2" w14:textId="77777777" w:rsidTr="00A245BD">
        <w:trPr>
          <w:cantSplit/>
        </w:trPr>
        <w:tc>
          <w:tcPr>
            <w:tcW w:w="1098" w:type="pct"/>
            <w:vAlign w:val="center"/>
          </w:tcPr>
          <w:p w14:paraId="12E9940A" w14:textId="73376BBB" w:rsidR="00E00BFC" w:rsidRPr="00B1011F" w:rsidRDefault="00E00BFC" w:rsidP="00536534">
            <w:pPr>
              <w:pStyle w:val="TableText0"/>
            </w:pPr>
            <w:r>
              <w:t>COSMIC-311, OITT</w:t>
            </w:r>
            <w:r w:rsidR="00DC11A4">
              <w:t xml:space="preserve"> </w:t>
            </w:r>
            <w:r w:rsidR="00A245BD" w:rsidRPr="00A245BD">
              <w:rPr>
                <w:vertAlign w:val="superscript"/>
              </w:rPr>
              <w:t>a</w:t>
            </w:r>
          </w:p>
        </w:tc>
        <w:tc>
          <w:tcPr>
            <w:tcW w:w="786" w:type="pct"/>
            <w:vAlign w:val="center"/>
          </w:tcPr>
          <w:p w14:paraId="25E0EE6B" w14:textId="29126426" w:rsidR="00E00BFC" w:rsidRPr="00B1011F" w:rsidRDefault="00E00BFC" w:rsidP="00536534">
            <w:pPr>
              <w:pStyle w:val="TableText0"/>
              <w:jc w:val="center"/>
            </w:pPr>
            <w:r w:rsidRPr="00F50C61">
              <w:rPr>
                <w:rFonts w:cs="Arial"/>
              </w:rPr>
              <w:t>10/67</w:t>
            </w:r>
            <w:r>
              <w:rPr>
                <w:rFonts w:cs="Arial"/>
              </w:rPr>
              <w:t xml:space="preserve"> (</w:t>
            </w:r>
            <w:r w:rsidR="00A054E2">
              <w:rPr>
                <w:rFonts w:cs="Arial"/>
              </w:rPr>
              <w:t xml:space="preserve"> </w:t>
            </w:r>
            <w:r>
              <w:rPr>
                <w:rFonts w:cs="Arial"/>
              </w:rPr>
              <w:t>15%)</w:t>
            </w:r>
          </w:p>
        </w:tc>
        <w:tc>
          <w:tcPr>
            <w:tcW w:w="865" w:type="pct"/>
            <w:vAlign w:val="center"/>
          </w:tcPr>
          <w:p w14:paraId="41274DD9" w14:textId="77777777" w:rsidR="00E00BFC" w:rsidRPr="0073619B" w:rsidRDefault="00E00BFC" w:rsidP="00536534">
            <w:pPr>
              <w:pStyle w:val="TableText0"/>
              <w:jc w:val="center"/>
              <w:rPr>
                <w:rFonts w:cs="Arial"/>
              </w:rPr>
            </w:pPr>
            <w:r>
              <w:rPr>
                <w:rFonts w:cs="Arial"/>
              </w:rPr>
              <w:t>0/33 (0%)</w:t>
            </w:r>
          </w:p>
        </w:tc>
        <w:tc>
          <w:tcPr>
            <w:tcW w:w="2251" w:type="pct"/>
            <w:vAlign w:val="center"/>
          </w:tcPr>
          <w:p w14:paraId="1BE2428B" w14:textId="7540D04B" w:rsidR="00E00BFC" w:rsidRPr="0073619B" w:rsidRDefault="00E00BFC" w:rsidP="00536534">
            <w:pPr>
              <w:pStyle w:val="Default"/>
              <w:keepNext/>
              <w:jc w:val="center"/>
              <w:rPr>
                <w:rFonts w:ascii="Arial Narrow" w:eastAsiaTheme="majorEastAsia" w:hAnsi="Arial Narrow" w:cs="Arial"/>
                <w:bCs/>
                <w:color w:val="auto"/>
                <w:sz w:val="20"/>
              </w:rPr>
            </w:pPr>
            <w:r w:rsidRPr="0073619B">
              <w:rPr>
                <w:rFonts w:ascii="Arial Narrow" w:eastAsiaTheme="majorEastAsia" w:hAnsi="Arial Narrow" w:cs="Arial"/>
                <w:bCs/>
                <w:color w:val="auto"/>
                <w:sz w:val="20"/>
              </w:rPr>
              <w:t>15</w:t>
            </w:r>
            <w:r>
              <w:rPr>
                <w:rFonts w:ascii="Arial Narrow" w:eastAsiaTheme="majorEastAsia" w:hAnsi="Arial Narrow" w:cs="Arial"/>
                <w:bCs/>
                <w:color w:val="auto"/>
                <w:sz w:val="20"/>
              </w:rPr>
              <w:t>%</w:t>
            </w:r>
            <w:r w:rsidRPr="0073619B">
              <w:rPr>
                <w:rFonts w:ascii="Arial Narrow" w:eastAsiaTheme="majorEastAsia" w:hAnsi="Arial Narrow" w:cs="Arial"/>
                <w:bCs/>
                <w:color w:val="auto"/>
                <w:sz w:val="20"/>
              </w:rPr>
              <w:t xml:space="preserve"> (</w:t>
            </w:r>
            <w:r w:rsidR="00A245BD">
              <w:rPr>
                <w:rFonts w:ascii="Arial Narrow" w:eastAsiaTheme="majorEastAsia" w:hAnsi="Arial Narrow" w:cs="Arial"/>
                <w:bCs/>
                <w:color w:val="auto"/>
                <w:sz w:val="20"/>
              </w:rPr>
              <w:t>99%</w:t>
            </w:r>
            <w:r w:rsidR="007E0A4C">
              <w:rPr>
                <w:rFonts w:ascii="Arial Narrow" w:eastAsiaTheme="majorEastAsia" w:hAnsi="Arial Narrow" w:cs="Arial"/>
                <w:bCs/>
                <w:color w:val="auto"/>
                <w:sz w:val="20"/>
              </w:rPr>
              <w:t xml:space="preserve"> </w:t>
            </w:r>
            <w:r w:rsidR="00A245BD">
              <w:rPr>
                <w:rFonts w:ascii="Arial Narrow" w:eastAsiaTheme="majorEastAsia" w:hAnsi="Arial Narrow" w:cs="Arial"/>
                <w:bCs/>
                <w:color w:val="auto"/>
                <w:sz w:val="20"/>
              </w:rPr>
              <w:t xml:space="preserve">CI: </w:t>
            </w:r>
            <w:r w:rsidRPr="0073619B">
              <w:rPr>
                <w:rFonts w:ascii="Arial Narrow" w:eastAsiaTheme="majorEastAsia" w:hAnsi="Arial Narrow" w:cs="Arial"/>
                <w:bCs/>
                <w:color w:val="auto"/>
                <w:sz w:val="20"/>
              </w:rPr>
              <w:t>3.7</w:t>
            </w:r>
            <w:r>
              <w:rPr>
                <w:rFonts w:ascii="Arial Narrow" w:eastAsiaTheme="majorEastAsia" w:hAnsi="Arial Narrow" w:cs="Arial"/>
                <w:bCs/>
                <w:color w:val="auto"/>
                <w:sz w:val="20"/>
              </w:rPr>
              <w:t>%</w:t>
            </w:r>
            <w:r w:rsidRPr="0073619B">
              <w:rPr>
                <w:rFonts w:ascii="Arial Narrow" w:eastAsiaTheme="majorEastAsia" w:hAnsi="Arial Narrow" w:cs="Arial"/>
                <w:bCs/>
                <w:color w:val="auto"/>
                <w:sz w:val="20"/>
              </w:rPr>
              <w:t>, 26.1</w:t>
            </w:r>
            <w:r>
              <w:rPr>
                <w:rFonts w:ascii="Arial Narrow" w:eastAsiaTheme="majorEastAsia" w:hAnsi="Arial Narrow" w:cs="Arial"/>
                <w:bCs/>
                <w:color w:val="auto"/>
                <w:sz w:val="20"/>
              </w:rPr>
              <w:t>%</w:t>
            </w:r>
            <w:r w:rsidRPr="0073619B">
              <w:rPr>
                <w:rFonts w:ascii="Arial Narrow" w:eastAsiaTheme="majorEastAsia" w:hAnsi="Arial Narrow" w:cs="Arial"/>
                <w:bCs/>
                <w:color w:val="auto"/>
                <w:sz w:val="20"/>
              </w:rPr>
              <w:t>)</w:t>
            </w:r>
          </w:p>
          <w:p w14:paraId="1917DE94" w14:textId="0A7B277D" w:rsidR="00E00BFC" w:rsidRDefault="00A245BD" w:rsidP="00536534">
            <w:pPr>
              <w:pStyle w:val="TableText0"/>
              <w:jc w:val="center"/>
              <w:rPr>
                <w:rFonts w:cs="Arial"/>
                <w:bCs w:val="0"/>
              </w:rPr>
            </w:pPr>
            <w:r>
              <w:rPr>
                <w:rFonts w:cs="Arial"/>
              </w:rPr>
              <w:t xml:space="preserve">Stratified CMH </w:t>
            </w:r>
            <w:r w:rsidR="00180F22">
              <w:rPr>
                <w:rFonts w:cs="Arial"/>
              </w:rPr>
              <w:t>p</w:t>
            </w:r>
            <w:r w:rsidR="00E00BFC" w:rsidRPr="0073619B">
              <w:rPr>
                <w:rFonts w:cs="Arial"/>
              </w:rPr>
              <w:t xml:space="preserve">-value = </w:t>
            </w:r>
            <w:r w:rsidR="00E00BFC" w:rsidRPr="0073619B">
              <w:rPr>
                <w:rFonts w:cs="Arial"/>
                <w:bCs w:val="0"/>
              </w:rPr>
              <w:t>0.0220</w:t>
            </w:r>
          </w:p>
          <w:p w14:paraId="521F97A0" w14:textId="307DF8EF" w:rsidR="00A245BD" w:rsidRPr="0073619B" w:rsidRDefault="00A245BD" w:rsidP="00536534">
            <w:pPr>
              <w:pStyle w:val="TableText0"/>
              <w:jc w:val="center"/>
              <w:rPr>
                <w:rFonts w:cs="Arial"/>
                <w:bCs w:val="0"/>
              </w:rPr>
            </w:pPr>
            <w:r>
              <w:rPr>
                <w:rFonts w:cs="Arial"/>
                <w:bCs w:val="0"/>
              </w:rPr>
              <w:t xml:space="preserve">Unstratified Fisher exact test </w:t>
            </w:r>
            <w:r w:rsidR="00180F22">
              <w:rPr>
                <w:rFonts w:cs="Arial"/>
                <w:bCs w:val="0"/>
              </w:rPr>
              <w:t>p</w:t>
            </w:r>
            <w:r>
              <w:rPr>
                <w:rFonts w:cs="Arial"/>
                <w:bCs w:val="0"/>
              </w:rPr>
              <w:t xml:space="preserve">-value = </w:t>
            </w:r>
            <w:r w:rsidRPr="00A245BD">
              <w:rPr>
                <w:rFonts w:cs="Arial"/>
                <w:bCs w:val="0"/>
              </w:rPr>
              <w:t>0.0281</w:t>
            </w:r>
          </w:p>
        </w:tc>
      </w:tr>
      <w:tr w:rsidR="00E00BFC" w:rsidRPr="00B1011F" w14:paraId="2F4AF634" w14:textId="77777777" w:rsidTr="00A245BD">
        <w:trPr>
          <w:cantSplit/>
        </w:trPr>
        <w:tc>
          <w:tcPr>
            <w:tcW w:w="1098" w:type="pct"/>
            <w:vAlign w:val="center"/>
          </w:tcPr>
          <w:p w14:paraId="66CAF8C7" w14:textId="302CD3AE" w:rsidR="00E00BFC" w:rsidRPr="00B1011F" w:rsidRDefault="00E00BFC" w:rsidP="00536534">
            <w:pPr>
              <w:pStyle w:val="TableText0"/>
            </w:pPr>
            <w:r>
              <w:t>COSMIC-311, ITT</w:t>
            </w:r>
            <w:r w:rsidR="00DC11A4">
              <w:t xml:space="preserve"> </w:t>
            </w:r>
            <w:r w:rsidR="00A245BD" w:rsidRPr="00A245BD">
              <w:rPr>
                <w:vertAlign w:val="superscript"/>
              </w:rPr>
              <w:t>b</w:t>
            </w:r>
          </w:p>
        </w:tc>
        <w:tc>
          <w:tcPr>
            <w:tcW w:w="786" w:type="pct"/>
            <w:vAlign w:val="center"/>
          </w:tcPr>
          <w:p w14:paraId="13B6D811" w14:textId="4198E09E" w:rsidR="00E00BFC" w:rsidRPr="00B1011F" w:rsidRDefault="00E00BFC" w:rsidP="00536534">
            <w:pPr>
              <w:pStyle w:val="TableText0"/>
              <w:jc w:val="center"/>
            </w:pPr>
            <w:r w:rsidRPr="00F50C61">
              <w:rPr>
                <w:bCs w:val="0"/>
              </w:rPr>
              <w:t>19/125</w:t>
            </w:r>
            <w:r>
              <w:rPr>
                <w:bCs w:val="0"/>
              </w:rPr>
              <w:t xml:space="preserve"> </w:t>
            </w:r>
            <w:r w:rsidR="00A054E2">
              <w:rPr>
                <w:bCs w:val="0"/>
              </w:rPr>
              <w:t xml:space="preserve">  </w:t>
            </w:r>
            <w:r>
              <w:rPr>
                <w:bCs w:val="0"/>
              </w:rPr>
              <w:t>(15%)</w:t>
            </w:r>
          </w:p>
        </w:tc>
        <w:tc>
          <w:tcPr>
            <w:tcW w:w="865" w:type="pct"/>
            <w:vAlign w:val="center"/>
          </w:tcPr>
          <w:p w14:paraId="688BBB9F" w14:textId="77777777" w:rsidR="00E00BFC" w:rsidRPr="00B1011F" w:rsidRDefault="00E00BFC" w:rsidP="00536534">
            <w:pPr>
              <w:pStyle w:val="TableText0"/>
              <w:jc w:val="center"/>
            </w:pPr>
            <w:r>
              <w:rPr>
                <w:bCs w:val="0"/>
              </w:rPr>
              <w:t>0/62 (0%)</w:t>
            </w:r>
          </w:p>
        </w:tc>
        <w:tc>
          <w:tcPr>
            <w:tcW w:w="2251" w:type="pct"/>
            <w:vAlign w:val="center"/>
          </w:tcPr>
          <w:p w14:paraId="240D4B66" w14:textId="20F35767" w:rsidR="00E00BFC" w:rsidRPr="00180F22" w:rsidRDefault="00E00BFC" w:rsidP="00536534">
            <w:pPr>
              <w:pStyle w:val="TableText0"/>
              <w:jc w:val="center"/>
              <w:rPr>
                <w:b/>
              </w:rPr>
            </w:pPr>
            <w:r w:rsidRPr="00180F22">
              <w:rPr>
                <w:b/>
              </w:rPr>
              <w:t>15% (</w:t>
            </w:r>
            <w:r w:rsidR="00A245BD" w:rsidRPr="00180F22">
              <w:rPr>
                <w:b/>
              </w:rPr>
              <w:t>95%</w:t>
            </w:r>
            <w:r w:rsidR="007E0A4C" w:rsidRPr="00180F22">
              <w:rPr>
                <w:b/>
              </w:rPr>
              <w:t xml:space="preserve"> </w:t>
            </w:r>
            <w:r w:rsidR="00A245BD" w:rsidRPr="00180F22">
              <w:rPr>
                <w:b/>
              </w:rPr>
              <w:t xml:space="preserve">CI: </w:t>
            </w:r>
            <w:r w:rsidRPr="00180F22">
              <w:rPr>
                <w:b/>
              </w:rPr>
              <w:t>8.9%, 21.5%)</w:t>
            </w:r>
          </w:p>
          <w:p w14:paraId="77CC4FA0" w14:textId="11F03746" w:rsidR="00487216" w:rsidRPr="00180F22" w:rsidRDefault="00A245BD" w:rsidP="00487216">
            <w:pPr>
              <w:pStyle w:val="TableText0"/>
              <w:jc w:val="center"/>
              <w:rPr>
                <w:b/>
                <w:bCs w:val="0"/>
              </w:rPr>
            </w:pPr>
            <w:r w:rsidRPr="00180F22">
              <w:rPr>
                <w:rFonts w:cs="Arial"/>
                <w:b/>
                <w:bCs w:val="0"/>
              </w:rPr>
              <w:t xml:space="preserve">Stratified CMH </w:t>
            </w:r>
            <w:r w:rsidR="00180F22">
              <w:rPr>
                <w:b/>
                <w:bCs w:val="0"/>
              </w:rPr>
              <w:t>p</w:t>
            </w:r>
            <w:r w:rsidR="00487216" w:rsidRPr="00180F22">
              <w:rPr>
                <w:b/>
                <w:bCs w:val="0"/>
              </w:rPr>
              <w:t>-value = 0.0010</w:t>
            </w:r>
          </w:p>
          <w:p w14:paraId="53A9AC7C" w14:textId="099B999F" w:rsidR="00A245BD" w:rsidRPr="00B1011F" w:rsidRDefault="00A245BD" w:rsidP="00487216">
            <w:pPr>
              <w:pStyle w:val="TableText0"/>
              <w:jc w:val="center"/>
            </w:pPr>
            <w:r w:rsidRPr="00180F22">
              <w:rPr>
                <w:rFonts w:cs="Arial"/>
                <w:b/>
                <w:bCs w:val="0"/>
              </w:rPr>
              <w:t xml:space="preserve">Unstratified Fisher exact test </w:t>
            </w:r>
            <w:r w:rsidR="00180F22">
              <w:rPr>
                <w:rFonts w:cs="Arial"/>
                <w:b/>
                <w:bCs w:val="0"/>
              </w:rPr>
              <w:t>p</w:t>
            </w:r>
            <w:r w:rsidRPr="00180F22">
              <w:rPr>
                <w:rFonts w:cs="Arial"/>
                <w:b/>
                <w:bCs w:val="0"/>
              </w:rPr>
              <w:t>-value = 0.0005</w:t>
            </w:r>
          </w:p>
        </w:tc>
      </w:tr>
      <w:tr w:rsidR="00E00BFC" w:rsidRPr="00B1011F" w14:paraId="42AC3194" w14:textId="77777777" w:rsidTr="00A245BD">
        <w:trPr>
          <w:cantSplit/>
        </w:trPr>
        <w:tc>
          <w:tcPr>
            <w:tcW w:w="1098" w:type="pct"/>
            <w:vAlign w:val="center"/>
          </w:tcPr>
          <w:p w14:paraId="69D3E49B" w14:textId="42C17FAB" w:rsidR="00E00BFC" w:rsidRPr="00B1011F" w:rsidRDefault="00E00BFC" w:rsidP="00536534">
            <w:pPr>
              <w:pStyle w:val="TableText0"/>
            </w:pPr>
            <w:r>
              <w:t>COSMIC-311, Full ITT</w:t>
            </w:r>
            <w:r w:rsidR="00DC11A4">
              <w:t xml:space="preserve"> </w:t>
            </w:r>
            <w:r w:rsidR="00A245BD" w:rsidRPr="00A245BD">
              <w:rPr>
                <w:vertAlign w:val="superscript"/>
              </w:rPr>
              <w:t>c</w:t>
            </w:r>
          </w:p>
        </w:tc>
        <w:tc>
          <w:tcPr>
            <w:tcW w:w="786" w:type="pct"/>
            <w:vAlign w:val="center"/>
          </w:tcPr>
          <w:p w14:paraId="00F60599" w14:textId="20EDECEF" w:rsidR="00E00BFC" w:rsidRPr="00B1011F" w:rsidRDefault="00E00BFC" w:rsidP="00536534">
            <w:pPr>
              <w:pStyle w:val="TableText0"/>
              <w:jc w:val="center"/>
            </w:pPr>
            <w:r w:rsidRPr="00F50C61">
              <w:rPr>
                <w:bCs w:val="0"/>
              </w:rPr>
              <w:t>19/170</w:t>
            </w:r>
            <w:r>
              <w:rPr>
                <w:bCs w:val="0"/>
              </w:rPr>
              <w:t xml:space="preserve"> </w:t>
            </w:r>
            <w:r w:rsidR="00A054E2">
              <w:rPr>
                <w:bCs w:val="0"/>
              </w:rPr>
              <w:t xml:space="preserve">  </w:t>
            </w:r>
            <w:r>
              <w:rPr>
                <w:bCs w:val="0"/>
              </w:rPr>
              <w:t>(11%)</w:t>
            </w:r>
          </w:p>
        </w:tc>
        <w:tc>
          <w:tcPr>
            <w:tcW w:w="865" w:type="pct"/>
            <w:vAlign w:val="center"/>
          </w:tcPr>
          <w:p w14:paraId="794178A6" w14:textId="77777777" w:rsidR="00E00BFC" w:rsidRPr="00B1011F" w:rsidRDefault="00E00BFC" w:rsidP="00536534">
            <w:pPr>
              <w:pStyle w:val="TableText0"/>
              <w:jc w:val="center"/>
            </w:pPr>
            <w:r>
              <w:rPr>
                <w:bCs w:val="0"/>
              </w:rPr>
              <w:t>0/88 (0%)</w:t>
            </w:r>
          </w:p>
        </w:tc>
        <w:tc>
          <w:tcPr>
            <w:tcW w:w="2251" w:type="pct"/>
            <w:vAlign w:val="center"/>
          </w:tcPr>
          <w:p w14:paraId="5FBE6FBD" w14:textId="712E691D" w:rsidR="00E00BFC" w:rsidRPr="00180F22" w:rsidRDefault="00E00BFC" w:rsidP="00536534">
            <w:pPr>
              <w:pStyle w:val="TableText0"/>
              <w:jc w:val="center"/>
              <w:rPr>
                <w:b/>
              </w:rPr>
            </w:pPr>
            <w:r w:rsidRPr="00180F22">
              <w:rPr>
                <w:b/>
              </w:rPr>
              <w:t>11% (</w:t>
            </w:r>
            <w:r w:rsidR="00A245BD" w:rsidRPr="00180F22">
              <w:rPr>
                <w:b/>
              </w:rPr>
              <w:t>95%</w:t>
            </w:r>
            <w:r w:rsidR="007E0A4C" w:rsidRPr="00180F22">
              <w:rPr>
                <w:b/>
              </w:rPr>
              <w:t xml:space="preserve"> </w:t>
            </w:r>
            <w:r w:rsidR="00A245BD" w:rsidRPr="00180F22">
              <w:rPr>
                <w:b/>
              </w:rPr>
              <w:t xml:space="preserve">CI: </w:t>
            </w:r>
            <w:r w:rsidRPr="00180F22">
              <w:rPr>
                <w:b/>
              </w:rPr>
              <w:t>6.4%, 15.9%</w:t>
            </w:r>
            <w:r w:rsidR="003B5E3F" w:rsidRPr="00180F22">
              <w:rPr>
                <w:b/>
              </w:rPr>
              <w:t>)</w:t>
            </w:r>
          </w:p>
          <w:p w14:paraId="6772CF40" w14:textId="5BE4C4B4" w:rsidR="00E00BFC" w:rsidRPr="00180F22" w:rsidRDefault="00A245BD" w:rsidP="00536534">
            <w:pPr>
              <w:pStyle w:val="TableText0"/>
              <w:jc w:val="center"/>
              <w:rPr>
                <w:rFonts w:cs="Arial"/>
                <w:b/>
                <w:bCs w:val="0"/>
              </w:rPr>
            </w:pPr>
            <w:r w:rsidRPr="00180F22">
              <w:rPr>
                <w:rFonts w:cs="Arial"/>
                <w:b/>
                <w:bCs w:val="0"/>
              </w:rPr>
              <w:t xml:space="preserve">Stratified CMH </w:t>
            </w:r>
            <w:r w:rsidR="00180F22">
              <w:rPr>
                <w:rFonts w:cs="Arial"/>
                <w:b/>
                <w:bCs w:val="0"/>
              </w:rPr>
              <w:t>p</w:t>
            </w:r>
            <w:r w:rsidR="00E00BFC" w:rsidRPr="00180F22">
              <w:rPr>
                <w:rFonts w:cs="Arial"/>
                <w:b/>
                <w:bCs w:val="0"/>
              </w:rPr>
              <w:t>-value = 0.0009</w:t>
            </w:r>
          </w:p>
          <w:p w14:paraId="2FE36BD2" w14:textId="7C03E6D5" w:rsidR="00A245BD" w:rsidRPr="00B1011F" w:rsidRDefault="00A245BD" w:rsidP="00536534">
            <w:pPr>
              <w:pStyle w:val="TableText0"/>
              <w:jc w:val="center"/>
            </w:pPr>
            <w:r w:rsidRPr="00180F22">
              <w:rPr>
                <w:rFonts w:cs="Arial"/>
                <w:b/>
                <w:bCs w:val="0"/>
              </w:rPr>
              <w:t xml:space="preserve">Unstratified Fisher exact test </w:t>
            </w:r>
            <w:bookmarkStart w:id="33" w:name="_Hlk144493763"/>
            <w:r w:rsidR="00180F22">
              <w:rPr>
                <w:rFonts w:cs="Arial"/>
                <w:b/>
                <w:bCs w:val="0"/>
              </w:rPr>
              <w:t>p</w:t>
            </w:r>
            <w:r w:rsidRPr="00180F22">
              <w:rPr>
                <w:rFonts w:cs="Arial"/>
                <w:b/>
                <w:bCs w:val="0"/>
              </w:rPr>
              <w:t>-value = 0.0003</w:t>
            </w:r>
            <w:bookmarkEnd w:id="33"/>
          </w:p>
        </w:tc>
      </w:tr>
    </w:tbl>
    <w:p w14:paraId="62F6CFE2" w14:textId="77FA506E" w:rsidR="00E00BFC" w:rsidRPr="00E00BFC" w:rsidRDefault="00E00BFC" w:rsidP="00536534">
      <w:pPr>
        <w:pStyle w:val="FooterTableFigure"/>
        <w:keepNext/>
        <w:rPr>
          <w:rFonts w:eastAsia="Calibri"/>
        </w:rPr>
      </w:pPr>
      <w:r w:rsidRPr="00E00BFC">
        <w:rPr>
          <w:rFonts w:eastAsia="Calibri"/>
        </w:rPr>
        <w:t>Source: Table 2-16, p65 of the submission and Table 28 of COSMIC-311 CSR &amp; Protocol.pdf</w:t>
      </w:r>
      <w:r w:rsidR="00D41669">
        <w:rPr>
          <w:rFonts w:eastAsia="Calibri"/>
        </w:rPr>
        <w:t>.</w:t>
      </w:r>
    </w:p>
    <w:p w14:paraId="3191F821" w14:textId="31C91720" w:rsidR="00E00BFC" w:rsidRDefault="006467E7" w:rsidP="00536534">
      <w:pPr>
        <w:pStyle w:val="FooterTableFigure"/>
        <w:keepNext/>
        <w:rPr>
          <w:rFonts w:eastAsia="Calibri"/>
        </w:rPr>
      </w:pPr>
      <w:r>
        <w:rPr>
          <w:rFonts w:eastAsia="Calibri"/>
        </w:rPr>
        <w:t xml:space="preserve">BICR = </w:t>
      </w:r>
      <w:r w:rsidRPr="006467E7">
        <w:rPr>
          <w:rFonts w:eastAsia="Calibri"/>
        </w:rPr>
        <w:t>blinded independent radiology committee</w:t>
      </w:r>
      <w:r>
        <w:rPr>
          <w:rFonts w:eastAsia="Calibri"/>
        </w:rPr>
        <w:t xml:space="preserve">; </w:t>
      </w:r>
      <w:r w:rsidR="00E00BFC" w:rsidRPr="00B40358">
        <w:rPr>
          <w:rFonts w:eastAsia="Calibri"/>
        </w:rPr>
        <w:t>CI = confidence interval;</w:t>
      </w:r>
      <w:r w:rsidR="00A245BD">
        <w:rPr>
          <w:rFonts w:eastAsia="Calibri"/>
        </w:rPr>
        <w:t xml:space="preserve"> CMH = </w:t>
      </w:r>
      <w:r w:rsidR="00A245BD" w:rsidRPr="00A245BD">
        <w:rPr>
          <w:rFonts w:eastAsia="Calibri"/>
        </w:rPr>
        <w:t>Cochran Mantel-Haenszel;</w:t>
      </w:r>
      <w:r w:rsidR="00E00BFC" w:rsidRPr="00B40358">
        <w:rPr>
          <w:rFonts w:eastAsia="Calibri"/>
        </w:rPr>
        <w:t xml:space="preserve"> </w:t>
      </w:r>
      <w:r w:rsidR="00D41669" w:rsidRPr="00E00BFC">
        <w:rPr>
          <w:rFonts w:eastAsia="Calibri"/>
        </w:rPr>
        <w:t>ITT</w:t>
      </w:r>
      <w:r w:rsidR="00D41669">
        <w:rPr>
          <w:rFonts w:eastAsia="Calibri"/>
        </w:rPr>
        <w:t xml:space="preserve"> =</w:t>
      </w:r>
      <w:r w:rsidR="00D41669" w:rsidRPr="00E00BFC">
        <w:rPr>
          <w:rFonts w:eastAsia="Calibri"/>
        </w:rPr>
        <w:t xml:space="preserve"> Intent-to-treat; </w:t>
      </w:r>
      <w:r w:rsidR="00E00BFC" w:rsidRPr="00E00BFC">
        <w:rPr>
          <w:rFonts w:eastAsia="Calibri"/>
        </w:rPr>
        <w:t>OITT</w:t>
      </w:r>
      <w:r w:rsidR="00D41669">
        <w:rPr>
          <w:rFonts w:eastAsia="Calibri"/>
        </w:rPr>
        <w:t xml:space="preserve"> =</w:t>
      </w:r>
      <w:r w:rsidR="00E00BFC" w:rsidRPr="00E00BFC">
        <w:rPr>
          <w:rFonts w:eastAsia="Calibri"/>
        </w:rPr>
        <w:t xml:space="preserve"> Overall response rate intent-to-treat.</w:t>
      </w:r>
    </w:p>
    <w:p w14:paraId="47E8DA76" w14:textId="0ECC2BA3" w:rsidR="00E00BFC" w:rsidRPr="00E00BFC" w:rsidRDefault="001E6FD4" w:rsidP="00536534">
      <w:pPr>
        <w:pStyle w:val="FooterTableFigure"/>
        <w:keepNext/>
        <w:rPr>
          <w:rFonts w:eastAsia="Calibri"/>
        </w:rPr>
      </w:pPr>
      <w:r>
        <w:rPr>
          <w:rFonts w:eastAsia="Calibri"/>
        </w:rPr>
        <w:t xml:space="preserve">a </w:t>
      </w:r>
      <w:r w:rsidR="00E00BFC" w:rsidRPr="00E00BFC">
        <w:rPr>
          <w:rFonts w:eastAsia="Calibri"/>
        </w:rPr>
        <w:t>OITT: The first 100 subjects randomized to receive study treatment.</w:t>
      </w:r>
    </w:p>
    <w:p w14:paraId="4B11BDDA" w14:textId="631D1263" w:rsidR="00E00BFC" w:rsidRPr="00E00BFC" w:rsidRDefault="001E6FD4" w:rsidP="00536534">
      <w:pPr>
        <w:pStyle w:val="FooterTableFigure"/>
        <w:keepNext/>
        <w:rPr>
          <w:rFonts w:eastAsia="Calibri"/>
        </w:rPr>
      </w:pPr>
      <w:r>
        <w:rPr>
          <w:rFonts w:eastAsia="Calibri"/>
        </w:rPr>
        <w:t xml:space="preserve">b </w:t>
      </w:r>
      <w:r w:rsidR="00E00BFC" w:rsidRPr="00E00BFC">
        <w:rPr>
          <w:rFonts w:eastAsia="Calibri"/>
        </w:rPr>
        <w:t>ITT population (also referred to as the Primary Analysis subset by the submission): Patients randomised to receive study treatment as of the first clinical cut-off (C</w:t>
      </w:r>
      <w:r w:rsidR="006F5252">
        <w:rPr>
          <w:rFonts w:eastAsia="Calibri"/>
        </w:rPr>
        <w:t>C</w:t>
      </w:r>
      <w:r w:rsidR="00E00BFC" w:rsidRPr="00E00BFC">
        <w:rPr>
          <w:rFonts w:eastAsia="Calibri"/>
        </w:rPr>
        <w:t>O1) on 19 August 2020.</w:t>
      </w:r>
    </w:p>
    <w:p w14:paraId="02AD3E00" w14:textId="23A7AA20" w:rsidR="00E00BFC" w:rsidRPr="00E00BFC" w:rsidRDefault="001E6FD4" w:rsidP="00536534">
      <w:pPr>
        <w:pStyle w:val="FooterTableFigure"/>
        <w:keepNext/>
        <w:rPr>
          <w:rFonts w:eastAsia="Calibri"/>
        </w:rPr>
      </w:pPr>
      <w:r>
        <w:rPr>
          <w:rFonts w:eastAsia="Calibri"/>
        </w:rPr>
        <w:t xml:space="preserve">c </w:t>
      </w:r>
      <w:r w:rsidR="00E00BFC" w:rsidRPr="00E00BFC">
        <w:rPr>
          <w:rFonts w:eastAsia="Calibri"/>
        </w:rPr>
        <w:t>Full ITT population: Patients randomised to receive study treatment as of the second clinical cut-off (C</w:t>
      </w:r>
      <w:r w:rsidR="006F5252">
        <w:rPr>
          <w:rFonts w:eastAsia="Calibri"/>
        </w:rPr>
        <w:t>C</w:t>
      </w:r>
      <w:r w:rsidR="00E00BFC" w:rsidRPr="00E00BFC">
        <w:rPr>
          <w:rFonts w:eastAsia="Calibri"/>
        </w:rPr>
        <w:t>O2) on 2 February 2021.</w:t>
      </w:r>
    </w:p>
    <w:p w14:paraId="1A7E357E" w14:textId="510E4FA8" w:rsidR="00A054E2" w:rsidRPr="00B40358" w:rsidRDefault="00E00BFC" w:rsidP="00A054E2">
      <w:pPr>
        <w:pStyle w:val="FooterTableFigure"/>
        <w:rPr>
          <w:rFonts w:eastAsia="Calibri"/>
        </w:rPr>
      </w:pPr>
      <w:r w:rsidRPr="00E00BFC">
        <w:rPr>
          <w:rFonts w:eastAsia="Calibri"/>
        </w:rPr>
        <w:t>Bold</w:t>
      </w:r>
      <w:r w:rsidRPr="00B83739">
        <w:rPr>
          <w:rFonts w:eastAsia="Calibri"/>
        </w:rPr>
        <w:t xml:space="preserve"> indicates statistically significant results.</w:t>
      </w:r>
    </w:p>
    <w:p w14:paraId="617AC1F1" w14:textId="34609BFE" w:rsidR="00FA03F9" w:rsidRPr="0023484B" w:rsidRDefault="18F4CB15" w:rsidP="00FA03F9">
      <w:pPr>
        <w:pStyle w:val="3-BodyText"/>
      </w:pPr>
      <w:r w:rsidRPr="008366F9">
        <w:t xml:space="preserve">At CCO1 a numerical </w:t>
      </w:r>
      <w:r w:rsidR="1D695A94" w:rsidRPr="008366F9">
        <w:t xml:space="preserve">improvement </w:t>
      </w:r>
      <w:r w:rsidRPr="008366F9">
        <w:t xml:space="preserve">in ORR (multiple primary endpoint) was demonstrated for cabozantinib versus placebo in the OITT population; 15% (99% </w:t>
      </w:r>
      <w:r w:rsidR="004E1070" w:rsidRPr="008366F9">
        <w:t xml:space="preserve">confidence interval, </w:t>
      </w:r>
      <w:r w:rsidRPr="008366F9">
        <w:t xml:space="preserve">CI: 5.8, 29.3) versus 0% (99% CI: 0.0, 14.8), </w:t>
      </w:r>
      <w:r w:rsidR="70AD593C" w:rsidRPr="008366F9">
        <w:t xml:space="preserve">unstratified </w:t>
      </w:r>
      <w:r w:rsidRPr="008366F9">
        <w:t xml:space="preserve">p-value=0.0281. The </w:t>
      </w:r>
      <w:r w:rsidR="4C1F9644" w:rsidRPr="008366F9">
        <w:t>trial</w:t>
      </w:r>
      <w:r w:rsidRPr="008366F9">
        <w:t xml:space="preserve"> failed to reject the null hypothesis of ORR at the prespecified alpha of 1</w:t>
      </w:r>
      <w:r w:rsidRPr="0023484B">
        <w:t>%.</w:t>
      </w:r>
      <w:r w:rsidR="12FB289B" w:rsidRPr="0023484B">
        <w:t xml:space="preserve"> </w:t>
      </w:r>
      <w:r w:rsidR="00180F22" w:rsidRPr="0023484B">
        <w:t xml:space="preserve">The small sample size may have contributed to the non-statistically significant result. </w:t>
      </w:r>
      <w:r w:rsidR="12FB289B" w:rsidRPr="0023484B">
        <w:t xml:space="preserve">Subsequent estimates of ORR </w:t>
      </w:r>
      <w:r w:rsidR="007E0A4C" w:rsidRPr="0023484B">
        <w:t xml:space="preserve">in the ITT and full ITT </w:t>
      </w:r>
      <w:r w:rsidR="12FB289B" w:rsidRPr="0023484B">
        <w:t>were statistically significant.</w:t>
      </w:r>
    </w:p>
    <w:p w14:paraId="794D1E49" w14:textId="0B3C2050" w:rsidR="00180F22" w:rsidRPr="0023484B" w:rsidRDefault="00180F22" w:rsidP="00FA03F9">
      <w:pPr>
        <w:pStyle w:val="3-BodyText"/>
      </w:pPr>
      <w:r w:rsidRPr="0023484B">
        <w:rPr>
          <w:rFonts w:eastAsia="MS Gothic" w:cs="Times New Roman"/>
          <w:color w:val="000000"/>
          <w:szCs w:val="22"/>
          <w:lang w:eastAsia="en-US" w:bidi="en-US"/>
        </w:rPr>
        <w:t>The improvement</w:t>
      </w:r>
      <w:r w:rsidRPr="0023484B">
        <w:rPr>
          <w:rFonts w:eastAsia="MS Gothic" w:cs="Times New Roman"/>
          <w:bCs/>
          <w:color w:val="000000"/>
          <w:szCs w:val="22"/>
          <w:lang w:eastAsia="en-US" w:bidi="en-US"/>
        </w:rPr>
        <w:t xml:space="preserve"> in the ORR was modest (11% to 15%) relative to lenvatinib for the treatment of RAI-refractory DTC, albeit for first-line treatment (the SELECT trial </w:t>
      </w:r>
      <w:r w:rsidRPr="0023484B">
        <w:rPr>
          <w:rFonts w:eastAsia="MS Gothic" w:cs="Times New Roman"/>
          <w:bCs/>
          <w:color w:val="000000"/>
          <w:szCs w:val="22"/>
          <w:lang w:eastAsia="en-US" w:bidi="en-US"/>
        </w:rPr>
        <w:lastRenderedPageBreak/>
        <w:t>comparing lenvatinib to placebo, 64.8% vs 1.5%, p&lt;0.001)</w:t>
      </w:r>
      <w:r w:rsidRPr="0023484B">
        <w:rPr>
          <w:rFonts w:eastAsia="MS Gothic" w:cs="Times New Roman"/>
          <w:bCs/>
          <w:color w:val="000000"/>
          <w:szCs w:val="22"/>
          <w:vertAlign w:val="superscript"/>
          <w:lang w:eastAsia="en-US" w:bidi="en-US"/>
        </w:rPr>
        <w:footnoteReference w:id="14"/>
      </w:r>
      <w:r w:rsidRPr="0023484B">
        <w:rPr>
          <w:rFonts w:eastAsia="MS Gothic" w:cs="Times New Roman"/>
          <w:bCs/>
          <w:color w:val="000000"/>
          <w:szCs w:val="22"/>
          <w:lang w:eastAsia="en-US" w:bidi="en-US"/>
        </w:rPr>
        <w:t xml:space="preserve"> but similar to sorafenib (the DECISION trial comparing sorafenib</w:t>
      </w:r>
      <w:r w:rsidRPr="0023484B">
        <w:t xml:space="preserve"> </w:t>
      </w:r>
      <w:r w:rsidRPr="0023484B">
        <w:rPr>
          <w:rFonts w:eastAsia="MS Gothic" w:cs="Times New Roman"/>
          <w:bCs/>
          <w:color w:val="000000"/>
          <w:szCs w:val="22"/>
          <w:lang w:eastAsia="en-US" w:bidi="en-US"/>
        </w:rPr>
        <w:t>to placebo,</w:t>
      </w:r>
      <w:r w:rsidRPr="0023484B">
        <w:t xml:space="preserve"> </w:t>
      </w:r>
      <w:r w:rsidRPr="0023484B">
        <w:rPr>
          <w:rFonts w:eastAsia="MS Gothic" w:cs="Times New Roman"/>
          <w:bCs/>
          <w:color w:val="000000"/>
          <w:szCs w:val="22"/>
          <w:lang w:eastAsia="en-US" w:bidi="en-US"/>
        </w:rPr>
        <w:t>12.2% vs 0·5%, p&lt;0.0001).</w:t>
      </w:r>
      <w:r w:rsidRPr="0023484B">
        <w:rPr>
          <w:rFonts w:eastAsia="MS Gothic" w:cs="Times New Roman"/>
          <w:bCs/>
          <w:color w:val="000000"/>
          <w:szCs w:val="22"/>
          <w:vertAlign w:val="superscript"/>
          <w:lang w:eastAsia="en-US" w:bidi="en-US"/>
        </w:rPr>
        <w:footnoteReference w:id="15"/>
      </w:r>
    </w:p>
    <w:p w14:paraId="26517482" w14:textId="7B2EAA23" w:rsidR="001F0333" w:rsidRPr="00E00BFC" w:rsidRDefault="001F0333" w:rsidP="00FC479C">
      <w:pPr>
        <w:pStyle w:val="TableFigureHeading"/>
        <w:keepLines/>
      </w:pPr>
      <w:bookmarkStart w:id="34" w:name="_Ref142320725"/>
      <w:r w:rsidRPr="00E00BFC">
        <w:lastRenderedPageBreak/>
        <w:t xml:space="preserve">Table </w:t>
      </w:r>
      <w:r>
        <w:fldChar w:fldCharType="begin" w:fldLock="1"/>
      </w:r>
      <w:r>
        <w:instrText>SEQ Table \* ARABIC</w:instrText>
      </w:r>
      <w:r>
        <w:fldChar w:fldCharType="separate"/>
      </w:r>
      <w:r w:rsidR="008760F8">
        <w:rPr>
          <w:noProof/>
        </w:rPr>
        <w:t>5</w:t>
      </w:r>
      <w:r>
        <w:fldChar w:fldCharType="end"/>
      </w:r>
      <w:bookmarkEnd w:id="34"/>
      <w:r w:rsidRPr="00E00BFC">
        <w:t>: Summary of survival outcomes in</w:t>
      </w:r>
      <w:r w:rsidR="00D41669">
        <w:t xml:space="preserve"> the </w:t>
      </w:r>
      <w:r w:rsidRPr="00E00BFC">
        <w:t>COSMIC-311</w:t>
      </w:r>
      <w:r w:rsidR="00D41669">
        <w:t xml:space="preserve"> trial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1416"/>
        <w:gridCol w:w="1416"/>
        <w:gridCol w:w="1015"/>
        <w:gridCol w:w="1773"/>
      </w:tblGrid>
      <w:tr w:rsidR="0098277E" w:rsidRPr="004221D8" w14:paraId="2035100E" w14:textId="77777777" w:rsidTr="0098277E">
        <w:trPr>
          <w:cantSplit/>
          <w:tblHeader/>
        </w:trPr>
        <w:tc>
          <w:tcPr>
            <w:tcW w:w="1884" w:type="pct"/>
            <w:tcBorders>
              <w:bottom w:val="double" w:sz="4" w:space="0" w:color="auto"/>
            </w:tcBorders>
            <w:vAlign w:val="center"/>
          </w:tcPr>
          <w:p w14:paraId="1DEF62D0" w14:textId="77777777" w:rsidR="001F0333" w:rsidRPr="004221D8" w:rsidRDefault="001F0333" w:rsidP="00FC479C">
            <w:pPr>
              <w:pStyle w:val="In-tableHeading"/>
              <w:keepLines/>
              <w:jc w:val="center"/>
            </w:pPr>
          </w:p>
        </w:tc>
        <w:tc>
          <w:tcPr>
            <w:tcW w:w="785" w:type="pct"/>
            <w:tcBorders>
              <w:bottom w:val="double" w:sz="4" w:space="0" w:color="auto"/>
            </w:tcBorders>
            <w:vAlign w:val="center"/>
          </w:tcPr>
          <w:p w14:paraId="03AE9943" w14:textId="77777777" w:rsidR="001F0333" w:rsidRPr="004221D8" w:rsidRDefault="001F0333" w:rsidP="00FC479C">
            <w:pPr>
              <w:pStyle w:val="In-tableHeading"/>
              <w:keepLines/>
              <w:jc w:val="center"/>
            </w:pPr>
            <w:r w:rsidRPr="004221D8">
              <w:t>Cabozantinib</w:t>
            </w:r>
          </w:p>
          <w:p w14:paraId="5C3A4EB1" w14:textId="77777777" w:rsidR="001F0333" w:rsidRPr="004221D8" w:rsidRDefault="001F0333" w:rsidP="00FC479C">
            <w:pPr>
              <w:pStyle w:val="In-tableHeading"/>
              <w:keepLines/>
              <w:jc w:val="center"/>
            </w:pPr>
            <w:r w:rsidRPr="004221D8">
              <w:t xml:space="preserve"> n/N (%)</w:t>
            </w:r>
          </w:p>
        </w:tc>
        <w:tc>
          <w:tcPr>
            <w:tcW w:w="785" w:type="pct"/>
            <w:tcBorders>
              <w:bottom w:val="double" w:sz="4" w:space="0" w:color="auto"/>
            </w:tcBorders>
            <w:vAlign w:val="center"/>
          </w:tcPr>
          <w:p w14:paraId="43E9D4B6" w14:textId="66018FD9" w:rsidR="001F0333" w:rsidRPr="004221D8" w:rsidRDefault="007624BD" w:rsidP="00FC479C">
            <w:pPr>
              <w:pStyle w:val="In-tableHeading"/>
              <w:keepLines/>
              <w:jc w:val="center"/>
            </w:pPr>
            <w:r w:rsidRPr="004221D8">
              <w:t>Placebo</w:t>
            </w:r>
          </w:p>
          <w:p w14:paraId="7C921FFB" w14:textId="77777777" w:rsidR="001F0333" w:rsidRPr="004221D8" w:rsidRDefault="001F0333" w:rsidP="00FC479C">
            <w:pPr>
              <w:pStyle w:val="In-tableHeading"/>
              <w:keepLines/>
              <w:jc w:val="center"/>
            </w:pPr>
            <w:r w:rsidRPr="004221D8">
              <w:t xml:space="preserve"> n/N (%)</w:t>
            </w:r>
          </w:p>
        </w:tc>
        <w:tc>
          <w:tcPr>
            <w:tcW w:w="563" w:type="pct"/>
            <w:tcBorders>
              <w:bottom w:val="double" w:sz="4" w:space="0" w:color="auto"/>
            </w:tcBorders>
            <w:vAlign w:val="center"/>
          </w:tcPr>
          <w:p w14:paraId="0CE1E689" w14:textId="77777777" w:rsidR="001F0333" w:rsidRPr="004221D8" w:rsidRDefault="001F0333" w:rsidP="00FC479C">
            <w:pPr>
              <w:pStyle w:val="In-tableHeading"/>
              <w:keepLines/>
              <w:jc w:val="center"/>
            </w:pPr>
            <w:r w:rsidRPr="004221D8">
              <w:t>Absolute difference</w:t>
            </w:r>
          </w:p>
        </w:tc>
        <w:tc>
          <w:tcPr>
            <w:tcW w:w="983" w:type="pct"/>
            <w:tcBorders>
              <w:bottom w:val="double" w:sz="4" w:space="0" w:color="auto"/>
            </w:tcBorders>
            <w:vAlign w:val="center"/>
          </w:tcPr>
          <w:p w14:paraId="5155BD1B" w14:textId="3339DF2E" w:rsidR="001F0333" w:rsidRPr="004221D8" w:rsidRDefault="001F0333" w:rsidP="00FC479C">
            <w:pPr>
              <w:pStyle w:val="In-tableHeading"/>
              <w:keepLines/>
              <w:jc w:val="center"/>
            </w:pPr>
            <w:r w:rsidRPr="004221D8">
              <w:t xml:space="preserve">HR </w:t>
            </w:r>
            <w:r w:rsidR="007E0A4C" w:rsidRPr="004221D8">
              <w:t>(95% CI)</w:t>
            </w:r>
          </w:p>
          <w:p w14:paraId="61449C82" w14:textId="77777777" w:rsidR="001F0333" w:rsidRPr="004221D8" w:rsidRDefault="001F0333" w:rsidP="00FC479C">
            <w:pPr>
              <w:pStyle w:val="In-tableHeading"/>
              <w:keepLines/>
              <w:jc w:val="center"/>
            </w:pPr>
            <w:r w:rsidRPr="004221D8">
              <w:t>p-value</w:t>
            </w:r>
          </w:p>
        </w:tc>
      </w:tr>
      <w:tr w:rsidR="001F0333" w:rsidRPr="004221D8" w14:paraId="08EDAA5C" w14:textId="77777777" w:rsidTr="002770A3">
        <w:trPr>
          <w:cantSplit/>
          <w:tblHeader/>
        </w:trPr>
        <w:tc>
          <w:tcPr>
            <w:tcW w:w="5000" w:type="pct"/>
            <w:gridSpan w:val="5"/>
            <w:tcBorders>
              <w:top w:val="double" w:sz="4" w:space="0" w:color="auto"/>
            </w:tcBorders>
            <w:vAlign w:val="center"/>
          </w:tcPr>
          <w:p w14:paraId="2EB5A0FC" w14:textId="1450CF92" w:rsidR="001F0333" w:rsidRPr="004221D8" w:rsidRDefault="001F0333" w:rsidP="00FC479C">
            <w:pPr>
              <w:pStyle w:val="In-tableHeading"/>
              <w:keepLines/>
            </w:pPr>
            <w:r w:rsidRPr="004221D8">
              <w:t xml:space="preserve">Full ITT </w:t>
            </w:r>
            <w:r w:rsidR="007624BD" w:rsidRPr="004221D8">
              <w:t>population</w:t>
            </w:r>
            <w:r w:rsidR="00460CED" w:rsidRPr="004221D8">
              <w:t xml:space="preserve"> at C</w:t>
            </w:r>
            <w:r w:rsidR="006F5252" w:rsidRPr="004221D8">
              <w:t>C</w:t>
            </w:r>
            <w:r w:rsidR="00460CED" w:rsidRPr="004221D8">
              <w:t>O2</w:t>
            </w:r>
            <w:r w:rsidR="00460CED" w:rsidRPr="004221D8">
              <w:rPr>
                <w:vertAlign w:val="superscript"/>
              </w:rPr>
              <w:t>a</w:t>
            </w:r>
          </w:p>
        </w:tc>
      </w:tr>
      <w:tr w:rsidR="001F0333" w:rsidRPr="004221D8" w14:paraId="2F504661" w14:textId="77777777" w:rsidTr="002770A3">
        <w:trPr>
          <w:cantSplit/>
        </w:trPr>
        <w:tc>
          <w:tcPr>
            <w:tcW w:w="5000" w:type="pct"/>
            <w:gridSpan w:val="5"/>
            <w:vAlign w:val="center"/>
          </w:tcPr>
          <w:p w14:paraId="20AD317D" w14:textId="2131D57D" w:rsidR="001F0333" w:rsidRPr="004221D8" w:rsidRDefault="001F0333" w:rsidP="00FC479C">
            <w:pPr>
              <w:pStyle w:val="In-tableHeading"/>
              <w:keepLines/>
            </w:pPr>
            <w:r w:rsidRPr="004221D8">
              <w:t>Progression-free survival</w:t>
            </w:r>
            <w:r w:rsidR="007624BD" w:rsidRPr="004221D8">
              <w:t xml:space="preserve"> per BIRC</w:t>
            </w:r>
          </w:p>
        </w:tc>
      </w:tr>
      <w:tr w:rsidR="0098277E" w:rsidRPr="004221D8" w14:paraId="5712B543" w14:textId="77777777" w:rsidTr="0098277E">
        <w:trPr>
          <w:cantSplit/>
        </w:trPr>
        <w:tc>
          <w:tcPr>
            <w:tcW w:w="1884" w:type="pct"/>
            <w:vAlign w:val="center"/>
          </w:tcPr>
          <w:p w14:paraId="35A8B308" w14:textId="77777777" w:rsidR="001F0333" w:rsidRPr="004221D8" w:rsidRDefault="001F0333" w:rsidP="00FC479C">
            <w:pPr>
              <w:pStyle w:val="TableText0"/>
              <w:keepLines/>
            </w:pPr>
            <w:r w:rsidRPr="004221D8">
              <w:t>Events, n (%)</w:t>
            </w:r>
          </w:p>
        </w:tc>
        <w:tc>
          <w:tcPr>
            <w:tcW w:w="785" w:type="pct"/>
            <w:vAlign w:val="center"/>
          </w:tcPr>
          <w:p w14:paraId="23E911CD" w14:textId="77777777" w:rsidR="001F0333" w:rsidRPr="004221D8" w:rsidRDefault="001F0333" w:rsidP="00FC479C">
            <w:pPr>
              <w:pStyle w:val="TableText0"/>
              <w:keepLines/>
              <w:jc w:val="center"/>
            </w:pPr>
            <w:r w:rsidRPr="00F50C61">
              <w:t>62/170</w:t>
            </w:r>
            <w:r w:rsidRPr="004221D8">
              <w:t xml:space="preserve"> (36) </w:t>
            </w:r>
          </w:p>
        </w:tc>
        <w:tc>
          <w:tcPr>
            <w:tcW w:w="785" w:type="pct"/>
            <w:vAlign w:val="center"/>
          </w:tcPr>
          <w:p w14:paraId="3F5C9B6C" w14:textId="77777777" w:rsidR="001F0333" w:rsidRPr="004221D8" w:rsidRDefault="001F0333" w:rsidP="00FC479C">
            <w:pPr>
              <w:pStyle w:val="TableText0"/>
              <w:keepLines/>
              <w:jc w:val="center"/>
            </w:pPr>
            <w:r w:rsidRPr="00F50C61">
              <w:t>69/88</w:t>
            </w:r>
            <w:r w:rsidRPr="004221D8">
              <w:t xml:space="preserve"> (78)</w:t>
            </w:r>
          </w:p>
        </w:tc>
        <w:tc>
          <w:tcPr>
            <w:tcW w:w="563" w:type="pct"/>
            <w:vAlign w:val="center"/>
          </w:tcPr>
          <w:p w14:paraId="5EC34FAE" w14:textId="77777777" w:rsidR="001F0333" w:rsidRPr="004221D8" w:rsidRDefault="001F0333" w:rsidP="00FC479C">
            <w:pPr>
              <w:pStyle w:val="TableText0"/>
              <w:keepLines/>
              <w:jc w:val="center"/>
            </w:pPr>
            <w:r w:rsidRPr="004221D8">
              <w:t>-</w:t>
            </w:r>
          </w:p>
        </w:tc>
        <w:tc>
          <w:tcPr>
            <w:tcW w:w="983" w:type="pct"/>
            <w:vAlign w:val="center"/>
          </w:tcPr>
          <w:p w14:paraId="05D4B110" w14:textId="4B4BADE3" w:rsidR="001F0333" w:rsidRPr="004221D8" w:rsidRDefault="001F0333" w:rsidP="00FC479C">
            <w:pPr>
              <w:pStyle w:val="TableText0"/>
              <w:keepLines/>
              <w:jc w:val="center"/>
              <w:rPr>
                <w:b/>
                <w:bCs w:val="0"/>
              </w:rPr>
            </w:pPr>
            <w:r w:rsidRPr="00F50C61">
              <w:rPr>
                <w:b/>
                <w:bCs w:val="0"/>
              </w:rPr>
              <w:t>0.22</w:t>
            </w:r>
            <w:r w:rsidRPr="004221D8">
              <w:rPr>
                <w:b/>
                <w:bCs w:val="0"/>
              </w:rPr>
              <w:t xml:space="preserve"> </w:t>
            </w:r>
            <w:r w:rsidR="007E0A4C" w:rsidRPr="004221D8">
              <w:rPr>
                <w:b/>
                <w:bCs w:val="0"/>
              </w:rPr>
              <w:br/>
            </w:r>
            <w:r w:rsidRPr="004221D8">
              <w:rPr>
                <w:b/>
                <w:bCs w:val="0"/>
              </w:rPr>
              <w:t>(</w:t>
            </w:r>
            <w:r w:rsidR="002E7DF1" w:rsidRPr="004221D8">
              <w:rPr>
                <w:b/>
                <w:bCs w:val="0"/>
              </w:rPr>
              <w:t>96%</w:t>
            </w:r>
            <w:r w:rsidR="007E0A4C" w:rsidRPr="004221D8">
              <w:rPr>
                <w:b/>
                <w:bCs w:val="0"/>
              </w:rPr>
              <w:t xml:space="preserve"> </w:t>
            </w:r>
            <w:r w:rsidR="002E7DF1" w:rsidRPr="004221D8">
              <w:rPr>
                <w:b/>
                <w:bCs w:val="0"/>
              </w:rPr>
              <w:t xml:space="preserve">CI: </w:t>
            </w:r>
            <w:r w:rsidRPr="004221D8">
              <w:rPr>
                <w:b/>
                <w:bCs w:val="0"/>
              </w:rPr>
              <w:t>0.15, 0.32)</w:t>
            </w:r>
            <w:r w:rsidR="0029027D" w:rsidRPr="004221D8">
              <w:rPr>
                <w:b/>
                <w:bCs w:val="0"/>
                <w:vertAlign w:val="superscript"/>
              </w:rPr>
              <w:t>b</w:t>
            </w:r>
          </w:p>
          <w:p w14:paraId="4B99670A" w14:textId="4343AFC3" w:rsidR="001F0333" w:rsidRPr="004221D8" w:rsidRDefault="00180F22" w:rsidP="00FC479C">
            <w:pPr>
              <w:pStyle w:val="TableText0"/>
              <w:keepLines/>
              <w:jc w:val="center"/>
              <w:rPr>
                <w:b/>
                <w:bCs w:val="0"/>
              </w:rPr>
            </w:pPr>
            <w:r w:rsidRPr="004221D8">
              <w:rPr>
                <w:b/>
                <w:bCs w:val="0"/>
              </w:rPr>
              <w:t>p</w:t>
            </w:r>
            <w:r w:rsidR="007624BD" w:rsidRPr="004221D8">
              <w:rPr>
                <w:b/>
                <w:bCs w:val="0"/>
              </w:rPr>
              <w:t>-value</w:t>
            </w:r>
            <w:r w:rsidR="001F0333" w:rsidRPr="004221D8">
              <w:rPr>
                <w:b/>
                <w:bCs w:val="0"/>
              </w:rPr>
              <w:t>&lt;0.0001</w:t>
            </w:r>
          </w:p>
        </w:tc>
      </w:tr>
      <w:tr w:rsidR="0098277E" w:rsidRPr="004221D8" w14:paraId="51B328B5" w14:textId="77777777" w:rsidTr="0098277E">
        <w:trPr>
          <w:cantSplit/>
        </w:trPr>
        <w:tc>
          <w:tcPr>
            <w:tcW w:w="1884" w:type="pct"/>
            <w:vAlign w:val="center"/>
          </w:tcPr>
          <w:p w14:paraId="03C0A1E3" w14:textId="4C2D59E3" w:rsidR="001F0333" w:rsidRPr="004221D8" w:rsidRDefault="001F0333" w:rsidP="00FC479C">
            <w:pPr>
              <w:pStyle w:val="TableText0"/>
              <w:keepLines/>
            </w:pPr>
            <w:r w:rsidRPr="004221D8">
              <w:t>Median PFS, months (9</w:t>
            </w:r>
            <w:r w:rsidR="00404F94" w:rsidRPr="004221D8">
              <w:t>6</w:t>
            </w:r>
            <w:r w:rsidRPr="004221D8">
              <w:t>% CI)</w:t>
            </w:r>
            <w:r w:rsidR="007D4611" w:rsidRPr="004221D8">
              <w:rPr>
                <w:vertAlign w:val="superscript"/>
              </w:rPr>
              <w:t>c</w:t>
            </w:r>
          </w:p>
        </w:tc>
        <w:tc>
          <w:tcPr>
            <w:tcW w:w="785" w:type="pct"/>
            <w:vAlign w:val="center"/>
          </w:tcPr>
          <w:p w14:paraId="100F2D14" w14:textId="77777777" w:rsidR="001F0333" w:rsidRPr="004221D8" w:rsidRDefault="001F0333" w:rsidP="00FC479C">
            <w:pPr>
              <w:pStyle w:val="TableText0"/>
              <w:keepLines/>
              <w:jc w:val="center"/>
            </w:pPr>
            <w:r w:rsidRPr="00F50C61">
              <w:t>11.0</w:t>
            </w:r>
            <w:r w:rsidRPr="004221D8">
              <w:t xml:space="preserve"> (7.4, 13.8)</w:t>
            </w:r>
          </w:p>
        </w:tc>
        <w:tc>
          <w:tcPr>
            <w:tcW w:w="785" w:type="pct"/>
            <w:vAlign w:val="center"/>
          </w:tcPr>
          <w:p w14:paraId="314100CE" w14:textId="77777777" w:rsidR="001F0333" w:rsidRPr="004221D8" w:rsidRDefault="001F0333" w:rsidP="00FC479C">
            <w:pPr>
              <w:pStyle w:val="TableText0"/>
              <w:keepLines/>
              <w:jc w:val="center"/>
            </w:pPr>
            <w:r w:rsidRPr="00F50C61">
              <w:t>1.9</w:t>
            </w:r>
            <w:r w:rsidRPr="004221D8">
              <w:t xml:space="preserve"> (1.9, 3.7)</w:t>
            </w:r>
          </w:p>
        </w:tc>
        <w:tc>
          <w:tcPr>
            <w:tcW w:w="563" w:type="pct"/>
            <w:vAlign w:val="center"/>
          </w:tcPr>
          <w:p w14:paraId="25C89C94" w14:textId="26143D24" w:rsidR="001F0333" w:rsidRPr="00E120DC" w:rsidRDefault="001F0333" w:rsidP="00FC479C">
            <w:pPr>
              <w:pStyle w:val="TableText0"/>
              <w:keepLines/>
              <w:jc w:val="center"/>
            </w:pPr>
            <w:r w:rsidRPr="00F50C61">
              <w:t>9.</w:t>
            </w:r>
            <w:r w:rsidR="0012591B" w:rsidRPr="00F50C61">
              <w:t>1</w:t>
            </w:r>
            <w:r w:rsidR="00E44965" w:rsidRPr="00E120DC">
              <w:rPr>
                <w:vertAlign w:val="superscript"/>
              </w:rPr>
              <w:t>a</w:t>
            </w:r>
          </w:p>
        </w:tc>
        <w:tc>
          <w:tcPr>
            <w:tcW w:w="983" w:type="pct"/>
            <w:vAlign w:val="center"/>
          </w:tcPr>
          <w:p w14:paraId="1C2BA705" w14:textId="77777777" w:rsidR="001F0333" w:rsidRPr="004221D8" w:rsidRDefault="001F0333" w:rsidP="00FC479C">
            <w:pPr>
              <w:pStyle w:val="TableText0"/>
              <w:keepLines/>
              <w:jc w:val="center"/>
            </w:pPr>
            <w:r w:rsidRPr="004221D8">
              <w:t>-</w:t>
            </w:r>
          </w:p>
        </w:tc>
      </w:tr>
      <w:tr w:rsidR="0098277E" w:rsidRPr="004221D8" w14:paraId="3E0092D1" w14:textId="77777777" w:rsidTr="0098277E">
        <w:trPr>
          <w:cantSplit/>
        </w:trPr>
        <w:tc>
          <w:tcPr>
            <w:tcW w:w="1884" w:type="pct"/>
            <w:vAlign w:val="center"/>
          </w:tcPr>
          <w:p w14:paraId="2A053390" w14:textId="717A4E24" w:rsidR="001F0333" w:rsidRPr="004221D8" w:rsidRDefault="001F0333" w:rsidP="00FC479C">
            <w:pPr>
              <w:pStyle w:val="TableText0"/>
              <w:keepLines/>
            </w:pPr>
            <w:r w:rsidRPr="004221D8">
              <w:t>K-M landmark estimates</w:t>
            </w:r>
            <w:r w:rsidR="0098277E" w:rsidRPr="004221D8">
              <w:t xml:space="preserve"> </w:t>
            </w:r>
            <w:r w:rsidRPr="004221D8">
              <w:t xml:space="preserve">(% of patients event-free) at 12 months </w:t>
            </w:r>
          </w:p>
        </w:tc>
        <w:tc>
          <w:tcPr>
            <w:tcW w:w="785" w:type="pct"/>
            <w:vAlign w:val="center"/>
          </w:tcPr>
          <w:p w14:paraId="2497F740" w14:textId="77777777" w:rsidR="001F0333" w:rsidRPr="00F50C61" w:rsidRDefault="001F0333" w:rsidP="00FC479C">
            <w:pPr>
              <w:pStyle w:val="TableText0"/>
              <w:keepLines/>
              <w:jc w:val="center"/>
            </w:pPr>
            <w:r w:rsidRPr="00F50C61">
              <w:t>45.6</w:t>
            </w:r>
          </w:p>
        </w:tc>
        <w:tc>
          <w:tcPr>
            <w:tcW w:w="785" w:type="pct"/>
            <w:vAlign w:val="center"/>
          </w:tcPr>
          <w:p w14:paraId="74F52737" w14:textId="77777777" w:rsidR="001F0333" w:rsidRPr="00F50C61" w:rsidRDefault="001F0333" w:rsidP="00FC479C">
            <w:pPr>
              <w:pStyle w:val="TableText0"/>
              <w:keepLines/>
              <w:jc w:val="center"/>
            </w:pPr>
            <w:r w:rsidRPr="00F50C61">
              <w:t>1.8</w:t>
            </w:r>
          </w:p>
        </w:tc>
        <w:tc>
          <w:tcPr>
            <w:tcW w:w="563" w:type="pct"/>
            <w:vAlign w:val="center"/>
          </w:tcPr>
          <w:p w14:paraId="7BEE686E" w14:textId="441AB0F4" w:rsidR="001F0333" w:rsidRPr="004221D8" w:rsidRDefault="001E6FD4" w:rsidP="00FC479C">
            <w:pPr>
              <w:pStyle w:val="TableText0"/>
              <w:keepLines/>
              <w:jc w:val="center"/>
            </w:pPr>
            <w:r w:rsidRPr="00E120DC">
              <w:t>43.8</w:t>
            </w:r>
            <w:r w:rsidRPr="00E120DC">
              <w:rPr>
                <w:vertAlign w:val="superscript"/>
              </w:rPr>
              <w:t>a</w:t>
            </w:r>
          </w:p>
        </w:tc>
        <w:tc>
          <w:tcPr>
            <w:tcW w:w="983" w:type="pct"/>
            <w:vAlign w:val="center"/>
          </w:tcPr>
          <w:p w14:paraId="0429431E" w14:textId="77777777" w:rsidR="001F0333" w:rsidRPr="004221D8" w:rsidRDefault="001F0333" w:rsidP="00FC479C">
            <w:pPr>
              <w:pStyle w:val="TableText0"/>
              <w:keepLines/>
              <w:jc w:val="center"/>
            </w:pPr>
            <w:r w:rsidRPr="004221D8">
              <w:t>-</w:t>
            </w:r>
          </w:p>
        </w:tc>
      </w:tr>
      <w:tr w:rsidR="001F0333" w:rsidRPr="004221D8" w14:paraId="0EF4677A" w14:textId="77777777" w:rsidTr="002770A3">
        <w:trPr>
          <w:cantSplit/>
        </w:trPr>
        <w:tc>
          <w:tcPr>
            <w:tcW w:w="5000" w:type="pct"/>
            <w:gridSpan w:val="5"/>
            <w:vAlign w:val="center"/>
          </w:tcPr>
          <w:p w14:paraId="370D2941" w14:textId="77777777" w:rsidR="001F0333" w:rsidRPr="004221D8" w:rsidRDefault="001F0333" w:rsidP="00FC479C">
            <w:pPr>
              <w:pStyle w:val="In-tableHeading"/>
              <w:keepLines/>
            </w:pPr>
            <w:r w:rsidRPr="004221D8">
              <w:t>Overall survival</w:t>
            </w:r>
          </w:p>
        </w:tc>
      </w:tr>
      <w:tr w:rsidR="0098277E" w:rsidRPr="004221D8" w14:paraId="40634453" w14:textId="77777777" w:rsidTr="0098277E">
        <w:trPr>
          <w:cantSplit/>
        </w:trPr>
        <w:tc>
          <w:tcPr>
            <w:tcW w:w="1884" w:type="pct"/>
            <w:vAlign w:val="center"/>
          </w:tcPr>
          <w:p w14:paraId="51326406" w14:textId="77777777" w:rsidR="001F0333" w:rsidRPr="004221D8" w:rsidRDefault="001F0333" w:rsidP="00FC479C">
            <w:pPr>
              <w:pStyle w:val="TableText0"/>
              <w:keepLines/>
            </w:pPr>
            <w:r w:rsidRPr="004221D8">
              <w:t>Deaths, n/N (%)</w:t>
            </w:r>
          </w:p>
        </w:tc>
        <w:tc>
          <w:tcPr>
            <w:tcW w:w="785" w:type="pct"/>
            <w:vAlign w:val="center"/>
          </w:tcPr>
          <w:p w14:paraId="15341692" w14:textId="3190386E" w:rsidR="001F0333" w:rsidRPr="004221D8" w:rsidRDefault="00E44965" w:rsidP="00FC479C">
            <w:pPr>
              <w:pStyle w:val="TableText0"/>
              <w:keepLines/>
              <w:jc w:val="center"/>
            </w:pPr>
            <w:r w:rsidRPr="00F50C61">
              <w:t>37/170</w:t>
            </w:r>
            <w:r w:rsidRPr="004221D8">
              <w:t xml:space="preserve"> (22) </w:t>
            </w:r>
          </w:p>
        </w:tc>
        <w:tc>
          <w:tcPr>
            <w:tcW w:w="785" w:type="pct"/>
            <w:vAlign w:val="center"/>
          </w:tcPr>
          <w:p w14:paraId="0A529118" w14:textId="476262F2" w:rsidR="001F0333" w:rsidRPr="004221D8" w:rsidRDefault="00E44965" w:rsidP="00FC479C">
            <w:pPr>
              <w:pStyle w:val="TableText0"/>
              <w:keepLines/>
              <w:jc w:val="center"/>
            </w:pPr>
            <w:r w:rsidRPr="00F50C61">
              <w:t>21/88</w:t>
            </w:r>
            <w:r w:rsidRPr="004221D8">
              <w:t xml:space="preserve"> (24)</w:t>
            </w:r>
          </w:p>
        </w:tc>
        <w:tc>
          <w:tcPr>
            <w:tcW w:w="563" w:type="pct"/>
            <w:vAlign w:val="center"/>
          </w:tcPr>
          <w:p w14:paraId="1C950616" w14:textId="247AC4A5" w:rsidR="001F0333" w:rsidRPr="004221D8" w:rsidRDefault="00E44965" w:rsidP="00FC479C">
            <w:pPr>
              <w:pStyle w:val="TableText0"/>
              <w:keepLines/>
              <w:jc w:val="center"/>
            </w:pPr>
            <w:r w:rsidRPr="004221D8">
              <w:t>-</w:t>
            </w:r>
          </w:p>
        </w:tc>
        <w:tc>
          <w:tcPr>
            <w:tcW w:w="983" w:type="pct"/>
            <w:vAlign w:val="center"/>
          </w:tcPr>
          <w:p w14:paraId="426CF529" w14:textId="419323D3" w:rsidR="0069381C" w:rsidRPr="004221D8" w:rsidRDefault="00E44965" w:rsidP="00FC479C">
            <w:pPr>
              <w:pStyle w:val="TableText0"/>
              <w:keepLines/>
              <w:jc w:val="center"/>
              <w:rPr>
                <w:vertAlign w:val="superscript"/>
              </w:rPr>
            </w:pPr>
            <w:r w:rsidRPr="00F50C61">
              <w:t>0.76</w:t>
            </w:r>
            <w:r w:rsidRPr="004221D8">
              <w:t xml:space="preserve"> </w:t>
            </w:r>
            <w:r w:rsidR="007E0A4C" w:rsidRPr="004221D8">
              <w:br/>
            </w:r>
            <w:r w:rsidRPr="004221D8">
              <w:t>(</w:t>
            </w:r>
            <w:r w:rsidR="002E7DF1" w:rsidRPr="004221D8">
              <w:t>95%</w:t>
            </w:r>
            <w:r w:rsidR="007E0A4C" w:rsidRPr="004221D8">
              <w:t xml:space="preserve"> </w:t>
            </w:r>
            <w:r w:rsidR="002E7DF1" w:rsidRPr="004221D8">
              <w:t xml:space="preserve">CI: </w:t>
            </w:r>
            <w:r w:rsidRPr="004221D8">
              <w:t>0.45, 1.31)</w:t>
            </w:r>
            <w:r w:rsidR="00683529" w:rsidRPr="004221D8">
              <w:rPr>
                <w:vertAlign w:val="superscript"/>
              </w:rPr>
              <w:t>b</w:t>
            </w:r>
          </w:p>
          <w:p w14:paraId="1C172E98" w14:textId="10151417" w:rsidR="001063EC" w:rsidRPr="004221D8" w:rsidRDefault="00180F22" w:rsidP="00FC479C">
            <w:pPr>
              <w:pStyle w:val="TableText0"/>
              <w:keepLines/>
              <w:jc w:val="center"/>
            </w:pPr>
            <w:r w:rsidRPr="004221D8">
              <w:t>p</w:t>
            </w:r>
            <w:r w:rsidR="001063EC" w:rsidRPr="004221D8">
              <w:t>=0.3260</w:t>
            </w:r>
          </w:p>
        </w:tc>
      </w:tr>
      <w:tr w:rsidR="0098277E" w:rsidRPr="004221D8" w14:paraId="28CCF1F9" w14:textId="77777777" w:rsidTr="0098277E">
        <w:trPr>
          <w:cantSplit/>
        </w:trPr>
        <w:tc>
          <w:tcPr>
            <w:tcW w:w="1884" w:type="pct"/>
            <w:vAlign w:val="center"/>
          </w:tcPr>
          <w:p w14:paraId="3B410C74" w14:textId="7C14A087" w:rsidR="001F0333" w:rsidRPr="004221D8" w:rsidRDefault="001F0333" w:rsidP="00FC479C">
            <w:pPr>
              <w:pStyle w:val="TableText0"/>
              <w:keepLines/>
            </w:pPr>
            <w:r w:rsidRPr="004221D8">
              <w:t>Median months OS (95% CI)</w:t>
            </w:r>
          </w:p>
        </w:tc>
        <w:tc>
          <w:tcPr>
            <w:tcW w:w="785" w:type="pct"/>
            <w:vAlign w:val="center"/>
          </w:tcPr>
          <w:p w14:paraId="498791FC" w14:textId="64A7A387" w:rsidR="001F0333" w:rsidRPr="004221D8" w:rsidRDefault="00E44965" w:rsidP="00FC479C">
            <w:pPr>
              <w:pStyle w:val="TableText0"/>
              <w:keepLines/>
              <w:jc w:val="center"/>
            </w:pPr>
            <w:r w:rsidRPr="00F50C61">
              <w:t>19.4</w:t>
            </w:r>
            <w:r w:rsidRPr="004221D8">
              <w:t xml:space="preserve"> (15.9, NE)</w:t>
            </w:r>
          </w:p>
        </w:tc>
        <w:tc>
          <w:tcPr>
            <w:tcW w:w="785" w:type="pct"/>
            <w:vAlign w:val="center"/>
          </w:tcPr>
          <w:p w14:paraId="70F85433" w14:textId="73746DC1" w:rsidR="001F0333" w:rsidRPr="004221D8" w:rsidRDefault="00E44965" w:rsidP="00FC479C">
            <w:pPr>
              <w:pStyle w:val="TableText0"/>
              <w:keepLines/>
              <w:jc w:val="center"/>
            </w:pPr>
            <w:r w:rsidRPr="004221D8">
              <w:t>NE (NE, NE)</w:t>
            </w:r>
          </w:p>
        </w:tc>
        <w:tc>
          <w:tcPr>
            <w:tcW w:w="563" w:type="pct"/>
            <w:vAlign w:val="center"/>
          </w:tcPr>
          <w:p w14:paraId="01C318B3" w14:textId="389F90C1" w:rsidR="001F0333" w:rsidRPr="004221D8" w:rsidRDefault="003A4A1D" w:rsidP="00FC479C">
            <w:pPr>
              <w:pStyle w:val="TableText0"/>
              <w:keepLines/>
              <w:jc w:val="center"/>
            </w:pPr>
            <w:r w:rsidRPr="004221D8">
              <w:t>-</w:t>
            </w:r>
          </w:p>
        </w:tc>
        <w:tc>
          <w:tcPr>
            <w:tcW w:w="983" w:type="pct"/>
            <w:vAlign w:val="center"/>
          </w:tcPr>
          <w:p w14:paraId="34973B5B" w14:textId="15D2A279" w:rsidR="001F0333" w:rsidRPr="004221D8" w:rsidRDefault="003A4A1D" w:rsidP="00FC479C">
            <w:pPr>
              <w:pStyle w:val="TableText0"/>
              <w:keepLines/>
              <w:jc w:val="center"/>
            </w:pPr>
            <w:r w:rsidRPr="004221D8">
              <w:t>-</w:t>
            </w:r>
          </w:p>
        </w:tc>
      </w:tr>
      <w:tr w:rsidR="00FA03F9" w:rsidRPr="004221D8" w14:paraId="4231FAA5" w14:textId="77777777" w:rsidTr="0098277E">
        <w:trPr>
          <w:cantSplit/>
        </w:trPr>
        <w:tc>
          <w:tcPr>
            <w:tcW w:w="1884" w:type="pct"/>
            <w:tcBorders>
              <w:bottom w:val="double" w:sz="4" w:space="0" w:color="auto"/>
            </w:tcBorders>
          </w:tcPr>
          <w:p w14:paraId="596B94C1" w14:textId="2CDE0537" w:rsidR="00FA03F9" w:rsidRPr="004221D8" w:rsidRDefault="00FA03F9" w:rsidP="00FC479C">
            <w:pPr>
              <w:pStyle w:val="TableText0"/>
              <w:keepLines/>
            </w:pPr>
            <w:r w:rsidRPr="004221D8">
              <w:t xml:space="preserve">K-M landmark estimates (% of patients </w:t>
            </w:r>
            <w:r w:rsidR="00180F22" w:rsidRPr="004221D8">
              <w:t>alive</w:t>
            </w:r>
            <w:r w:rsidRPr="004221D8">
              <w:t>) at 12 months</w:t>
            </w:r>
          </w:p>
        </w:tc>
        <w:tc>
          <w:tcPr>
            <w:tcW w:w="785" w:type="pct"/>
            <w:tcBorders>
              <w:bottom w:val="double" w:sz="4" w:space="0" w:color="auto"/>
            </w:tcBorders>
            <w:vAlign w:val="center"/>
          </w:tcPr>
          <w:p w14:paraId="0F368BE7" w14:textId="7460FF45" w:rsidR="00FA03F9" w:rsidRPr="00F50C61" w:rsidRDefault="00FA03F9" w:rsidP="00FC479C">
            <w:pPr>
              <w:pStyle w:val="TableText0"/>
              <w:keepLines/>
              <w:jc w:val="center"/>
              <w:rPr>
                <w:rFonts w:cs="Arial"/>
              </w:rPr>
            </w:pPr>
            <w:r w:rsidRPr="00F50C61">
              <w:rPr>
                <w:bCs w:val="0"/>
                <w:lang w:val="en-US"/>
              </w:rPr>
              <w:t>71.7</w:t>
            </w:r>
          </w:p>
        </w:tc>
        <w:tc>
          <w:tcPr>
            <w:tcW w:w="785" w:type="pct"/>
            <w:tcBorders>
              <w:bottom w:val="double" w:sz="4" w:space="0" w:color="auto"/>
            </w:tcBorders>
            <w:vAlign w:val="center"/>
          </w:tcPr>
          <w:p w14:paraId="3AA1E3F3" w14:textId="22FEA7D2" w:rsidR="00FA03F9" w:rsidRPr="00F50C61" w:rsidRDefault="00FA03F9" w:rsidP="00FC479C">
            <w:pPr>
              <w:pStyle w:val="TableText0"/>
              <w:keepLines/>
              <w:jc w:val="center"/>
              <w:rPr>
                <w:rFonts w:cs="Arial"/>
              </w:rPr>
            </w:pPr>
            <w:r w:rsidRPr="00F50C61">
              <w:rPr>
                <w:bCs w:val="0"/>
                <w:lang w:val="en-US"/>
              </w:rPr>
              <w:t>67.7</w:t>
            </w:r>
          </w:p>
        </w:tc>
        <w:tc>
          <w:tcPr>
            <w:tcW w:w="563" w:type="pct"/>
            <w:tcBorders>
              <w:bottom w:val="double" w:sz="4" w:space="0" w:color="auto"/>
            </w:tcBorders>
            <w:vAlign w:val="center"/>
          </w:tcPr>
          <w:p w14:paraId="6FB2C29B" w14:textId="4EF7EF40" w:rsidR="00FA03F9" w:rsidRPr="00F50C61" w:rsidRDefault="001E6FD4" w:rsidP="00FC479C">
            <w:pPr>
              <w:pStyle w:val="TableText0"/>
              <w:keepLines/>
              <w:jc w:val="center"/>
              <w:rPr>
                <w:rFonts w:cs="Arial"/>
              </w:rPr>
            </w:pPr>
            <w:r w:rsidRPr="00F50C61">
              <w:rPr>
                <w:rFonts w:cs="Arial"/>
              </w:rPr>
              <w:t>4</w:t>
            </w:r>
            <w:r w:rsidR="00673C87" w:rsidRPr="00F50C61">
              <w:rPr>
                <w:rFonts w:cs="Arial"/>
              </w:rPr>
              <w:t>.0</w:t>
            </w:r>
            <w:r w:rsidRPr="00A054E2">
              <w:rPr>
                <w:rFonts w:cs="Arial"/>
                <w:vertAlign w:val="superscript"/>
              </w:rPr>
              <w:t>a</w:t>
            </w:r>
          </w:p>
        </w:tc>
        <w:tc>
          <w:tcPr>
            <w:tcW w:w="983" w:type="pct"/>
            <w:tcBorders>
              <w:bottom w:val="double" w:sz="4" w:space="0" w:color="auto"/>
            </w:tcBorders>
            <w:vAlign w:val="center"/>
          </w:tcPr>
          <w:p w14:paraId="37E0B2A3" w14:textId="77777777" w:rsidR="00FA03F9" w:rsidRPr="004221D8" w:rsidRDefault="00FA03F9" w:rsidP="00FC479C">
            <w:pPr>
              <w:pStyle w:val="TableText0"/>
              <w:keepLines/>
              <w:jc w:val="center"/>
              <w:rPr>
                <w:rFonts w:cs="Arial"/>
              </w:rPr>
            </w:pPr>
            <w:r w:rsidRPr="004221D8">
              <w:rPr>
                <w:rFonts w:cs="Arial"/>
              </w:rPr>
              <w:t>-</w:t>
            </w:r>
          </w:p>
        </w:tc>
      </w:tr>
      <w:tr w:rsidR="001F0333" w:rsidRPr="004221D8" w14:paraId="70A918DE" w14:textId="77777777" w:rsidTr="002770A3">
        <w:trPr>
          <w:cantSplit/>
        </w:trPr>
        <w:tc>
          <w:tcPr>
            <w:tcW w:w="5000" w:type="pct"/>
            <w:gridSpan w:val="5"/>
            <w:tcBorders>
              <w:top w:val="double" w:sz="4" w:space="0" w:color="auto"/>
            </w:tcBorders>
            <w:vAlign w:val="center"/>
          </w:tcPr>
          <w:p w14:paraId="12696735" w14:textId="016857C5" w:rsidR="001F0333" w:rsidRPr="004221D8" w:rsidRDefault="001F0333" w:rsidP="00FC479C">
            <w:pPr>
              <w:pStyle w:val="TableText0"/>
              <w:keepLines/>
              <w:rPr>
                <w:rFonts w:cs="Arial"/>
                <w:b/>
                <w:bCs w:val="0"/>
              </w:rPr>
            </w:pPr>
            <w:r w:rsidRPr="004221D8">
              <w:rPr>
                <w:b/>
                <w:bCs w:val="0"/>
              </w:rPr>
              <w:t xml:space="preserve">ITT population </w:t>
            </w:r>
            <w:r w:rsidR="00460CED" w:rsidRPr="004221D8">
              <w:rPr>
                <w:b/>
                <w:bCs w:val="0"/>
              </w:rPr>
              <w:t>at C</w:t>
            </w:r>
            <w:r w:rsidR="006F5252" w:rsidRPr="004221D8">
              <w:rPr>
                <w:b/>
                <w:bCs w:val="0"/>
              </w:rPr>
              <w:t>C</w:t>
            </w:r>
            <w:r w:rsidR="00460CED" w:rsidRPr="004221D8">
              <w:rPr>
                <w:b/>
                <w:bCs w:val="0"/>
              </w:rPr>
              <w:t>O2</w:t>
            </w:r>
            <w:r w:rsidR="00460CED" w:rsidRPr="004221D8">
              <w:rPr>
                <w:b/>
                <w:bCs w:val="0"/>
                <w:vertAlign w:val="superscript"/>
              </w:rPr>
              <w:t>a</w:t>
            </w:r>
          </w:p>
        </w:tc>
      </w:tr>
      <w:tr w:rsidR="001F0333" w:rsidRPr="004221D8" w14:paraId="0C426C5D" w14:textId="77777777" w:rsidTr="002770A3">
        <w:trPr>
          <w:cantSplit/>
        </w:trPr>
        <w:tc>
          <w:tcPr>
            <w:tcW w:w="5000" w:type="pct"/>
            <w:gridSpan w:val="5"/>
            <w:vAlign w:val="center"/>
          </w:tcPr>
          <w:p w14:paraId="222BFAD4" w14:textId="1142C59E" w:rsidR="001F0333" w:rsidRPr="004221D8" w:rsidRDefault="001F0333" w:rsidP="00FC479C">
            <w:pPr>
              <w:pStyle w:val="TableText0"/>
              <w:keepLines/>
              <w:rPr>
                <w:rFonts w:cs="Arial"/>
                <w:b/>
                <w:bCs w:val="0"/>
              </w:rPr>
            </w:pPr>
            <w:r w:rsidRPr="004221D8">
              <w:rPr>
                <w:b/>
                <w:bCs w:val="0"/>
              </w:rPr>
              <w:t>Progression-free survival</w:t>
            </w:r>
            <w:r w:rsidR="007624BD" w:rsidRPr="004221D8">
              <w:rPr>
                <w:b/>
                <w:bCs w:val="0"/>
              </w:rPr>
              <w:t xml:space="preserve"> per BIRC</w:t>
            </w:r>
          </w:p>
        </w:tc>
      </w:tr>
      <w:tr w:rsidR="0098277E" w:rsidRPr="004221D8" w14:paraId="4BAB545A" w14:textId="77777777" w:rsidTr="0098277E">
        <w:trPr>
          <w:cantSplit/>
        </w:trPr>
        <w:tc>
          <w:tcPr>
            <w:tcW w:w="1884" w:type="pct"/>
            <w:vAlign w:val="center"/>
          </w:tcPr>
          <w:p w14:paraId="6B43DAFD" w14:textId="77777777" w:rsidR="001F0333" w:rsidRPr="004221D8" w:rsidRDefault="001F0333" w:rsidP="00FC479C">
            <w:pPr>
              <w:pStyle w:val="TableText0"/>
              <w:keepLines/>
            </w:pPr>
            <w:r w:rsidRPr="004221D8">
              <w:t>Events, n (%)</w:t>
            </w:r>
          </w:p>
        </w:tc>
        <w:tc>
          <w:tcPr>
            <w:tcW w:w="785" w:type="pct"/>
            <w:vAlign w:val="center"/>
          </w:tcPr>
          <w:p w14:paraId="25350663" w14:textId="77777777" w:rsidR="001F0333" w:rsidRPr="004221D8" w:rsidRDefault="001F0333" w:rsidP="00FC479C">
            <w:pPr>
              <w:pStyle w:val="TableText0"/>
              <w:keepLines/>
              <w:jc w:val="center"/>
            </w:pPr>
            <w:r w:rsidRPr="00F50C61">
              <w:t>56/125</w:t>
            </w:r>
            <w:r w:rsidRPr="004221D8">
              <w:t xml:space="preserve"> (45)</w:t>
            </w:r>
          </w:p>
        </w:tc>
        <w:tc>
          <w:tcPr>
            <w:tcW w:w="785" w:type="pct"/>
            <w:vAlign w:val="center"/>
          </w:tcPr>
          <w:p w14:paraId="7E42BBC8" w14:textId="77777777" w:rsidR="001F0333" w:rsidRPr="004221D8" w:rsidRDefault="001F0333" w:rsidP="00FC479C">
            <w:pPr>
              <w:pStyle w:val="TableText0"/>
              <w:keepLines/>
              <w:jc w:val="center"/>
            </w:pPr>
            <w:r w:rsidRPr="00F50C61">
              <w:t>58/62</w:t>
            </w:r>
            <w:r w:rsidRPr="004221D8">
              <w:t xml:space="preserve"> (94)</w:t>
            </w:r>
          </w:p>
        </w:tc>
        <w:tc>
          <w:tcPr>
            <w:tcW w:w="563" w:type="pct"/>
            <w:vAlign w:val="center"/>
          </w:tcPr>
          <w:p w14:paraId="612AF438" w14:textId="77777777" w:rsidR="001F0333" w:rsidRPr="004221D8" w:rsidRDefault="001F0333" w:rsidP="00FC479C">
            <w:pPr>
              <w:pStyle w:val="TableText0"/>
              <w:keepLines/>
              <w:jc w:val="center"/>
            </w:pPr>
            <w:r w:rsidRPr="004221D8">
              <w:t>-</w:t>
            </w:r>
          </w:p>
        </w:tc>
        <w:tc>
          <w:tcPr>
            <w:tcW w:w="983" w:type="pct"/>
            <w:vAlign w:val="center"/>
          </w:tcPr>
          <w:p w14:paraId="47E7FF41" w14:textId="6C8775C9" w:rsidR="001F0333" w:rsidRPr="004221D8" w:rsidRDefault="001F0333" w:rsidP="00FC479C">
            <w:pPr>
              <w:pStyle w:val="TableText0"/>
              <w:keepLines/>
              <w:jc w:val="center"/>
              <w:rPr>
                <w:rFonts w:cs="Arial"/>
                <w:b/>
                <w:bCs w:val="0"/>
              </w:rPr>
            </w:pPr>
            <w:r w:rsidRPr="00F50C61">
              <w:rPr>
                <w:rFonts w:cs="Arial"/>
                <w:b/>
                <w:bCs w:val="0"/>
              </w:rPr>
              <w:t>0.22</w:t>
            </w:r>
            <w:r w:rsidRPr="004221D8">
              <w:rPr>
                <w:rFonts w:cs="Arial"/>
                <w:b/>
                <w:bCs w:val="0"/>
              </w:rPr>
              <w:t xml:space="preserve"> </w:t>
            </w:r>
            <w:r w:rsidR="007E0A4C" w:rsidRPr="004221D8">
              <w:rPr>
                <w:rFonts w:cs="Arial"/>
                <w:b/>
                <w:bCs w:val="0"/>
              </w:rPr>
              <w:br/>
            </w:r>
            <w:r w:rsidRPr="004221D8">
              <w:rPr>
                <w:rFonts w:cs="Arial"/>
                <w:b/>
                <w:bCs w:val="0"/>
              </w:rPr>
              <w:t>(</w:t>
            </w:r>
            <w:r w:rsidR="002E7DF1" w:rsidRPr="004221D8">
              <w:rPr>
                <w:rFonts w:cs="Arial"/>
                <w:b/>
                <w:bCs w:val="0"/>
              </w:rPr>
              <w:t>96%</w:t>
            </w:r>
            <w:r w:rsidR="007E0A4C" w:rsidRPr="004221D8">
              <w:rPr>
                <w:rFonts w:cs="Arial"/>
                <w:b/>
                <w:bCs w:val="0"/>
              </w:rPr>
              <w:t xml:space="preserve"> </w:t>
            </w:r>
            <w:r w:rsidR="002E7DF1" w:rsidRPr="004221D8">
              <w:rPr>
                <w:rFonts w:cs="Arial"/>
                <w:b/>
                <w:bCs w:val="0"/>
              </w:rPr>
              <w:t xml:space="preserve">CI: </w:t>
            </w:r>
            <w:r w:rsidRPr="004221D8">
              <w:rPr>
                <w:rFonts w:cs="Arial"/>
                <w:b/>
                <w:bCs w:val="0"/>
              </w:rPr>
              <w:t>0.14, 0.33)</w:t>
            </w:r>
            <w:r w:rsidR="0029027D" w:rsidRPr="004221D8">
              <w:rPr>
                <w:rFonts w:cs="Arial"/>
                <w:b/>
                <w:bCs w:val="0"/>
                <w:vertAlign w:val="superscript"/>
              </w:rPr>
              <w:t>b</w:t>
            </w:r>
          </w:p>
          <w:p w14:paraId="2A384492" w14:textId="49299BAE" w:rsidR="001F0333" w:rsidRPr="004221D8" w:rsidRDefault="00180F22" w:rsidP="00FC479C">
            <w:pPr>
              <w:pStyle w:val="TableText0"/>
              <w:keepLines/>
              <w:jc w:val="center"/>
              <w:rPr>
                <w:rFonts w:cs="Arial"/>
                <w:b/>
                <w:bCs w:val="0"/>
              </w:rPr>
            </w:pPr>
            <w:r w:rsidRPr="004221D8">
              <w:rPr>
                <w:rFonts w:cs="Arial"/>
                <w:b/>
                <w:bCs w:val="0"/>
              </w:rPr>
              <w:t>p</w:t>
            </w:r>
            <w:r w:rsidR="007624BD" w:rsidRPr="004221D8">
              <w:rPr>
                <w:rFonts w:cs="Arial"/>
                <w:b/>
                <w:bCs w:val="0"/>
              </w:rPr>
              <w:t>-value</w:t>
            </w:r>
            <w:r w:rsidR="001F0333" w:rsidRPr="004221D8">
              <w:rPr>
                <w:rFonts w:cs="Arial"/>
                <w:b/>
                <w:bCs w:val="0"/>
              </w:rPr>
              <w:t>&lt;0.0001</w:t>
            </w:r>
          </w:p>
        </w:tc>
      </w:tr>
      <w:tr w:rsidR="0098277E" w:rsidRPr="004221D8" w14:paraId="6A67C952" w14:textId="77777777" w:rsidTr="0098277E">
        <w:trPr>
          <w:cantSplit/>
        </w:trPr>
        <w:tc>
          <w:tcPr>
            <w:tcW w:w="1884" w:type="pct"/>
            <w:vAlign w:val="center"/>
          </w:tcPr>
          <w:p w14:paraId="06CFED32" w14:textId="40993506" w:rsidR="001F0333" w:rsidRPr="004221D8" w:rsidRDefault="001F0333" w:rsidP="00FC479C">
            <w:pPr>
              <w:pStyle w:val="TableText0"/>
              <w:keepLines/>
            </w:pPr>
            <w:r w:rsidRPr="004221D8">
              <w:t>Median PFS, months (9</w:t>
            </w:r>
            <w:r w:rsidR="00404F94" w:rsidRPr="004221D8">
              <w:t>6</w:t>
            </w:r>
            <w:r w:rsidRPr="004221D8">
              <w:t>% CI)</w:t>
            </w:r>
            <w:r w:rsidR="007D4611" w:rsidRPr="004221D8">
              <w:rPr>
                <w:vertAlign w:val="superscript"/>
              </w:rPr>
              <w:t xml:space="preserve"> c</w:t>
            </w:r>
          </w:p>
        </w:tc>
        <w:tc>
          <w:tcPr>
            <w:tcW w:w="785" w:type="pct"/>
            <w:vAlign w:val="center"/>
          </w:tcPr>
          <w:p w14:paraId="71CB4B3D" w14:textId="77777777" w:rsidR="001F0333" w:rsidRPr="00F50C61" w:rsidRDefault="001F0333" w:rsidP="00FC479C">
            <w:pPr>
              <w:pStyle w:val="TableText0"/>
              <w:keepLines/>
              <w:jc w:val="center"/>
            </w:pPr>
            <w:r w:rsidRPr="00F50C61">
              <w:t>11.1</w:t>
            </w:r>
          </w:p>
        </w:tc>
        <w:tc>
          <w:tcPr>
            <w:tcW w:w="785" w:type="pct"/>
            <w:vAlign w:val="center"/>
          </w:tcPr>
          <w:p w14:paraId="1F124638" w14:textId="77777777" w:rsidR="001F0333" w:rsidRPr="00F50C61" w:rsidRDefault="001F0333" w:rsidP="00FC479C">
            <w:pPr>
              <w:pStyle w:val="TableText0"/>
              <w:keepLines/>
              <w:jc w:val="center"/>
            </w:pPr>
            <w:r w:rsidRPr="00F50C61">
              <w:t>1.9</w:t>
            </w:r>
          </w:p>
        </w:tc>
        <w:tc>
          <w:tcPr>
            <w:tcW w:w="563" w:type="pct"/>
            <w:vAlign w:val="center"/>
          </w:tcPr>
          <w:p w14:paraId="1B1C8AEB" w14:textId="70461807" w:rsidR="001F0333" w:rsidRPr="00E120DC" w:rsidRDefault="001F0333" w:rsidP="00FC479C">
            <w:pPr>
              <w:pStyle w:val="TableText0"/>
              <w:keepLines/>
              <w:jc w:val="center"/>
            </w:pPr>
            <w:r w:rsidRPr="00F50C61">
              <w:t>9.2</w:t>
            </w:r>
            <w:r w:rsidR="00E44965" w:rsidRPr="00E120DC">
              <w:rPr>
                <w:vertAlign w:val="superscript"/>
              </w:rPr>
              <w:t>a</w:t>
            </w:r>
          </w:p>
        </w:tc>
        <w:tc>
          <w:tcPr>
            <w:tcW w:w="983" w:type="pct"/>
            <w:vAlign w:val="center"/>
          </w:tcPr>
          <w:p w14:paraId="310A122B" w14:textId="77777777" w:rsidR="001F0333" w:rsidRPr="004221D8" w:rsidRDefault="001F0333" w:rsidP="00FC479C">
            <w:pPr>
              <w:pStyle w:val="TableText0"/>
              <w:keepLines/>
              <w:jc w:val="center"/>
              <w:rPr>
                <w:rFonts w:cs="Arial"/>
              </w:rPr>
            </w:pPr>
            <w:r w:rsidRPr="004221D8">
              <w:t>-</w:t>
            </w:r>
          </w:p>
        </w:tc>
      </w:tr>
      <w:tr w:rsidR="0098277E" w:rsidRPr="004221D8" w14:paraId="2EAF166F" w14:textId="77777777" w:rsidTr="0098277E">
        <w:trPr>
          <w:cantSplit/>
        </w:trPr>
        <w:tc>
          <w:tcPr>
            <w:tcW w:w="1884" w:type="pct"/>
            <w:vAlign w:val="center"/>
          </w:tcPr>
          <w:p w14:paraId="526E423C" w14:textId="20016A47" w:rsidR="001F0333" w:rsidRPr="004221D8" w:rsidRDefault="001F0333" w:rsidP="00FC479C">
            <w:pPr>
              <w:pStyle w:val="TableText0"/>
              <w:keepLines/>
            </w:pPr>
            <w:r w:rsidRPr="004221D8">
              <w:t>K-M landmark estimates</w:t>
            </w:r>
            <w:r w:rsidR="0098277E" w:rsidRPr="004221D8">
              <w:t xml:space="preserve"> </w:t>
            </w:r>
            <w:r w:rsidRPr="004221D8">
              <w:t>(% of patients event-free) at 12 months</w:t>
            </w:r>
          </w:p>
        </w:tc>
        <w:tc>
          <w:tcPr>
            <w:tcW w:w="785" w:type="pct"/>
            <w:shd w:val="clear" w:color="auto" w:fill="FFFFFF"/>
            <w:vAlign w:val="center"/>
          </w:tcPr>
          <w:p w14:paraId="6AEFD60E" w14:textId="77777777" w:rsidR="001F0333" w:rsidRPr="00F50C61" w:rsidRDefault="001F0333" w:rsidP="00FC479C">
            <w:pPr>
              <w:pStyle w:val="TableText0"/>
              <w:keepLines/>
              <w:jc w:val="center"/>
            </w:pPr>
            <w:r w:rsidRPr="00F50C61">
              <w:rPr>
                <w:rFonts w:cstheme="minorHAnsi"/>
              </w:rPr>
              <w:t>46.3</w:t>
            </w:r>
          </w:p>
        </w:tc>
        <w:tc>
          <w:tcPr>
            <w:tcW w:w="785" w:type="pct"/>
            <w:shd w:val="clear" w:color="auto" w:fill="FFFFFF"/>
            <w:vAlign w:val="center"/>
          </w:tcPr>
          <w:p w14:paraId="0DF3C443" w14:textId="77777777" w:rsidR="001F0333" w:rsidRPr="00F50C61" w:rsidRDefault="001F0333" w:rsidP="00FC479C">
            <w:pPr>
              <w:pStyle w:val="TableText0"/>
              <w:keepLines/>
              <w:jc w:val="center"/>
            </w:pPr>
            <w:r w:rsidRPr="00F50C61">
              <w:rPr>
                <w:rFonts w:cstheme="minorHAnsi"/>
              </w:rPr>
              <w:t>1.9</w:t>
            </w:r>
          </w:p>
        </w:tc>
        <w:tc>
          <w:tcPr>
            <w:tcW w:w="563" w:type="pct"/>
            <w:vAlign w:val="center"/>
          </w:tcPr>
          <w:p w14:paraId="5BBCE47A" w14:textId="18A253D4" w:rsidR="001F0333" w:rsidRPr="004221D8" w:rsidRDefault="001E6FD4" w:rsidP="00FC479C">
            <w:pPr>
              <w:pStyle w:val="TableText0"/>
              <w:keepLines/>
              <w:jc w:val="center"/>
            </w:pPr>
            <w:r w:rsidRPr="00F50C61">
              <w:t>44.</w:t>
            </w:r>
            <w:r w:rsidRPr="00E120DC">
              <w:t>4</w:t>
            </w:r>
            <w:r w:rsidRPr="00E120DC">
              <w:rPr>
                <w:vertAlign w:val="superscript"/>
              </w:rPr>
              <w:t>a</w:t>
            </w:r>
          </w:p>
        </w:tc>
        <w:tc>
          <w:tcPr>
            <w:tcW w:w="983" w:type="pct"/>
            <w:vAlign w:val="center"/>
          </w:tcPr>
          <w:p w14:paraId="7896079D" w14:textId="77777777" w:rsidR="001F0333" w:rsidRPr="004221D8" w:rsidRDefault="001F0333" w:rsidP="00FC479C">
            <w:pPr>
              <w:pStyle w:val="TableText0"/>
              <w:keepLines/>
              <w:jc w:val="center"/>
            </w:pPr>
            <w:r w:rsidRPr="004221D8">
              <w:t>-</w:t>
            </w:r>
          </w:p>
        </w:tc>
      </w:tr>
      <w:tr w:rsidR="003A23B7" w:rsidRPr="004221D8" w14:paraId="445EABC2" w14:textId="77777777" w:rsidTr="003A23B7">
        <w:trPr>
          <w:cantSplit/>
        </w:trPr>
        <w:tc>
          <w:tcPr>
            <w:tcW w:w="5000" w:type="pct"/>
            <w:gridSpan w:val="5"/>
            <w:vAlign w:val="center"/>
          </w:tcPr>
          <w:p w14:paraId="664A1D9B" w14:textId="7E8F76D0" w:rsidR="003A23B7" w:rsidRPr="004221D8" w:rsidRDefault="003A23B7" w:rsidP="00FC479C">
            <w:pPr>
              <w:pStyle w:val="TableText0"/>
              <w:keepLines/>
              <w:rPr>
                <w:rFonts w:cs="Arial"/>
              </w:rPr>
            </w:pPr>
            <w:r w:rsidRPr="004221D8">
              <w:rPr>
                <w:b/>
                <w:bCs w:val="0"/>
              </w:rPr>
              <w:t>Overall survival</w:t>
            </w:r>
          </w:p>
        </w:tc>
      </w:tr>
      <w:tr w:rsidR="0098277E" w:rsidRPr="004221D8" w14:paraId="664B9F13" w14:textId="77777777" w:rsidTr="0098277E">
        <w:trPr>
          <w:cantSplit/>
        </w:trPr>
        <w:tc>
          <w:tcPr>
            <w:tcW w:w="1884" w:type="pct"/>
            <w:vAlign w:val="center"/>
          </w:tcPr>
          <w:p w14:paraId="7EF01341" w14:textId="77777777" w:rsidR="001F0333" w:rsidRPr="004221D8" w:rsidRDefault="001F0333" w:rsidP="00FC479C">
            <w:pPr>
              <w:pStyle w:val="TableText0"/>
              <w:keepLines/>
            </w:pPr>
            <w:r w:rsidRPr="004221D8">
              <w:t>Deaths, n/N (%)</w:t>
            </w:r>
          </w:p>
        </w:tc>
        <w:tc>
          <w:tcPr>
            <w:tcW w:w="785" w:type="pct"/>
            <w:vAlign w:val="center"/>
          </w:tcPr>
          <w:p w14:paraId="5B1FA663" w14:textId="16C92532" w:rsidR="001F0333" w:rsidRPr="004221D8" w:rsidRDefault="00E44965" w:rsidP="00FC479C">
            <w:pPr>
              <w:pStyle w:val="TableText0"/>
              <w:keepLines/>
              <w:jc w:val="center"/>
            </w:pPr>
            <w:r w:rsidRPr="00F50C61">
              <w:t>34/125</w:t>
            </w:r>
            <w:r w:rsidRPr="004221D8">
              <w:t xml:space="preserve"> (27)</w:t>
            </w:r>
          </w:p>
        </w:tc>
        <w:tc>
          <w:tcPr>
            <w:tcW w:w="785" w:type="pct"/>
            <w:vAlign w:val="center"/>
          </w:tcPr>
          <w:p w14:paraId="683F14E1" w14:textId="1761A9BD" w:rsidR="001F0333" w:rsidRPr="004221D8" w:rsidRDefault="00E44965" w:rsidP="00FC479C">
            <w:pPr>
              <w:pStyle w:val="TableText0"/>
              <w:keepLines/>
              <w:jc w:val="center"/>
            </w:pPr>
            <w:r w:rsidRPr="004221D8">
              <w:t>20/62 (32)</w:t>
            </w:r>
          </w:p>
        </w:tc>
        <w:tc>
          <w:tcPr>
            <w:tcW w:w="563" w:type="pct"/>
            <w:vAlign w:val="center"/>
          </w:tcPr>
          <w:p w14:paraId="5710F1AD" w14:textId="2C701E3C" w:rsidR="001F0333" w:rsidRPr="004221D8" w:rsidRDefault="003A4A1D" w:rsidP="00FC479C">
            <w:pPr>
              <w:pStyle w:val="TableText0"/>
              <w:keepLines/>
              <w:jc w:val="center"/>
            </w:pPr>
            <w:r w:rsidRPr="004221D8">
              <w:t>-</w:t>
            </w:r>
          </w:p>
        </w:tc>
        <w:tc>
          <w:tcPr>
            <w:tcW w:w="983" w:type="pct"/>
            <w:vAlign w:val="center"/>
          </w:tcPr>
          <w:p w14:paraId="40144FF1" w14:textId="4415DD2B" w:rsidR="001F0333" w:rsidRPr="004221D8" w:rsidRDefault="003A4A1D" w:rsidP="00FC479C">
            <w:pPr>
              <w:pStyle w:val="TableText0"/>
              <w:keepLines/>
              <w:jc w:val="center"/>
              <w:rPr>
                <w:rFonts w:cs="Arial"/>
              </w:rPr>
            </w:pPr>
            <w:r w:rsidRPr="004221D8">
              <w:rPr>
                <w:rFonts w:cs="Arial"/>
              </w:rPr>
              <w:t>-</w:t>
            </w:r>
          </w:p>
        </w:tc>
      </w:tr>
      <w:tr w:rsidR="0098277E" w:rsidRPr="004221D8" w14:paraId="46F73518" w14:textId="77777777" w:rsidTr="0098277E">
        <w:trPr>
          <w:cantSplit/>
        </w:trPr>
        <w:tc>
          <w:tcPr>
            <w:tcW w:w="1884" w:type="pct"/>
            <w:vAlign w:val="center"/>
          </w:tcPr>
          <w:p w14:paraId="7E228386" w14:textId="7156EFD2" w:rsidR="001F0333" w:rsidRPr="004221D8" w:rsidRDefault="001F0333" w:rsidP="00FC479C">
            <w:pPr>
              <w:pStyle w:val="TableText0"/>
              <w:keepLines/>
            </w:pPr>
            <w:r w:rsidRPr="004221D8">
              <w:t>Median months OS (95% CI)</w:t>
            </w:r>
          </w:p>
        </w:tc>
        <w:tc>
          <w:tcPr>
            <w:tcW w:w="785" w:type="pct"/>
            <w:vAlign w:val="center"/>
          </w:tcPr>
          <w:p w14:paraId="0D1CB3E7" w14:textId="2F3B36D0" w:rsidR="001F0333" w:rsidRPr="004221D8" w:rsidRDefault="00E44965" w:rsidP="00FC479C">
            <w:pPr>
              <w:pStyle w:val="TableText0"/>
              <w:keepLines/>
              <w:jc w:val="center"/>
            </w:pPr>
            <w:r w:rsidRPr="00F50C61">
              <w:t>19.4</w:t>
            </w:r>
            <w:r w:rsidR="00B00450" w:rsidRPr="004221D8">
              <w:t xml:space="preserve"> </w:t>
            </w:r>
            <w:r w:rsidRPr="004221D8">
              <w:t>(15.9, NE)</w:t>
            </w:r>
          </w:p>
        </w:tc>
        <w:tc>
          <w:tcPr>
            <w:tcW w:w="785" w:type="pct"/>
            <w:vAlign w:val="center"/>
          </w:tcPr>
          <w:p w14:paraId="212E6116" w14:textId="0120F88E" w:rsidR="001F0333" w:rsidRPr="004221D8" w:rsidRDefault="00E44965" w:rsidP="00FC479C">
            <w:pPr>
              <w:pStyle w:val="TableText0"/>
              <w:keepLines/>
              <w:jc w:val="center"/>
            </w:pPr>
            <w:r w:rsidRPr="004221D8">
              <w:t>NE (NE, NE)</w:t>
            </w:r>
          </w:p>
        </w:tc>
        <w:tc>
          <w:tcPr>
            <w:tcW w:w="563" w:type="pct"/>
            <w:vAlign w:val="center"/>
          </w:tcPr>
          <w:p w14:paraId="0B4F5D5D" w14:textId="7C92F28E" w:rsidR="001F0333" w:rsidRPr="004221D8" w:rsidRDefault="003A4A1D" w:rsidP="00FC479C">
            <w:pPr>
              <w:pStyle w:val="TableText0"/>
              <w:keepLines/>
              <w:jc w:val="center"/>
            </w:pPr>
            <w:r w:rsidRPr="004221D8">
              <w:t>-</w:t>
            </w:r>
          </w:p>
        </w:tc>
        <w:tc>
          <w:tcPr>
            <w:tcW w:w="983" w:type="pct"/>
            <w:vAlign w:val="center"/>
          </w:tcPr>
          <w:p w14:paraId="4E90087B" w14:textId="69BE44C4" w:rsidR="001F0333" w:rsidRPr="004221D8" w:rsidRDefault="00961FA6" w:rsidP="00FC479C">
            <w:pPr>
              <w:pStyle w:val="TableText0"/>
              <w:keepLines/>
              <w:jc w:val="center"/>
              <w:rPr>
                <w:rFonts w:cs="Arial"/>
                <w:vertAlign w:val="superscript"/>
              </w:rPr>
            </w:pPr>
            <w:r w:rsidRPr="00F50C61">
              <w:rPr>
                <w:rFonts w:cs="Arial"/>
              </w:rPr>
              <w:t>0.74</w:t>
            </w:r>
            <w:r w:rsidRPr="004221D8">
              <w:rPr>
                <w:rFonts w:cs="Arial"/>
              </w:rPr>
              <w:t xml:space="preserve"> </w:t>
            </w:r>
            <w:r w:rsidR="007E0A4C" w:rsidRPr="004221D8">
              <w:rPr>
                <w:rFonts w:cs="Arial"/>
              </w:rPr>
              <w:br/>
            </w:r>
            <w:r w:rsidRPr="004221D8">
              <w:rPr>
                <w:rFonts w:cs="Arial"/>
              </w:rPr>
              <w:t>(</w:t>
            </w:r>
            <w:r w:rsidR="002E7DF1" w:rsidRPr="004221D8">
              <w:rPr>
                <w:rFonts w:cs="Arial"/>
              </w:rPr>
              <w:t>95%</w:t>
            </w:r>
            <w:r w:rsidR="007E0A4C" w:rsidRPr="004221D8">
              <w:rPr>
                <w:rFonts w:cs="Arial"/>
              </w:rPr>
              <w:t xml:space="preserve"> </w:t>
            </w:r>
            <w:r w:rsidR="002E7DF1" w:rsidRPr="004221D8">
              <w:rPr>
                <w:rFonts w:cs="Arial"/>
              </w:rPr>
              <w:t xml:space="preserve">CI: </w:t>
            </w:r>
            <w:r w:rsidRPr="004221D8">
              <w:rPr>
                <w:rFonts w:cs="Arial"/>
              </w:rPr>
              <w:t>0.42, 1.28)</w:t>
            </w:r>
            <w:r w:rsidR="005F1B07" w:rsidRPr="004221D8">
              <w:rPr>
                <w:rFonts w:cs="Arial"/>
                <w:vertAlign w:val="superscript"/>
              </w:rPr>
              <w:t>b</w:t>
            </w:r>
          </w:p>
          <w:p w14:paraId="7EBD807D" w14:textId="4AC6E6FB" w:rsidR="001063EC" w:rsidRPr="004221D8" w:rsidRDefault="00180F22" w:rsidP="00FC479C">
            <w:pPr>
              <w:pStyle w:val="TableText0"/>
              <w:keepLines/>
              <w:jc w:val="center"/>
              <w:rPr>
                <w:rFonts w:cs="Arial"/>
              </w:rPr>
            </w:pPr>
            <w:r w:rsidRPr="004221D8">
              <w:t>p</w:t>
            </w:r>
            <w:r w:rsidR="001063EC" w:rsidRPr="004221D8">
              <w:t>=0.2774</w:t>
            </w:r>
          </w:p>
        </w:tc>
      </w:tr>
      <w:tr w:rsidR="00FA03F9" w:rsidRPr="004221D8" w14:paraId="3AEB1D24" w14:textId="77777777" w:rsidTr="0098277E">
        <w:trPr>
          <w:cantSplit/>
        </w:trPr>
        <w:tc>
          <w:tcPr>
            <w:tcW w:w="1884" w:type="pct"/>
            <w:tcBorders>
              <w:bottom w:val="double" w:sz="4" w:space="0" w:color="auto"/>
            </w:tcBorders>
          </w:tcPr>
          <w:p w14:paraId="14BCB2F6" w14:textId="0A893FE9" w:rsidR="00FA03F9" w:rsidRPr="004221D8" w:rsidRDefault="00FA03F9" w:rsidP="00FC479C">
            <w:pPr>
              <w:pStyle w:val="TableText0"/>
              <w:keepLines/>
            </w:pPr>
            <w:r w:rsidRPr="004221D8">
              <w:t xml:space="preserve">K-M landmark estimates (% of patients </w:t>
            </w:r>
            <w:r w:rsidR="00180F22" w:rsidRPr="004221D8">
              <w:t>alive</w:t>
            </w:r>
            <w:r w:rsidRPr="004221D8">
              <w:t>) at 12 months</w:t>
            </w:r>
          </w:p>
        </w:tc>
        <w:tc>
          <w:tcPr>
            <w:tcW w:w="785" w:type="pct"/>
            <w:tcBorders>
              <w:bottom w:val="double" w:sz="4" w:space="0" w:color="auto"/>
            </w:tcBorders>
            <w:vAlign w:val="center"/>
          </w:tcPr>
          <w:p w14:paraId="262A47A8" w14:textId="67C0C0EC" w:rsidR="00FA03F9" w:rsidRPr="00F50C61" w:rsidRDefault="00FA03F9" w:rsidP="00FC479C">
            <w:pPr>
              <w:pStyle w:val="TableText0"/>
              <w:keepLines/>
              <w:jc w:val="center"/>
            </w:pPr>
            <w:r w:rsidRPr="00F50C61">
              <w:rPr>
                <w:bCs w:val="0"/>
                <w:lang w:val="en-US"/>
              </w:rPr>
              <w:t>72.0</w:t>
            </w:r>
          </w:p>
        </w:tc>
        <w:tc>
          <w:tcPr>
            <w:tcW w:w="785" w:type="pct"/>
            <w:tcBorders>
              <w:bottom w:val="double" w:sz="4" w:space="0" w:color="auto"/>
            </w:tcBorders>
            <w:vAlign w:val="center"/>
          </w:tcPr>
          <w:p w14:paraId="3F0BCC07" w14:textId="2C70DFD4" w:rsidR="00FA03F9" w:rsidRPr="00F50C61" w:rsidRDefault="00FA03F9" w:rsidP="00FC479C">
            <w:pPr>
              <w:pStyle w:val="TableText0"/>
              <w:keepLines/>
              <w:jc w:val="center"/>
            </w:pPr>
            <w:r w:rsidRPr="00F50C61">
              <w:rPr>
                <w:bCs w:val="0"/>
                <w:lang w:val="en-US"/>
              </w:rPr>
              <w:t>65.3</w:t>
            </w:r>
          </w:p>
        </w:tc>
        <w:tc>
          <w:tcPr>
            <w:tcW w:w="563" w:type="pct"/>
            <w:tcBorders>
              <w:bottom w:val="double" w:sz="4" w:space="0" w:color="auto"/>
            </w:tcBorders>
            <w:vAlign w:val="center"/>
          </w:tcPr>
          <w:p w14:paraId="429EF3C5" w14:textId="26769CDF" w:rsidR="00FA03F9" w:rsidRPr="004221D8" w:rsidRDefault="001E6FD4" w:rsidP="00FC479C">
            <w:pPr>
              <w:pStyle w:val="TableText0"/>
              <w:keepLines/>
              <w:jc w:val="center"/>
            </w:pPr>
            <w:r w:rsidRPr="00F50C61">
              <w:t>6.7</w:t>
            </w:r>
            <w:r w:rsidRPr="00E120DC">
              <w:rPr>
                <w:vertAlign w:val="superscript"/>
              </w:rPr>
              <w:t>a</w:t>
            </w:r>
          </w:p>
        </w:tc>
        <w:tc>
          <w:tcPr>
            <w:tcW w:w="983" w:type="pct"/>
            <w:tcBorders>
              <w:bottom w:val="double" w:sz="4" w:space="0" w:color="auto"/>
            </w:tcBorders>
            <w:vAlign w:val="center"/>
          </w:tcPr>
          <w:p w14:paraId="66FAB47D" w14:textId="77777777" w:rsidR="00FA03F9" w:rsidRPr="004221D8" w:rsidRDefault="00FA03F9" w:rsidP="00FC479C">
            <w:pPr>
              <w:pStyle w:val="TableText0"/>
              <w:keepLines/>
              <w:jc w:val="center"/>
              <w:rPr>
                <w:rFonts w:cs="Arial"/>
              </w:rPr>
            </w:pPr>
            <w:r w:rsidRPr="004221D8">
              <w:rPr>
                <w:rFonts w:cs="Arial"/>
              </w:rPr>
              <w:t>-</w:t>
            </w:r>
          </w:p>
        </w:tc>
      </w:tr>
    </w:tbl>
    <w:p w14:paraId="77E125EF" w14:textId="2F07489F" w:rsidR="001F0333" w:rsidRPr="00647249" w:rsidRDefault="001F0333" w:rsidP="00FC479C">
      <w:pPr>
        <w:pStyle w:val="FooterTableFigure"/>
        <w:keepNext/>
        <w:keepLines/>
        <w:rPr>
          <w:rFonts w:eastAsia="Calibri"/>
        </w:rPr>
      </w:pPr>
      <w:r w:rsidRPr="00FE70C3">
        <w:rPr>
          <w:rFonts w:eastAsia="Calibri"/>
        </w:rPr>
        <w:t>Source: Table</w:t>
      </w:r>
      <w:r w:rsidR="0088722B">
        <w:rPr>
          <w:rFonts w:eastAsia="Calibri"/>
        </w:rPr>
        <w:t xml:space="preserve"> 2-15</w:t>
      </w:r>
      <w:r w:rsidRPr="00FE70C3">
        <w:rPr>
          <w:rFonts w:eastAsia="Calibri"/>
        </w:rPr>
        <w:t>, p</w:t>
      </w:r>
      <w:r w:rsidR="0088722B">
        <w:rPr>
          <w:rFonts w:eastAsia="Calibri"/>
        </w:rPr>
        <w:t xml:space="preserve">62; </w:t>
      </w:r>
      <w:r w:rsidR="003A4A1D">
        <w:rPr>
          <w:rFonts w:eastAsia="Calibri"/>
        </w:rPr>
        <w:t xml:space="preserve">Table 2-17, p70; </w:t>
      </w:r>
      <w:r w:rsidR="0088722B">
        <w:rPr>
          <w:rFonts w:eastAsia="Calibri"/>
        </w:rPr>
        <w:t xml:space="preserve">p105 </w:t>
      </w:r>
      <w:r w:rsidRPr="00FE70C3">
        <w:rPr>
          <w:rFonts w:eastAsia="Calibri"/>
        </w:rPr>
        <w:t>of the submission</w:t>
      </w:r>
      <w:r w:rsidR="0088722B">
        <w:rPr>
          <w:rFonts w:eastAsia="Calibri"/>
        </w:rPr>
        <w:t>; CSR Table 28, p123</w:t>
      </w:r>
      <w:r w:rsidR="007150EB">
        <w:rPr>
          <w:rFonts w:eastAsia="Calibri"/>
        </w:rPr>
        <w:t xml:space="preserve"> </w:t>
      </w:r>
      <w:r w:rsidR="007150EB" w:rsidRPr="00647249">
        <w:rPr>
          <w:rFonts w:eastAsia="Calibri"/>
        </w:rPr>
        <w:t>and calculated during the evaluation.</w:t>
      </w:r>
    </w:p>
    <w:p w14:paraId="4254E74C" w14:textId="76029C0A" w:rsidR="003A23B7" w:rsidRDefault="007624BD" w:rsidP="00FC479C">
      <w:pPr>
        <w:pStyle w:val="FooterTableFigure"/>
        <w:keepNext/>
        <w:keepLines/>
      </w:pPr>
      <w:r>
        <w:t xml:space="preserve">BIRC = blinded independent radiology committee; </w:t>
      </w:r>
      <w:r w:rsidR="001F0333" w:rsidRPr="00EF0171">
        <w:t xml:space="preserve">CI = confidence interval; </w:t>
      </w:r>
      <w:r w:rsidR="00460CED">
        <w:t>C</w:t>
      </w:r>
      <w:r w:rsidR="006F5252">
        <w:t>C</w:t>
      </w:r>
      <w:r w:rsidR="00460CED">
        <w:t xml:space="preserve">O2 = clinical cut-off 2; </w:t>
      </w:r>
      <w:r>
        <w:t>HR = hazard rate ratio;</w:t>
      </w:r>
      <w:r w:rsidR="00D41669" w:rsidRPr="00D41669">
        <w:t xml:space="preserve"> ITT</w:t>
      </w:r>
      <w:r w:rsidR="00D41669">
        <w:t xml:space="preserve"> =</w:t>
      </w:r>
      <w:r w:rsidR="00D41669" w:rsidRPr="00D41669">
        <w:t xml:space="preserve"> Intent-to-treat; </w:t>
      </w:r>
      <w:r w:rsidR="003A23B7" w:rsidRPr="003A23B7">
        <w:t>K-M</w:t>
      </w:r>
      <w:r w:rsidR="00DD0DD6">
        <w:t xml:space="preserve"> = </w:t>
      </w:r>
      <w:r w:rsidR="003A23B7" w:rsidRPr="003A23B7">
        <w:t>Kaplan-Meier; NE</w:t>
      </w:r>
      <w:r w:rsidR="00DD0DD6">
        <w:t xml:space="preserve"> = </w:t>
      </w:r>
      <w:r w:rsidR="003A23B7" w:rsidRPr="003A23B7">
        <w:t xml:space="preserve">not estimable; </w:t>
      </w:r>
      <w:r>
        <w:t xml:space="preserve">PFS = </w:t>
      </w:r>
      <w:r w:rsidR="008F6805">
        <w:t>progression-free</w:t>
      </w:r>
      <w:r>
        <w:t xml:space="preserve"> survival</w:t>
      </w:r>
      <w:r w:rsidR="001F0333">
        <w:t xml:space="preserve">; </w:t>
      </w:r>
      <w:r w:rsidR="003A23B7" w:rsidRPr="003A23B7">
        <w:t>OS</w:t>
      </w:r>
      <w:r w:rsidR="00DD0DD6">
        <w:t xml:space="preserve"> = </w:t>
      </w:r>
      <w:r w:rsidR="003A23B7" w:rsidRPr="003A23B7">
        <w:t>overall survival</w:t>
      </w:r>
      <w:r w:rsidR="00D41669">
        <w:t>.</w:t>
      </w:r>
    </w:p>
    <w:p w14:paraId="137946AD" w14:textId="1AF84AA9" w:rsidR="001F0333" w:rsidRDefault="001F0333" w:rsidP="00FC479C">
      <w:pPr>
        <w:pStyle w:val="FooterTableFigure"/>
        <w:keepNext/>
        <w:keepLines/>
      </w:pPr>
      <w:r w:rsidRPr="00B83739">
        <w:rPr>
          <w:b/>
          <w:bCs/>
        </w:rPr>
        <w:t>Bold</w:t>
      </w:r>
      <w:r w:rsidRPr="00B83739">
        <w:t xml:space="preserve"> indicates statistically significant results.</w:t>
      </w:r>
    </w:p>
    <w:p w14:paraId="2CF31763" w14:textId="3A76170F" w:rsidR="001E6FD4" w:rsidRPr="00E120DC" w:rsidRDefault="001E6FD4" w:rsidP="00FC479C">
      <w:pPr>
        <w:pStyle w:val="FooterTableFigure"/>
        <w:keepNext/>
        <w:keepLines/>
        <w:rPr>
          <w:rFonts w:eastAsia="Calibri"/>
        </w:rPr>
      </w:pPr>
      <w:r w:rsidRPr="00E120DC">
        <w:rPr>
          <w:rFonts w:eastAsia="Calibri"/>
        </w:rPr>
        <w:t>a Calculated during the evaluation</w:t>
      </w:r>
    </w:p>
    <w:p w14:paraId="2A3CD811" w14:textId="44D52023" w:rsidR="00460CED" w:rsidRPr="00E00BFC" w:rsidRDefault="001E6FD4" w:rsidP="00FC479C">
      <w:pPr>
        <w:pStyle w:val="FooterTableFigure"/>
        <w:keepNext/>
        <w:keepLines/>
        <w:rPr>
          <w:rFonts w:eastAsia="Calibri"/>
        </w:rPr>
      </w:pPr>
      <w:r>
        <w:rPr>
          <w:rFonts w:eastAsia="Calibri"/>
        </w:rPr>
        <w:t xml:space="preserve">b </w:t>
      </w:r>
      <w:r w:rsidR="00460CED" w:rsidRPr="00E00BFC">
        <w:rPr>
          <w:rFonts w:eastAsia="Calibri"/>
        </w:rPr>
        <w:t>ITT population (also referred to as the Primary Analysis subset by the submission): Patients randomised to receive study treatment as of the first clinical cut-off (C</w:t>
      </w:r>
      <w:r w:rsidR="006F5252">
        <w:rPr>
          <w:rFonts w:eastAsia="Calibri"/>
        </w:rPr>
        <w:t>C</w:t>
      </w:r>
      <w:r w:rsidR="00460CED" w:rsidRPr="00E00BFC">
        <w:rPr>
          <w:rFonts w:eastAsia="Calibri"/>
        </w:rPr>
        <w:t>O1) on 19 August 2020.</w:t>
      </w:r>
      <w:r w:rsidR="00460CED">
        <w:rPr>
          <w:rFonts w:eastAsia="Calibri"/>
        </w:rPr>
        <w:t xml:space="preserve"> </w:t>
      </w:r>
      <w:r w:rsidR="00460CED" w:rsidRPr="00E00BFC">
        <w:rPr>
          <w:rFonts w:eastAsia="Calibri"/>
        </w:rPr>
        <w:t>Full ITT population: Patients randomised to receive study treatment as of the second clinical cut-off (C</w:t>
      </w:r>
      <w:r w:rsidR="006F5252">
        <w:rPr>
          <w:rFonts w:eastAsia="Calibri"/>
        </w:rPr>
        <w:t>C</w:t>
      </w:r>
      <w:r w:rsidR="00460CED" w:rsidRPr="00E00BFC">
        <w:rPr>
          <w:rFonts w:eastAsia="Calibri"/>
        </w:rPr>
        <w:t>O2) on 2 February 2021.</w:t>
      </w:r>
    </w:p>
    <w:p w14:paraId="762CF765" w14:textId="72E81198" w:rsidR="0029027D" w:rsidRDefault="001E6FD4" w:rsidP="00FC479C">
      <w:pPr>
        <w:pStyle w:val="FooterTableFigure"/>
        <w:keepNext/>
        <w:keepLines/>
      </w:pPr>
      <w:r>
        <w:t xml:space="preserve">c </w:t>
      </w:r>
      <w:r w:rsidR="0029027D">
        <w:t>Stratification factors (per IxRS) comprise receipt of prior lenvatinib (yes vs no) and age at informed consent (≤ 65 years vs 65 years); Estimated using the Cox proportional-hazard model (adjusted for stratification factors if applicable). HR &lt; 1 indicated in favour of cabozantinib</w:t>
      </w:r>
      <w:r w:rsidR="00DE1227">
        <w:t>.</w:t>
      </w:r>
    </w:p>
    <w:p w14:paraId="7B95398E" w14:textId="05EE5A60" w:rsidR="00A054E2" w:rsidRPr="00E120DC" w:rsidRDefault="001E6FD4" w:rsidP="00A054E2">
      <w:pPr>
        <w:pStyle w:val="FooterTableFigure"/>
      </w:pPr>
      <w:r w:rsidRPr="00E120DC">
        <w:t xml:space="preserve">d </w:t>
      </w:r>
      <w:r w:rsidR="00404F94" w:rsidRPr="00E120DC">
        <w:t xml:space="preserve">The primary end point of PFS used the 96% CI for inferential purposes because the 1% α was spent in the analysis of ORR and could not be reallocated to PFS. All extended </w:t>
      </w:r>
      <w:r w:rsidR="00BD35CF" w:rsidRPr="00E120DC">
        <w:t xml:space="preserve">follow-up </w:t>
      </w:r>
      <w:r w:rsidR="00404F94" w:rsidRPr="00E120DC">
        <w:t xml:space="preserve">analyses were descriptive (Brose </w:t>
      </w:r>
      <w:r w:rsidR="00BD35CF" w:rsidRPr="00E120DC">
        <w:t>et al</w:t>
      </w:r>
      <w:r w:rsidR="00404F94" w:rsidRPr="00E120DC">
        <w:t>. Cabozantinib for previously treated radioiodine-refractory differentiated thyroid cancer: Updated results from the phase 3 COSMIC-311 trial. Cancer. 2022 Dec 15;128(24):4203-4212.)</w:t>
      </w:r>
    </w:p>
    <w:p w14:paraId="6DA7D432" w14:textId="552FF63D" w:rsidR="001F0333" w:rsidRDefault="00175019" w:rsidP="00175019">
      <w:pPr>
        <w:pStyle w:val="3-BodyText"/>
      </w:pPr>
      <w:r>
        <w:fldChar w:fldCharType="begin" w:fldLock="1"/>
      </w:r>
      <w:r>
        <w:instrText xml:space="preserve"> REF _Ref142395720 \h </w:instrText>
      </w:r>
      <w:r>
        <w:fldChar w:fldCharType="separate"/>
      </w:r>
      <w:r w:rsidR="001A1482" w:rsidRPr="005F1B07">
        <w:t xml:space="preserve">Figure </w:t>
      </w:r>
      <w:r w:rsidR="001A1482">
        <w:rPr>
          <w:noProof/>
        </w:rPr>
        <w:t>1</w:t>
      </w:r>
      <w:r>
        <w:fldChar w:fldCharType="end"/>
      </w:r>
      <w:r w:rsidR="635FF13D">
        <w:t xml:space="preserve"> and </w:t>
      </w:r>
      <w:r>
        <w:fldChar w:fldCharType="begin" w:fldLock="1"/>
      </w:r>
      <w:r>
        <w:instrText xml:space="preserve"> REF _Ref142477036 \h </w:instrText>
      </w:r>
      <w:r>
        <w:fldChar w:fldCharType="separate"/>
      </w:r>
      <w:r w:rsidR="001A1482">
        <w:t xml:space="preserve">Figure </w:t>
      </w:r>
      <w:r w:rsidR="001A1482">
        <w:rPr>
          <w:noProof/>
        </w:rPr>
        <w:t>2</w:t>
      </w:r>
      <w:r>
        <w:fldChar w:fldCharType="end"/>
      </w:r>
      <w:r w:rsidR="635FF13D">
        <w:t xml:space="preserve"> present Kaplan-Meier </w:t>
      </w:r>
      <w:r w:rsidR="60CCA0FF">
        <w:t>p</w:t>
      </w:r>
      <w:r w:rsidR="635FF13D">
        <w:t>lot</w:t>
      </w:r>
      <w:r w:rsidR="1F0B0176">
        <w:t>s</w:t>
      </w:r>
      <w:r w:rsidR="635FF13D">
        <w:t xml:space="preserve"> of </w:t>
      </w:r>
      <w:r w:rsidR="60CCA0FF">
        <w:t>PFS</w:t>
      </w:r>
      <w:r w:rsidR="635FF13D">
        <w:t xml:space="preserve"> per BIRC and overall survival through 08 February 2021 </w:t>
      </w:r>
      <w:r w:rsidR="1F0B0176">
        <w:t>(</w:t>
      </w:r>
      <w:r w:rsidR="635FF13D">
        <w:t>full ITT</w:t>
      </w:r>
      <w:r w:rsidR="53144162">
        <w:t xml:space="preserve"> at </w:t>
      </w:r>
      <w:r w:rsidR="35210811">
        <w:t>CCO2</w:t>
      </w:r>
      <w:r w:rsidR="1F0B0176">
        <w:t>)</w:t>
      </w:r>
      <w:r w:rsidR="635FF13D">
        <w:t>, respectively</w:t>
      </w:r>
      <w:r w:rsidR="1F0B0176">
        <w:t xml:space="preserve">. </w:t>
      </w:r>
      <w:r w:rsidR="635FF13D">
        <w:t xml:space="preserve"> </w:t>
      </w:r>
    </w:p>
    <w:p w14:paraId="06303627" w14:textId="0C770BC1" w:rsidR="001F0333" w:rsidRPr="005F1B07" w:rsidRDefault="005F1B07" w:rsidP="005F1B07">
      <w:pPr>
        <w:pStyle w:val="TableFigureHeading"/>
        <w:rPr>
          <w:rStyle w:val="CommentReference"/>
          <w:b/>
          <w:szCs w:val="24"/>
        </w:rPr>
      </w:pPr>
      <w:bookmarkStart w:id="35" w:name="_Ref142395720"/>
      <w:r w:rsidRPr="005F1B07">
        <w:lastRenderedPageBreak/>
        <w:t xml:space="preserve">Figure </w:t>
      </w:r>
      <w:r>
        <w:fldChar w:fldCharType="begin" w:fldLock="1"/>
      </w:r>
      <w:r>
        <w:instrText>SEQ Figure \* ARABIC</w:instrText>
      </w:r>
      <w:r>
        <w:fldChar w:fldCharType="separate"/>
      </w:r>
      <w:r w:rsidR="001A1482">
        <w:rPr>
          <w:noProof/>
        </w:rPr>
        <w:t>1</w:t>
      </w:r>
      <w:r>
        <w:fldChar w:fldCharType="end"/>
      </w:r>
      <w:bookmarkEnd w:id="35"/>
      <w:r w:rsidR="001F0333" w:rsidRPr="005F1B07">
        <w:rPr>
          <w:rStyle w:val="CommentReference"/>
          <w:b/>
          <w:szCs w:val="24"/>
        </w:rPr>
        <w:t xml:space="preserve">: Kaplan-Meier Plot of </w:t>
      </w:r>
      <w:r w:rsidR="00F43015">
        <w:rPr>
          <w:rStyle w:val="CommentReference"/>
          <w:b/>
          <w:szCs w:val="24"/>
        </w:rPr>
        <w:t>PFS</w:t>
      </w:r>
      <w:r w:rsidR="001F0333" w:rsidRPr="005F1B07">
        <w:rPr>
          <w:rStyle w:val="CommentReference"/>
          <w:b/>
          <w:szCs w:val="24"/>
        </w:rPr>
        <w:t xml:space="preserve"> per BIRC (Full ITT Population; N = 258)</w:t>
      </w:r>
    </w:p>
    <w:p w14:paraId="029A27A0" w14:textId="77777777" w:rsidR="001F0333" w:rsidRDefault="001F0333" w:rsidP="001F0333">
      <w:pPr>
        <w:pStyle w:val="FooterTableFigure"/>
        <w:rPr>
          <w:rFonts w:eastAsia="Calibri"/>
        </w:rPr>
      </w:pPr>
      <w:r>
        <w:rPr>
          <w:noProof/>
          <w:color w:val="0066FF"/>
        </w:rPr>
        <w:drawing>
          <wp:inline distT="0" distB="0" distL="0" distR="0" wp14:anchorId="6A01C809" wp14:editId="295F0CB1">
            <wp:extent cx="5730875" cy="2865120"/>
            <wp:effectExtent l="19050" t="19050" r="22225" b="11430"/>
            <wp:docPr id="1705759511" name="Picture 1705759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2865120"/>
                    </a:xfrm>
                    <a:prstGeom prst="rect">
                      <a:avLst/>
                    </a:prstGeom>
                    <a:noFill/>
                    <a:ln w="3175">
                      <a:solidFill>
                        <a:schemeClr val="tx1"/>
                      </a:solidFill>
                    </a:ln>
                  </pic:spPr>
                </pic:pic>
              </a:graphicData>
            </a:graphic>
          </wp:inline>
        </w:drawing>
      </w:r>
    </w:p>
    <w:p w14:paraId="6EEED41A" w14:textId="77777777" w:rsidR="001F0333" w:rsidRPr="00EA7055" w:rsidRDefault="001F0333" w:rsidP="001F0333">
      <w:pPr>
        <w:pStyle w:val="FooterTableFigure"/>
        <w:rPr>
          <w:rFonts w:eastAsia="Calibri"/>
        </w:rPr>
      </w:pPr>
      <w:r w:rsidRPr="00EA7055">
        <w:rPr>
          <w:rFonts w:eastAsia="Calibri"/>
        </w:rPr>
        <w:t>Source: Figure 2</w:t>
      </w:r>
      <w:r>
        <w:rPr>
          <w:rFonts w:eastAsia="Calibri"/>
        </w:rPr>
        <w:t>-</w:t>
      </w:r>
      <w:r w:rsidRPr="00EA7055">
        <w:rPr>
          <w:rFonts w:eastAsia="Calibri"/>
        </w:rPr>
        <w:t>2, p63 of the submission</w:t>
      </w:r>
    </w:p>
    <w:p w14:paraId="4C7E065F" w14:textId="16FAB478" w:rsidR="003830B3" w:rsidRPr="000246F5" w:rsidRDefault="001F0333" w:rsidP="000246F5">
      <w:pPr>
        <w:pStyle w:val="FooterTableFigure"/>
        <w:rPr>
          <w:rStyle w:val="CommentReference"/>
          <w:rFonts w:eastAsia="Calibri"/>
          <w:b w:val="0"/>
          <w:sz w:val="18"/>
          <w:szCs w:val="22"/>
        </w:rPr>
      </w:pPr>
      <w:r w:rsidRPr="00EA7055">
        <w:rPr>
          <w:rFonts w:eastAsia="Calibri"/>
        </w:rPr>
        <w:t>BIRC</w:t>
      </w:r>
      <w:r>
        <w:rPr>
          <w:rFonts w:eastAsia="Calibri"/>
        </w:rPr>
        <w:t xml:space="preserve"> = </w:t>
      </w:r>
      <w:r w:rsidRPr="00EA7055">
        <w:rPr>
          <w:rFonts w:eastAsia="Calibri"/>
        </w:rPr>
        <w:t>blinded independent radiology committee; CI</w:t>
      </w:r>
      <w:r>
        <w:rPr>
          <w:rFonts w:eastAsia="Calibri"/>
        </w:rPr>
        <w:t xml:space="preserve"> = </w:t>
      </w:r>
      <w:r w:rsidRPr="00EA7055">
        <w:rPr>
          <w:rFonts w:eastAsia="Calibri"/>
        </w:rPr>
        <w:t>confidence interval; HR</w:t>
      </w:r>
      <w:r>
        <w:rPr>
          <w:rFonts w:eastAsia="Calibri"/>
        </w:rPr>
        <w:t xml:space="preserve"> = </w:t>
      </w:r>
      <w:r w:rsidRPr="00EA7055">
        <w:rPr>
          <w:rFonts w:eastAsia="Calibri"/>
        </w:rPr>
        <w:t>hazard ratio; ITT</w:t>
      </w:r>
      <w:r>
        <w:rPr>
          <w:rFonts w:eastAsia="Calibri"/>
        </w:rPr>
        <w:t xml:space="preserve"> = </w:t>
      </w:r>
      <w:r w:rsidRPr="00EA7055">
        <w:rPr>
          <w:rFonts w:eastAsia="Calibri"/>
        </w:rPr>
        <w:t>intent-to-treat; IxRS</w:t>
      </w:r>
      <w:r>
        <w:rPr>
          <w:rFonts w:eastAsia="Calibri"/>
        </w:rPr>
        <w:t xml:space="preserve"> = </w:t>
      </w:r>
      <w:r w:rsidRPr="00EA7055">
        <w:rPr>
          <w:rFonts w:eastAsia="Calibri"/>
        </w:rPr>
        <w:t>interactive voice/web response system; LR</w:t>
      </w:r>
      <w:r>
        <w:rPr>
          <w:rFonts w:eastAsia="Calibri"/>
        </w:rPr>
        <w:t xml:space="preserve"> = </w:t>
      </w:r>
      <w:r w:rsidRPr="00EA7055">
        <w:rPr>
          <w:rFonts w:eastAsia="Calibri"/>
        </w:rPr>
        <w:t>log-rank test</w:t>
      </w:r>
      <w:r w:rsidR="00F43015">
        <w:rPr>
          <w:rFonts w:eastAsia="Calibri"/>
        </w:rPr>
        <w:t>; PFS = progression free survival</w:t>
      </w:r>
      <w:r w:rsidR="00D41669">
        <w:rPr>
          <w:rFonts w:eastAsia="Calibri"/>
        </w:rPr>
        <w:t>.</w:t>
      </w:r>
    </w:p>
    <w:p w14:paraId="2C21E300" w14:textId="26E68277" w:rsidR="001F0333" w:rsidRPr="00F74D25" w:rsidRDefault="001A2A3B" w:rsidP="001A2A3B">
      <w:pPr>
        <w:pStyle w:val="Caption"/>
        <w:rPr>
          <w:rStyle w:val="CommentReference"/>
          <w:b/>
          <w:szCs w:val="18"/>
        </w:rPr>
      </w:pPr>
      <w:bookmarkStart w:id="36" w:name="_Ref142477036"/>
      <w:r>
        <w:t xml:space="preserve">Figure </w:t>
      </w:r>
      <w:r>
        <w:fldChar w:fldCharType="begin" w:fldLock="1"/>
      </w:r>
      <w:r>
        <w:instrText>SEQ Figure \* ARABIC</w:instrText>
      </w:r>
      <w:r>
        <w:fldChar w:fldCharType="separate"/>
      </w:r>
      <w:r w:rsidR="001A1482">
        <w:rPr>
          <w:noProof/>
        </w:rPr>
        <w:t>2</w:t>
      </w:r>
      <w:r>
        <w:fldChar w:fldCharType="end"/>
      </w:r>
      <w:bookmarkEnd w:id="36"/>
      <w:r w:rsidR="00F74D25">
        <w:t xml:space="preserve">: </w:t>
      </w:r>
      <w:r w:rsidR="001F0333" w:rsidRPr="005F1B07">
        <w:rPr>
          <w:rStyle w:val="CommentReference"/>
          <w:b/>
          <w:szCs w:val="18"/>
        </w:rPr>
        <w:t>Kaplan-Meier Plot of Overall Survival through 08 February 2021 (Full ITT Population, N = 258)</w:t>
      </w:r>
    </w:p>
    <w:p w14:paraId="2B0E4527" w14:textId="77777777" w:rsidR="001F0333" w:rsidRDefault="001F0333" w:rsidP="001F0333">
      <w:pPr>
        <w:pStyle w:val="FooterTableFigure"/>
        <w:rPr>
          <w:rFonts w:eastAsia="Calibri"/>
        </w:rPr>
      </w:pPr>
      <w:r w:rsidRPr="008108E7">
        <w:rPr>
          <w:noProof/>
        </w:rPr>
        <w:drawing>
          <wp:inline distT="0" distB="0" distL="0" distR="0" wp14:anchorId="2BF879EF" wp14:editId="50BBC501">
            <wp:extent cx="5732145" cy="3042991"/>
            <wp:effectExtent l="19050" t="19050" r="20955" b="24130"/>
            <wp:docPr id="1945586500" name="Picture 1945586500" descr="A graph of a patient's surviv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86500" name="Picture 1945586500" descr="A graph of a patient's surviva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2145" cy="3042991"/>
                    </a:xfrm>
                    <a:prstGeom prst="rect">
                      <a:avLst/>
                    </a:prstGeom>
                    <a:noFill/>
                    <a:ln w="3175">
                      <a:solidFill>
                        <a:schemeClr val="tx1"/>
                      </a:solidFill>
                    </a:ln>
                  </pic:spPr>
                </pic:pic>
              </a:graphicData>
            </a:graphic>
          </wp:inline>
        </w:drawing>
      </w:r>
    </w:p>
    <w:p w14:paraId="5D7FADF3" w14:textId="77777777" w:rsidR="001F0333" w:rsidRPr="00B21C7D" w:rsidRDefault="001F0333" w:rsidP="001F0333">
      <w:pPr>
        <w:pStyle w:val="FooterTableFigure"/>
        <w:rPr>
          <w:rFonts w:eastAsia="Calibri"/>
        </w:rPr>
      </w:pPr>
      <w:r w:rsidRPr="00B21C7D">
        <w:rPr>
          <w:rFonts w:eastAsia="Calibri"/>
        </w:rPr>
        <w:t xml:space="preserve">Source: Figure 2-5, p69 of the submission </w:t>
      </w:r>
    </w:p>
    <w:p w14:paraId="064139BE" w14:textId="77777777" w:rsidR="001F0333" w:rsidRDefault="001F0333" w:rsidP="001F0333">
      <w:pPr>
        <w:pStyle w:val="FooterTableFigure"/>
        <w:rPr>
          <w:rFonts w:eastAsia="Calibri"/>
        </w:rPr>
      </w:pPr>
      <w:r w:rsidRPr="00B21C7D">
        <w:rPr>
          <w:rFonts w:eastAsia="Calibri"/>
        </w:rPr>
        <w:t>CI = confidence interval; HR = hazard ratio; ITT = intent-to-treat; IxRS = interactive voice/web response system; LR = log-rank test</w:t>
      </w:r>
      <w:r>
        <w:rPr>
          <w:rFonts w:eastAsia="Calibri"/>
        </w:rPr>
        <w:t xml:space="preserve">; </w:t>
      </w:r>
      <w:r w:rsidRPr="00DF695C">
        <w:rPr>
          <w:rFonts w:eastAsia="Calibri"/>
        </w:rPr>
        <w:t>NE</w:t>
      </w:r>
      <w:r>
        <w:rPr>
          <w:rFonts w:eastAsia="Calibri"/>
        </w:rPr>
        <w:t xml:space="preserve"> = </w:t>
      </w:r>
      <w:r w:rsidRPr="00DF695C">
        <w:rPr>
          <w:rFonts w:eastAsia="Calibri"/>
        </w:rPr>
        <w:t>not estimable; O</w:t>
      </w:r>
      <w:r>
        <w:rPr>
          <w:rFonts w:eastAsia="Calibri"/>
        </w:rPr>
        <w:t>S =</w:t>
      </w:r>
      <w:r w:rsidRPr="00DF695C">
        <w:rPr>
          <w:rFonts w:eastAsia="Calibri"/>
        </w:rPr>
        <w:t xml:space="preserve"> overall survival.</w:t>
      </w:r>
    </w:p>
    <w:p w14:paraId="0F50E82C" w14:textId="77777777" w:rsidR="001F0333" w:rsidRPr="00B21C7D" w:rsidRDefault="001F0333" w:rsidP="001F0333">
      <w:pPr>
        <w:pStyle w:val="FooterTableFigure"/>
        <w:rPr>
          <w:rFonts w:eastAsia="Calibri"/>
        </w:rPr>
      </w:pPr>
      <w:r w:rsidRPr="00B21C7D">
        <w:rPr>
          <w:rFonts w:eastAsia="Calibri"/>
        </w:rPr>
        <w:t>+ Indicates censored observation</w:t>
      </w:r>
    </w:p>
    <w:p w14:paraId="2DE791AA" w14:textId="77777777" w:rsidR="001F0333" w:rsidRPr="00B21C7D" w:rsidRDefault="001F0333" w:rsidP="001F0333">
      <w:pPr>
        <w:pStyle w:val="FooterTableFigure"/>
        <w:rPr>
          <w:rFonts w:eastAsia="Calibri"/>
        </w:rPr>
      </w:pPr>
      <w:r w:rsidRPr="00B21C7D">
        <w:rPr>
          <w:rFonts w:eastAsia="Calibri"/>
        </w:rPr>
        <w:t>Stratification factors (per IxRS) comprise receipt of prior lenvatinib (yes vs no) and age at informed consent (≤ 65 years vs &gt; 65 years).</w:t>
      </w:r>
    </w:p>
    <w:p w14:paraId="27CBEAA5" w14:textId="77777777" w:rsidR="001F0333" w:rsidRPr="00B21C7D" w:rsidRDefault="001F0333" w:rsidP="001F0333">
      <w:pPr>
        <w:pStyle w:val="FooterTableFigure"/>
        <w:rPr>
          <w:rFonts w:eastAsia="Calibri"/>
        </w:rPr>
      </w:pPr>
      <w:r w:rsidRPr="00B21C7D">
        <w:rPr>
          <w:rFonts w:eastAsia="Calibri"/>
        </w:rPr>
        <w:t>The upper limit of the 95% CI for median OS should be interpreted as NE.</w:t>
      </w:r>
    </w:p>
    <w:p w14:paraId="729E0938" w14:textId="27C4D244" w:rsidR="009C03F2" w:rsidRDefault="001F0333" w:rsidP="00B1441F">
      <w:pPr>
        <w:pStyle w:val="FooterTableFigure"/>
        <w:rPr>
          <w:rFonts w:eastAsia="Calibri"/>
        </w:rPr>
      </w:pPr>
      <w:r w:rsidRPr="00B21C7D">
        <w:rPr>
          <w:rFonts w:eastAsia="Calibri"/>
        </w:rPr>
        <w:t>The last remaining patient in the cabozantinib arm had an event leading the survival probability to 0% as no patient remained at risk anymore.</w:t>
      </w:r>
    </w:p>
    <w:p w14:paraId="45346BF5" w14:textId="6778865C" w:rsidR="00B1441F" w:rsidRPr="0023484B" w:rsidRDefault="00AED365" w:rsidP="314FCF8A">
      <w:pPr>
        <w:pStyle w:val="3-BodyText"/>
      </w:pPr>
      <w:r>
        <w:t>I</w:t>
      </w:r>
      <w:r w:rsidR="20917A94">
        <w:t xml:space="preserve">n the </w:t>
      </w:r>
      <w:r w:rsidR="39F58EEA">
        <w:t>f</w:t>
      </w:r>
      <w:r w:rsidR="20917A94">
        <w:t>ull ITT population</w:t>
      </w:r>
      <w:r w:rsidR="497B5A93">
        <w:t xml:space="preserve"> (CCO2)</w:t>
      </w:r>
      <w:r w:rsidR="20917A94">
        <w:t xml:space="preserve">, the </w:t>
      </w:r>
      <w:r>
        <w:t xml:space="preserve">Kaplan-Meier </w:t>
      </w:r>
      <w:r w:rsidR="563BBEF5">
        <w:t xml:space="preserve">estimates for median duration of PFS were 11.0 months in the cabozantinib arm </w:t>
      </w:r>
      <w:r w:rsidR="3C06CB9D">
        <w:t xml:space="preserve">versus </w:t>
      </w:r>
      <w:r w:rsidR="563BBEF5">
        <w:t>1.9 months in the placebo arm</w:t>
      </w:r>
      <w:r>
        <w:t xml:space="preserve"> </w:t>
      </w:r>
      <w:r>
        <w:lastRenderedPageBreak/>
        <w:t>(</w:t>
      </w:r>
      <w:r w:rsidR="66DCD840">
        <w:t>h</w:t>
      </w:r>
      <w:r>
        <w:t xml:space="preserve">azard </w:t>
      </w:r>
      <w:r w:rsidR="183EC421">
        <w:t>rate r</w:t>
      </w:r>
      <w:r>
        <w:t>atio</w:t>
      </w:r>
      <w:r w:rsidR="096AAF87">
        <w:t xml:space="preserve"> (HR)</w:t>
      </w:r>
      <w:r>
        <w:t xml:space="preserve"> = 0.22 (9</w:t>
      </w:r>
      <w:r w:rsidR="0E6009A1">
        <w:t>5</w:t>
      </w:r>
      <w:r>
        <w:t xml:space="preserve">% CI: 0.15, 0.32), </w:t>
      </w:r>
      <w:r w:rsidR="39F58EEA">
        <w:t xml:space="preserve">stratified </w:t>
      </w:r>
      <w:r w:rsidR="00180F22">
        <w:t>p</w:t>
      </w:r>
      <w:r>
        <w:t>-value&lt;0.0001)</w:t>
      </w:r>
      <w:r w:rsidR="563BBEF5">
        <w:t xml:space="preserve">. The proportion of patients </w:t>
      </w:r>
      <w:r w:rsidR="00D217B0">
        <w:t xml:space="preserve">who </w:t>
      </w:r>
      <w:r w:rsidR="001009C8">
        <w:t xml:space="preserve">were </w:t>
      </w:r>
      <w:r w:rsidR="563BBEF5">
        <w:t>event-free at 12 months was 45.6% in the cabozantinib arm compared with 1.8% in the placebo arm.</w:t>
      </w:r>
      <w:r>
        <w:t xml:space="preserve"> A higher proportion of observations were censored in the cabozantinib arm compared to the placebo arm (64% versus 22%). </w:t>
      </w:r>
      <w:r w:rsidRPr="0023484B">
        <w:t xml:space="preserve">This was largely driven by no event being recorded, which </w:t>
      </w:r>
      <w:r w:rsidR="001009C8" w:rsidRPr="0023484B">
        <w:t xml:space="preserve">reflected </w:t>
      </w:r>
      <w:r w:rsidRPr="0023484B">
        <w:t>the short median duration of follow-up (10.1 months</w:t>
      </w:r>
      <w:r w:rsidR="00985104">
        <w:t>).</w:t>
      </w:r>
    </w:p>
    <w:p w14:paraId="281C78F1" w14:textId="4F9A451C" w:rsidR="004767D4" w:rsidRPr="0023484B" w:rsidRDefault="563BBEF5" w:rsidP="314FCF8A">
      <w:pPr>
        <w:pStyle w:val="3-BodyText"/>
        <w:rPr>
          <w:rFonts w:ascii="Calibri" w:hAnsi="Calibri"/>
        </w:rPr>
      </w:pPr>
      <w:r w:rsidRPr="0023484B">
        <w:t xml:space="preserve">In the </w:t>
      </w:r>
      <w:r w:rsidR="00EA7C05" w:rsidRPr="0023484B">
        <w:t>f</w:t>
      </w:r>
      <w:r w:rsidRPr="0023484B">
        <w:t>ull ITT population</w:t>
      </w:r>
      <w:r w:rsidR="00EA7C05" w:rsidRPr="0023484B">
        <w:t xml:space="preserve"> (C</w:t>
      </w:r>
      <w:r w:rsidR="30E3D52D" w:rsidRPr="0023484B">
        <w:t>C</w:t>
      </w:r>
      <w:r w:rsidR="00EA7C05" w:rsidRPr="0023484B">
        <w:t>O2)</w:t>
      </w:r>
      <w:r w:rsidRPr="0023484B">
        <w:t xml:space="preserve">, </w:t>
      </w:r>
      <w:r w:rsidR="00985104">
        <w:t xml:space="preserve">HR </w:t>
      </w:r>
      <w:r w:rsidR="003D3BEB">
        <w:t>for overall survival was</w:t>
      </w:r>
      <w:r w:rsidR="00EA7C05" w:rsidRPr="0023484B">
        <w:t xml:space="preserve"> 0.76 (95% CI: 0.45, 1.31</w:t>
      </w:r>
      <w:r w:rsidR="00180F22" w:rsidRPr="0023484B">
        <w:t>;</w:t>
      </w:r>
      <w:r w:rsidR="00EA7C05" w:rsidRPr="0023484B">
        <w:t xml:space="preserve"> </w:t>
      </w:r>
      <w:r w:rsidR="639D454E" w:rsidRPr="0023484B">
        <w:t xml:space="preserve">stratified </w:t>
      </w:r>
      <w:r w:rsidR="00180F22" w:rsidRPr="0023484B">
        <w:t>p</w:t>
      </w:r>
      <w:r w:rsidR="639D454E" w:rsidRPr="0023484B">
        <w:t xml:space="preserve">-value </w:t>
      </w:r>
      <w:r w:rsidR="00EA7C05" w:rsidRPr="0023484B">
        <w:t>=</w:t>
      </w:r>
      <w:r w:rsidR="00333B9D" w:rsidRPr="0023484B">
        <w:t xml:space="preserve"> </w:t>
      </w:r>
      <w:r w:rsidR="00EA7C05" w:rsidRPr="0023484B">
        <w:t>0.3260).</w:t>
      </w:r>
      <w:r w:rsidRPr="0023484B">
        <w:t xml:space="preserve"> </w:t>
      </w:r>
      <w:r w:rsidR="4741B1B3" w:rsidRPr="0023484B">
        <w:t>The median overall survival was not reached in the placebo arm.</w:t>
      </w:r>
      <w:r w:rsidR="00EA7C05" w:rsidRPr="0023484B">
        <w:t xml:space="preserve"> A total of 58 deaths (37 cabozantinib, 21 placebo) were reported at CCO2. </w:t>
      </w:r>
      <w:r w:rsidR="5FA24B38" w:rsidRPr="0023484B">
        <w:t>A similar proportion of observations were censored in the cabozantinib arm compared to the placebo arm (</w:t>
      </w:r>
      <w:r w:rsidR="553249F4" w:rsidRPr="0023484B">
        <w:t>78</w:t>
      </w:r>
      <w:r w:rsidR="5FA24B38" w:rsidRPr="0023484B">
        <w:t xml:space="preserve">% versus </w:t>
      </w:r>
      <w:r w:rsidR="553249F4" w:rsidRPr="0023484B">
        <w:t>76</w:t>
      </w:r>
      <w:r w:rsidR="5FA24B38" w:rsidRPr="0023484B">
        <w:t xml:space="preserve">%). </w:t>
      </w:r>
      <w:r w:rsidR="003D3BEB">
        <w:t xml:space="preserve">Censoring </w:t>
      </w:r>
      <w:r w:rsidR="5FA24B38" w:rsidRPr="0023484B">
        <w:t xml:space="preserve">was largely </w:t>
      </w:r>
      <w:r w:rsidR="003D3BEB">
        <w:t>due to</w:t>
      </w:r>
      <w:r w:rsidR="5FA24B38" w:rsidRPr="0023484B">
        <w:t xml:space="preserve"> no event being recorded, which reflect</w:t>
      </w:r>
      <w:r w:rsidR="001009C8" w:rsidRPr="0023484B">
        <w:t>ed</w:t>
      </w:r>
      <w:r w:rsidR="5FA24B38" w:rsidRPr="0023484B">
        <w:t xml:space="preserve"> the short median duration of follow-up (10.1 months).</w:t>
      </w:r>
      <w:r w:rsidR="4741B1B3" w:rsidRPr="0023484B">
        <w:t xml:space="preserve"> </w:t>
      </w:r>
    </w:p>
    <w:p w14:paraId="1BABC605" w14:textId="5A6B272B" w:rsidR="00B03B0E" w:rsidRDefault="003D3BEB" w:rsidP="314FCF8A">
      <w:pPr>
        <w:pStyle w:val="3-BodyText"/>
      </w:pPr>
      <w:r>
        <w:t>In t</w:t>
      </w:r>
      <w:r w:rsidR="563BBEF5" w:rsidRPr="0023484B">
        <w:t>he placebo arm</w:t>
      </w:r>
      <w:r>
        <w:t>,</w:t>
      </w:r>
      <w:r w:rsidR="563BBEF5" w:rsidRPr="0023484B">
        <w:t xml:space="preserve"> 40</w:t>
      </w:r>
      <w:r w:rsidR="39F58EEA" w:rsidRPr="0023484B">
        <w:t xml:space="preserve"> of 88 (45%)</w:t>
      </w:r>
      <w:r w:rsidR="563BBEF5" w:rsidRPr="0023484B">
        <w:t xml:space="preserve"> patients crossed over to receive </w:t>
      </w:r>
      <w:r w:rsidR="553249F4" w:rsidRPr="0023484B">
        <w:t>open</w:t>
      </w:r>
      <w:r w:rsidR="001009C8" w:rsidRPr="0023484B">
        <w:t xml:space="preserve"> </w:t>
      </w:r>
      <w:r w:rsidR="553249F4" w:rsidRPr="0023484B">
        <w:t xml:space="preserve">label </w:t>
      </w:r>
      <w:r w:rsidR="563BBEF5" w:rsidRPr="0023484B">
        <w:t xml:space="preserve">cabozantinib. </w:t>
      </w:r>
      <w:r w:rsidR="007F45CF">
        <w:t xml:space="preserve">For the ITT analyses, </w:t>
      </w:r>
      <w:r w:rsidR="007F45CF">
        <w:rPr>
          <w:rFonts w:eastAsia="MS Gothic" w:cs="Times New Roman"/>
          <w:color w:val="000000" w:themeColor="text1"/>
          <w:lang w:eastAsia="en-US" w:bidi="en-US"/>
        </w:rPr>
        <w:t>o</w:t>
      </w:r>
      <w:r w:rsidR="553249F4" w:rsidRPr="0023484B">
        <w:t xml:space="preserve">verall survival in the placebo arm was confounded by trial participants </w:t>
      </w:r>
      <w:r w:rsidR="03ABD04D" w:rsidRPr="0023484B">
        <w:t xml:space="preserve">in the placebo arm </w:t>
      </w:r>
      <w:r w:rsidR="553249F4" w:rsidRPr="0023484B">
        <w:t>crossing-over to treatment with open-label cabozantinib following progression.</w:t>
      </w:r>
    </w:p>
    <w:p w14:paraId="52B36071" w14:textId="64926196" w:rsidR="00C06283" w:rsidRPr="00004BA6" w:rsidRDefault="00C06283" w:rsidP="00180F22">
      <w:pPr>
        <w:spacing w:after="120"/>
        <w:rPr>
          <w:u w:val="single"/>
        </w:rPr>
      </w:pPr>
      <w:r w:rsidRPr="00004BA6">
        <w:rPr>
          <w:u w:val="single"/>
        </w:rPr>
        <w:t>Health related quality of life</w:t>
      </w:r>
    </w:p>
    <w:p w14:paraId="2BD7671E" w14:textId="0A64228F" w:rsidR="00C06283" w:rsidRDefault="00175019" w:rsidP="00C06283">
      <w:pPr>
        <w:pStyle w:val="3-BodyText"/>
      </w:pPr>
      <w:r>
        <w:fldChar w:fldCharType="begin" w:fldLock="1"/>
      </w:r>
      <w:r>
        <w:instrText xml:space="preserve"> REF _Ref142395654 \h </w:instrText>
      </w:r>
      <w:r>
        <w:fldChar w:fldCharType="separate"/>
      </w:r>
      <w:r w:rsidR="008760F8" w:rsidRPr="00F74D25">
        <w:t xml:space="preserve">Table </w:t>
      </w:r>
      <w:r w:rsidR="008760F8">
        <w:rPr>
          <w:noProof/>
        </w:rPr>
        <w:t>6</w:t>
      </w:r>
      <w:r>
        <w:fldChar w:fldCharType="end"/>
      </w:r>
      <w:r w:rsidR="635FF13D">
        <w:t xml:space="preserve"> </w:t>
      </w:r>
      <w:r w:rsidR="497B5A93">
        <w:t>presents the EQ-5D-5L results for the ITT population</w:t>
      </w:r>
      <w:r w:rsidR="53144162">
        <w:t xml:space="preserve"> </w:t>
      </w:r>
      <w:r w:rsidR="6478CA36">
        <w:t>CCO1</w:t>
      </w:r>
      <w:r w:rsidR="497B5A93">
        <w:t>.</w:t>
      </w:r>
    </w:p>
    <w:p w14:paraId="019BAE3D" w14:textId="26292B28" w:rsidR="00C06283" w:rsidRPr="00F74D25" w:rsidRDefault="00175019" w:rsidP="00D22B13">
      <w:pPr>
        <w:pStyle w:val="TableFigureHeading"/>
        <w:jc w:val="both"/>
        <w:rPr>
          <w:rStyle w:val="CommentReference"/>
          <w:rFonts w:cs="Arial"/>
          <w:b/>
          <w:bCs w:val="0"/>
          <w:snapToGrid w:val="0"/>
          <w:szCs w:val="24"/>
        </w:rPr>
      </w:pPr>
      <w:bookmarkStart w:id="37" w:name="_Ref142395654"/>
      <w:bookmarkStart w:id="38" w:name="_Ref107927942"/>
      <w:bookmarkStart w:id="39" w:name="_Toc139359911"/>
      <w:r w:rsidRPr="00F74D25">
        <w:t xml:space="preserve">Table </w:t>
      </w:r>
      <w:r>
        <w:fldChar w:fldCharType="begin" w:fldLock="1"/>
      </w:r>
      <w:r>
        <w:instrText>SEQ Table \* ARABIC</w:instrText>
      </w:r>
      <w:r>
        <w:fldChar w:fldCharType="separate"/>
      </w:r>
      <w:r w:rsidR="008760F8">
        <w:rPr>
          <w:noProof/>
        </w:rPr>
        <w:t>6</w:t>
      </w:r>
      <w:r>
        <w:fldChar w:fldCharType="end"/>
      </w:r>
      <w:bookmarkEnd w:id="37"/>
      <w:r w:rsidRPr="00F74D25">
        <w:rPr>
          <w:rStyle w:val="TableFigureHeadingChar"/>
          <w:b/>
          <w:bCs/>
        </w:rPr>
        <w:t>:</w:t>
      </w:r>
      <w:bookmarkEnd w:id="38"/>
      <w:r w:rsidR="00C06283" w:rsidRPr="00F74D25">
        <w:rPr>
          <w:rStyle w:val="TableFigureHeadingChar"/>
          <w:b/>
          <w:bCs/>
        </w:rPr>
        <w:t xml:space="preserve"> EQ-VAS and EQ-Index Scores: Change from Baseline</w:t>
      </w:r>
      <w:r w:rsidR="005224D8">
        <w:rPr>
          <w:rStyle w:val="TableFigureHeadingChar"/>
          <w:b/>
          <w:bCs/>
        </w:rPr>
        <w:t xml:space="preserve"> until</w:t>
      </w:r>
      <w:r w:rsidR="00435F7F">
        <w:rPr>
          <w:rStyle w:val="TableFigureHeadingChar"/>
          <w:b/>
          <w:bCs/>
        </w:rPr>
        <w:t xml:space="preserve"> 8 weeks after radiographic</w:t>
      </w:r>
      <w:r w:rsidR="005224D8">
        <w:rPr>
          <w:rStyle w:val="TableFigureHeadingChar"/>
          <w:b/>
          <w:bCs/>
        </w:rPr>
        <w:t xml:space="preserve"> progression</w:t>
      </w:r>
      <w:r w:rsidR="00435F7F">
        <w:rPr>
          <w:rStyle w:val="TableFigureHeadingChar"/>
          <w:b/>
          <w:bCs/>
        </w:rPr>
        <w:t xml:space="preserve"> or discontinuation</w:t>
      </w:r>
      <w:r w:rsidR="00C06283" w:rsidRPr="00F74D25">
        <w:rPr>
          <w:rStyle w:val="TableFigureHeadingChar"/>
          <w:b/>
          <w:bCs/>
        </w:rPr>
        <w:t>, Repeated-Measures Analysis (ITT Population, Countries in Which Index Is Validated [Index]; ITT Population [VAS])</w:t>
      </w:r>
      <w:bookmarkEnd w:id="39"/>
    </w:p>
    <w:tbl>
      <w:tblPr>
        <w:tblStyle w:val="Submissionstandard"/>
        <w:tblW w:w="5000" w:type="pct"/>
        <w:tblInd w:w="0" w:type="dxa"/>
        <w:shd w:val="clear" w:color="auto" w:fill="FFFFFF" w:themeFill="background1"/>
        <w:tblLook w:val="04A0" w:firstRow="1" w:lastRow="0" w:firstColumn="1" w:lastColumn="0" w:noHBand="0" w:noVBand="1"/>
      </w:tblPr>
      <w:tblGrid>
        <w:gridCol w:w="989"/>
        <w:gridCol w:w="2126"/>
        <w:gridCol w:w="1733"/>
        <w:gridCol w:w="1428"/>
        <w:gridCol w:w="981"/>
        <w:gridCol w:w="900"/>
        <w:gridCol w:w="860"/>
      </w:tblGrid>
      <w:tr w:rsidR="00C06283" w14:paraId="7842805F" w14:textId="77777777" w:rsidTr="00180F22">
        <w:trPr>
          <w:cnfStyle w:val="100000000000" w:firstRow="1" w:lastRow="0" w:firstColumn="0" w:lastColumn="0" w:oddVBand="0" w:evenVBand="0" w:oddHBand="0" w:evenHBand="0" w:firstRowFirstColumn="0" w:firstRowLastColumn="0" w:lastRowFirstColumn="0" w:lastRowLastColumn="0"/>
          <w:trHeight w:val="20"/>
        </w:trPr>
        <w:tc>
          <w:tcPr>
            <w:tcW w:w="548" w:type="pct"/>
            <w:tcBorders>
              <w:top w:val="single" w:sz="4" w:space="0" w:color="auto"/>
              <w:left w:val="single" w:sz="4" w:space="0" w:color="auto"/>
              <w:bottom w:val="single" w:sz="4" w:space="0" w:color="auto"/>
              <w:right w:val="single" w:sz="4" w:space="0" w:color="auto"/>
            </w:tcBorders>
            <w:shd w:val="clear" w:color="auto" w:fill="FFFFFF" w:themeFill="background1"/>
          </w:tcPr>
          <w:p w14:paraId="4C780073" w14:textId="77777777" w:rsidR="00C06283" w:rsidRPr="00705E61" w:rsidRDefault="00C06283" w:rsidP="002770A3">
            <w:pPr>
              <w:keepNext/>
              <w:jc w:val="left"/>
              <w:rPr>
                <w:rFonts w:ascii="Arial Narrow" w:eastAsiaTheme="majorEastAsia" w:hAnsi="Arial Narrow" w:cstheme="majorBidi"/>
                <w:bCs/>
                <w:sz w:val="20"/>
              </w:rPr>
            </w:pPr>
          </w:p>
        </w:tc>
        <w:tc>
          <w:tcPr>
            <w:tcW w:w="11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B60EA6" w14:textId="5D392E99"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Cabozantinib</w:t>
            </w:r>
          </w:p>
          <w:p w14:paraId="3DC6804F" w14:textId="2069272F" w:rsidR="00C06283" w:rsidRPr="00705E61" w:rsidRDefault="00180F22"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n/N,</w:t>
            </w:r>
          </w:p>
          <w:p w14:paraId="03353E1B" w14:textId="05AEB9CD" w:rsidR="00C06283" w:rsidRPr="00705E61" w:rsidRDefault="00C06283" w:rsidP="00600FE8">
            <w:pPr>
              <w:keepNext/>
              <w:jc w:val="center"/>
              <w:rPr>
                <w:rFonts w:ascii="Arial Narrow" w:eastAsiaTheme="majorEastAsia" w:hAnsi="Arial Narrow" w:cstheme="majorBidi"/>
                <w:bCs/>
                <w:sz w:val="20"/>
              </w:rPr>
            </w:pPr>
            <w:proofErr w:type="spellStart"/>
            <w:r w:rsidRPr="00705E61">
              <w:rPr>
                <w:rFonts w:ascii="Arial Narrow" w:eastAsiaTheme="majorEastAsia" w:hAnsi="Arial Narrow" w:cstheme="majorBidi"/>
                <w:bCs/>
                <w:sz w:val="20"/>
              </w:rPr>
              <w:t>LSMeans</w:t>
            </w:r>
            <w:proofErr w:type="spellEnd"/>
            <w:r w:rsidRPr="00705E61">
              <w:rPr>
                <w:rFonts w:ascii="Arial Narrow" w:eastAsiaTheme="majorEastAsia" w:hAnsi="Arial Narrow" w:cstheme="majorBidi"/>
                <w:bCs/>
                <w:sz w:val="20"/>
              </w:rPr>
              <w:t xml:space="preserve"> (SE)</w:t>
            </w:r>
          </w:p>
        </w:tc>
        <w:tc>
          <w:tcPr>
            <w:tcW w:w="961"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9C3866" w14:textId="1B1AA226"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Placebo</w:t>
            </w:r>
          </w:p>
          <w:p w14:paraId="1EB33373" w14:textId="66BCEBE4" w:rsidR="00C06283" w:rsidRPr="00705E61" w:rsidRDefault="00180F22" w:rsidP="00180F22">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n/N,</w:t>
            </w:r>
            <w:r w:rsidRPr="00705E61">
              <w:rPr>
                <w:rFonts w:ascii="Arial Narrow" w:eastAsiaTheme="majorEastAsia" w:hAnsi="Arial Narrow" w:cstheme="majorBidi"/>
                <w:bCs/>
                <w:sz w:val="20"/>
              </w:rPr>
              <w:br/>
            </w:r>
            <w:proofErr w:type="spellStart"/>
            <w:r w:rsidR="00C06283" w:rsidRPr="00705E61">
              <w:rPr>
                <w:rFonts w:ascii="Arial Narrow" w:eastAsiaTheme="majorEastAsia" w:hAnsi="Arial Narrow" w:cstheme="majorBidi"/>
                <w:bCs/>
                <w:sz w:val="20"/>
              </w:rPr>
              <w:t>LSMeans</w:t>
            </w:r>
            <w:proofErr w:type="spellEnd"/>
            <w:r w:rsidR="00C06283" w:rsidRPr="00705E61">
              <w:rPr>
                <w:rFonts w:ascii="Arial Narrow" w:eastAsiaTheme="majorEastAsia" w:hAnsi="Arial Narrow" w:cstheme="majorBidi"/>
                <w:bCs/>
                <w:sz w:val="20"/>
              </w:rPr>
              <w:t xml:space="preserve"> (SE)</w:t>
            </w:r>
          </w:p>
        </w:tc>
        <w:tc>
          <w:tcPr>
            <w:tcW w:w="79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BC995A6" w14:textId="60AB77B7"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 xml:space="preserve">Difference in </w:t>
            </w:r>
            <w:r w:rsidR="00180F22" w:rsidRPr="00705E61">
              <w:rPr>
                <w:rFonts w:ascii="Arial Narrow" w:eastAsiaTheme="majorEastAsia" w:hAnsi="Arial Narrow" w:cstheme="majorBidi"/>
                <w:bCs/>
                <w:sz w:val="20"/>
              </w:rPr>
              <w:t>m</w:t>
            </w:r>
            <w:r w:rsidRPr="00705E61">
              <w:rPr>
                <w:rFonts w:ascii="Arial Narrow" w:eastAsiaTheme="majorEastAsia" w:hAnsi="Arial Narrow" w:cstheme="majorBidi"/>
                <w:bCs/>
                <w:sz w:val="20"/>
              </w:rPr>
              <w:t xml:space="preserve">ean </w:t>
            </w:r>
            <w:proofErr w:type="spellStart"/>
            <w:r w:rsidR="00180F22" w:rsidRPr="00705E61">
              <w:rPr>
                <w:rFonts w:ascii="Arial Narrow" w:eastAsiaTheme="majorEastAsia" w:hAnsi="Arial Narrow" w:cstheme="majorBidi"/>
                <w:bCs/>
                <w:sz w:val="20"/>
              </w:rPr>
              <w:t>c</w:t>
            </w:r>
            <w:r w:rsidRPr="00705E61">
              <w:rPr>
                <w:rFonts w:ascii="Arial Narrow" w:eastAsiaTheme="majorEastAsia" w:hAnsi="Arial Narrow" w:cstheme="majorBidi"/>
                <w:bCs/>
                <w:sz w:val="20"/>
              </w:rPr>
              <w:t>hange</w:t>
            </w:r>
            <w:r w:rsidRPr="00705E61">
              <w:rPr>
                <w:rFonts w:ascii="Arial Narrow" w:eastAsiaTheme="majorEastAsia" w:hAnsi="Arial Narrow" w:cstheme="majorBidi"/>
                <w:bCs/>
                <w:sz w:val="20"/>
                <w:vertAlign w:val="superscript"/>
              </w:rPr>
              <w:t>a</w:t>
            </w:r>
            <w:proofErr w:type="spellEnd"/>
          </w:p>
        </w:tc>
        <w:tc>
          <w:tcPr>
            <w:tcW w:w="54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7ED719" w14:textId="41C0EFFD"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Pooled SD</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0EB319" w14:textId="3E38F946" w:rsidR="00C06283" w:rsidRPr="00705E61" w:rsidRDefault="00180F22"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p</w:t>
            </w:r>
            <w:r w:rsidR="00C06283" w:rsidRPr="00705E61">
              <w:rPr>
                <w:rFonts w:ascii="Arial Narrow" w:eastAsiaTheme="majorEastAsia" w:hAnsi="Arial Narrow" w:cstheme="majorBidi"/>
                <w:bCs/>
                <w:sz w:val="20"/>
              </w:rPr>
              <w:t>-value</w:t>
            </w:r>
            <w:r w:rsidR="00C06283" w:rsidRPr="00705E61">
              <w:rPr>
                <w:rFonts w:ascii="Arial Narrow" w:eastAsiaTheme="majorEastAsia" w:hAnsi="Arial Narrow" w:cstheme="majorBidi"/>
                <w:bCs/>
                <w:sz w:val="20"/>
                <w:vertAlign w:val="superscript"/>
              </w:rPr>
              <w:t>a</w:t>
            </w:r>
          </w:p>
        </w:tc>
        <w:tc>
          <w:tcPr>
            <w:tcW w:w="478"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F997D4" w14:textId="0D49943E"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 xml:space="preserve">Effect </w:t>
            </w:r>
            <w:proofErr w:type="spellStart"/>
            <w:r w:rsidR="00180F22" w:rsidRPr="00705E61">
              <w:rPr>
                <w:rFonts w:ascii="Arial Narrow" w:eastAsiaTheme="majorEastAsia" w:hAnsi="Arial Narrow" w:cstheme="majorBidi"/>
                <w:bCs/>
                <w:sz w:val="20"/>
              </w:rPr>
              <w:t>s</w:t>
            </w:r>
            <w:r w:rsidRPr="00705E61">
              <w:rPr>
                <w:rFonts w:ascii="Arial Narrow" w:eastAsiaTheme="majorEastAsia" w:hAnsi="Arial Narrow" w:cstheme="majorBidi"/>
                <w:bCs/>
                <w:sz w:val="20"/>
              </w:rPr>
              <w:t>ize</w:t>
            </w:r>
            <w:r w:rsidRPr="00705E61">
              <w:rPr>
                <w:rFonts w:ascii="Arial Narrow" w:eastAsiaTheme="majorEastAsia" w:hAnsi="Arial Narrow" w:cstheme="majorBidi"/>
                <w:bCs/>
                <w:sz w:val="20"/>
                <w:vertAlign w:val="superscript"/>
              </w:rPr>
              <w:t>b</w:t>
            </w:r>
            <w:proofErr w:type="spellEnd"/>
          </w:p>
        </w:tc>
      </w:tr>
      <w:tr w:rsidR="00C06283" w14:paraId="2EE0B900" w14:textId="77777777" w:rsidTr="00E120DC">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43AD21" w14:textId="77777777" w:rsidR="00C06283" w:rsidRPr="00705E61" w:rsidRDefault="00C06283" w:rsidP="00AF1E6C">
            <w:pPr>
              <w:keepNext/>
              <w:jc w:val="left"/>
              <w:rPr>
                <w:rFonts w:ascii="Arial Narrow" w:eastAsiaTheme="majorEastAsia" w:hAnsi="Arial Narrow" w:cstheme="majorBidi"/>
                <w:bCs/>
                <w:sz w:val="20"/>
              </w:rPr>
            </w:pPr>
            <w:r w:rsidRPr="00705E61">
              <w:rPr>
                <w:rFonts w:ascii="Arial Narrow" w:eastAsiaTheme="majorEastAsia" w:hAnsi="Arial Narrow" w:cstheme="majorBidi"/>
                <w:bCs/>
                <w:sz w:val="20"/>
              </w:rPr>
              <w:t xml:space="preserve">EQ-Index </w:t>
            </w:r>
          </w:p>
        </w:tc>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55A522" w14:textId="3CFBE20C"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106</w:t>
            </w:r>
            <w:r w:rsidR="00180F22" w:rsidRPr="00705E61">
              <w:rPr>
                <w:rFonts w:ascii="Arial Narrow" w:eastAsiaTheme="majorEastAsia" w:hAnsi="Arial Narrow" w:cstheme="majorBidi"/>
                <w:bCs/>
                <w:sz w:val="20"/>
              </w:rPr>
              <w:t>/125</w:t>
            </w:r>
            <w:r w:rsidR="00B03E8B" w:rsidRPr="00705E61">
              <w:rPr>
                <w:rFonts w:ascii="Arial Narrow" w:eastAsiaTheme="majorEastAsia" w:hAnsi="Arial Narrow" w:cstheme="majorBidi"/>
                <w:bCs/>
                <w:sz w:val="20"/>
              </w:rPr>
              <w:t xml:space="preserve"> </w:t>
            </w:r>
          </w:p>
          <w:p w14:paraId="4DACAA2B" w14:textId="261BAC88"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 xml:space="preserve">-0.0479 </w:t>
            </w:r>
            <w:r w:rsidR="00B03E8B" w:rsidRPr="00705E61">
              <w:rPr>
                <w:rFonts w:ascii="Arial Narrow" w:eastAsiaTheme="majorEastAsia" w:hAnsi="Arial Narrow" w:cstheme="majorBidi"/>
                <w:bCs/>
                <w:sz w:val="20"/>
              </w:rPr>
              <w:t xml:space="preserve"> </w:t>
            </w:r>
            <w:r w:rsidRPr="00705E61">
              <w:rPr>
                <w:rFonts w:ascii="Arial Narrow" w:eastAsiaTheme="majorEastAsia" w:hAnsi="Arial Narrow" w:cstheme="majorBidi"/>
                <w:bCs/>
                <w:sz w:val="20"/>
              </w:rPr>
              <w:t>(0.0180)</w:t>
            </w:r>
          </w:p>
        </w:tc>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922E3" w14:textId="0EB6A830"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53</w:t>
            </w:r>
            <w:r w:rsidR="00180F22" w:rsidRPr="00705E61">
              <w:rPr>
                <w:rFonts w:ascii="Arial Narrow" w:eastAsiaTheme="majorEastAsia" w:hAnsi="Arial Narrow" w:cstheme="majorBidi"/>
                <w:bCs/>
                <w:sz w:val="20"/>
              </w:rPr>
              <w:t>/62</w:t>
            </w:r>
            <w:r w:rsidR="00B03E8B" w:rsidRPr="00705E61">
              <w:rPr>
                <w:rFonts w:ascii="Arial Narrow" w:eastAsiaTheme="majorEastAsia" w:hAnsi="Arial Narrow" w:cstheme="majorBidi"/>
                <w:bCs/>
                <w:sz w:val="20"/>
              </w:rPr>
              <w:t xml:space="preserve"> </w:t>
            </w:r>
          </w:p>
          <w:p w14:paraId="1D8C6005" w14:textId="105EF78E"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-0.0387</w:t>
            </w:r>
            <w:r w:rsidR="00B03E8B" w:rsidRPr="00705E61">
              <w:rPr>
                <w:rFonts w:ascii="Arial Narrow" w:eastAsiaTheme="majorEastAsia" w:hAnsi="Arial Narrow" w:cstheme="majorBidi"/>
                <w:bCs/>
                <w:sz w:val="20"/>
              </w:rPr>
              <w:t xml:space="preserve"> </w:t>
            </w:r>
            <w:r w:rsidRPr="00705E61">
              <w:rPr>
                <w:rFonts w:ascii="Arial Narrow" w:eastAsiaTheme="majorEastAsia" w:hAnsi="Arial Narrow" w:cstheme="majorBidi"/>
                <w:bCs/>
                <w:sz w:val="20"/>
              </w:rPr>
              <w:t xml:space="preserve"> (0.0229)</w:t>
            </w:r>
          </w:p>
        </w:tc>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C558B" w14:textId="264BCC51"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-0.0092</w:t>
            </w:r>
            <w:r w:rsidR="00B03E8B" w:rsidRPr="00705E61">
              <w:rPr>
                <w:rFonts w:ascii="Arial Narrow" w:eastAsiaTheme="majorEastAsia" w:hAnsi="Arial Narrow" w:cstheme="majorBidi"/>
                <w:bCs/>
                <w:sz w:val="20"/>
              </w:rPr>
              <w:t xml:space="preserve"> </w:t>
            </w:r>
          </w:p>
        </w:tc>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7A7209" w14:textId="77777777"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0.1580</w:t>
            </w:r>
          </w:p>
        </w:tc>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75BA7B" w14:textId="77777777"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0.6797</w:t>
            </w:r>
          </w:p>
        </w:tc>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7FDA25" w14:textId="44EA0F13"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-0.0581</w:t>
            </w:r>
            <w:r w:rsidR="00B03E8B" w:rsidRPr="00705E61">
              <w:rPr>
                <w:rFonts w:ascii="Arial Narrow" w:eastAsiaTheme="majorEastAsia" w:hAnsi="Arial Narrow" w:cstheme="majorBidi"/>
                <w:bCs/>
                <w:sz w:val="20"/>
              </w:rPr>
              <w:t xml:space="preserve"> </w:t>
            </w:r>
          </w:p>
        </w:tc>
      </w:tr>
      <w:tr w:rsidR="00C06283" w14:paraId="446CD10E" w14:textId="77777777" w:rsidTr="00E120DC">
        <w:trPr>
          <w:trHeight w:val="20"/>
        </w:trPr>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25FCA1" w14:textId="77777777" w:rsidR="00C06283" w:rsidRPr="00705E61" w:rsidRDefault="00C06283" w:rsidP="00AF1E6C">
            <w:pPr>
              <w:keepNext/>
              <w:jc w:val="left"/>
              <w:rPr>
                <w:rFonts w:ascii="Arial Narrow" w:eastAsiaTheme="majorEastAsia" w:hAnsi="Arial Narrow" w:cstheme="majorBidi"/>
                <w:bCs/>
                <w:sz w:val="20"/>
              </w:rPr>
            </w:pPr>
            <w:r w:rsidRPr="00705E61">
              <w:rPr>
                <w:rFonts w:ascii="Arial Narrow" w:eastAsiaTheme="majorEastAsia" w:hAnsi="Arial Narrow" w:cstheme="majorBidi"/>
                <w:bCs/>
                <w:sz w:val="20"/>
              </w:rPr>
              <w:t xml:space="preserve">EQ-VAS </w:t>
            </w:r>
          </w:p>
        </w:tc>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599F35" w14:textId="625128F6"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108</w:t>
            </w:r>
            <w:r w:rsidR="00180F22" w:rsidRPr="00705E61">
              <w:rPr>
                <w:rFonts w:ascii="Arial Narrow" w:eastAsiaTheme="majorEastAsia" w:hAnsi="Arial Narrow" w:cstheme="majorBidi"/>
                <w:bCs/>
                <w:sz w:val="20"/>
              </w:rPr>
              <w:t>/125</w:t>
            </w:r>
            <w:r w:rsidR="00B03E8B" w:rsidRPr="00705E61">
              <w:rPr>
                <w:rFonts w:ascii="Arial Narrow" w:eastAsiaTheme="majorEastAsia" w:hAnsi="Arial Narrow" w:cstheme="majorBidi"/>
                <w:bCs/>
                <w:sz w:val="20"/>
              </w:rPr>
              <w:t xml:space="preserve"> </w:t>
            </w:r>
          </w:p>
          <w:p w14:paraId="133D6B54" w14:textId="5E9D5622"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-3.0415</w:t>
            </w:r>
            <w:r w:rsidR="00B03E8B" w:rsidRPr="00705E61">
              <w:rPr>
                <w:rFonts w:ascii="Arial Narrow" w:eastAsiaTheme="majorEastAsia" w:hAnsi="Arial Narrow" w:cstheme="majorBidi"/>
                <w:bCs/>
                <w:sz w:val="20"/>
              </w:rPr>
              <w:t xml:space="preserve"> </w:t>
            </w:r>
            <w:r w:rsidRPr="00705E61">
              <w:rPr>
                <w:rFonts w:ascii="Arial Narrow" w:eastAsiaTheme="majorEastAsia" w:hAnsi="Arial Narrow" w:cstheme="majorBidi"/>
                <w:bCs/>
                <w:sz w:val="20"/>
              </w:rPr>
              <w:t xml:space="preserve"> (1.6746)</w:t>
            </w:r>
          </w:p>
        </w:tc>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4B3C66" w14:textId="54FE3E5A"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53</w:t>
            </w:r>
            <w:r w:rsidR="00180F22" w:rsidRPr="00705E61">
              <w:rPr>
                <w:rFonts w:ascii="Arial Narrow" w:eastAsiaTheme="majorEastAsia" w:hAnsi="Arial Narrow" w:cstheme="majorBidi"/>
                <w:bCs/>
                <w:sz w:val="20"/>
              </w:rPr>
              <w:t>/62</w:t>
            </w:r>
            <w:r w:rsidR="00B03E8B" w:rsidRPr="00705E61">
              <w:rPr>
                <w:rFonts w:ascii="Arial Narrow" w:eastAsiaTheme="majorEastAsia" w:hAnsi="Arial Narrow" w:cstheme="majorBidi"/>
                <w:bCs/>
                <w:sz w:val="20"/>
              </w:rPr>
              <w:t xml:space="preserve"> </w:t>
            </w:r>
          </w:p>
          <w:p w14:paraId="7F58E872" w14:textId="38AAE108"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-2.6727</w:t>
            </w:r>
            <w:r w:rsidR="00B03E8B" w:rsidRPr="00705E61">
              <w:rPr>
                <w:rFonts w:ascii="Arial Narrow" w:eastAsiaTheme="majorEastAsia" w:hAnsi="Arial Narrow" w:cstheme="majorBidi"/>
                <w:bCs/>
                <w:sz w:val="20"/>
              </w:rPr>
              <w:t xml:space="preserve"> </w:t>
            </w:r>
            <w:r w:rsidRPr="00705E61">
              <w:rPr>
                <w:rFonts w:ascii="Arial Narrow" w:eastAsiaTheme="majorEastAsia" w:hAnsi="Arial Narrow" w:cstheme="majorBidi"/>
                <w:bCs/>
                <w:sz w:val="20"/>
              </w:rPr>
              <w:t xml:space="preserve"> (2.1078)</w:t>
            </w:r>
          </w:p>
        </w:tc>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DA63FD" w14:textId="0E87BDAF"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-0.3689</w:t>
            </w:r>
            <w:r w:rsidR="00B03E8B" w:rsidRPr="00705E61">
              <w:rPr>
                <w:rFonts w:ascii="Arial Narrow" w:eastAsiaTheme="majorEastAsia" w:hAnsi="Arial Narrow" w:cstheme="majorBidi"/>
                <w:bCs/>
                <w:sz w:val="20"/>
              </w:rPr>
              <w:t xml:space="preserve"> </w:t>
            </w:r>
          </w:p>
        </w:tc>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3A9D14" w14:textId="77777777"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15.3759</w:t>
            </w:r>
          </w:p>
        </w:tc>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A8DCA2" w14:textId="77777777"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0.8510</w:t>
            </w:r>
          </w:p>
        </w:tc>
        <w:tc>
          <w:tcPr>
            <w:tcW w:w="0"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D2520EB" w14:textId="0884AAE2" w:rsidR="00C06283" w:rsidRPr="00705E61" w:rsidRDefault="00C06283" w:rsidP="00600FE8">
            <w:pPr>
              <w:keepNext/>
              <w:jc w:val="center"/>
              <w:rPr>
                <w:rFonts w:ascii="Arial Narrow" w:eastAsiaTheme="majorEastAsia" w:hAnsi="Arial Narrow" w:cstheme="majorBidi"/>
                <w:bCs/>
                <w:sz w:val="20"/>
              </w:rPr>
            </w:pPr>
            <w:r w:rsidRPr="00705E61">
              <w:rPr>
                <w:rFonts w:ascii="Arial Narrow" w:eastAsiaTheme="majorEastAsia" w:hAnsi="Arial Narrow" w:cstheme="majorBidi"/>
                <w:bCs/>
                <w:sz w:val="20"/>
              </w:rPr>
              <w:t>-0.0240</w:t>
            </w:r>
            <w:r w:rsidR="00B03E8B" w:rsidRPr="00705E61">
              <w:rPr>
                <w:rFonts w:ascii="Arial Narrow" w:eastAsiaTheme="majorEastAsia" w:hAnsi="Arial Narrow" w:cstheme="majorBidi"/>
                <w:bCs/>
                <w:sz w:val="20"/>
              </w:rPr>
              <w:t xml:space="preserve"> </w:t>
            </w:r>
          </w:p>
        </w:tc>
      </w:tr>
    </w:tbl>
    <w:p w14:paraId="1D9CDF54" w14:textId="788124BB" w:rsidR="00C06283" w:rsidRPr="00C06283" w:rsidRDefault="00C06283" w:rsidP="00C06283">
      <w:pPr>
        <w:pStyle w:val="FooterTableFigure"/>
        <w:rPr>
          <w:rFonts w:eastAsia="Calibri"/>
        </w:rPr>
      </w:pPr>
      <w:r w:rsidRPr="00C06283">
        <w:rPr>
          <w:rFonts w:eastAsia="Calibri"/>
        </w:rPr>
        <w:t>Source: Table 2-19, p75</w:t>
      </w:r>
      <w:r w:rsidR="0018710D">
        <w:rPr>
          <w:rFonts w:eastAsia="Calibri"/>
        </w:rPr>
        <w:t xml:space="preserve"> of the submission</w:t>
      </w:r>
    </w:p>
    <w:p w14:paraId="263059CE" w14:textId="5C3D1C5A" w:rsidR="00C06283" w:rsidRPr="00C06283" w:rsidRDefault="00600FE8" w:rsidP="00C06283">
      <w:pPr>
        <w:pStyle w:val="FooterTableFigure"/>
        <w:spacing w:after="0"/>
        <w:rPr>
          <w:rFonts w:eastAsia="Calibri"/>
        </w:rPr>
      </w:pPr>
      <w:r>
        <w:rPr>
          <w:rFonts w:eastAsia="Calibri"/>
        </w:rPr>
        <w:t xml:space="preserve">EQ-VAS = </w:t>
      </w:r>
      <w:r w:rsidRPr="00600FE8">
        <w:rPr>
          <w:rFonts w:eastAsia="Calibri"/>
        </w:rPr>
        <w:t>EuroQol-visual analogue scale</w:t>
      </w:r>
      <w:r>
        <w:rPr>
          <w:rFonts w:eastAsia="Calibri"/>
        </w:rPr>
        <w:t>;</w:t>
      </w:r>
      <w:r w:rsidRPr="00600FE8">
        <w:rPr>
          <w:rFonts w:eastAsia="Calibri"/>
        </w:rPr>
        <w:t xml:space="preserve"> </w:t>
      </w:r>
      <w:r w:rsidR="00C06283" w:rsidRPr="00C06283">
        <w:rPr>
          <w:rFonts w:eastAsia="Calibri"/>
        </w:rPr>
        <w:t>ITT</w:t>
      </w:r>
      <w:r w:rsidR="0076433F">
        <w:rPr>
          <w:rFonts w:eastAsia="Calibri"/>
        </w:rPr>
        <w:t xml:space="preserve"> = </w:t>
      </w:r>
      <w:r w:rsidR="00C06283" w:rsidRPr="00C06283">
        <w:rPr>
          <w:rFonts w:eastAsia="Calibri"/>
        </w:rPr>
        <w:t xml:space="preserve">intent-to-treat; </w:t>
      </w:r>
      <w:proofErr w:type="spellStart"/>
      <w:r w:rsidR="00C06283" w:rsidRPr="00C06283">
        <w:rPr>
          <w:rFonts w:eastAsia="Calibri"/>
        </w:rPr>
        <w:t>LSMean</w:t>
      </w:r>
      <w:proofErr w:type="spellEnd"/>
      <w:r w:rsidR="0076433F">
        <w:rPr>
          <w:rFonts w:eastAsia="Calibri"/>
        </w:rPr>
        <w:t xml:space="preserve"> = </w:t>
      </w:r>
      <w:r w:rsidR="00C06283" w:rsidRPr="00C06283">
        <w:rPr>
          <w:rFonts w:eastAsia="Calibri"/>
        </w:rPr>
        <w:t>least squares means; SD</w:t>
      </w:r>
      <w:r w:rsidR="0076433F">
        <w:rPr>
          <w:rFonts w:eastAsia="Calibri"/>
        </w:rPr>
        <w:t xml:space="preserve"> = </w:t>
      </w:r>
      <w:r w:rsidR="00C06283" w:rsidRPr="00C06283">
        <w:rPr>
          <w:rFonts w:eastAsia="Calibri"/>
        </w:rPr>
        <w:t>standard deviation; SE</w:t>
      </w:r>
      <w:r w:rsidR="0076433F">
        <w:rPr>
          <w:rFonts w:eastAsia="Calibri"/>
        </w:rPr>
        <w:t xml:space="preserve"> = </w:t>
      </w:r>
      <w:r w:rsidR="00C06283" w:rsidRPr="00C06283">
        <w:rPr>
          <w:rFonts w:eastAsia="Calibri"/>
        </w:rPr>
        <w:t xml:space="preserve">standard error. A higher score indicates better health-related quality of life. </w:t>
      </w:r>
    </w:p>
    <w:p w14:paraId="27F207D5" w14:textId="0AFF2209" w:rsidR="00C06283" w:rsidRDefault="00A51813" w:rsidP="00C06283">
      <w:pPr>
        <w:pStyle w:val="FooterTableFigure"/>
        <w:spacing w:after="0"/>
      </w:pPr>
      <w:r>
        <w:t>a</w:t>
      </w:r>
      <w:r w:rsidR="00175019">
        <w:t xml:space="preserve"> </w:t>
      </w:r>
      <w:r w:rsidR="00C06283">
        <w:t xml:space="preserve">Derived from the prespecified repeated-measures mixed-effects model analysis of covariance. Predictors (fixed effects) were baseline scores, treatment, visit, and randomization strata. Individual patient nested within the planned treatment arm was the random effect. No adjustment was made for multiple comparisons. </w:t>
      </w:r>
    </w:p>
    <w:p w14:paraId="6DCCEEEA" w14:textId="2464C588" w:rsidR="00B03E8B" w:rsidRPr="00C06283" w:rsidRDefault="00A51813" w:rsidP="00C06283">
      <w:pPr>
        <w:pStyle w:val="FooterTableFigure"/>
        <w:rPr>
          <w:rFonts w:eastAsia="Calibri"/>
        </w:rPr>
      </w:pPr>
      <w:r>
        <w:rPr>
          <w:rFonts w:eastAsia="Calibri"/>
        </w:rPr>
        <w:t>b</w:t>
      </w:r>
      <w:r w:rsidR="00175019" w:rsidRPr="314FCF8A">
        <w:rPr>
          <w:rFonts w:eastAsia="Calibri"/>
        </w:rPr>
        <w:t xml:space="preserve"> </w:t>
      </w:r>
      <w:r w:rsidR="00C06283" w:rsidRPr="314FCF8A">
        <w:rPr>
          <w:rFonts w:eastAsia="Calibri"/>
        </w:rPr>
        <w:t>Effect size = (mean of change in score)/</w:t>
      </w:r>
      <w:r w:rsidR="00600FE8" w:rsidRPr="314FCF8A">
        <w:rPr>
          <w:rFonts w:eastAsia="Calibri"/>
        </w:rPr>
        <w:t xml:space="preserve"> </w:t>
      </w:r>
      <w:r w:rsidR="00C06283" w:rsidRPr="314FCF8A">
        <w:rPr>
          <w:rFonts w:eastAsia="Calibri"/>
        </w:rPr>
        <w:t xml:space="preserve">(pooled SD for both </w:t>
      </w:r>
      <w:r w:rsidR="00B82455">
        <w:rPr>
          <w:rFonts w:eastAsia="Calibri"/>
        </w:rPr>
        <w:t>arms</w:t>
      </w:r>
      <w:r w:rsidR="00643A3C">
        <w:rPr>
          <w:rFonts w:eastAsia="Calibri"/>
        </w:rPr>
        <w:t xml:space="preserve"> </w:t>
      </w:r>
      <w:r w:rsidR="00C06283" w:rsidRPr="314FCF8A">
        <w:rPr>
          <w:rFonts w:eastAsia="Calibri"/>
        </w:rPr>
        <w:t xml:space="preserve">s for baseline values). Effect size differences ≥ 0.3 were regarded as likely to be clinically relevant (Sloan et al 2005, Yost and Eton 2005).  </w:t>
      </w:r>
    </w:p>
    <w:p w14:paraId="51915B9C" w14:textId="768F1CF2" w:rsidR="00C06283" w:rsidRDefault="497B5A93" w:rsidP="00015B4E">
      <w:pPr>
        <w:pStyle w:val="3-BodyText"/>
      </w:pPr>
      <w:r>
        <w:t>The difference</w:t>
      </w:r>
      <w:r w:rsidR="00015B4E">
        <w:t xml:space="preserve">s </w:t>
      </w:r>
      <w:r>
        <w:t>in the EQ-5D</w:t>
      </w:r>
      <w:r w:rsidR="002915B4">
        <w:t>-</w:t>
      </w:r>
      <w:r w:rsidR="00016F8C">
        <w:t>5L</w:t>
      </w:r>
      <w:r>
        <w:t xml:space="preserve"> index </w:t>
      </w:r>
      <w:r w:rsidR="00015B4E">
        <w:t xml:space="preserve">and the EuroQol visual analogue scale (EQ-VAS) scores </w:t>
      </w:r>
      <w:r w:rsidR="7DE869F0">
        <w:t>from baseline until</w:t>
      </w:r>
      <w:r w:rsidR="23B0EB01">
        <w:t xml:space="preserve"> eight weeks after radiographic</w:t>
      </w:r>
      <w:r w:rsidR="7DE869F0">
        <w:t xml:space="preserve"> progression </w:t>
      </w:r>
      <w:r w:rsidR="23B0EB01">
        <w:t xml:space="preserve">or discontinuation </w:t>
      </w:r>
      <w:r w:rsidR="00015B4E">
        <w:t>were</w:t>
      </w:r>
      <w:r>
        <w:t xml:space="preserve"> not statistically significant.</w:t>
      </w:r>
    </w:p>
    <w:p w14:paraId="5499CC8D" w14:textId="77777777" w:rsidR="004767D4" w:rsidRDefault="004767D4" w:rsidP="00180F22">
      <w:pPr>
        <w:keepNext/>
        <w:spacing w:after="120"/>
        <w:rPr>
          <w:u w:val="single"/>
        </w:rPr>
      </w:pPr>
      <w:r w:rsidRPr="004767D4">
        <w:rPr>
          <w:u w:val="single"/>
        </w:rPr>
        <w:t>Subgroup analyses</w:t>
      </w:r>
    </w:p>
    <w:p w14:paraId="4D593DDE" w14:textId="62EDFC90" w:rsidR="003E4BC8" w:rsidRPr="0023484B" w:rsidRDefault="004767D4" w:rsidP="00D5399E">
      <w:pPr>
        <w:pStyle w:val="3-BodyText"/>
      </w:pPr>
      <w:r w:rsidRPr="005C6A8E">
        <w:t xml:space="preserve">The submission presented </w:t>
      </w:r>
      <w:r w:rsidR="00DF5510">
        <w:t xml:space="preserve">pre-specified </w:t>
      </w:r>
      <w:r w:rsidR="004F7B9A">
        <w:t>subgroup</w:t>
      </w:r>
      <w:r w:rsidRPr="005C6A8E">
        <w:t xml:space="preserve"> analys</w:t>
      </w:r>
      <w:r w:rsidR="007E0A4C" w:rsidRPr="005C6A8E">
        <w:t>e</w:t>
      </w:r>
      <w:r w:rsidRPr="005C6A8E">
        <w:t xml:space="preserve">s of PFS </w:t>
      </w:r>
      <w:r w:rsidR="00B813CB" w:rsidRPr="005C6A8E">
        <w:t xml:space="preserve">and overall survival </w:t>
      </w:r>
      <w:r w:rsidRPr="005C6A8E">
        <w:t>at C</w:t>
      </w:r>
      <w:r w:rsidR="006F5252" w:rsidRPr="005C6A8E">
        <w:t>C</w:t>
      </w:r>
      <w:r w:rsidRPr="005C6A8E">
        <w:t>O2 (</w:t>
      </w:r>
      <w:r w:rsidR="00B813CB" w:rsidRPr="005C6A8E">
        <w:t>f</w:t>
      </w:r>
      <w:r w:rsidRPr="005C6A8E">
        <w:t xml:space="preserve">ull ITT population) </w:t>
      </w:r>
      <w:r w:rsidR="007E0A4C" w:rsidRPr="005C6A8E">
        <w:t>for</w:t>
      </w:r>
      <w:r w:rsidRPr="005C6A8E">
        <w:t xml:space="preserve"> patient</w:t>
      </w:r>
      <w:r w:rsidR="007E0A4C" w:rsidRPr="005C6A8E">
        <w:t>s who</w:t>
      </w:r>
      <w:r w:rsidRPr="005C6A8E">
        <w:t xml:space="preserve"> had previously received treatment with lenvatinib</w:t>
      </w:r>
      <w:r w:rsidR="001009C8" w:rsidRPr="005C6A8E">
        <w:t xml:space="preserve"> +/- sorafenib</w:t>
      </w:r>
      <w:r w:rsidRPr="0023484B">
        <w:t xml:space="preserve"> as the proposed restriction </w:t>
      </w:r>
      <w:r w:rsidR="00004BA6" w:rsidRPr="0023484B">
        <w:t>was</w:t>
      </w:r>
      <w:r w:rsidRPr="0023484B">
        <w:t xml:space="preserve"> for patients who have </w:t>
      </w:r>
      <w:r w:rsidRPr="0023484B">
        <w:lastRenderedPageBreak/>
        <w:t xml:space="preserve">received prior anticancer therapy with a TKI, </w:t>
      </w:r>
      <w:r w:rsidR="00015B4E">
        <w:t>although</w:t>
      </w:r>
      <w:r w:rsidR="00015B4E" w:rsidRPr="0023484B">
        <w:t xml:space="preserve"> </w:t>
      </w:r>
      <w:r w:rsidRPr="0023484B">
        <w:t>only lenvatinib is listed on the PBS.</w:t>
      </w:r>
    </w:p>
    <w:p w14:paraId="3BB6EC0D" w14:textId="3A7D0630" w:rsidR="004767D4" w:rsidRDefault="00073794" w:rsidP="004767D4">
      <w:pPr>
        <w:pStyle w:val="3-BodyText"/>
      </w:pPr>
      <w:r>
        <w:fldChar w:fldCharType="begin" w:fldLock="1"/>
      </w:r>
      <w:r>
        <w:instrText xml:space="preserve"> REF _Ref142324199 \h  \* MERGEFORMAT </w:instrText>
      </w:r>
      <w:r>
        <w:fldChar w:fldCharType="separate"/>
      </w:r>
      <w:r w:rsidR="008760F8" w:rsidRPr="008760F8">
        <w:rPr>
          <w:rFonts w:eastAsiaTheme="majorEastAsia"/>
        </w:rPr>
        <w:t xml:space="preserve">Table </w:t>
      </w:r>
      <w:r w:rsidR="008760F8" w:rsidRPr="008760F8">
        <w:rPr>
          <w:rFonts w:eastAsiaTheme="majorEastAsia"/>
          <w:noProof/>
        </w:rPr>
        <w:t>7</w:t>
      </w:r>
      <w:r>
        <w:fldChar w:fldCharType="end"/>
      </w:r>
      <w:r w:rsidR="2DE89DCA">
        <w:t xml:space="preserve"> </w:t>
      </w:r>
      <w:r w:rsidR="00E120DC">
        <w:t xml:space="preserve">and </w:t>
      </w:r>
      <w:r w:rsidR="00E120DC">
        <w:fldChar w:fldCharType="begin" w:fldLock="1"/>
      </w:r>
      <w:r w:rsidR="00E120DC">
        <w:instrText xml:space="preserve"> REF _Ref142340668 \h </w:instrText>
      </w:r>
      <w:r w:rsidR="00737A69">
        <w:fldChar w:fldCharType="separate"/>
      </w:r>
      <w:r w:rsidR="00E120DC">
        <w:fldChar w:fldCharType="end"/>
      </w:r>
      <w:r w:rsidR="00E120DC">
        <w:fldChar w:fldCharType="begin" w:fldLock="1"/>
      </w:r>
      <w:r w:rsidR="00E120DC">
        <w:instrText xml:space="preserve"> REF _Ref147928513 \h </w:instrText>
      </w:r>
      <w:r w:rsidR="00E120DC">
        <w:fldChar w:fldCharType="separate"/>
      </w:r>
      <w:r w:rsidR="008760F8" w:rsidRPr="00073794">
        <w:t xml:space="preserve">Table </w:t>
      </w:r>
      <w:r w:rsidR="008760F8">
        <w:rPr>
          <w:noProof/>
        </w:rPr>
        <w:t>8</w:t>
      </w:r>
      <w:r w:rsidR="00E120DC">
        <w:fldChar w:fldCharType="end"/>
      </w:r>
      <w:r w:rsidR="00E120DC">
        <w:t xml:space="preserve"> </w:t>
      </w:r>
      <w:r w:rsidR="4741B1B3">
        <w:t xml:space="preserve">present the </w:t>
      </w:r>
      <w:r w:rsidR="009B0F10">
        <w:t>prespecified</w:t>
      </w:r>
      <w:r w:rsidR="00AF0887">
        <w:t xml:space="preserve"> </w:t>
      </w:r>
      <w:r w:rsidR="4741B1B3">
        <w:t xml:space="preserve">subgroup analyses for </w:t>
      </w:r>
      <w:r w:rsidR="6840BA3F">
        <w:t>PFS</w:t>
      </w:r>
      <w:r w:rsidR="4741B1B3">
        <w:t xml:space="preserve"> </w:t>
      </w:r>
      <w:r w:rsidR="00E120DC">
        <w:t xml:space="preserve">and OS </w:t>
      </w:r>
      <w:r w:rsidR="4741B1B3">
        <w:t>(</w:t>
      </w:r>
      <w:r w:rsidR="6840BA3F">
        <w:t>f</w:t>
      </w:r>
      <w:r w:rsidR="4741B1B3">
        <w:t xml:space="preserve">ull ITT </w:t>
      </w:r>
      <w:r w:rsidR="00F15B38">
        <w:t>p</w:t>
      </w:r>
      <w:r w:rsidR="4741B1B3">
        <w:t>opulation</w:t>
      </w:r>
      <w:r w:rsidR="00E120DC">
        <w:t>) respectively.</w:t>
      </w:r>
    </w:p>
    <w:p w14:paraId="2186B1F0" w14:textId="418A65D1" w:rsidR="004767D4" w:rsidRPr="00073794" w:rsidRDefault="004767D4" w:rsidP="00B61730">
      <w:pPr>
        <w:pStyle w:val="TableFigureHeading"/>
      </w:pPr>
      <w:bookmarkStart w:id="40" w:name="_Ref142324199"/>
      <w:r w:rsidRPr="00073794">
        <w:t xml:space="preserve">Table </w:t>
      </w:r>
      <w:r>
        <w:fldChar w:fldCharType="begin" w:fldLock="1"/>
      </w:r>
      <w:r>
        <w:instrText>SEQ Table \* ARABIC</w:instrText>
      </w:r>
      <w:r>
        <w:fldChar w:fldCharType="separate"/>
      </w:r>
      <w:r w:rsidR="008760F8">
        <w:rPr>
          <w:noProof/>
        </w:rPr>
        <w:t>7</w:t>
      </w:r>
      <w:r>
        <w:fldChar w:fldCharType="end"/>
      </w:r>
      <w:bookmarkEnd w:id="40"/>
      <w:r w:rsidRPr="00073794">
        <w:t xml:space="preserve">: Subgroup </w:t>
      </w:r>
      <w:r w:rsidR="00E120DC">
        <w:t>a</w:t>
      </w:r>
      <w:r w:rsidRPr="00073794">
        <w:t xml:space="preserve">nalyses for </w:t>
      </w:r>
      <w:r w:rsidR="00B81B29">
        <w:t>PFS</w:t>
      </w:r>
      <w:r w:rsidRPr="00073794">
        <w:t xml:space="preserve"> (Full ITT Population)</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186"/>
        <w:gridCol w:w="1821"/>
        <w:gridCol w:w="776"/>
        <w:gridCol w:w="1200"/>
        <w:gridCol w:w="1590"/>
        <w:gridCol w:w="1680"/>
      </w:tblGrid>
      <w:tr w:rsidR="004767D4" w:rsidRPr="00AF1E6C" w14:paraId="696C0898" w14:textId="77777777" w:rsidTr="00F206C3">
        <w:trPr>
          <w:trHeight w:val="20"/>
        </w:trPr>
        <w:tc>
          <w:tcPr>
            <w:tcW w:w="3659" w:type="dxa"/>
            <w:gridSpan w:val="3"/>
            <w:tcBorders>
              <w:top w:val="single" w:sz="4" w:space="0" w:color="auto"/>
              <w:left w:val="single" w:sz="4" w:space="0" w:color="auto"/>
              <w:bottom w:val="single" w:sz="4" w:space="0" w:color="auto"/>
              <w:right w:val="single" w:sz="4" w:space="0" w:color="auto"/>
            </w:tcBorders>
            <w:vAlign w:val="center"/>
            <w:hideMark/>
          </w:tcPr>
          <w:p w14:paraId="47651855" w14:textId="24CD12B1" w:rsidR="004767D4" w:rsidRPr="00705E61" w:rsidRDefault="004767D4" w:rsidP="00B81B29">
            <w:pPr>
              <w:keepNext/>
              <w:jc w:val="center"/>
              <w:rPr>
                <w:rFonts w:ascii="Arial Narrow" w:hAnsi="Arial Narrow"/>
                <w:b/>
                <w:bCs/>
                <w:sz w:val="20"/>
                <w:szCs w:val="20"/>
              </w:rPr>
            </w:pPr>
            <w:r w:rsidRPr="00705E61">
              <w:rPr>
                <w:rFonts w:ascii="Arial Narrow" w:hAnsi="Arial Narrow"/>
                <w:b/>
                <w:bCs/>
                <w:sz w:val="20"/>
                <w:szCs w:val="20"/>
              </w:rPr>
              <w:t>Cabozantinib</w:t>
            </w:r>
          </w:p>
        </w:tc>
        <w:tc>
          <w:tcPr>
            <w:tcW w:w="3566" w:type="dxa"/>
            <w:gridSpan w:val="3"/>
            <w:tcBorders>
              <w:top w:val="single" w:sz="4" w:space="0" w:color="auto"/>
              <w:left w:val="single" w:sz="4" w:space="0" w:color="auto"/>
              <w:bottom w:val="single" w:sz="4" w:space="0" w:color="auto"/>
              <w:right w:val="single" w:sz="4" w:space="0" w:color="auto"/>
            </w:tcBorders>
            <w:vAlign w:val="center"/>
            <w:hideMark/>
          </w:tcPr>
          <w:p w14:paraId="0C634E0C" w14:textId="6A52C44C" w:rsidR="004767D4" w:rsidRPr="00705E61" w:rsidRDefault="004767D4" w:rsidP="00F206C3">
            <w:pPr>
              <w:keepNext/>
              <w:jc w:val="center"/>
              <w:rPr>
                <w:rFonts w:ascii="Arial Narrow" w:hAnsi="Arial Narrow"/>
                <w:b/>
                <w:bCs/>
                <w:sz w:val="20"/>
                <w:szCs w:val="20"/>
              </w:rPr>
            </w:pPr>
            <w:r w:rsidRPr="00705E61">
              <w:rPr>
                <w:rFonts w:ascii="Arial Narrow" w:hAnsi="Arial Narrow"/>
                <w:b/>
                <w:bCs/>
                <w:sz w:val="20"/>
                <w:szCs w:val="20"/>
              </w:rPr>
              <w:t>Placebo</w:t>
            </w: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14:paraId="53B97A53" w14:textId="76FD25B9" w:rsidR="004767D4" w:rsidRPr="00705E61" w:rsidRDefault="004767D4" w:rsidP="00F206C3">
            <w:pPr>
              <w:keepNext/>
              <w:jc w:val="center"/>
              <w:rPr>
                <w:rFonts w:ascii="Arial Narrow" w:hAnsi="Arial Narrow"/>
                <w:b/>
                <w:bCs/>
                <w:sz w:val="20"/>
                <w:szCs w:val="20"/>
              </w:rPr>
            </w:pPr>
            <w:r w:rsidRPr="00705E61">
              <w:rPr>
                <w:rFonts w:ascii="Arial Narrow" w:hAnsi="Arial Narrow"/>
                <w:b/>
                <w:bCs/>
                <w:sz w:val="20"/>
                <w:szCs w:val="20"/>
              </w:rPr>
              <w:t>Unstratified</w:t>
            </w:r>
            <w:r w:rsidR="00180F22" w:rsidRPr="00705E61">
              <w:rPr>
                <w:rFonts w:ascii="Arial Narrow" w:hAnsi="Arial Narrow"/>
                <w:b/>
                <w:bCs/>
                <w:sz w:val="20"/>
                <w:szCs w:val="20"/>
              </w:rPr>
              <w:t xml:space="preserve"> </w:t>
            </w:r>
            <w:r w:rsidRPr="00705E61">
              <w:rPr>
                <w:rFonts w:ascii="Arial Narrow" w:hAnsi="Arial Narrow"/>
                <w:b/>
                <w:bCs/>
                <w:sz w:val="20"/>
                <w:szCs w:val="20"/>
              </w:rPr>
              <w:t>HR</w:t>
            </w:r>
          </w:p>
          <w:p w14:paraId="0D96B35F" w14:textId="5AD9B7E8" w:rsidR="004767D4" w:rsidRPr="00705E61" w:rsidRDefault="004767D4" w:rsidP="00F206C3">
            <w:pPr>
              <w:keepNext/>
              <w:jc w:val="center"/>
              <w:rPr>
                <w:rFonts w:ascii="Arial Narrow" w:hAnsi="Arial Narrow"/>
                <w:b/>
                <w:bCs/>
                <w:sz w:val="20"/>
                <w:szCs w:val="20"/>
              </w:rPr>
            </w:pPr>
            <w:r w:rsidRPr="00705E61">
              <w:rPr>
                <w:rFonts w:ascii="Arial Narrow" w:hAnsi="Arial Narrow"/>
                <w:b/>
                <w:bCs/>
                <w:sz w:val="20"/>
                <w:szCs w:val="20"/>
              </w:rPr>
              <w:t>(95% CI)</w:t>
            </w:r>
            <w:r w:rsidRPr="00705E61">
              <w:rPr>
                <w:rFonts w:ascii="Arial Narrow" w:hAnsi="Arial Narrow"/>
                <w:b/>
                <w:bCs/>
                <w:sz w:val="20"/>
                <w:szCs w:val="20"/>
                <w:vertAlign w:val="superscript"/>
              </w:rPr>
              <w:t>a</w:t>
            </w:r>
          </w:p>
        </w:tc>
      </w:tr>
      <w:tr w:rsidR="004767D4" w:rsidRPr="00AF1E6C" w14:paraId="31928407" w14:textId="77777777" w:rsidTr="00E120DC">
        <w:trPr>
          <w:trHeight w:val="20"/>
        </w:trPr>
        <w:tc>
          <w:tcPr>
            <w:tcW w:w="652" w:type="dxa"/>
            <w:tcBorders>
              <w:top w:val="single" w:sz="4" w:space="0" w:color="auto"/>
              <w:left w:val="single" w:sz="4" w:space="0" w:color="auto"/>
              <w:bottom w:val="single" w:sz="4" w:space="0" w:color="auto"/>
              <w:right w:val="single" w:sz="4" w:space="0" w:color="auto"/>
            </w:tcBorders>
            <w:vAlign w:val="center"/>
            <w:hideMark/>
          </w:tcPr>
          <w:p w14:paraId="70929B30" w14:textId="6D7118BE" w:rsidR="004767D4" w:rsidRPr="00705E61" w:rsidRDefault="004767D4" w:rsidP="00E120DC">
            <w:pPr>
              <w:keepNext/>
              <w:jc w:val="center"/>
              <w:rPr>
                <w:rFonts w:ascii="Arial Narrow" w:hAnsi="Arial Narrow"/>
                <w:b/>
                <w:bCs/>
                <w:sz w:val="20"/>
                <w:szCs w:val="20"/>
              </w:rPr>
            </w:pPr>
            <w:r w:rsidRPr="00705E61">
              <w:rPr>
                <w:rFonts w:ascii="Arial Narrow" w:hAnsi="Arial Narrow"/>
                <w:b/>
                <w:bCs/>
                <w:sz w:val="20"/>
                <w:szCs w:val="20"/>
              </w:rPr>
              <w:t>n</w:t>
            </w:r>
          </w:p>
        </w:tc>
        <w:tc>
          <w:tcPr>
            <w:tcW w:w="1186" w:type="dxa"/>
            <w:tcBorders>
              <w:top w:val="single" w:sz="4" w:space="0" w:color="auto"/>
              <w:left w:val="single" w:sz="4" w:space="0" w:color="auto"/>
              <w:bottom w:val="single" w:sz="4" w:space="0" w:color="auto"/>
              <w:right w:val="single" w:sz="4" w:space="0" w:color="auto"/>
            </w:tcBorders>
            <w:vAlign w:val="center"/>
            <w:hideMark/>
          </w:tcPr>
          <w:p w14:paraId="435876D3" w14:textId="26CF2C95" w:rsidR="004767D4" w:rsidRPr="00705E61" w:rsidRDefault="004767D4" w:rsidP="00F206C3">
            <w:pPr>
              <w:keepNext/>
              <w:jc w:val="left"/>
              <w:rPr>
                <w:rFonts w:ascii="Arial Narrow" w:hAnsi="Arial Narrow"/>
                <w:b/>
                <w:bCs/>
                <w:sz w:val="20"/>
                <w:szCs w:val="20"/>
              </w:rPr>
            </w:pPr>
            <w:r w:rsidRPr="00705E61">
              <w:rPr>
                <w:rFonts w:ascii="Arial Narrow" w:hAnsi="Arial Narrow"/>
                <w:b/>
                <w:bCs/>
                <w:sz w:val="20"/>
                <w:szCs w:val="20"/>
              </w:rPr>
              <w:t>Events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33D35631" w14:textId="74EE17D5" w:rsidR="004767D4" w:rsidRPr="00705E61" w:rsidRDefault="004767D4" w:rsidP="00F206C3">
            <w:pPr>
              <w:keepNext/>
              <w:jc w:val="left"/>
              <w:rPr>
                <w:rFonts w:ascii="Arial Narrow" w:hAnsi="Arial Narrow"/>
                <w:b/>
                <w:bCs/>
                <w:sz w:val="20"/>
                <w:szCs w:val="20"/>
              </w:rPr>
            </w:pPr>
            <w:r w:rsidRPr="00705E61">
              <w:rPr>
                <w:rFonts w:ascii="Arial Narrow" w:hAnsi="Arial Narrow"/>
                <w:b/>
                <w:bCs/>
                <w:sz w:val="20"/>
                <w:szCs w:val="20"/>
              </w:rPr>
              <w:t>Median (95% CI)</w:t>
            </w:r>
          </w:p>
        </w:tc>
        <w:tc>
          <w:tcPr>
            <w:tcW w:w="776" w:type="dxa"/>
            <w:tcBorders>
              <w:top w:val="single" w:sz="4" w:space="0" w:color="auto"/>
              <w:left w:val="single" w:sz="4" w:space="0" w:color="auto"/>
              <w:bottom w:val="single" w:sz="4" w:space="0" w:color="auto"/>
              <w:right w:val="single" w:sz="4" w:space="0" w:color="auto"/>
            </w:tcBorders>
            <w:vAlign w:val="center"/>
            <w:hideMark/>
          </w:tcPr>
          <w:p w14:paraId="4D9E71F6" w14:textId="6D15400F" w:rsidR="004767D4" w:rsidRPr="00705E61" w:rsidRDefault="004767D4" w:rsidP="00F206C3">
            <w:pPr>
              <w:keepNext/>
              <w:jc w:val="center"/>
              <w:rPr>
                <w:rFonts w:ascii="Arial Narrow" w:hAnsi="Arial Narrow"/>
                <w:b/>
                <w:bCs/>
                <w:sz w:val="20"/>
                <w:szCs w:val="20"/>
              </w:rPr>
            </w:pPr>
            <w:r w:rsidRPr="00705E61">
              <w:rPr>
                <w:rFonts w:ascii="Arial Narrow" w:hAnsi="Arial Narrow"/>
                <w:b/>
                <w:bCs/>
                <w:sz w:val="20"/>
                <w:szCs w:val="20"/>
              </w:rPr>
              <w:t>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286D43D" w14:textId="63477F0D" w:rsidR="004767D4" w:rsidRPr="00705E61" w:rsidRDefault="004767D4" w:rsidP="00F206C3">
            <w:pPr>
              <w:keepNext/>
              <w:jc w:val="center"/>
              <w:rPr>
                <w:rFonts w:ascii="Arial Narrow" w:hAnsi="Arial Narrow"/>
                <w:b/>
                <w:bCs/>
                <w:sz w:val="20"/>
                <w:szCs w:val="20"/>
              </w:rPr>
            </w:pPr>
            <w:r w:rsidRPr="00705E61">
              <w:rPr>
                <w:rFonts w:ascii="Arial Narrow" w:hAnsi="Arial Narrow"/>
                <w:b/>
                <w:bCs/>
                <w:sz w:val="20"/>
                <w:szCs w:val="20"/>
              </w:rPr>
              <w:t>Events (%)</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9891B41" w14:textId="48E1FC73" w:rsidR="004767D4" w:rsidRPr="00705E61" w:rsidRDefault="004767D4" w:rsidP="00F206C3">
            <w:pPr>
              <w:keepNext/>
              <w:jc w:val="center"/>
              <w:rPr>
                <w:rFonts w:ascii="Arial Narrow" w:hAnsi="Arial Narrow"/>
                <w:b/>
                <w:bCs/>
                <w:sz w:val="20"/>
                <w:szCs w:val="20"/>
              </w:rPr>
            </w:pPr>
            <w:r w:rsidRPr="00705E61">
              <w:rPr>
                <w:rFonts w:ascii="Arial Narrow" w:hAnsi="Arial Narrow"/>
                <w:b/>
                <w:bCs/>
                <w:sz w:val="20"/>
                <w:szCs w:val="20"/>
              </w:rPr>
              <w:t>Median (95% CI)</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3BE74017" w14:textId="77777777" w:rsidR="004767D4" w:rsidRPr="00705E61" w:rsidRDefault="004767D4" w:rsidP="00F206C3">
            <w:pPr>
              <w:keepNext/>
              <w:jc w:val="center"/>
              <w:rPr>
                <w:rFonts w:ascii="Arial Narrow" w:hAnsi="Arial Narrow"/>
                <w:b/>
                <w:bCs/>
                <w:sz w:val="20"/>
                <w:szCs w:val="20"/>
              </w:rPr>
            </w:pPr>
          </w:p>
        </w:tc>
      </w:tr>
      <w:tr w:rsidR="004767D4" w:rsidRPr="00AF1E6C" w14:paraId="12B8740D" w14:textId="77777777" w:rsidTr="00F206C3">
        <w:trPr>
          <w:trHeight w:val="20"/>
        </w:trPr>
        <w:tc>
          <w:tcPr>
            <w:tcW w:w="8905" w:type="dxa"/>
            <w:gridSpan w:val="7"/>
            <w:tcBorders>
              <w:top w:val="single" w:sz="4" w:space="0" w:color="auto"/>
              <w:left w:val="single" w:sz="4" w:space="0" w:color="auto"/>
              <w:bottom w:val="single" w:sz="4" w:space="0" w:color="auto"/>
              <w:right w:val="single" w:sz="4" w:space="0" w:color="auto"/>
            </w:tcBorders>
            <w:vAlign w:val="center"/>
            <w:hideMark/>
          </w:tcPr>
          <w:p w14:paraId="5CDFD9EE" w14:textId="77777777" w:rsidR="004767D4" w:rsidRPr="00705E61" w:rsidRDefault="004767D4" w:rsidP="00F206C3">
            <w:pPr>
              <w:keepNext/>
              <w:jc w:val="left"/>
              <w:rPr>
                <w:rFonts w:ascii="Arial Narrow" w:hAnsi="Arial Narrow"/>
                <w:b/>
                <w:bCs/>
                <w:sz w:val="20"/>
                <w:szCs w:val="20"/>
              </w:rPr>
            </w:pPr>
            <w:r w:rsidRPr="00705E61">
              <w:rPr>
                <w:rFonts w:ascii="Arial Narrow" w:hAnsi="Arial Narrow"/>
                <w:b/>
                <w:bCs/>
                <w:sz w:val="20"/>
                <w:szCs w:val="20"/>
              </w:rPr>
              <w:t>Overall population</w:t>
            </w:r>
          </w:p>
        </w:tc>
      </w:tr>
      <w:tr w:rsidR="004767D4" w:rsidRPr="00AF1E6C" w14:paraId="17A55BAD" w14:textId="77777777" w:rsidTr="00E120DC">
        <w:trPr>
          <w:trHeight w:val="20"/>
        </w:trPr>
        <w:tc>
          <w:tcPr>
            <w:tcW w:w="652" w:type="dxa"/>
            <w:tcBorders>
              <w:top w:val="single" w:sz="4" w:space="0" w:color="auto"/>
              <w:left w:val="single" w:sz="4" w:space="0" w:color="auto"/>
              <w:bottom w:val="single" w:sz="4" w:space="0" w:color="auto"/>
              <w:right w:val="single" w:sz="4" w:space="0" w:color="auto"/>
            </w:tcBorders>
            <w:vAlign w:val="center"/>
            <w:hideMark/>
          </w:tcPr>
          <w:p w14:paraId="4948E27A" w14:textId="75CE9569" w:rsidR="004767D4" w:rsidRPr="00705E61" w:rsidRDefault="004767D4" w:rsidP="00E120DC">
            <w:pPr>
              <w:keepNext/>
              <w:jc w:val="center"/>
              <w:rPr>
                <w:rFonts w:ascii="Arial Narrow" w:hAnsi="Arial Narrow"/>
                <w:sz w:val="20"/>
                <w:szCs w:val="20"/>
              </w:rPr>
            </w:pPr>
            <w:r w:rsidRPr="00705E61">
              <w:rPr>
                <w:rFonts w:ascii="Arial Narrow" w:hAnsi="Arial Narrow"/>
                <w:sz w:val="20"/>
                <w:szCs w:val="20"/>
              </w:rPr>
              <w:t>170</w:t>
            </w:r>
            <w:r w:rsidR="00E962B6" w:rsidRPr="00705E61">
              <w:rPr>
                <w:rFonts w:ascii="Arial Narrow" w:hAnsi="Arial Narrow"/>
                <w:sz w:val="20"/>
                <w:szCs w:val="20"/>
              </w:rPr>
              <w:t xml:space="preserve">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0C252E4D" w14:textId="1146C333" w:rsidR="004767D4" w:rsidRPr="00705E61" w:rsidRDefault="004767D4" w:rsidP="00F206C3">
            <w:pPr>
              <w:keepNext/>
              <w:jc w:val="center"/>
              <w:rPr>
                <w:rFonts w:ascii="Arial Narrow" w:hAnsi="Arial Narrow"/>
                <w:sz w:val="20"/>
                <w:szCs w:val="20"/>
              </w:rPr>
            </w:pPr>
            <w:r w:rsidRPr="00705E61">
              <w:rPr>
                <w:rFonts w:ascii="Arial Narrow" w:hAnsi="Arial Narrow"/>
                <w:sz w:val="20"/>
                <w:szCs w:val="20"/>
              </w:rPr>
              <w:t xml:space="preserve">62 </w:t>
            </w:r>
            <w:r w:rsidR="00E962B6" w:rsidRPr="00705E61">
              <w:rPr>
                <w:rFonts w:ascii="Arial Narrow" w:hAnsi="Arial Narrow"/>
                <w:sz w:val="20"/>
                <w:szCs w:val="20"/>
              </w:rPr>
              <w:t xml:space="preserve"> </w:t>
            </w:r>
            <w:r w:rsidRPr="00705E61">
              <w:rPr>
                <w:rFonts w:ascii="Arial Narrow" w:hAnsi="Arial Narrow"/>
                <w:sz w:val="20"/>
                <w:szCs w:val="20"/>
              </w:rPr>
              <w:t>(36)</w:t>
            </w:r>
          </w:p>
        </w:tc>
        <w:tc>
          <w:tcPr>
            <w:tcW w:w="1821" w:type="dxa"/>
            <w:tcBorders>
              <w:top w:val="single" w:sz="4" w:space="0" w:color="auto"/>
              <w:left w:val="single" w:sz="4" w:space="0" w:color="auto"/>
              <w:bottom w:val="single" w:sz="4" w:space="0" w:color="auto"/>
              <w:right w:val="single" w:sz="4" w:space="0" w:color="auto"/>
            </w:tcBorders>
            <w:vAlign w:val="center"/>
            <w:hideMark/>
          </w:tcPr>
          <w:p w14:paraId="096DFA7F" w14:textId="62BB3E49" w:rsidR="004767D4" w:rsidRPr="00705E61" w:rsidRDefault="004767D4" w:rsidP="00F206C3">
            <w:pPr>
              <w:keepNext/>
              <w:jc w:val="center"/>
              <w:rPr>
                <w:rFonts w:ascii="Arial Narrow" w:hAnsi="Arial Narrow"/>
                <w:sz w:val="20"/>
                <w:szCs w:val="20"/>
              </w:rPr>
            </w:pPr>
            <w:r w:rsidRPr="00705E61">
              <w:rPr>
                <w:rFonts w:ascii="Arial Narrow" w:hAnsi="Arial Narrow"/>
                <w:sz w:val="20"/>
                <w:szCs w:val="20"/>
              </w:rPr>
              <w:t>11.04</w:t>
            </w:r>
            <w:r w:rsidR="00E962B6" w:rsidRPr="00705E61">
              <w:rPr>
                <w:rFonts w:ascii="Arial Narrow" w:hAnsi="Arial Narrow"/>
                <w:sz w:val="20"/>
                <w:szCs w:val="20"/>
              </w:rPr>
              <w:t xml:space="preserve"> </w:t>
            </w:r>
            <w:r w:rsidRPr="00705E61">
              <w:rPr>
                <w:rFonts w:ascii="Arial Narrow" w:hAnsi="Arial Narrow"/>
                <w:sz w:val="20"/>
                <w:szCs w:val="20"/>
              </w:rPr>
              <w:t xml:space="preserve"> (7.39, 13.83)</w:t>
            </w:r>
          </w:p>
        </w:tc>
        <w:tc>
          <w:tcPr>
            <w:tcW w:w="776" w:type="dxa"/>
            <w:tcBorders>
              <w:top w:val="single" w:sz="4" w:space="0" w:color="auto"/>
              <w:left w:val="single" w:sz="4" w:space="0" w:color="auto"/>
              <w:bottom w:val="single" w:sz="4" w:space="0" w:color="auto"/>
              <w:right w:val="single" w:sz="4" w:space="0" w:color="auto"/>
            </w:tcBorders>
            <w:vAlign w:val="center"/>
            <w:hideMark/>
          </w:tcPr>
          <w:p w14:paraId="5B2F884B" w14:textId="445170A7" w:rsidR="004767D4" w:rsidRPr="00705E61" w:rsidRDefault="004767D4" w:rsidP="00F206C3">
            <w:pPr>
              <w:keepNext/>
              <w:jc w:val="center"/>
              <w:rPr>
                <w:rFonts w:ascii="Arial Narrow" w:hAnsi="Arial Narrow"/>
                <w:sz w:val="20"/>
                <w:szCs w:val="20"/>
              </w:rPr>
            </w:pPr>
            <w:r w:rsidRPr="00705E61">
              <w:rPr>
                <w:rFonts w:ascii="Arial Narrow" w:hAnsi="Arial Narrow"/>
                <w:sz w:val="20"/>
                <w:szCs w:val="20"/>
              </w:rPr>
              <w:t>88</w:t>
            </w:r>
            <w:r w:rsidR="00E962B6" w:rsidRPr="00705E61">
              <w:rPr>
                <w:rFonts w:ascii="Arial Narrow" w:hAnsi="Arial Narrow"/>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498C7AE4" w14:textId="035B935C" w:rsidR="004767D4" w:rsidRPr="00705E61" w:rsidRDefault="004767D4" w:rsidP="00F206C3">
            <w:pPr>
              <w:keepNext/>
              <w:jc w:val="center"/>
              <w:rPr>
                <w:rFonts w:ascii="Arial Narrow" w:hAnsi="Arial Narrow"/>
                <w:sz w:val="20"/>
                <w:szCs w:val="20"/>
              </w:rPr>
            </w:pPr>
            <w:r w:rsidRPr="00705E61">
              <w:rPr>
                <w:rFonts w:ascii="Arial Narrow" w:hAnsi="Arial Narrow"/>
                <w:sz w:val="20"/>
                <w:szCs w:val="20"/>
              </w:rPr>
              <w:t xml:space="preserve">69 </w:t>
            </w:r>
            <w:r w:rsidR="00E962B6" w:rsidRPr="00705E61">
              <w:rPr>
                <w:rFonts w:ascii="Arial Narrow" w:hAnsi="Arial Narrow"/>
                <w:sz w:val="20"/>
                <w:szCs w:val="20"/>
              </w:rPr>
              <w:t xml:space="preserve">  </w:t>
            </w:r>
            <w:r w:rsidRPr="00705E61">
              <w:rPr>
                <w:rFonts w:ascii="Arial Narrow" w:hAnsi="Arial Narrow"/>
                <w:sz w:val="20"/>
                <w:szCs w:val="20"/>
              </w:rPr>
              <w:t>(78)</w:t>
            </w:r>
          </w:p>
        </w:tc>
        <w:tc>
          <w:tcPr>
            <w:tcW w:w="1590" w:type="dxa"/>
            <w:tcBorders>
              <w:top w:val="single" w:sz="4" w:space="0" w:color="auto"/>
              <w:left w:val="single" w:sz="4" w:space="0" w:color="auto"/>
              <w:bottom w:val="single" w:sz="4" w:space="0" w:color="auto"/>
              <w:right w:val="single" w:sz="4" w:space="0" w:color="auto"/>
            </w:tcBorders>
            <w:vAlign w:val="center"/>
            <w:hideMark/>
          </w:tcPr>
          <w:p w14:paraId="2D5347E8" w14:textId="6B30D7FB" w:rsidR="004767D4" w:rsidRPr="00705E61" w:rsidRDefault="004767D4" w:rsidP="00F206C3">
            <w:pPr>
              <w:keepNext/>
              <w:jc w:val="center"/>
              <w:rPr>
                <w:rFonts w:ascii="Arial Narrow" w:hAnsi="Arial Narrow"/>
                <w:sz w:val="20"/>
                <w:szCs w:val="20"/>
              </w:rPr>
            </w:pPr>
            <w:r w:rsidRPr="00705E61">
              <w:rPr>
                <w:rFonts w:ascii="Arial Narrow" w:hAnsi="Arial Narrow"/>
                <w:sz w:val="20"/>
                <w:szCs w:val="20"/>
              </w:rPr>
              <w:t>1.94</w:t>
            </w:r>
            <w:r w:rsidR="00E962B6" w:rsidRPr="00705E61">
              <w:rPr>
                <w:rFonts w:ascii="Arial Narrow" w:hAnsi="Arial Narrow"/>
                <w:sz w:val="20"/>
                <w:szCs w:val="20"/>
              </w:rPr>
              <w:t xml:space="preserve"> </w:t>
            </w:r>
            <w:r w:rsidRPr="00705E61">
              <w:rPr>
                <w:rFonts w:ascii="Arial Narrow" w:hAnsi="Arial Narrow"/>
                <w:sz w:val="20"/>
                <w:szCs w:val="20"/>
              </w:rPr>
              <w:t xml:space="preserve"> (1.87, 3.68)</w:t>
            </w:r>
          </w:p>
        </w:tc>
        <w:tc>
          <w:tcPr>
            <w:tcW w:w="1680" w:type="dxa"/>
            <w:tcBorders>
              <w:top w:val="single" w:sz="4" w:space="0" w:color="auto"/>
              <w:left w:val="single" w:sz="4" w:space="0" w:color="auto"/>
              <w:bottom w:val="single" w:sz="4" w:space="0" w:color="auto"/>
              <w:right w:val="single" w:sz="4" w:space="0" w:color="auto"/>
            </w:tcBorders>
            <w:vAlign w:val="center"/>
            <w:hideMark/>
          </w:tcPr>
          <w:p w14:paraId="6EFA6945" w14:textId="205685EC" w:rsidR="004767D4" w:rsidRPr="00705E61" w:rsidRDefault="004767D4" w:rsidP="00F206C3">
            <w:pPr>
              <w:keepNext/>
              <w:jc w:val="center"/>
              <w:rPr>
                <w:rFonts w:ascii="Arial Narrow" w:hAnsi="Arial Narrow"/>
                <w:b/>
                <w:bCs/>
                <w:sz w:val="20"/>
                <w:szCs w:val="20"/>
              </w:rPr>
            </w:pPr>
            <w:r w:rsidRPr="00705E61">
              <w:rPr>
                <w:rFonts w:ascii="Arial Narrow" w:hAnsi="Arial Narrow"/>
                <w:b/>
                <w:bCs/>
                <w:sz w:val="20"/>
                <w:szCs w:val="20"/>
              </w:rPr>
              <w:t xml:space="preserve">0.23 </w:t>
            </w:r>
            <w:r w:rsidR="00E962B6" w:rsidRPr="00705E61">
              <w:rPr>
                <w:rFonts w:ascii="Arial Narrow" w:hAnsi="Arial Narrow"/>
                <w:b/>
                <w:bCs/>
                <w:sz w:val="20"/>
                <w:szCs w:val="20"/>
              </w:rPr>
              <w:t xml:space="preserve"> </w:t>
            </w:r>
            <w:r w:rsidRPr="00705E61">
              <w:rPr>
                <w:rFonts w:ascii="Arial Narrow" w:hAnsi="Arial Narrow"/>
                <w:b/>
                <w:bCs/>
                <w:sz w:val="20"/>
                <w:szCs w:val="20"/>
              </w:rPr>
              <w:t>(0.16, 0.33)</w:t>
            </w:r>
          </w:p>
        </w:tc>
      </w:tr>
      <w:tr w:rsidR="004767D4" w:rsidRPr="00AF1E6C" w14:paraId="4257219C" w14:textId="77777777" w:rsidTr="00F206C3">
        <w:trPr>
          <w:trHeight w:val="211"/>
        </w:trPr>
        <w:tc>
          <w:tcPr>
            <w:tcW w:w="8905" w:type="dxa"/>
            <w:gridSpan w:val="7"/>
            <w:tcBorders>
              <w:top w:val="single" w:sz="4" w:space="0" w:color="auto"/>
              <w:left w:val="single" w:sz="4" w:space="0" w:color="auto"/>
              <w:bottom w:val="single" w:sz="4" w:space="0" w:color="auto"/>
              <w:right w:val="single" w:sz="4" w:space="0" w:color="auto"/>
            </w:tcBorders>
            <w:vAlign w:val="center"/>
            <w:hideMark/>
          </w:tcPr>
          <w:p w14:paraId="3DBACCFF" w14:textId="2F5C69A4" w:rsidR="004767D4" w:rsidRPr="00705E61" w:rsidRDefault="004767D4" w:rsidP="00F206C3">
            <w:pPr>
              <w:keepNext/>
              <w:jc w:val="left"/>
              <w:rPr>
                <w:rFonts w:ascii="Arial Narrow" w:hAnsi="Arial Narrow"/>
                <w:b/>
                <w:bCs/>
                <w:sz w:val="20"/>
                <w:szCs w:val="20"/>
              </w:rPr>
            </w:pPr>
            <w:r w:rsidRPr="00705E61">
              <w:rPr>
                <w:rFonts w:ascii="Arial Narrow" w:hAnsi="Arial Narrow"/>
                <w:b/>
                <w:bCs/>
                <w:sz w:val="20"/>
                <w:szCs w:val="20"/>
              </w:rPr>
              <w:t>Receipt of prior lenvatinib per CRF</w:t>
            </w:r>
            <w:r w:rsidR="00AF1E6C" w:rsidRPr="00705E61">
              <w:rPr>
                <w:rFonts w:ascii="Arial Narrow" w:hAnsi="Arial Narrow"/>
                <w:b/>
                <w:bCs/>
                <w:sz w:val="20"/>
                <w:szCs w:val="20"/>
              </w:rPr>
              <w:t xml:space="preserve"> - </w:t>
            </w:r>
            <w:proofErr w:type="spellStart"/>
            <w:r w:rsidR="00AF1E6C" w:rsidRPr="00705E61">
              <w:rPr>
                <w:rFonts w:ascii="Arial Narrow" w:hAnsi="Arial Narrow"/>
                <w:b/>
                <w:bCs/>
                <w:sz w:val="20"/>
                <w:szCs w:val="20"/>
              </w:rPr>
              <w:t>Yes</w:t>
            </w:r>
            <w:r w:rsidR="00E120DC" w:rsidRPr="00705E61">
              <w:rPr>
                <w:rFonts w:ascii="Arial Narrow" w:hAnsi="Arial Narrow"/>
                <w:b/>
                <w:bCs/>
                <w:sz w:val="20"/>
                <w:szCs w:val="20"/>
                <w:vertAlign w:val="superscript"/>
              </w:rPr>
              <w:t>b</w:t>
            </w:r>
            <w:proofErr w:type="spellEnd"/>
          </w:p>
        </w:tc>
      </w:tr>
      <w:tr w:rsidR="004767D4" w:rsidRPr="00AF1E6C" w14:paraId="24308478" w14:textId="77777777" w:rsidTr="00E120DC">
        <w:trPr>
          <w:trHeight w:val="211"/>
        </w:trPr>
        <w:tc>
          <w:tcPr>
            <w:tcW w:w="652" w:type="dxa"/>
            <w:tcBorders>
              <w:top w:val="single" w:sz="4" w:space="0" w:color="auto"/>
              <w:left w:val="single" w:sz="4" w:space="0" w:color="auto"/>
              <w:bottom w:val="single" w:sz="4" w:space="0" w:color="auto"/>
              <w:right w:val="single" w:sz="4" w:space="0" w:color="auto"/>
            </w:tcBorders>
            <w:vAlign w:val="center"/>
            <w:hideMark/>
          </w:tcPr>
          <w:p w14:paraId="23B148BF" w14:textId="325C6EB9" w:rsidR="004767D4" w:rsidRPr="00705E61" w:rsidRDefault="004767D4" w:rsidP="00E120DC">
            <w:pPr>
              <w:keepNext/>
              <w:jc w:val="center"/>
              <w:rPr>
                <w:rFonts w:ascii="Arial Narrow" w:hAnsi="Arial Narrow"/>
                <w:sz w:val="20"/>
                <w:szCs w:val="20"/>
              </w:rPr>
            </w:pPr>
            <w:r w:rsidRPr="00705E61">
              <w:rPr>
                <w:rFonts w:ascii="Arial Narrow" w:hAnsi="Arial Narrow"/>
                <w:sz w:val="20"/>
                <w:szCs w:val="20"/>
              </w:rPr>
              <w:t>108</w:t>
            </w:r>
            <w:r w:rsidR="00E962B6" w:rsidRPr="00705E61">
              <w:rPr>
                <w:rFonts w:ascii="Arial Narrow" w:hAnsi="Arial Narrow"/>
                <w:sz w:val="20"/>
                <w:szCs w:val="20"/>
              </w:rPr>
              <w:t xml:space="preserve">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63409084" w14:textId="1F108DB2" w:rsidR="004767D4" w:rsidRPr="00705E61" w:rsidRDefault="004767D4" w:rsidP="00F206C3">
            <w:pPr>
              <w:keepNext/>
              <w:jc w:val="center"/>
              <w:rPr>
                <w:rFonts w:ascii="Arial Narrow" w:hAnsi="Arial Narrow"/>
                <w:sz w:val="20"/>
                <w:szCs w:val="20"/>
              </w:rPr>
            </w:pPr>
            <w:r w:rsidRPr="00705E61">
              <w:rPr>
                <w:rFonts w:ascii="Arial Narrow" w:hAnsi="Arial Narrow"/>
                <w:sz w:val="20"/>
                <w:szCs w:val="20"/>
              </w:rPr>
              <w:t xml:space="preserve">51 </w:t>
            </w:r>
            <w:r w:rsidR="00E962B6" w:rsidRPr="00705E61">
              <w:rPr>
                <w:rFonts w:ascii="Arial Narrow" w:hAnsi="Arial Narrow"/>
                <w:sz w:val="20"/>
                <w:szCs w:val="20"/>
              </w:rPr>
              <w:t xml:space="preserve">  </w:t>
            </w:r>
            <w:r w:rsidRPr="00705E61">
              <w:rPr>
                <w:rFonts w:ascii="Arial Narrow" w:hAnsi="Arial Narrow"/>
                <w:sz w:val="20"/>
                <w:szCs w:val="20"/>
              </w:rPr>
              <w:t>(47)</w:t>
            </w:r>
          </w:p>
        </w:tc>
        <w:tc>
          <w:tcPr>
            <w:tcW w:w="1821" w:type="dxa"/>
            <w:tcBorders>
              <w:top w:val="single" w:sz="4" w:space="0" w:color="auto"/>
              <w:left w:val="single" w:sz="4" w:space="0" w:color="auto"/>
              <w:bottom w:val="single" w:sz="4" w:space="0" w:color="auto"/>
              <w:right w:val="single" w:sz="4" w:space="0" w:color="auto"/>
            </w:tcBorders>
            <w:vAlign w:val="center"/>
            <w:hideMark/>
          </w:tcPr>
          <w:p w14:paraId="3EF4FC95" w14:textId="59189B03" w:rsidR="004767D4" w:rsidRPr="00705E61" w:rsidRDefault="004767D4" w:rsidP="00F206C3">
            <w:pPr>
              <w:keepNext/>
              <w:jc w:val="center"/>
              <w:rPr>
                <w:rFonts w:ascii="Arial Narrow" w:hAnsi="Arial Narrow"/>
                <w:sz w:val="20"/>
                <w:szCs w:val="20"/>
              </w:rPr>
            </w:pPr>
            <w:r w:rsidRPr="00705E61">
              <w:rPr>
                <w:rFonts w:ascii="Arial Narrow" w:hAnsi="Arial Narrow"/>
                <w:sz w:val="20"/>
                <w:szCs w:val="20"/>
              </w:rPr>
              <w:t>5.82</w:t>
            </w:r>
            <w:r w:rsidR="00E962B6" w:rsidRPr="00705E61">
              <w:rPr>
                <w:rFonts w:ascii="Arial Narrow" w:hAnsi="Arial Narrow"/>
                <w:sz w:val="20"/>
                <w:szCs w:val="20"/>
              </w:rPr>
              <w:t xml:space="preserve"> </w:t>
            </w:r>
            <w:r w:rsidRPr="00705E61">
              <w:rPr>
                <w:rFonts w:ascii="Arial Narrow" w:hAnsi="Arial Narrow"/>
                <w:sz w:val="20"/>
                <w:szCs w:val="20"/>
              </w:rPr>
              <w:t xml:space="preserve"> (5.42, 9.26)</w:t>
            </w:r>
          </w:p>
        </w:tc>
        <w:tc>
          <w:tcPr>
            <w:tcW w:w="776" w:type="dxa"/>
            <w:tcBorders>
              <w:top w:val="single" w:sz="4" w:space="0" w:color="auto"/>
              <w:left w:val="single" w:sz="4" w:space="0" w:color="auto"/>
              <w:bottom w:val="single" w:sz="4" w:space="0" w:color="auto"/>
              <w:right w:val="single" w:sz="4" w:space="0" w:color="auto"/>
            </w:tcBorders>
            <w:vAlign w:val="center"/>
            <w:hideMark/>
          </w:tcPr>
          <w:p w14:paraId="578AB7CB" w14:textId="1FFFA885" w:rsidR="004767D4" w:rsidRPr="00705E61" w:rsidRDefault="004767D4" w:rsidP="00F206C3">
            <w:pPr>
              <w:keepNext/>
              <w:jc w:val="center"/>
              <w:rPr>
                <w:rFonts w:ascii="Arial Narrow" w:hAnsi="Arial Narrow"/>
                <w:sz w:val="20"/>
                <w:szCs w:val="20"/>
              </w:rPr>
            </w:pPr>
            <w:r w:rsidRPr="00705E61">
              <w:rPr>
                <w:rFonts w:ascii="Arial Narrow" w:hAnsi="Arial Narrow"/>
                <w:sz w:val="20"/>
                <w:szCs w:val="20"/>
              </w:rPr>
              <w:t>55</w:t>
            </w:r>
            <w:r w:rsidR="00E962B6" w:rsidRPr="00705E61">
              <w:rPr>
                <w:rFonts w:ascii="Arial Narrow" w:hAnsi="Arial Narrow"/>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FB9D483" w14:textId="2DF0B568" w:rsidR="004767D4" w:rsidRPr="00705E61" w:rsidRDefault="004767D4" w:rsidP="00F206C3">
            <w:pPr>
              <w:keepNext/>
              <w:jc w:val="center"/>
              <w:rPr>
                <w:rFonts w:ascii="Arial Narrow" w:hAnsi="Arial Narrow"/>
                <w:sz w:val="20"/>
                <w:szCs w:val="20"/>
              </w:rPr>
            </w:pPr>
            <w:r w:rsidRPr="00705E61">
              <w:rPr>
                <w:rFonts w:ascii="Arial Narrow" w:hAnsi="Arial Narrow"/>
                <w:sz w:val="20"/>
                <w:szCs w:val="20"/>
              </w:rPr>
              <w:t>45</w:t>
            </w:r>
            <w:r w:rsidR="00E962B6" w:rsidRPr="00705E61">
              <w:rPr>
                <w:rFonts w:ascii="Arial Narrow" w:hAnsi="Arial Narrow"/>
                <w:sz w:val="20"/>
                <w:szCs w:val="20"/>
              </w:rPr>
              <w:t xml:space="preserve"> </w:t>
            </w:r>
            <w:r w:rsidRPr="00705E61">
              <w:rPr>
                <w:rFonts w:ascii="Arial Narrow" w:hAnsi="Arial Narrow"/>
                <w:sz w:val="20"/>
                <w:szCs w:val="20"/>
              </w:rPr>
              <w:t xml:space="preserve"> (82)</w:t>
            </w:r>
          </w:p>
        </w:tc>
        <w:tc>
          <w:tcPr>
            <w:tcW w:w="1590" w:type="dxa"/>
            <w:tcBorders>
              <w:top w:val="single" w:sz="4" w:space="0" w:color="auto"/>
              <w:left w:val="single" w:sz="4" w:space="0" w:color="auto"/>
              <w:bottom w:val="single" w:sz="4" w:space="0" w:color="auto"/>
              <w:right w:val="single" w:sz="4" w:space="0" w:color="auto"/>
            </w:tcBorders>
            <w:vAlign w:val="center"/>
            <w:hideMark/>
          </w:tcPr>
          <w:p w14:paraId="171AA9C4" w14:textId="7F3BD94F" w:rsidR="004767D4" w:rsidRPr="00705E61" w:rsidRDefault="004767D4" w:rsidP="00F206C3">
            <w:pPr>
              <w:keepNext/>
              <w:jc w:val="center"/>
              <w:rPr>
                <w:rFonts w:ascii="Arial Narrow" w:hAnsi="Arial Narrow"/>
                <w:sz w:val="20"/>
                <w:szCs w:val="20"/>
              </w:rPr>
            </w:pPr>
            <w:r w:rsidRPr="00705E61">
              <w:rPr>
                <w:rFonts w:ascii="Arial Narrow" w:hAnsi="Arial Narrow"/>
                <w:sz w:val="20"/>
                <w:szCs w:val="20"/>
              </w:rPr>
              <w:t xml:space="preserve">1.94 </w:t>
            </w:r>
            <w:r w:rsidR="00E962B6" w:rsidRPr="00705E61">
              <w:rPr>
                <w:rFonts w:ascii="Arial Narrow" w:hAnsi="Arial Narrow"/>
                <w:sz w:val="20"/>
                <w:szCs w:val="20"/>
              </w:rPr>
              <w:t xml:space="preserve"> </w:t>
            </w:r>
            <w:r w:rsidRPr="00705E61">
              <w:rPr>
                <w:rFonts w:ascii="Arial Narrow" w:hAnsi="Arial Narrow"/>
                <w:sz w:val="20"/>
                <w:szCs w:val="20"/>
              </w:rPr>
              <w:t>(1.77, 3.65)</w:t>
            </w:r>
          </w:p>
        </w:tc>
        <w:tc>
          <w:tcPr>
            <w:tcW w:w="1680" w:type="dxa"/>
            <w:tcBorders>
              <w:top w:val="single" w:sz="4" w:space="0" w:color="auto"/>
              <w:left w:val="single" w:sz="4" w:space="0" w:color="auto"/>
              <w:bottom w:val="single" w:sz="4" w:space="0" w:color="auto"/>
              <w:right w:val="single" w:sz="4" w:space="0" w:color="auto"/>
            </w:tcBorders>
            <w:vAlign w:val="center"/>
            <w:hideMark/>
          </w:tcPr>
          <w:p w14:paraId="74EF8790" w14:textId="206200B3" w:rsidR="004767D4" w:rsidRPr="00705E61" w:rsidRDefault="004767D4" w:rsidP="00F206C3">
            <w:pPr>
              <w:keepNext/>
              <w:jc w:val="center"/>
              <w:rPr>
                <w:rFonts w:ascii="Arial Narrow" w:hAnsi="Arial Narrow"/>
                <w:b/>
                <w:bCs/>
                <w:sz w:val="20"/>
                <w:szCs w:val="20"/>
              </w:rPr>
            </w:pPr>
            <w:r w:rsidRPr="00705E61">
              <w:rPr>
                <w:rFonts w:ascii="Arial Narrow" w:hAnsi="Arial Narrow"/>
                <w:b/>
                <w:bCs/>
                <w:sz w:val="20"/>
                <w:szCs w:val="20"/>
              </w:rPr>
              <w:t xml:space="preserve">0.27 </w:t>
            </w:r>
            <w:r w:rsidR="00E962B6" w:rsidRPr="00705E61">
              <w:rPr>
                <w:rFonts w:ascii="Arial Narrow" w:hAnsi="Arial Narrow"/>
                <w:b/>
                <w:bCs/>
                <w:sz w:val="20"/>
                <w:szCs w:val="20"/>
              </w:rPr>
              <w:t xml:space="preserve"> </w:t>
            </w:r>
            <w:r w:rsidRPr="00705E61">
              <w:rPr>
                <w:rFonts w:ascii="Arial Narrow" w:hAnsi="Arial Narrow"/>
                <w:b/>
                <w:bCs/>
                <w:sz w:val="20"/>
                <w:szCs w:val="20"/>
              </w:rPr>
              <w:t>(0.18, 0.42)</w:t>
            </w:r>
          </w:p>
        </w:tc>
      </w:tr>
      <w:tr w:rsidR="0076433F" w:rsidRPr="00AF1E6C" w14:paraId="0DB4FC64" w14:textId="77777777" w:rsidTr="00F206C3">
        <w:trPr>
          <w:trHeight w:val="211"/>
        </w:trPr>
        <w:tc>
          <w:tcPr>
            <w:tcW w:w="8905" w:type="dxa"/>
            <w:gridSpan w:val="7"/>
            <w:tcBorders>
              <w:top w:val="single" w:sz="4" w:space="0" w:color="auto"/>
              <w:left w:val="single" w:sz="4" w:space="0" w:color="auto"/>
              <w:bottom w:val="single" w:sz="4" w:space="0" w:color="auto"/>
              <w:right w:val="single" w:sz="4" w:space="0" w:color="auto"/>
            </w:tcBorders>
            <w:vAlign w:val="center"/>
          </w:tcPr>
          <w:p w14:paraId="54098EB8" w14:textId="0E50501A" w:rsidR="0076433F" w:rsidRPr="00705E61" w:rsidRDefault="00A54DD7" w:rsidP="00F206C3">
            <w:pPr>
              <w:keepNext/>
              <w:jc w:val="left"/>
              <w:rPr>
                <w:rFonts w:ascii="Arial Narrow" w:hAnsi="Arial Narrow"/>
                <w:b/>
                <w:bCs/>
                <w:sz w:val="20"/>
                <w:szCs w:val="20"/>
              </w:rPr>
            </w:pPr>
            <w:r w:rsidRPr="00705E61">
              <w:rPr>
                <w:rFonts w:ascii="Arial Narrow" w:hAnsi="Arial Narrow"/>
                <w:b/>
                <w:bCs/>
                <w:sz w:val="20"/>
                <w:szCs w:val="20"/>
              </w:rPr>
              <w:t>Complement (receipt of prior lenvatinib per CRF – No)</w:t>
            </w:r>
            <w:r w:rsidR="00E120DC" w:rsidRPr="00705E61">
              <w:rPr>
                <w:rFonts w:ascii="Arial Narrow" w:hAnsi="Arial Narrow"/>
                <w:b/>
                <w:bCs/>
                <w:sz w:val="20"/>
                <w:szCs w:val="20"/>
                <w:vertAlign w:val="superscript"/>
              </w:rPr>
              <w:t>c</w:t>
            </w:r>
          </w:p>
        </w:tc>
      </w:tr>
      <w:tr w:rsidR="0076433F" w:rsidRPr="00AF1E6C" w14:paraId="61F77DEC" w14:textId="77777777" w:rsidTr="00E120DC">
        <w:trPr>
          <w:trHeight w:val="211"/>
        </w:trPr>
        <w:tc>
          <w:tcPr>
            <w:tcW w:w="652" w:type="dxa"/>
            <w:tcBorders>
              <w:top w:val="single" w:sz="4" w:space="0" w:color="auto"/>
              <w:left w:val="single" w:sz="4" w:space="0" w:color="auto"/>
              <w:bottom w:val="single" w:sz="4" w:space="0" w:color="auto"/>
              <w:right w:val="single" w:sz="4" w:space="0" w:color="auto"/>
            </w:tcBorders>
            <w:vAlign w:val="center"/>
          </w:tcPr>
          <w:p w14:paraId="3787CFE4" w14:textId="6AC19C4E" w:rsidR="0076433F" w:rsidRPr="00705E61" w:rsidRDefault="00A54DD7" w:rsidP="00E120DC">
            <w:pPr>
              <w:keepNext/>
              <w:jc w:val="center"/>
              <w:rPr>
                <w:rFonts w:ascii="Arial Narrow" w:hAnsi="Arial Narrow"/>
                <w:sz w:val="20"/>
                <w:szCs w:val="20"/>
              </w:rPr>
            </w:pPr>
            <w:r w:rsidRPr="00705E61">
              <w:rPr>
                <w:rFonts w:ascii="Arial Narrow" w:hAnsi="Arial Narrow"/>
                <w:sz w:val="20"/>
                <w:szCs w:val="20"/>
              </w:rPr>
              <w:t>62</w:t>
            </w:r>
            <w:r w:rsidR="00E962B6" w:rsidRPr="00705E61">
              <w:rPr>
                <w:rFonts w:ascii="Arial Narrow" w:hAnsi="Arial Narrow"/>
                <w:sz w:val="20"/>
                <w:szCs w:val="20"/>
              </w:rPr>
              <w:t xml:space="preserve"> </w:t>
            </w:r>
          </w:p>
        </w:tc>
        <w:tc>
          <w:tcPr>
            <w:tcW w:w="1186" w:type="dxa"/>
            <w:tcBorders>
              <w:top w:val="single" w:sz="4" w:space="0" w:color="auto"/>
              <w:left w:val="single" w:sz="4" w:space="0" w:color="auto"/>
              <w:bottom w:val="single" w:sz="4" w:space="0" w:color="auto"/>
              <w:right w:val="single" w:sz="4" w:space="0" w:color="auto"/>
            </w:tcBorders>
            <w:vAlign w:val="center"/>
          </w:tcPr>
          <w:p w14:paraId="703F36FD" w14:textId="20964EE7" w:rsidR="0076433F" w:rsidRPr="00705E61" w:rsidRDefault="00A54DD7" w:rsidP="00F206C3">
            <w:pPr>
              <w:keepNext/>
              <w:jc w:val="center"/>
              <w:rPr>
                <w:rFonts w:ascii="Arial Narrow" w:hAnsi="Arial Narrow"/>
                <w:sz w:val="20"/>
                <w:szCs w:val="20"/>
              </w:rPr>
            </w:pPr>
            <w:r w:rsidRPr="00705E61">
              <w:rPr>
                <w:rFonts w:ascii="Arial Narrow" w:hAnsi="Arial Narrow"/>
                <w:sz w:val="20"/>
                <w:szCs w:val="20"/>
              </w:rPr>
              <w:t>11</w:t>
            </w:r>
            <w:r w:rsidR="00E962B6" w:rsidRPr="00705E61">
              <w:rPr>
                <w:rFonts w:ascii="Arial Narrow" w:hAnsi="Arial Narrow"/>
                <w:sz w:val="20"/>
                <w:szCs w:val="20"/>
              </w:rPr>
              <w:t xml:space="preserve"> </w:t>
            </w:r>
            <w:r w:rsidRPr="00705E61">
              <w:rPr>
                <w:rFonts w:ascii="Arial Narrow" w:hAnsi="Arial Narrow"/>
                <w:sz w:val="20"/>
                <w:szCs w:val="20"/>
              </w:rPr>
              <w:t xml:space="preserve"> (18)</w:t>
            </w:r>
          </w:p>
        </w:tc>
        <w:tc>
          <w:tcPr>
            <w:tcW w:w="1821" w:type="dxa"/>
            <w:tcBorders>
              <w:top w:val="single" w:sz="4" w:space="0" w:color="auto"/>
              <w:left w:val="single" w:sz="4" w:space="0" w:color="auto"/>
              <w:bottom w:val="single" w:sz="4" w:space="0" w:color="auto"/>
              <w:right w:val="single" w:sz="4" w:space="0" w:color="auto"/>
            </w:tcBorders>
            <w:vAlign w:val="center"/>
          </w:tcPr>
          <w:p w14:paraId="442D8DF5" w14:textId="451BCF20" w:rsidR="0076433F" w:rsidRPr="00705E61" w:rsidRDefault="00A54DD7" w:rsidP="00F206C3">
            <w:pPr>
              <w:keepNext/>
              <w:jc w:val="center"/>
              <w:rPr>
                <w:rFonts w:ascii="Arial Narrow" w:hAnsi="Arial Narrow"/>
                <w:sz w:val="20"/>
                <w:szCs w:val="20"/>
              </w:rPr>
            </w:pPr>
            <w:r w:rsidRPr="00705E61">
              <w:rPr>
                <w:rFonts w:ascii="Arial Narrow" w:hAnsi="Arial Narrow"/>
                <w:sz w:val="20"/>
                <w:szCs w:val="20"/>
              </w:rPr>
              <w:t xml:space="preserve">16.56 </w:t>
            </w:r>
            <w:r w:rsidR="00E962B6" w:rsidRPr="00705E61">
              <w:rPr>
                <w:rFonts w:ascii="Arial Narrow" w:hAnsi="Arial Narrow"/>
                <w:sz w:val="20"/>
                <w:szCs w:val="20"/>
              </w:rPr>
              <w:t xml:space="preserve"> </w:t>
            </w:r>
            <w:r w:rsidRPr="00705E61">
              <w:rPr>
                <w:rFonts w:ascii="Arial Narrow" w:hAnsi="Arial Narrow"/>
                <w:sz w:val="20"/>
                <w:szCs w:val="20"/>
              </w:rPr>
              <w:t>(11.04, NE)</w:t>
            </w:r>
          </w:p>
        </w:tc>
        <w:tc>
          <w:tcPr>
            <w:tcW w:w="776" w:type="dxa"/>
            <w:tcBorders>
              <w:top w:val="single" w:sz="4" w:space="0" w:color="auto"/>
              <w:left w:val="single" w:sz="4" w:space="0" w:color="auto"/>
              <w:bottom w:val="single" w:sz="4" w:space="0" w:color="auto"/>
              <w:right w:val="single" w:sz="4" w:space="0" w:color="auto"/>
            </w:tcBorders>
            <w:vAlign w:val="center"/>
          </w:tcPr>
          <w:p w14:paraId="22ABC832" w14:textId="56E5D564" w:rsidR="0076433F" w:rsidRPr="00705E61" w:rsidRDefault="00A54DD7" w:rsidP="00F206C3">
            <w:pPr>
              <w:keepNext/>
              <w:jc w:val="center"/>
              <w:rPr>
                <w:rFonts w:ascii="Arial Narrow" w:hAnsi="Arial Narrow"/>
                <w:sz w:val="20"/>
                <w:szCs w:val="20"/>
              </w:rPr>
            </w:pPr>
            <w:r w:rsidRPr="00705E61">
              <w:rPr>
                <w:rFonts w:ascii="Arial Narrow" w:hAnsi="Arial Narrow"/>
                <w:sz w:val="20"/>
                <w:szCs w:val="20"/>
              </w:rPr>
              <w:t>33</w:t>
            </w:r>
            <w:r w:rsidR="00E962B6" w:rsidRPr="00705E61">
              <w:rPr>
                <w:rFonts w:ascii="Arial Narrow" w:hAnsi="Arial Narrow"/>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14:paraId="332BF7FD" w14:textId="4A384434" w:rsidR="0076433F" w:rsidRPr="00705E61" w:rsidRDefault="00A54DD7" w:rsidP="00F206C3">
            <w:pPr>
              <w:keepNext/>
              <w:jc w:val="center"/>
              <w:rPr>
                <w:rFonts w:ascii="Arial Narrow" w:hAnsi="Arial Narrow"/>
                <w:sz w:val="20"/>
                <w:szCs w:val="20"/>
              </w:rPr>
            </w:pPr>
            <w:r w:rsidRPr="00705E61">
              <w:rPr>
                <w:rFonts w:ascii="Arial Narrow" w:hAnsi="Arial Narrow"/>
                <w:sz w:val="20"/>
                <w:szCs w:val="20"/>
              </w:rPr>
              <w:t xml:space="preserve">24 </w:t>
            </w:r>
            <w:r w:rsidR="00E962B6" w:rsidRPr="00705E61">
              <w:rPr>
                <w:rFonts w:ascii="Arial Narrow" w:hAnsi="Arial Narrow"/>
                <w:sz w:val="20"/>
                <w:szCs w:val="20"/>
              </w:rPr>
              <w:t xml:space="preserve">  </w:t>
            </w:r>
            <w:r w:rsidRPr="00705E61">
              <w:rPr>
                <w:rFonts w:ascii="Arial Narrow" w:hAnsi="Arial Narrow"/>
                <w:sz w:val="20"/>
                <w:szCs w:val="20"/>
              </w:rPr>
              <w:t>(73)</w:t>
            </w:r>
          </w:p>
        </w:tc>
        <w:tc>
          <w:tcPr>
            <w:tcW w:w="1590" w:type="dxa"/>
            <w:tcBorders>
              <w:top w:val="single" w:sz="4" w:space="0" w:color="auto"/>
              <w:left w:val="single" w:sz="4" w:space="0" w:color="auto"/>
              <w:bottom w:val="single" w:sz="4" w:space="0" w:color="auto"/>
              <w:right w:val="single" w:sz="4" w:space="0" w:color="auto"/>
            </w:tcBorders>
            <w:vAlign w:val="center"/>
          </w:tcPr>
          <w:p w14:paraId="38D565E0" w14:textId="6B9D67CA" w:rsidR="0076433F" w:rsidRPr="00705E61" w:rsidRDefault="00A54DD7" w:rsidP="00F206C3">
            <w:pPr>
              <w:keepNext/>
              <w:jc w:val="center"/>
              <w:rPr>
                <w:rFonts w:ascii="Arial Narrow" w:hAnsi="Arial Narrow"/>
                <w:sz w:val="20"/>
                <w:szCs w:val="20"/>
              </w:rPr>
            </w:pPr>
            <w:r w:rsidRPr="00705E61">
              <w:rPr>
                <w:rFonts w:ascii="Arial Narrow" w:hAnsi="Arial Narrow"/>
                <w:sz w:val="20"/>
                <w:szCs w:val="20"/>
              </w:rPr>
              <w:t>3.15</w:t>
            </w:r>
            <w:r w:rsidR="00E962B6" w:rsidRPr="00705E61">
              <w:rPr>
                <w:rFonts w:ascii="Arial Narrow" w:hAnsi="Arial Narrow"/>
                <w:sz w:val="20"/>
                <w:szCs w:val="20"/>
              </w:rPr>
              <w:t xml:space="preserve"> </w:t>
            </w:r>
            <w:r w:rsidRPr="00705E61">
              <w:rPr>
                <w:rFonts w:ascii="Arial Narrow" w:hAnsi="Arial Narrow"/>
                <w:sz w:val="20"/>
                <w:szCs w:val="20"/>
              </w:rPr>
              <w:t xml:space="preserve"> (1.87, 5.52)</w:t>
            </w:r>
          </w:p>
        </w:tc>
        <w:tc>
          <w:tcPr>
            <w:tcW w:w="1680" w:type="dxa"/>
            <w:tcBorders>
              <w:top w:val="single" w:sz="4" w:space="0" w:color="auto"/>
              <w:left w:val="single" w:sz="4" w:space="0" w:color="auto"/>
              <w:bottom w:val="single" w:sz="4" w:space="0" w:color="auto"/>
              <w:right w:val="single" w:sz="4" w:space="0" w:color="auto"/>
            </w:tcBorders>
            <w:vAlign w:val="center"/>
          </w:tcPr>
          <w:p w14:paraId="6DB2085B" w14:textId="6EAF6ACB" w:rsidR="0076433F" w:rsidRPr="00705E61" w:rsidRDefault="00A54DD7" w:rsidP="00F206C3">
            <w:pPr>
              <w:keepNext/>
              <w:jc w:val="center"/>
              <w:rPr>
                <w:rFonts w:ascii="Arial Narrow" w:hAnsi="Arial Narrow"/>
                <w:b/>
                <w:bCs/>
                <w:sz w:val="20"/>
                <w:szCs w:val="20"/>
              </w:rPr>
            </w:pPr>
            <w:r w:rsidRPr="00705E61">
              <w:rPr>
                <w:rFonts w:ascii="Arial Narrow" w:hAnsi="Arial Narrow"/>
                <w:b/>
                <w:bCs/>
                <w:sz w:val="20"/>
                <w:szCs w:val="20"/>
              </w:rPr>
              <w:t>0.12 (0.05, 0.25)</w:t>
            </w:r>
          </w:p>
        </w:tc>
      </w:tr>
      <w:tr w:rsidR="00A37601" w:rsidRPr="00AF1E6C" w14:paraId="4C0B586A" w14:textId="77777777" w:rsidTr="004B1930">
        <w:trPr>
          <w:trHeight w:val="211"/>
        </w:trPr>
        <w:tc>
          <w:tcPr>
            <w:tcW w:w="8905" w:type="dxa"/>
            <w:gridSpan w:val="7"/>
            <w:tcBorders>
              <w:top w:val="single" w:sz="4" w:space="0" w:color="auto"/>
              <w:left w:val="single" w:sz="4" w:space="0" w:color="auto"/>
              <w:bottom w:val="single" w:sz="4" w:space="0" w:color="auto"/>
              <w:right w:val="single" w:sz="4" w:space="0" w:color="auto"/>
            </w:tcBorders>
            <w:vAlign w:val="center"/>
          </w:tcPr>
          <w:p w14:paraId="779C8E48" w14:textId="3C741165" w:rsidR="00A37601" w:rsidRPr="00705E61" w:rsidRDefault="00A37601" w:rsidP="00180F22">
            <w:pPr>
              <w:keepNext/>
              <w:rPr>
                <w:rFonts w:ascii="Arial Narrow" w:hAnsi="Arial Narrow"/>
                <w:b/>
                <w:bCs/>
                <w:sz w:val="20"/>
                <w:szCs w:val="20"/>
              </w:rPr>
            </w:pPr>
            <w:r w:rsidRPr="00705E61">
              <w:rPr>
                <w:rFonts w:ascii="Arial Narrow" w:hAnsi="Arial Narrow"/>
                <w:b/>
                <w:bCs/>
                <w:sz w:val="20"/>
                <w:szCs w:val="20"/>
              </w:rPr>
              <w:t xml:space="preserve">Receipt of prior sorafenib per CRF - </w:t>
            </w:r>
            <w:proofErr w:type="spellStart"/>
            <w:r w:rsidRPr="00705E61">
              <w:rPr>
                <w:rFonts w:ascii="Arial Narrow" w:hAnsi="Arial Narrow"/>
                <w:b/>
                <w:bCs/>
                <w:sz w:val="20"/>
                <w:szCs w:val="20"/>
              </w:rPr>
              <w:t>Yes</w:t>
            </w:r>
            <w:r w:rsidR="00E120DC" w:rsidRPr="00705E61">
              <w:rPr>
                <w:rFonts w:ascii="Arial Narrow" w:hAnsi="Arial Narrow"/>
                <w:b/>
                <w:bCs/>
                <w:sz w:val="20"/>
                <w:szCs w:val="20"/>
                <w:vertAlign w:val="superscript"/>
              </w:rPr>
              <w:t>d</w:t>
            </w:r>
            <w:proofErr w:type="spellEnd"/>
          </w:p>
        </w:tc>
      </w:tr>
      <w:tr w:rsidR="00810F4E" w:rsidRPr="00AF1E6C" w14:paraId="269DFF40" w14:textId="77777777" w:rsidTr="00E120DC">
        <w:trPr>
          <w:trHeight w:val="211"/>
        </w:trPr>
        <w:tc>
          <w:tcPr>
            <w:tcW w:w="652" w:type="dxa"/>
            <w:tcBorders>
              <w:top w:val="single" w:sz="4" w:space="0" w:color="auto"/>
              <w:left w:val="single" w:sz="4" w:space="0" w:color="auto"/>
              <w:bottom w:val="single" w:sz="4" w:space="0" w:color="auto"/>
              <w:right w:val="single" w:sz="4" w:space="0" w:color="auto"/>
            </w:tcBorders>
            <w:vAlign w:val="center"/>
          </w:tcPr>
          <w:p w14:paraId="78265883" w14:textId="5AA0E7E1" w:rsidR="00A37601" w:rsidRPr="00705E61" w:rsidRDefault="00A37601" w:rsidP="00E120DC">
            <w:pPr>
              <w:keepNext/>
              <w:jc w:val="center"/>
              <w:rPr>
                <w:rFonts w:ascii="Arial Narrow" w:hAnsi="Arial Narrow"/>
                <w:sz w:val="20"/>
                <w:szCs w:val="20"/>
              </w:rPr>
            </w:pPr>
            <w:r w:rsidRPr="00705E61">
              <w:rPr>
                <w:rFonts w:ascii="Arial Narrow" w:hAnsi="Arial Narrow"/>
                <w:sz w:val="20"/>
                <w:szCs w:val="20"/>
              </w:rPr>
              <w:t>101</w:t>
            </w:r>
          </w:p>
        </w:tc>
        <w:tc>
          <w:tcPr>
            <w:tcW w:w="1186" w:type="dxa"/>
            <w:tcBorders>
              <w:top w:val="single" w:sz="4" w:space="0" w:color="auto"/>
              <w:left w:val="single" w:sz="4" w:space="0" w:color="auto"/>
              <w:bottom w:val="single" w:sz="4" w:space="0" w:color="auto"/>
              <w:right w:val="single" w:sz="4" w:space="0" w:color="auto"/>
            </w:tcBorders>
            <w:vAlign w:val="center"/>
          </w:tcPr>
          <w:p w14:paraId="721E8E1A" w14:textId="69EC7F92" w:rsidR="00A37601" w:rsidRPr="00705E61" w:rsidRDefault="00A37601" w:rsidP="00F206C3">
            <w:pPr>
              <w:keepNext/>
              <w:jc w:val="center"/>
              <w:rPr>
                <w:rFonts w:ascii="Arial Narrow" w:hAnsi="Arial Narrow"/>
                <w:sz w:val="20"/>
                <w:szCs w:val="20"/>
              </w:rPr>
            </w:pPr>
            <w:r w:rsidRPr="00705E61">
              <w:rPr>
                <w:rFonts w:ascii="Arial Narrow" w:hAnsi="Arial Narrow"/>
                <w:sz w:val="20"/>
                <w:szCs w:val="20"/>
              </w:rPr>
              <w:t xml:space="preserve">31 </w:t>
            </w:r>
            <w:r w:rsidR="00E962B6" w:rsidRPr="00705E61">
              <w:rPr>
                <w:rFonts w:ascii="Arial Narrow" w:hAnsi="Arial Narrow"/>
                <w:sz w:val="20"/>
                <w:szCs w:val="20"/>
              </w:rPr>
              <w:t xml:space="preserve">  </w:t>
            </w:r>
            <w:r w:rsidRPr="00705E61">
              <w:rPr>
                <w:rFonts w:ascii="Arial Narrow" w:hAnsi="Arial Narrow"/>
                <w:sz w:val="20"/>
                <w:szCs w:val="20"/>
              </w:rPr>
              <w:t>(31)</w:t>
            </w:r>
          </w:p>
        </w:tc>
        <w:tc>
          <w:tcPr>
            <w:tcW w:w="1821" w:type="dxa"/>
            <w:tcBorders>
              <w:top w:val="single" w:sz="4" w:space="0" w:color="auto"/>
              <w:left w:val="single" w:sz="4" w:space="0" w:color="auto"/>
              <w:bottom w:val="single" w:sz="4" w:space="0" w:color="auto"/>
              <w:right w:val="single" w:sz="4" w:space="0" w:color="auto"/>
            </w:tcBorders>
            <w:vAlign w:val="center"/>
          </w:tcPr>
          <w:p w14:paraId="193E66AC" w14:textId="30E70644" w:rsidR="00A37601" w:rsidRPr="00705E61" w:rsidRDefault="00A37601" w:rsidP="00F206C3">
            <w:pPr>
              <w:keepNext/>
              <w:jc w:val="center"/>
              <w:rPr>
                <w:rFonts w:ascii="Arial Narrow" w:hAnsi="Arial Narrow"/>
                <w:sz w:val="20"/>
                <w:szCs w:val="20"/>
              </w:rPr>
            </w:pPr>
            <w:r w:rsidRPr="00705E61">
              <w:rPr>
                <w:rFonts w:ascii="Arial Narrow" w:hAnsi="Arial Narrow"/>
                <w:sz w:val="20"/>
                <w:szCs w:val="20"/>
              </w:rPr>
              <w:t>13.83</w:t>
            </w:r>
            <w:r w:rsidR="00E962B6" w:rsidRPr="00705E61">
              <w:rPr>
                <w:rFonts w:ascii="Arial Narrow" w:hAnsi="Arial Narrow"/>
                <w:sz w:val="20"/>
                <w:szCs w:val="20"/>
              </w:rPr>
              <w:t xml:space="preserve"> </w:t>
            </w:r>
            <w:r w:rsidRPr="00705E61">
              <w:rPr>
                <w:rFonts w:ascii="Arial Narrow" w:hAnsi="Arial Narrow"/>
                <w:sz w:val="20"/>
                <w:szCs w:val="20"/>
              </w:rPr>
              <w:t xml:space="preserve"> (7.56, NE)</w:t>
            </w:r>
          </w:p>
        </w:tc>
        <w:tc>
          <w:tcPr>
            <w:tcW w:w="776" w:type="dxa"/>
            <w:tcBorders>
              <w:top w:val="single" w:sz="4" w:space="0" w:color="auto"/>
              <w:left w:val="single" w:sz="4" w:space="0" w:color="auto"/>
              <w:bottom w:val="single" w:sz="4" w:space="0" w:color="auto"/>
              <w:right w:val="single" w:sz="4" w:space="0" w:color="auto"/>
            </w:tcBorders>
            <w:vAlign w:val="center"/>
          </w:tcPr>
          <w:p w14:paraId="09F58544" w14:textId="29E82CB5" w:rsidR="00A37601" w:rsidRPr="00705E61" w:rsidRDefault="00A37601" w:rsidP="00F206C3">
            <w:pPr>
              <w:keepNext/>
              <w:jc w:val="center"/>
              <w:rPr>
                <w:rFonts w:ascii="Arial Narrow" w:hAnsi="Arial Narrow"/>
                <w:sz w:val="20"/>
                <w:szCs w:val="20"/>
              </w:rPr>
            </w:pPr>
            <w:r w:rsidRPr="00705E61">
              <w:rPr>
                <w:rFonts w:ascii="Arial Narrow" w:hAnsi="Arial Narrow"/>
                <w:sz w:val="20"/>
                <w:szCs w:val="20"/>
              </w:rPr>
              <w:t>54</w:t>
            </w:r>
            <w:r w:rsidR="00E962B6" w:rsidRPr="00705E61">
              <w:rPr>
                <w:rFonts w:ascii="Arial Narrow" w:hAnsi="Arial Narrow"/>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14:paraId="2B063EB2" w14:textId="4B07D29A" w:rsidR="00A37601" w:rsidRPr="00705E61" w:rsidRDefault="00A37601" w:rsidP="00F206C3">
            <w:pPr>
              <w:keepNext/>
              <w:jc w:val="center"/>
              <w:rPr>
                <w:rFonts w:ascii="Arial Narrow" w:hAnsi="Arial Narrow"/>
                <w:sz w:val="20"/>
                <w:szCs w:val="20"/>
              </w:rPr>
            </w:pPr>
            <w:r w:rsidRPr="00705E61">
              <w:rPr>
                <w:rFonts w:ascii="Arial Narrow" w:hAnsi="Arial Narrow"/>
                <w:sz w:val="20"/>
                <w:szCs w:val="20"/>
              </w:rPr>
              <w:t>41</w:t>
            </w:r>
            <w:r w:rsidR="00E962B6" w:rsidRPr="00705E61">
              <w:rPr>
                <w:rFonts w:ascii="Arial Narrow" w:hAnsi="Arial Narrow"/>
                <w:sz w:val="20"/>
                <w:szCs w:val="20"/>
              </w:rPr>
              <w:t xml:space="preserve"> </w:t>
            </w:r>
            <w:r w:rsidRPr="00705E61">
              <w:rPr>
                <w:rFonts w:ascii="Arial Narrow" w:hAnsi="Arial Narrow"/>
                <w:sz w:val="20"/>
                <w:szCs w:val="20"/>
              </w:rPr>
              <w:t xml:space="preserve"> (76)</w:t>
            </w:r>
          </w:p>
        </w:tc>
        <w:tc>
          <w:tcPr>
            <w:tcW w:w="1590" w:type="dxa"/>
            <w:tcBorders>
              <w:top w:val="single" w:sz="4" w:space="0" w:color="auto"/>
              <w:left w:val="single" w:sz="4" w:space="0" w:color="auto"/>
              <w:bottom w:val="single" w:sz="4" w:space="0" w:color="auto"/>
              <w:right w:val="single" w:sz="4" w:space="0" w:color="auto"/>
            </w:tcBorders>
            <w:vAlign w:val="center"/>
          </w:tcPr>
          <w:p w14:paraId="29A006F6" w14:textId="295A6E48" w:rsidR="00A37601" w:rsidRPr="00705E61" w:rsidRDefault="00A37601" w:rsidP="00F206C3">
            <w:pPr>
              <w:keepNext/>
              <w:jc w:val="center"/>
              <w:rPr>
                <w:rFonts w:ascii="Arial Narrow" w:hAnsi="Arial Narrow"/>
                <w:sz w:val="20"/>
                <w:szCs w:val="20"/>
              </w:rPr>
            </w:pPr>
            <w:r w:rsidRPr="00705E61">
              <w:rPr>
                <w:rFonts w:ascii="Arial Narrow" w:hAnsi="Arial Narrow"/>
                <w:sz w:val="20"/>
                <w:szCs w:val="20"/>
              </w:rPr>
              <w:t>1.94</w:t>
            </w:r>
            <w:r w:rsidR="00E962B6" w:rsidRPr="00705E61">
              <w:rPr>
                <w:rFonts w:ascii="Arial Narrow" w:hAnsi="Arial Narrow"/>
                <w:sz w:val="20"/>
                <w:szCs w:val="20"/>
              </w:rPr>
              <w:t xml:space="preserve"> </w:t>
            </w:r>
            <w:r w:rsidRPr="00705E61">
              <w:rPr>
                <w:rFonts w:ascii="Arial Narrow" w:hAnsi="Arial Narrow"/>
                <w:sz w:val="20"/>
                <w:szCs w:val="20"/>
              </w:rPr>
              <w:t>(1.87, 4.57)</w:t>
            </w:r>
          </w:p>
        </w:tc>
        <w:tc>
          <w:tcPr>
            <w:tcW w:w="1680" w:type="dxa"/>
            <w:tcBorders>
              <w:top w:val="single" w:sz="4" w:space="0" w:color="auto"/>
              <w:left w:val="single" w:sz="4" w:space="0" w:color="auto"/>
              <w:bottom w:val="single" w:sz="4" w:space="0" w:color="auto"/>
              <w:right w:val="single" w:sz="4" w:space="0" w:color="auto"/>
            </w:tcBorders>
            <w:vAlign w:val="center"/>
          </w:tcPr>
          <w:p w14:paraId="7B37CC1A" w14:textId="3D3B1679" w:rsidR="00A37601" w:rsidRPr="00705E61" w:rsidRDefault="00A37601" w:rsidP="00F206C3">
            <w:pPr>
              <w:keepNext/>
              <w:jc w:val="center"/>
              <w:rPr>
                <w:rFonts w:ascii="Arial Narrow" w:hAnsi="Arial Narrow"/>
                <w:b/>
                <w:bCs/>
                <w:sz w:val="20"/>
                <w:szCs w:val="20"/>
              </w:rPr>
            </w:pPr>
            <w:r w:rsidRPr="00705E61">
              <w:rPr>
                <w:rFonts w:ascii="Arial Narrow" w:hAnsi="Arial Narrow"/>
                <w:b/>
                <w:bCs/>
                <w:sz w:val="20"/>
                <w:szCs w:val="20"/>
              </w:rPr>
              <w:t xml:space="preserve">0.19 </w:t>
            </w:r>
            <w:r w:rsidR="00E962B6" w:rsidRPr="00705E61">
              <w:rPr>
                <w:rFonts w:ascii="Arial Narrow" w:hAnsi="Arial Narrow"/>
                <w:b/>
                <w:bCs/>
                <w:sz w:val="20"/>
                <w:szCs w:val="20"/>
              </w:rPr>
              <w:t xml:space="preserve"> </w:t>
            </w:r>
            <w:r w:rsidRPr="00705E61">
              <w:rPr>
                <w:rFonts w:ascii="Arial Narrow" w:hAnsi="Arial Narrow"/>
                <w:b/>
                <w:bCs/>
                <w:sz w:val="20"/>
                <w:szCs w:val="20"/>
              </w:rPr>
              <w:t>(0.12, 0.30)</w:t>
            </w:r>
          </w:p>
        </w:tc>
      </w:tr>
      <w:tr w:rsidR="00A37601" w:rsidRPr="00AF1E6C" w14:paraId="3E4A567D" w14:textId="77777777" w:rsidTr="00A61E38">
        <w:trPr>
          <w:trHeight w:val="211"/>
        </w:trPr>
        <w:tc>
          <w:tcPr>
            <w:tcW w:w="8905" w:type="dxa"/>
            <w:gridSpan w:val="7"/>
            <w:tcBorders>
              <w:top w:val="single" w:sz="4" w:space="0" w:color="auto"/>
              <w:left w:val="single" w:sz="4" w:space="0" w:color="auto"/>
              <w:bottom w:val="single" w:sz="4" w:space="0" w:color="auto"/>
              <w:right w:val="single" w:sz="4" w:space="0" w:color="auto"/>
            </w:tcBorders>
            <w:vAlign w:val="center"/>
          </w:tcPr>
          <w:p w14:paraId="384B5D62" w14:textId="2EA9F54D" w:rsidR="00A37601" w:rsidRPr="00705E61" w:rsidRDefault="00C50140" w:rsidP="00180F22">
            <w:pPr>
              <w:keepNext/>
              <w:rPr>
                <w:rFonts w:ascii="Arial Narrow" w:hAnsi="Arial Narrow"/>
                <w:b/>
                <w:bCs/>
                <w:sz w:val="20"/>
                <w:szCs w:val="20"/>
              </w:rPr>
            </w:pPr>
            <w:r w:rsidRPr="00705E61">
              <w:rPr>
                <w:rFonts w:ascii="Arial Narrow" w:hAnsi="Arial Narrow"/>
                <w:b/>
                <w:bCs/>
                <w:sz w:val="20"/>
                <w:szCs w:val="20"/>
              </w:rPr>
              <w:t>Complement (receipt of prior sorafenib per CRF – No)</w:t>
            </w:r>
            <w:r w:rsidR="00E120DC" w:rsidRPr="00705E61">
              <w:rPr>
                <w:rFonts w:ascii="Arial Narrow" w:hAnsi="Arial Narrow"/>
                <w:b/>
                <w:bCs/>
                <w:sz w:val="20"/>
                <w:szCs w:val="20"/>
                <w:vertAlign w:val="superscript"/>
              </w:rPr>
              <w:t>e</w:t>
            </w:r>
            <w:r w:rsidR="00180F22" w:rsidRPr="00705E61">
              <w:rPr>
                <w:rFonts w:ascii="Arial Narrow" w:hAnsi="Arial Narrow"/>
                <w:b/>
                <w:bCs/>
                <w:sz w:val="20"/>
                <w:szCs w:val="20"/>
              </w:rPr>
              <w:t xml:space="preserve">. This </w:t>
            </w:r>
            <w:r w:rsidRPr="00705E61">
              <w:rPr>
                <w:rFonts w:ascii="Arial Narrow" w:hAnsi="Arial Narrow"/>
                <w:b/>
                <w:bCs/>
                <w:sz w:val="20"/>
                <w:szCs w:val="20"/>
              </w:rPr>
              <w:t xml:space="preserve">subgroup </w:t>
            </w:r>
            <w:r w:rsidR="00180F22" w:rsidRPr="00705E61">
              <w:rPr>
                <w:rFonts w:ascii="Arial Narrow" w:hAnsi="Arial Narrow"/>
                <w:b/>
                <w:bCs/>
                <w:sz w:val="20"/>
                <w:szCs w:val="20"/>
              </w:rPr>
              <w:t xml:space="preserve">was </w:t>
            </w:r>
            <w:r w:rsidRPr="00705E61">
              <w:rPr>
                <w:rFonts w:ascii="Arial Narrow" w:hAnsi="Arial Narrow"/>
                <w:b/>
                <w:bCs/>
                <w:sz w:val="20"/>
                <w:szCs w:val="20"/>
              </w:rPr>
              <w:t xml:space="preserve">previously treated with lenvatinib only </w:t>
            </w:r>
            <w:r w:rsidR="00180F22" w:rsidRPr="00705E61">
              <w:rPr>
                <w:rFonts w:ascii="Arial Narrow" w:hAnsi="Arial Narrow"/>
                <w:b/>
                <w:bCs/>
                <w:sz w:val="20"/>
                <w:szCs w:val="20"/>
              </w:rPr>
              <w:t xml:space="preserve">and is the </w:t>
            </w:r>
            <w:r w:rsidRPr="00705E61">
              <w:rPr>
                <w:rFonts w:ascii="Arial Narrow" w:hAnsi="Arial Narrow"/>
                <w:b/>
                <w:bCs/>
                <w:sz w:val="20"/>
                <w:szCs w:val="20"/>
              </w:rPr>
              <w:t>base case population in the economic model</w:t>
            </w:r>
          </w:p>
        </w:tc>
      </w:tr>
      <w:tr w:rsidR="00810F4E" w:rsidRPr="00AF1E6C" w14:paraId="20E736FB" w14:textId="77777777" w:rsidTr="00E120DC">
        <w:trPr>
          <w:trHeight w:val="211"/>
        </w:trPr>
        <w:tc>
          <w:tcPr>
            <w:tcW w:w="652" w:type="dxa"/>
            <w:tcBorders>
              <w:top w:val="single" w:sz="4" w:space="0" w:color="auto"/>
              <w:left w:val="single" w:sz="4" w:space="0" w:color="auto"/>
              <w:bottom w:val="single" w:sz="4" w:space="0" w:color="auto"/>
              <w:right w:val="single" w:sz="4" w:space="0" w:color="auto"/>
            </w:tcBorders>
            <w:vAlign w:val="center"/>
          </w:tcPr>
          <w:p w14:paraId="4C396EB9" w14:textId="1ED9E56B" w:rsidR="0005664D" w:rsidRPr="00705E61" w:rsidRDefault="00A37601" w:rsidP="00E120DC">
            <w:pPr>
              <w:keepNext/>
              <w:jc w:val="center"/>
              <w:rPr>
                <w:rFonts w:ascii="Arial Narrow" w:hAnsi="Arial Narrow"/>
                <w:sz w:val="20"/>
                <w:szCs w:val="20"/>
              </w:rPr>
            </w:pPr>
            <w:r w:rsidRPr="00705E61">
              <w:rPr>
                <w:rFonts w:ascii="Arial Narrow" w:hAnsi="Arial Narrow"/>
                <w:sz w:val="20"/>
                <w:szCs w:val="20"/>
              </w:rPr>
              <w:t>69</w:t>
            </w:r>
            <w:r w:rsidR="00E962B6" w:rsidRPr="00705E61">
              <w:rPr>
                <w:rFonts w:ascii="Arial Narrow" w:hAnsi="Arial Narrow"/>
                <w:sz w:val="20"/>
                <w:szCs w:val="20"/>
              </w:rPr>
              <w:t xml:space="preserve"> </w:t>
            </w:r>
          </w:p>
        </w:tc>
        <w:tc>
          <w:tcPr>
            <w:tcW w:w="1186" w:type="dxa"/>
            <w:tcBorders>
              <w:top w:val="single" w:sz="4" w:space="0" w:color="auto"/>
              <w:left w:val="single" w:sz="4" w:space="0" w:color="auto"/>
              <w:bottom w:val="single" w:sz="4" w:space="0" w:color="auto"/>
              <w:right w:val="single" w:sz="4" w:space="0" w:color="auto"/>
            </w:tcBorders>
            <w:vAlign w:val="center"/>
          </w:tcPr>
          <w:p w14:paraId="52598F44" w14:textId="2842FBF6" w:rsidR="0005664D" w:rsidRPr="00705E61" w:rsidRDefault="00A37601" w:rsidP="00F206C3">
            <w:pPr>
              <w:keepNext/>
              <w:jc w:val="center"/>
              <w:rPr>
                <w:rFonts w:ascii="Arial Narrow" w:hAnsi="Arial Narrow"/>
                <w:sz w:val="20"/>
                <w:szCs w:val="20"/>
              </w:rPr>
            </w:pPr>
            <w:r w:rsidRPr="00705E61">
              <w:rPr>
                <w:rFonts w:ascii="Arial Narrow" w:hAnsi="Arial Narrow"/>
                <w:sz w:val="20"/>
                <w:szCs w:val="20"/>
              </w:rPr>
              <w:t xml:space="preserve">31 </w:t>
            </w:r>
            <w:r w:rsidR="00E962B6" w:rsidRPr="00705E61">
              <w:rPr>
                <w:rFonts w:ascii="Arial Narrow" w:hAnsi="Arial Narrow"/>
                <w:sz w:val="20"/>
                <w:szCs w:val="20"/>
              </w:rPr>
              <w:t xml:space="preserve">  </w:t>
            </w:r>
            <w:r w:rsidRPr="00705E61">
              <w:rPr>
                <w:rFonts w:ascii="Arial Narrow" w:hAnsi="Arial Narrow"/>
                <w:sz w:val="20"/>
                <w:szCs w:val="20"/>
              </w:rPr>
              <w:t>(45)</w:t>
            </w:r>
          </w:p>
        </w:tc>
        <w:tc>
          <w:tcPr>
            <w:tcW w:w="1821" w:type="dxa"/>
            <w:tcBorders>
              <w:top w:val="single" w:sz="4" w:space="0" w:color="auto"/>
              <w:left w:val="single" w:sz="4" w:space="0" w:color="auto"/>
              <w:bottom w:val="single" w:sz="4" w:space="0" w:color="auto"/>
              <w:right w:val="single" w:sz="4" w:space="0" w:color="auto"/>
            </w:tcBorders>
            <w:vAlign w:val="center"/>
          </w:tcPr>
          <w:p w14:paraId="50D9F84C" w14:textId="2CC8C7C9" w:rsidR="0005664D" w:rsidRPr="00705E61" w:rsidRDefault="00A37601" w:rsidP="00F206C3">
            <w:pPr>
              <w:keepNext/>
              <w:jc w:val="center"/>
              <w:rPr>
                <w:rFonts w:ascii="Arial Narrow" w:hAnsi="Arial Narrow"/>
                <w:sz w:val="20"/>
                <w:szCs w:val="20"/>
              </w:rPr>
            </w:pPr>
            <w:r w:rsidRPr="00705E61">
              <w:rPr>
                <w:rFonts w:ascii="Arial Narrow" w:hAnsi="Arial Narrow"/>
                <w:sz w:val="20"/>
                <w:szCs w:val="20"/>
              </w:rPr>
              <w:t xml:space="preserve">5.82 </w:t>
            </w:r>
            <w:r w:rsidR="00E962B6" w:rsidRPr="00705E61">
              <w:rPr>
                <w:rFonts w:ascii="Arial Narrow" w:hAnsi="Arial Narrow"/>
                <w:sz w:val="20"/>
                <w:szCs w:val="20"/>
              </w:rPr>
              <w:t xml:space="preserve">  </w:t>
            </w:r>
            <w:r w:rsidRPr="00705E61">
              <w:rPr>
                <w:rFonts w:ascii="Arial Narrow" w:hAnsi="Arial Narrow"/>
                <w:sz w:val="20"/>
                <w:szCs w:val="20"/>
              </w:rPr>
              <w:t>(5.13, 9.26)</w:t>
            </w:r>
          </w:p>
        </w:tc>
        <w:tc>
          <w:tcPr>
            <w:tcW w:w="776" w:type="dxa"/>
            <w:tcBorders>
              <w:top w:val="single" w:sz="4" w:space="0" w:color="auto"/>
              <w:left w:val="single" w:sz="4" w:space="0" w:color="auto"/>
              <w:bottom w:val="single" w:sz="4" w:space="0" w:color="auto"/>
              <w:right w:val="single" w:sz="4" w:space="0" w:color="auto"/>
            </w:tcBorders>
            <w:vAlign w:val="center"/>
          </w:tcPr>
          <w:p w14:paraId="55175838" w14:textId="2DA5456F" w:rsidR="0005664D" w:rsidRPr="00705E61" w:rsidRDefault="00A37601" w:rsidP="00F206C3">
            <w:pPr>
              <w:keepNext/>
              <w:jc w:val="center"/>
              <w:rPr>
                <w:rFonts w:ascii="Arial Narrow" w:hAnsi="Arial Narrow"/>
                <w:sz w:val="20"/>
                <w:szCs w:val="20"/>
              </w:rPr>
            </w:pPr>
            <w:r w:rsidRPr="00705E61">
              <w:rPr>
                <w:rFonts w:ascii="Arial Narrow" w:hAnsi="Arial Narrow"/>
                <w:sz w:val="20"/>
                <w:szCs w:val="20"/>
              </w:rPr>
              <w:t>34</w:t>
            </w:r>
            <w:r w:rsidR="00E962B6" w:rsidRPr="00705E61">
              <w:rPr>
                <w:rFonts w:ascii="Arial Narrow" w:hAnsi="Arial Narrow"/>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14:paraId="7BA049A9" w14:textId="289AF050" w:rsidR="0005664D" w:rsidRPr="00705E61" w:rsidRDefault="00A37601" w:rsidP="00F206C3">
            <w:pPr>
              <w:keepNext/>
              <w:jc w:val="center"/>
              <w:rPr>
                <w:rFonts w:ascii="Arial Narrow" w:hAnsi="Arial Narrow"/>
                <w:sz w:val="20"/>
                <w:szCs w:val="20"/>
              </w:rPr>
            </w:pPr>
            <w:r w:rsidRPr="00705E61">
              <w:rPr>
                <w:rFonts w:ascii="Arial Narrow" w:hAnsi="Arial Narrow"/>
                <w:sz w:val="20"/>
                <w:szCs w:val="20"/>
              </w:rPr>
              <w:t xml:space="preserve">28 </w:t>
            </w:r>
            <w:r w:rsidR="00E962B6" w:rsidRPr="00705E61">
              <w:rPr>
                <w:rFonts w:ascii="Arial Narrow" w:hAnsi="Arial Narrow"/>
                <w:sz w:val="20"/>
                <w:szCs w:val="20"/>
              </w:rPr>
              <w:t xml:space="preserve"> </w:t>
            </w:r>
            <w:r w:rsidRPr="00705E61">
              <w:rPr>
                <w:rFonts w:ascii="Arial Narrow" w:hAnsi="Arial Narrow"/>
                <w:sz w:val="20"/>
                <w:szCs w:val="20"/>
              </w:rPr>
              <w:t>(82)</w:t>
            </w:r>
          </w:p>
        </w:tc>
        <w:tc>
          <w:tcPr>
            <w:tcW w:w="1590" w:type="dxa"/>
            <w:tcBorders>
              <w:top w:val="single" w:sz="4" w:space="0" w:color="auto"/>
              <w:left w:val="single" w:sz="4" w:space="0" w:color="auto"/>
              <w:bottom w:val="single" w:sz="4" w:space="0" w:color="auto"/>
              <w:right w:val="single" w:sz="4" w:space="0" w:color="auto"/>
            </w:tcBorders>
            <w:vAlign w:val="center"/>
          </w:tcPr>
          <w:p w14:paraId="4F36D91F" w14:textId="5B020327" w:rsidR="0005664D" w:rsidRPr="00705E61" w:rsidRDefault="00A37601" w:rsidP="00F206C3">
            <w:pPr>
              <w:keepNext/>
              <w:jc w:val="center"/>
              <w:rPr>
                <w:rFonts w:ascii="Arial Narrow" w:hAnsi="Arial Narrow"/>
                <w:sz w:val="20"/>
                <w:szCs w:val="20"/>
              </w:rPr>
            </w:pPr>
            <w:r w:rsidRPr="00705E61">
              <w:rPr>
                <w:rFonts w:ascii="Arial Narrow" w:hAnsi="Arial Narrow"/>
                <w:sz w:val="20"/>
                <w:szCs w:val="20"/>
              </w:rPr>
              <w:t>1.87</w:t>
            </w:r>
            <w:r w:rsidR="00E962B6" w:rsidRPr="00705E61">
              <w:rPr>
                <w:rFonts w:ascii="Arial Narrow" w:hAnsi="Arial Narrow"/>
                <w:sz w:val="20"/>
                <w:szCs w:val="20"/>
              </w:rPr>
              <w:t xml:space="preserve"> </w:t>
            </w:r>
            <w:r w:rsidRPr="00705E61">
              <w:rPr>
                <w:rFonts w:ascii="Arial Narrow" w:hAnsi="Arial Narrow"/>
                <w:sz w:val="20"/>
                <w:szCs w:val="20"/>
              </w:rPr>
              <w:t xml:space="preserve"> (1.71, 3.68)</w:t>
            </w:r>
          </w:p>
        </w:tc>
        <w:tc>
          <w:tcPr>
            <w:tcW w:w="1680" w:type="dxa"/>
            <w:tcBorders>
              <w:top w:val="single" w:sz="4" w:space="0" w:color="auto"/>
              <w:left w:val="single" w:sz="4" w:space="0" w:color="auto"/>
              <w:bottom w:val="single" w:sz="4" w:space="0" w:color="auto"/>
              <w:right w:val="single" w:sz="4" w:space="0" w:color="auto"/>
            </w:tcBorders>
            <w:vAlign w:val="center"/>
          </w:tcPr>
          <w:p w14:paraId="06345681" w14:textId="773FE40E" w:rsidR="0005664D" w:rsidRPr="00705E61" w:rsidRDefault="00A37601" w:rsidP="00F206C3">
            <w:pPr>
              <w:keepNext/>
              <w:jc w:val="center"/>
              <w:rPr>
                <w:rFonts w:ascii="Arial Narrow" w:hAnsi="Arial Narrow"/>
                <w:b/>
                <w:bCs/>
                <w:sz w:val="20"/>
                <w:szCs w:val="20"/>
              </w:rPr>
            </w:pPr>
            <w:r w:rsidRPr="00705E61">
              <w:rPr>
                <w:rFonts w:ascii="Arial Narrow" w:hAnsi="Arial Narrow"/>
                <w:b/>
                <w:bCs/>
                <w:sz w:val="20"/>
                <w:szCs w:val="20"/>
              </w:rPr>
              <w:t xml:space="preserve">0.28 </w:t>
            </w:r>
            <w:r w:rsidR="00E962B6" w:rsidRPr="00705E61">
              <w:rPr>
                <w:rFonts w:ascii="Arial Narrow" w:hAnsi="Arial Narrow"/>
                <w:b/>
                <w:bCs/>
                <w:sz w:val="20"/>
                <w:szCs w:val="20"/>
              </w:rPr>
              <w:t xml:space="preserve">  </w:t>
            </w:r>
            <w:r w:rsidRPr="00705E61">
              <w:rPr>
                <w:rFonts w:ascii="Arial Narrow" w:hAnsi="Arial Narrow"/>
                <w:b/>
                <w:bCs/>
                <w:sz w:val="20"/>
                <w:szCs w:val="20"/>
              </w:rPr>
              <w:t>(0.16, 0.48)</w:t>
            </w:r>
          </w:p>
        </w:tc>
      </w:tr>
    </w:tbl>
    <w:p w14:paraId="7456AB75" w14:textId="60E3BCF6" w:rsidR="004767D4" w:rsidRPr="00E120DC" w:rsidRDefault="004767D4" w:rsidP="00B61730">
      <w:pPr>
        <w:pStyle w:val="FooterTableFigure"/>
        <w:keepNext/>
        <w:rPr>
          <w:rFonts w:eastAsia="Calibri"/>
        </w:rPr>
      </w:pPr>
      <w:r w:rsidRPr="004767D4">
        <w:rPr>
          <w:rFonts w:eastAsia="Calibri"/>
        </w:rPr>
        <w:t xml:space="preserve">Source: Table 2-32, p89 of the </w:t>
      </w:r>
      <w:r w:rsidRPr="00A54DD7">
        <w:rPr>
          <w:rFonts w:eastAsia="Calibri"/>
        </w:rPr>
        <w:t>submission</w:t>
      </w:r>
      <w:r w:rsidR="00A54DD7" w:rsidRPr="00A54DD7">
        <w:rPr>
          <w:rFonts w:eastAsia="Calibri"/>
        </w:rPr>
        <w:t xml:space="preserve">; </w:t>
      </w:r>
      <w:r w:rsidR="00A54DD7" w:rsidRPr="00E120DC">
        <w:rPr>
          <w:rFonts w:eastAsia="Calibri"/>
        </w:rPr>
        <w:t xml:space="preserve">Table 12, p36 </w:t>
      </w:r>
      <w:r w:rsidR="00C44C1F" w:rsidRPr="00E120DC">
        <w:rPr>
          <w:rFonts w:eastAsia="Calibri"/>
        </w:rPr>
        <w:t xml:space="preserve">COSMIC-311 Clinical Study Report Addendum 1. </w:t>
      </w:r>
    </w:p>
    <w:p w14:paraId="3BFCACBA" w14:textId="3060467A" w:rsidR="004767D4" w:rsidRPr="004767D4" w:rsidRDefault="00683529" w:rsidP="00B61730">
      <w:pPr>
        <w:pStyle w:val="FooterTableFigure"/>
        <w:keepNext/>
        <w:rPr>
          <w:rFonts w:eastAsia="Calibri"/>
        </w:rPr>
      </w:pPr>
      <w:r>
        <w:rPr>
          <w:rFonts w:eastAsia="Calibri"/>
        </w:rPr>
        <w:t xml:space="preserve">CRF = case form report; </w:t>
      </w:r>
      <w:r w:rsidR="004767D4" w:rsidRPr="00A54DD7">
        <w:rPr>
          <w:rFonts w:eastAsia="Calibri"/>
        </w:rPr>
        <w:t>CI</w:t>
      </w:r>
      <w:r w:rsidR="00C44C1F">
        <w:rPr>
          <w:rFonts w:eastAsia="Calibri"/>
        </w:rPr>
        <w:t>=</w:t>
      </w:r>
      <w:r w:rsidR="00C44C1F" w:rsidRPr="00A54DD7">
        <w:rPr>
          <w:rFonts w:eastAsia="Calibri"/>
        </w:rPr>
        <w:t xml:space="preserve"> </w:t>
      </w:r>
      <w:r w:rsidR="004767D4" w:rsidRPr="00A54DD7">
        <w:rPr>
          <w:rFonts w:eastAsia="Calibri"/>
        </w:rPr>
        <w:t>confidence interval; HR</w:t>
      </w:r>
      <w:r w:rsidR="00C44C1F">
        <w:rPr>
          <w:rFonts w:eastAsia="Calibri"/>
        </w:rPr>
        <w:t>=</w:t>
      </w:r>
      <w:r w:rsidR="00C44C1F" w:rsidRPr="00A54DD7">
        <w:rPr>
          <w:rFonts w:eastAsia="Calibri"/>
        </w:rPr>
        <w:t xml:space="preserve"> </w:t>
      </w:r>
      <w:r w:rsidR="004767D4" w:rsidRPr="00A54DD7">
        <w:rPr>
          <w:rFonts w:eastAsia="Calibri"/>
        </w:rPr>
        <w:t>hazard ratio</w:t>
      </w:r>
      <w:r w:rsidR="00B81B29">
        <w:rPr>
          <w:rFonts w:eastAsia="Calibri"/>
        </w:rPr>
        <w:t xml:space="preserve">; ITT = intent to treat; PFS = progression free survival. </w:t>
      </w:r>
    </w:p>
    <w:p w14:paraId="7C835166" w14:textId="495F3E49" w:rsidR="004767D4" w:rsidRDefault="00A37601" w:rsidP="004767D4">
      <w:pPr>
        <w:pStyle w:val="FooterTableFigure"/>
        <w:rPr>
          <w:rFonts w:eastAsia="Calibri"/>
        </w:rPr>
      </w:pPr>
      <w:r>
        <w:rPr>
          <w:rFonts w:eastAsia="Calibri"/>
        </w:rPr>
        <w:t>a</w:t>
      </w:r>
      <w:r w:rsidR="004767D4" w:rsidRPr="004767D4">
        <w:rPr>
          <w:rFonts w:eastAsia="Calibri"/>
        </w:rPr>
        <w:t xml:space="preserve"> HR and 95% CI were estimated from the Cox proportional-hazard unstratified model. HR &lt; 1 indicates PFS in favour of cabozantinib.</w:t>
      </w:r>
    </w:p>
    <w:p w14:paraId="65E54E69" w14:textId="6B1FFE55" w:rsidR="00E120DC" w:rsidRDefault="00E120DC" w:rsidP="004767D4">
      <w:pPr>
        <w:pStyle w:val="FooterTableFigure"/>
        <w:rPr>
          <w:rFonts w:eastAsia="Calibri"/>
        </w:rPr>
      </w:pPr>
      <w:r>
        <w:rPr>
          <w:rFonts w:eastAsia="Calibri"/>
        </w:rPr>
        <w:t>b Patients could have received prior lenvatinib or lenvatinib and sorafenib</w:t>
      </w:r>
    </w:p>
    <w:p w14:paraId="2D05AEDD" w14:textId="2410483A" w:rsidR="00E120DC" w:rsidRDefault="00E120DC" w:rsidP="004767D4">
      <w:pPr>
        <w:pStyle w:val="FooterTableFigure"/>
        <w:rPr>
          <w:rFonts w:eastAsia="Calibri"/>
        </w:rPr>
      </w:pPr>
      <w:r>
        <w:rPr>
          <w:rFonts w:eastAsia="Calibri"/>
        </w:rPr>
        <w:t xml:space="preserve">c Patients could have received prior sorafenib only </w:t>
      </w:r>
    </w:p>
    <w:p w14:paraId="7D320DF0" w14:textId="0E4F26D7" w:rsidR="00E120DC" w:rsidRDefault="00E120DC" w:rsidP="004767D4">
      <w:pPr>
        <w:pStyle w:val="FooterTableFigure"/>
        <w:rPr>
          <w:rFonts w:eastAsia="Calibri"/>
        </w:rPr>
      </w:pPr>
      <w:r>
        <w:rPr>
          <w:rFonts w:eastAsia="Calibri"/>
        </w:rPr>
        <w:t>d Patients could have received prior sorafenib or lenvatinib and sorafenib</w:t>
      </w:r>
    </w:p>
    <w:p w14:paraId="29628106" w14:textId="08772B62" w:rsidR="00E120DC" w:rsidRDefault="00E120DC" w:rsidP="004767D4">
      <w:pPr>
        <w:pStyle w:val="FooterTableFigure"/>
        <w:rPr>
          <w:rFonts w:eastAsia="Calibri"/>
        </w:rPr>
      </w:pPr>
      <w:r>
        <w:rPr>
          <w:rFonts w:eastAsia="Calibri"/>
        </w:rPr>
        <w:t>e Patients could have received prior lenvatinib only</w:t>
      </w:r>
    </w:p>
    <w:p w14:paraId="7A967B7E" w14:textId="7D4E7BE7" w:rsidR="00E120DC" w:rsidRPr="00073794" w:rsidRDefault="00E120DC" w:rsidP="00E120DC">
      <w:pPr>
        <w:pStyle w:val="TableFigureHeading"/>
      </w:pPr>
      <w:bookmarkStart w:id="41" w:name="_Ref147928513"/>
      <w:r w:rsidRPr="00073794">
        <w:t xml:space="preserve">Table </w:t>
      </w:r>
      <w:r>
        <w:fldChar w:fldCharType="begin" w:fldLock="1"/>
      </w:r>
      <w:r>
        <w:instrText>SEQ Table \* ARABIC</w:instrText>
      </w:r>
      <w:r>
        <w:fldChar w:fldCharType="separate"/>
      </w:r>
      <w:r w:rsidR="008760F8">
        <w:rPr>
          <w:noProof/>
        </w:rPr>
        <w:t>8</w:t>
      </w:r>
      <w:r>
        <w:fldChar w:fldCharType="end"/>
      </w:r>
      <w:bookmarkEnd w:id="41"/>
      <w:r w:rsidRPr="00073794">
        <w:t xml:space="preserve">: Subgroup </w:t>
      </w:r>
      <w:r>
        <w:t>a</w:t>
      </w:r>
      <w:r w:rsidRPr="00073794">
        <w:t xml:space="preserve">nalyses for </w:t>
      </w:r>
      <w:r>
        <w:t>OS</w:t>
      </w:r>
      <w:r w:rsidRPr="00073794">
        <w:t xml:space="preserve"> (Full ITT Population)</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1186"/>
        <w:gridCol w:w="1821"/>
        <w:gridCol w:w="776"/>
        <w:gridCol w:w="1200"/>
        <w:gridCol w:w="1590"/>
        <w:gridCol w:w="1680"/>
      </w:tblGrid>
      <w:tr w:rsidR="00E120DC" w:rsidRPr="00AF1E6C" w14:paraId="2234224B" w14:textId="77777777" w:rsidTr="00620847">
        <w:trPr>
          <w:trHeight w:val="20"/>
        </w:trPr>
        <w:tc>
          <w:tcPr>
            <w:tcW w:w="3659" w:type="dxa"/>
            <w:gridSpan w:val="3"/>
            <w:tcBorders>
              <w:top w:val="single" w:sz="4" w:space="0" w:color="auto"/>
              <w:left w:val="single" w:sz="4" w:space="0" w:color="auto"/>
              <w:bottom w:val="single" w:sz="4" w:space="0" w:color="auto"/>
              <w:right w:val="single" w:sz="4" w:space="0" w:color="auto"/>
            </w:tcBorders>
            <w:vAlign w:val="center"/>
            <w:hideMark/>
          </w:tcPr>
          <w:p w14:paraId="7A0C794C" w14:textId="77777777" w:rsidR="00E120DC" w:rsidRPr="001A5046" w:rsidRDefault="00E120DC" w:rsidP="00620847">
            <w:pPr>
              <w:keepNext/>
              <w:jc w:val="center"/>
              <w:rPr>
                <w:rFonts w:ascii="Arial Narrow" w:hAnsi="Arial Narrow"/>
                <w:b/>
                <w:bCs/>
                <w:sz w:val="20"/>
                <w:szCs w:val="20"/>
              </w:rPr>
            </w:pPr>
            <w:r w:rsidRPr="001A5046">
              <w:rPr>
                <w:rFonts w:ascii="Arial Narrow" w:hAnsi="Arial Narrow"/>
                <w:b/>
                <w:bCs/>
                <w:sz w:val="20"/>
                <w:szCs w:val="20"/>
              </w:rPr>
              <w:t>Cabozantinib</w:t>
            </w:r>
          </w:p>
        </w:tc>
        <w:tc>
          <w:tcPr>
            <w:tcW w:w="3566" w:type="dxa"/>
            <w:gridSpan w:val="3"/>
            <w:tcBorders>
              <w:top w:val="single" w:sz="4" w:space="0" w:color="auto"/>
              <w:left w:val="single" w:sz="4" w:space="0" w:color="auto"/>
              <w:bottom w:val="single" w:sz="4" w:space="0" w:color="auto"/>
              <w:right w:val="single" w:sz="4" w:space="0" w:color="auto"/>
            </w:tcBorders>
            <w:vAlign w:val="center"/>
            <w:hideMark/>
          </w:tcPr>
          <w:p w14:paraId="4B96416F" w14:textId="77777777" w:rsidR="00E120DC" w:rsidRPr="001A5046" w:rsidRDefault="00E120DC" w:rsidP="00620847">
            <w:pPr>
              <w:keepNext/>
              <w:jc w:val="center"/>
              <w:rPr>
                <w:rFonts w:ascii="Arial Narrow" w:hAnsi="Arial Narrow"/>
                <w:b/>
                <w:bCs/>
                <w:sz w:val="20"/>
                <w:szCs w:val="20"/>
              </w:rPr>
            </w:pPr>
            <w:r w:rsidRPr="001A5046">
              <w:rPr>
                <w:rFonts w:ascii="Arial Narrow" w:hAnsi="Arial Narrow"/>
                <w:b/>
                <w:bCs/>
                <w:sz w:val="20"/>
                <w:szCs w:val="20"/>
              </w:rPr>
              <w:t>Placebo</w:t>
            </w: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14:paraId="5E591DA8" w14:textId="77777777" w:rsidR="00E120DC" w:rsidRPr="001A5046" w:rsidRDefault="00E120DC" w:rsidP="00620847">
            <w:pPr>
              <w:keepNext/>
              <w:jc w:val="center"/>
              <w:rPr>
                <w:rFonts w:ascii="Arial Narrow" w:hAnsi="Arial Narrow"/>
                <w:b/>
                <w:bCs/>
                <w:sz w:val="20"/>
                <w:szCs w:val="20"/>
              </w:rPr>
            </w:pPr>
            <w:r w:rsidRPr="001A5046">
              <w:rPr>
                <w:rFonts w:ascii="Arial Narrow" w:hAnsi="Arial Narrow"/>
                <w:b/>
                <w:bCs/>
                <w:sz w:val="20"/>
                <w:szCs w:val="20"/>
              </w:rPr>
              <w:t>Unstratified HR</w:t>
            </w:r>
          </w:p>
          <w:p w14:paraId="1BD3AA2C" w14:textId="77777777" w:rsidR="00E120DC" w:rsidRPr="001A5046" w:rsidRDefault="00E120DC" w:rsidP="00620847">
            <w:pPr>
              <w:keepNext/>
              <w:jc w:val="center"/>
              <w:rPr>
                <w:rFonts w:ascii="Arial Narrow" w:hAnsi="Arial Narrow"/>
                <w:b/>
                <w:bCs/>
                <w:sz w:val="20"/>
                <w:szCs w:val="20"/>
              </w:rPr>
            </w:pPr>
            <w:r w:rsidRPr="001A5046">
              <w:rPr>
                <w:rFonts w:ascii="Arial Narrow" w:hAnsi="Arial Narrow"/>
                <w:b/>
                <w:bCs/>
                <w:sz w:val="20"/>
                <w:szCs w:val="20"/>
              </w:rPr>
              <w:t>(95% CI)</w:t>
            </w:r>
            <w:r w:rsidRPr="001A5046">
              <w:rPr>
                <w:rFonts w:ascii="Arial Narrow" w:hAnsi="Arial Narrow"/>
                <w:b/>
                <w:bCs/>
                <w:sz w:val="20"/>
                <w:szCs w:val="20"/>
                <w:vertAlign w:val="superscript"/>
              </w:rPr>
              <w:t>a</w:t>
            </w:r>
          </w:p>
        </w:tc>
      </w:tr>
      <w:tr w:rsidR="00E120DC" w:rsidRPr="00AF1E6C" w14:paraId="490D3761" w14:textId="77777777" w:rsidTr="00E120DC">
        <w:trPr>
          <w:trHeight w:val="20"/>
        </w:trPr>
        <w:tc>
          <w:tcPr>
            <w:tcW w:w="652" w:type="dxa"/>
            <w:tcBorders>
              <w:top w:val="single" w:sz="4" w:space="0" w:color="auto"/>
              <w:left w:val="single" w:sz="4" w:space="0" w:color="auto"/>
              <w:bottom w:val="single" w:sz="4" w:space="0" w:color="auto"/>
              <w:right w:val="single" w:sz="4" w:space="0" w:color="auto"/>
            </w:tcBorders>
            <w:vAlign w:val="center"/>
            <w:hideMark/>
          </w:tcPr>
          <w:p w14:paraId="45145596" w14:textId="77777777" w:rsidR="00E120DC" w:rsidRPr="001A5046" w:rsidRDefault="00E120DC" w:rsidP="00E120DC">
            <w:pPr>
              <w:keepNext/>
              <w:jc w:val="center"/>
              <w:rPr>
                <w:rFonts w:ascii="Arial Narrow" w:hAnsi="Arial Narrow"/>
                <w:b/>
                <w:bCs/>
                <w:sz w:val="20"/>
                <w:szCs w:val="20"/>
              </w:rPr>
            </w:pPr>
            <w:r w:rsidRPr="001A5046">
              <w:rPr>
                <w:rFonts w:ascii="Arial Narrow" w:hAnsi="Arial Narrow"/>
                <w:b/>
                <w:bCs/>
                <w:sz w:val="20"/>
                <w:szCs w:val="20"/>
              </w:rPr>
              <w:t>n</w:t>
            </w:r>
          </w:p>
        </w:tc>
        <w:tc>
          <w:tcPr>
            <w:tcW w:w="1186" w:type="dxa"/>
            <w:tcBorders>
              <w:top w:val="single" w:sz="4" w:space="0" w:color="auto"/>
              <w:left w:val="single" w:sz="4" w:space="0" w:color="auto"/>
              <w:bottom w:val="single" w:sz="4" w:space="0" w:color="auto"/>
              <w:right w:val="single" w:sz="4" w:space="0" w:color="auto"/>
            </w:tcBorders>
            <w:vAlign w:val="center"/>
            <w:hideMark/>
          </w:tcPr>
          <w:p w14:paraId="38243A21" w14:textId="77777777" w:rsidR="00E120DC" w:rsidRPr="001A5046" w:rsidRDefault="00E120DC" w:rsidP="00620847">
            <w:pPr>
              <w:keepNext/>
              <w:jc w:val="left"/>
              <w:rPr>
                <w:rFonts w:ascii="Arial Narrow" w:hAnsi="Arial Narrow"/>
                <w:b/>
                <w:bCs/>
                <w:sz w:val="20"/>
                <w:szCs w:val="20"/>
              </w:rPr>
            </w:pPr>
            <w:r w:rsidRPr="001A5046">
              <w:rPr>
                <w:rFonts w:ascii="Arial Narrow" w:hAnsi="Arial Narrow"/>
                <w:b/>
                <w:bCs/>
                <w:sz w:val="20"/>
                <w:szCs w:val="20"/>
              </w:rPr>
              <w:t>Events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60D6C746" w14:textId="77777777" w:rsidR="00E120DC" w:rsidRPr="001A5046" w:rsidRDefault="00E120DC" w:rsidP="00E120DC">
            <w:pPr>
              <w:keepNext/>
              <w:jc w:val="center"/>
              <w:rPr>
                <w:rFonts w:ascii="Arial Narrow" w:hAnsi="Arial Narrow"/>
                <w:b/>
                <w:bCs/>
                <w:sz w:val="20"/>
                <w:szCs w:val="20"/>
              </w:rPr>
            </w:pPr>
            <w:r w:rsidRPr="001A5046">
              <w:rPr>
                <w:rFonts w:ascii="Arial Narrow" w:hAnsi="Arial Narrow"/>
                <w:b/>
                <w:bCs/>
                <w:sz w:val="20"/>
                <w:szCs w:val="20"/>
              </w:rPr>
              <w:t>Median (95% CI)</w:t>
            </w:r>
          </w:p>
        </w:tc>
        <w:tc>
          <w:tcPr>
            <w:tcW w:w="776" w:type="dxa"/>
            <w:tcBorders>
              <w:top w:val="single" w:sz="4" w:space="0" w:color="auto"/>
              <w:left w:val="single" w:sz="4" w:space="0" w:color="auto"/>
              <w:bottom w:val="single" w:sz="4" w:space="0" w:color="auto"/>
              <w:right w:val="single" w:sz="4" w:space="0" w:color="auto"/>
            </w:tcBorders>
            <w:vAlign w:val="center"/>
            <w:hideMark/>
          </w:tcPr>
          <w:p w14:paraId="2AA7A69E" w14:textId="77777777" w:rsidR="00E120DC" w:rsidRPr="001A5046" w:rsidRDefault="00E120DC" w:rsidP="00620847">
            <w:pPr>
              <w:keepNext/>
              <w:jc w:val="center"/>
              <w:rPr>
                <w:rFonts w:ascii="Arial Narrow" w:hAnsi="Arial Narrow"/>
                <w:b/>
                <w:bCs/>
                <w:sz w:val="20"/>
                <w:szCs w:val="20"/>
              </w:rPr>
            </w:pPr>
            <w:r w:rsidRPr="001A5046">
              <w:rPr>
                <w:rFonts w:ascii="Arial Narrow" w:hAnsi="Arial Narrow"/>
                <w:b/>
                <w:bCs/>
                <w:sz w:val="20"/>
                <w:szCs w:val="20"/>
              </w:rPr>
              <w:t>n</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CAFBB3C" w14:textId="77777777" w:rsidR="00E120DC" w:rsidRPr="001A5046" w:rsidRDefault="00E120DC" w:rsidP="00620847">
            <w:pPr>
              <w:keepNext/>
              <w:jc w:val="center"/>
              <w:rPr>
                <w:rFonts w:ascii="Arial Narrow" w:hAnsi="Arial Narrow"/>
                <w:b/>
                <w:bCs/>
                <w:sz w:val="20"/>
                <w:szCs w:val="20"/>
              </w:rPr>
            </w:pPr>
            <w:r w:rsidRPr="001A5046">
              <w:rPr>
                <w:rFonts w:ascii="Arial Narrow" w:hAnsi="Arial Narrow"/>
                <w:b/>
                <w:bCs/>
                <w:sz w:val="20"/>
                <w:szCs w:val="20"/>
              </w:rPr>
              <w:t>Events (%)</w:t>
            </w:r>
          </w:p>
        </w:tc>
        <w:tc>
          <w:tcPr>
            <w:tcW w:w="1590" w:type="dxa"/>
            <w:tcBorders>
              <w:top w:val="single" w:sz="4" w:space="0" w:color="auto"/>
              <w:left w:val="single" w:sz="4" w:space="0" w:color="auto"/>
              <w:bottom w:val="single" w:sz="4" w:space="0" w:color="auto"/>
              <w:right w:val="single" w:sz="4" w:space="0" w:color="auto"/>
            </w:tcBorders>
            <w:vAlign w:val="center"/>
            <w:hideMark/>
          </w:tcPr>
          <w:p w14:paraId="7CAEE3B4" w14:textId="77777777" w:rsidR="00E120DC" w:rsidRPr="001A5046" w:rsidRDefault="00E120DC" w:rsidP="00620847">
            <w:pPr>
              <w:keepNext/>
              <w:jc w:val="center"/>
              <w:rPr>
                <w:rFonts w:ascii="Arial Narrow" w:hAnsi="Arial Narrow"/>
                <w:b/>
                <w:bCs/>
                <w:sz w:val="20"/>
                <w:szCs w:val="20"/>
              </w:rPr>
            </w:pPr>
            <w:r w:rsidRPr="001A5046">
              <w:rPr>
                <w:rFonts w:ascii="Arial Narrow" w:hAnsi="Arial Narrow"/>
                <w:b/>
                <w:bCs/>
                <w:sz w:val="20"/>
                <w:szCs w:val="20"/>
              </w:rPr>
              <w:t>Median (95% CI)</w:t>
            </w:r>
          </w:p>
        </w:tc>
        <w:tc>
          <w:tcPr>
            <w:tcW w:w="1680" w:type="dxa"/>
            <w:vMerge/>
            <w:tcBorders>
              <w:top w:val="single" w:sz="4" w:space="0" w:color="auto"/>
              <w:left w:val="single" w:sz="4" w:space="0" w:color="auto"/>
              <w:bottom w:val="single" w:sz="4" w:space="0" w:color="auto"/>
              <w:right w:val="single" w:sz="4" w:space="0" w:color="auto"/>
            </w:tcBorders>
            <w:vAlign w:val="center"/>
            <w:hideMark/>
          </w:tcPr>
          <w:p w14:paraId="5C627AC8" w14:textId="77777777" w:rsidR="00E120DC" w:rsidRPr="001A5046" w:rsidRDefault="00E120DC" w:rsidP="00620847">
            <w:pPr>
              <w:keepNext/>
              <w:jc w:val="center"/>
              <w:rPr>
                <w:rFonts w:ascii="Arial Narrow" w:hAnsi="Arial Narrow"/>
                <w:b/>
                <w:bCs/>
                <w:sz w:val="20"/>
                <w:szCs w:val="20"/>
              </w:rPr>
            </w:pPr>
          </w:p>
        </w:tc>
      </w:tr>
      <w:tr w:rsidR="00E120DC" w:rsidRPr="00AF1E6C" w14:paraId="2829340A" w14:textId="77777777" w:rsidTr="00620847">
        <w:trPr>
          <w:trHeight w:val="20"/>
        </w:trPr>
        <w:tc>
          <w:tcPr>
            <w:tcW w:w="8905" w:type="dxa"/>
            <w:gridSpan w:val="7"/>
            <w:tcBorders>
              <w:top w:val="single" w:sz="4" w:space="0" w:color="auto"/>
              <w:left w:val="single" w:sz="4" w:space="0" w:color="auto"/>
              <w:bottom w:val="single" w:sz="4" w:space="0" w:color="auto"/>
              <w:right w:val="single" w:sz="4" w:space="0" w:color="auto"/>
            </w:tcBorders>
            <w:vAlign w:val="center"/>
            <w:hideMark/>
          </w:tcPr>
          <w:p w14:paraId="1B124D39" w14:textId="77777777" w:rsidR="00E120DC" w:rsidRPr="001A5046" w:rsidRDefault="00E120DC" w:rsidP="00620847">
            <w:pPr>
              <w:keepNext/>
              <w:jc w:val="left"/>
              <w:rPr>
                <w:rFonts w:ascii="Arial Narrow" w:hAnsi="Arial Narrow"/>
                <w:b/>
                <w:bCs/>
                <w:sz w:val="20"/>
                <w:szCs w:val="20"/>
              </w:rPr>
            </w:pPr>
            <w:r w:rsidRPr="001A5046">
              <w:rPr>
                <w:rFonts w:ascii="Arial Narrow" w:hAnsi="Arial Narrow"/>
                <w:b/>
                <w:bCs/>
                <w:sz w:val="20"/>
                <w:szCs w:val="20"/>
              </w:rPr>
              <w:t>Overall population</w:t>
            </w:r>
          </w:p>
        </w:tc>
      </w:tr>
      <w:tr w:rsidR="00E120DC" w:rsidRPr="00AF1E6C" w14:paraId="5AEBBDAE" w14:textId="77777777" w:rsidTr="00E120DC">
        <w:trPr>
          <w:trHeight w:val="20"/>
        </w:trPr>
        <w:tc>
          <w:tcPr>
            <w:tcW w:w="652" w:type="dxa"/>
            <w:tcBorders>
              <w:top w:val="single" w:sz="4" w:space="0" w:color="auto"/>
              <w:left w:val="single" w:sz="4" w:space="0" w:color="auto"/>
              <w:bottom w:val="single" w:sz="4" w:space="0" w:color="auto"/>
              <w:right w:val="single" w:sz="4" w:space="0" w:color="auto"/>
            </w:tcBorders>
            <w:vAlign w:val="center"/>
            <w:hideMark/>
          </w:tcPr>
          <w:p w14:paraId="4FBE1D2D" w14:textId="7E015625" w:rsidR="00E120DC" w:rsidRPr="001A5046" w:rsidRDefault="00E120DC" w:rsidP="00E120DC">
            <w:pPr>
              <w:keepNext/>
              <w:jc w:val="center"/>
              <w:rPr>
                <w:rFonts w:ascii="Arial Narrow" w:hAnsi="Arial Narrow"/>
                <w:sz w:val="20"/>
                <w:szCs w:val="20"/>
              </w:rPr>
            </w:pPr>
            <w:r w:rsidRPr="001A5046">
              <w:rPr>
                <w:rFonts w:ascii="Arial Narrow" w:hAnsi="Arial Narrow"/>
                <w:sz w:val="20"/>
                <w:szCs w:val="20"/>
              </w:rPr>
              <w:t>170</w:t>
            </w:r>
            <w:r w:rsidR="00002B7E" w:rsidRPr="001A5046">
              <w:rPr>
                <w:rFonts w:ascii="Arial Narrow" w:hAnsi="Arial Narrow"/>
                <w:sz w:val="20"/>
                <w:szCs w:val="20"/>
              </w:rPr>
              <w:t xml:space="preserve"> </w:t>
            </w:r>
          </w:p>
        </w:tc>
        <w:tc>
          <w:tcPr>
            <w:tcW w:w="1186" w:type="dxa"/>
            <w:tcBorders>
              <w:top w:val="single" w:sz="4" w:space="0" w:color="auto"/>
              <w:left w:val="single" w:sz="4" w:space="0" w:color="auto"/>
              <w:bottom w:val="single" w:sz="4" w:space="0" w:color="auto"/>
              <w:right w:val="single" w:sz="4" w:space="0" w:color="auto"/>
            </w:tcBorders>
            <w:vAlign w:val="center"/>
          </w:tcPr>
          <w:p w14:paraId="4B72345E" w14:textId="1452B484"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 xml:space="preserve">37 </w:t>
            </w:r>
            <w:r w:rsidR="00002B7E" w:rsidRPr="001A5046">
              <w:rPr>
                <w:rFonts w:ascii="Arial Narrow" w:hAnsi="Arial Narrow"/>
                <w:sz w:val="20"/>
                <w:szCs w:val="20"/>
              </w:rPr>
              <w:t xml:space="preserve">  </w:t>
            </w:r>
            <w:r w:rsidRPr="001A5046">
              <w:rPr>
                <w:rFonts w:ascii="Arial Narrow" w:hAnsi="Arial Narrow"/>
                <w:sz w:val="20"/>
                <w:szCs w:val="20"/>
              </w:rPr>
              <w:t>(22)</w:t>
            </w:r>
          </w:p>
        </w:tc>
        <w:tc>
          <w:tcPr>
            <w:tcW w:w="1821" w:type="dxa"/>
            <w:tcBorders>
              <w:top w:val="single" w:sz="4" w:space="0" w:color="auto"/>
              <w:left w:val="single" w:sz="4" w:space="0" w:color="auto"/>
              <w:bottom w:val="single" w:sz="4" w:space="0" w:color="auto"/>
              <w:right w:val="single" w:sz="4" w:space="0" w:color="auto"/>
            </w:tcBorders>
            <w:vAlign w:val="center"/>
          </w:tcPr>
          <w:p w14:paraId="774FDF00" w14:textId="43E3F528"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19.4</w:t>
            </w:r>
            <w:r w:rsidR="00002B7E" w:rsidRPr="001A5046">
              <w:rPr>
                <w:rFonts w:ascii="Arial Narrow" w:hAnsi="Arial Narrow"/>
                <w:sz w:val="20"/>
                <w:szCs w:val="20"/>
              </w:rPr>
              <w:t xml:space="preserve"> </w:t>
            </w:r>
            <w:r w:rsidRPr="001A5046">
              <w:rPr>
                <w:rFonts w:ascii="Arial Narrow" w:hAnsi="Arial Narrow"/>
                <w:sz w:val="20"/>
                <w:szCs w:val="20"/>
              </w:rPr>
              <w:t xml:space="preserve"> (15.9, NE)</w:t>
            </w:r>
          </w:p>
        </w:tc>
        <w:tc>
          <w:tcPr>
            <w:tcW w:w="776" w:type="dxa"/>
            <w:tcBorders>
              <w:top w:val="single" w:sz="4" w:space="0" w:color="auto"/>
              <w:left w:val="single" w:sz="4" w:space="0" w:color="auto"/>
              <w:bottom w:val="single" w:sz="4" w:space="0" w:color="auto"/>
              <w:right w:val="single" w:sz="4" w:space="0" w:color="auto"/>
            </w:tcBorders>
            <w:vAlign w:val="center"/>
          </w:tcPr>
          <w:p w14:paraId="4E2AEF92" w14:textId="1B40EB21"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88</w:t>
            </w:r>
            <w:r w:rsidR="00002B7E" w:rsidRPr="001A5046">
              <w:rPr>
                <w:rFonts w:ascii="Arial Narrow" w:hAnsi="Arial Narrow"/>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14:paraId="60359585" w14:textId="24892489"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21</w:t>
            </w:r>
            <w:r w:rsidR="00002B7E" w:rsidRPr="001A5046">
              <w:rPr>
                <w:rFonts w:ascii="Arial Narrow" w:hAnsi="Arial Narrow"/>
                <w:sz w:val="20"/>
                <w:szCs w:val="20"/>
              </w:rPr>
              <w:t xml:space="preserve"> </w:t>
            </w:r>
            <w:r w:rsidRPr="001A5046">
              <w:rPr>
                <w:rFonts w:ascii="Arial Narrow" w:hAnsi="Arial Narrow"/>
                <w:sz w:val="20"/>
                <w:szCs w:val="20"/>
              </w:rPr>
              <w:t xml:space="preserve"> (24)</w:t>
            </w:r>
          </w:p>
        </w:tc>
        <w:tc>
          <w:tcPr>
            <w:tcW w:w="1590" w:type="dxa"/>
            <w:tcBorders>
              <w:top w:val="single" w:sz="4" w:space="0" w:color="auto"/>
              <w:left w:val="single" w:sz="4" w:space="0" w:color="auto"/>
              <w:bottom w:val="single" w:sz="4" w:space="0" w:color="auto"/>
              <w:right w:val="single" w:sz="4" w:space="0" w:color="auto"/>
            </w:tcBorders>
            <w:vAlign w:val="center"/>
          </w:tcPr>
          <w:p w14:paraId="02B5F539" w14:textId="64310592"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NE</w:t>
            </w:r>
          </w:p>
        </w:tc>
        <w:tc>
          <w:tcPr>
            <w:tcW w:w="1680" w:type="dxa"/>
            <w:tcBorders>
              <w:top w:val="single" w:sz="4" w:space="0" w:color="auto"/>
              <w:left w:val="single" w:sz="4" w:space="0" w:color="auto"/>
              <w:bottom w:val="single" w:sz="4" w:space="0" w:color="auto"/>
              <w:right w:val="single" w:sz="4" w:space="0" w:color="auto"/>
            </w:tcBorders>
            <w:vAlign w:val="center"/>
          </w:tcPr>
          <w:p w14:paraId="198D4062" w14:textId="3C4B638D"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0.76</w:t>
            </w:r>
            <w:r w:rsidR="00002B7E" w:rsidRPr="001A5046">
              <w:rPr>
                <w:rFonts w:ascii="Arial Narrow" w:hAnsi="Arial Narrow"/>
                <w:sz w:val="20"/>
                <w:szCs w:val="20"/>
              </w:rPr>
              <w:t xml:space="preserve"> </w:t>
            </w:r>
            <w:r w:rsidRPr="001A5046">
              <w:rPr>
                <w:rFonts w:ascii="Arial Narrow" w:hAnsi="Arial Narrow"/>
                <w:sz w:val="20"/>
                <w:szCs w:val="20"/>
              </w:rPr>
              <w:t xml:space="preserve"> (0.45, 1.31)</w:t>
            </w:r>
          </w:p>
        </w:tc>
      </w:tr>
      <w:tr w:rsidR="00E120DC" w:rsidRPr="00AF1E6C" w14:paraId="2F40AB10" w14:textId="77777777" w:rsidTr="00620847">
        <w:trPr>
          <w:trHeight w:val="211"/>
        </w:trPr>
        <w:tc>
          <w:tcPr>
            <w:tcW w:w="8905" w:type="dxa"/>
            <w:gridSpan w:val="7"/>
            <w:tcBorders>
              <w:top w:val="single" w:sz="4" w:space="0" w:color="auto"/>
              <w:left w:val="single" w:sz="4" w:space="0" w:color="auto"/>
              <w:bottom w:val="single" w:sz="4" w:space="0" w:color="auto"/>
              <w:right w:val="single" w:sz="4" w:space="0" w:color="auto"/>
            </w:tcBorders>
            <w:vAlign w:val="center"/>
            <w:hideMark/>
          </w:tcPr>
          <w:p w14:paraId="20D89108" w14:textId="77777777" w:rsidR="00E120DC" w:rsidRPr="001A5046" w:rsidRDefault="00E120DC" w:rsidP="00620847">
            <w:pPr>
              <w:keepNext/>
              <w:jc w:val="left"/>
              <w:rPr>
                <w:rFonts w:ascii="Arial Narrow" w:hAnsi="Arial Narrow"/>
                <w:b/>
                <w:bCs/>
                <w:sz w:val="20"/>
                <w:szCs w:val="20"/>
              </w:rPr>
            </w:pPr>
            <w:r w:rsidRPr="001A5046">
              <w:rPr>
                <w:rFonts w:ascii="Arial Narrow" w:hAnsi="Arial Narrow"/>
                <w:b/>
                <w:bCs/>
                <w:sz w:val="20"/>
                <w:szCs w:val="20"/>
              </w:rPr>
              <w:t xml:space="preserve">Receipt of prior lenvatinib per CRF - </w:t>
            </w:r>
            <w:proofErr w:type="spellStart"/>
            <w:r w:rsidRPr="001A5046">
              <w:rPr>
                <w:rFonts w:ascii="Arial Narrow" w:hAnsi="Arial Narrow"/>
                <w:b/>
                <w:bCs/>
                <w:sz w:val="20"/>
                <w:szCs w:val="20"/>
              </w:rPr>
              <w:t>Yes</w:t>
            </w:r>
            <w:r w:rsidRPr="001A5046">
              <w:rPr>
                <w:rFonts w:ascii="Arial Narrow" w:hAnsi="Arial Narrow"/>
                <w:b/>
                <w:bCs/>
                <w:sz w:val="20"/>
                <w:szCs w:val="20"/>
                <w:vertAlign w:val="superscript"/>
              </w:rPr>
              <w:t>b</w:t>
            </w:r>
            <w:proofErr w:type="spellEnd"/>
          </w:p>
        </w:tc>
      </w:tr>
      <w:tr w:rsidR="00E120DC" w:rsidRPr="00AF1E6C" w14:paraId="4FC2AD0A" w14:textId="77777777" w:rsidTr="00E120DC">
        <w:trPr>
          <w:trHeight w:val="211"/>
        </w:trPr>
        <w:tc>
          <w:tcPr>
            <w:tcW w:w="652" w:type="dxa"/>
            <w:tcBorders>
              <w:top w:val="single" w:sz="4" w:space="0" w:color="auto"/>
              <w:left w:val="single" w:sz="4" w:space="0" w:color="auto"/>
              <w:bottom w:val="single" w:sz="4" w:space="0" w:color="auto"/>
              <w:right w:val="single" w:sz="4" w:space="0" w:color="auto"/>
            </w:tcBorders>
            <w:vAlign w:val="center"/>
            <w:hideMark/>
          </w:tcPr>
          <w:p w14:paraId="5EEF3F68" w14:textId="3336F283" w:rsidR="00E120DC" w:rsidRPr="001A5046" w:rsidRDefault="00E120DC" w:rsidP="00E120DC">
            <w:pPr>
              <w:keepNext/>
              <w:jc w:val="center"/>
              <w:rPr>
                <w:rFonts w:ascii="Arial Narrow" w:hAnsi="Arial Narrow"/>
                <w:sz w:val="20"/>
                <w:szCs w:val="20"/>
              </w:rPr>
            </w:pPr>
            <w:r w:rsidRPr="001A5046">
              <w:rPr>
                <w:rFonts w:ascii="Arial Narrow" w:hAnsi="Arial Narrow"/>
                <w:sz w:val="20"/>
                <w:szCs w:val="20"/>
              </w:rPr>
              <w:t>108</w:t>
            </w:r>
            <w:r w:rsidR="00002B7E" w:rsidRPr="00705E61">
              <w:rPr>
                <w:rFonts w:ascii="Arial Narrow" w:hAnsi="Arial Narrow"/>
                <w:sz w:val="20"/>
                <w:szCs w:val="20"/>
              </w:rPr>
              <w:t xml:space="preserve"> </w:t>
            </w:r>
          </w:p>
        </w:tc>
        <w:tc>
          <w:tcPr>
            <w:tcW w:w="1186" w:type="dxa"/>
            <w:tcBorders>
              <w:top w:val="single" w:sz="4" w:space="0" w:color="auto"/>
              <w:left w:val="single" w:sz="4" w:space="0" w:color="auto"/>
              <w:bottom w:val="single" w:sz="4" w:space="0" w:color="auto"/>
              <w:right w:val="single" w:sz="4" w:space="0" w:color="auto"/>
            </w:tcBorders>
            <w:vAlign w:val="center"/>
            <w:hideMark/>
          </w:tcPr>
          <w:p w14:paraId="1B605445" w14:textId="5E0260B5"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30</w:t>
            </w:r>
            <w:r w:rsidR="00002B7E" w:rsidRPr="00705E61">
              <w:rPr>
                <w:rFonts w:ascii="Arial Narrow" w:hAnsi="Arial Narrow"/>
                <w:sz w:val="20"/>
                <w:szCs w:val="20"/>
              </w:rPr>
              <w:t xml:space="preserve"> </w:t>
            </w:r>
          </w:p>
        </w:tc>
        <w:tc>
          <w:tcPr>
            <w:tcW w:w="1821" w:type="dxa"/>
            <w:tcBorders>
              <w:top w:val="single" w:sz="4" w:space="0" w:color="auto"/>
              <w:left w:val="single" w:sz="4" w:space="0" w:color="auto"/>
              <w:bottom w:val="single" w:sz="4" w:space="0" w:color="auto"/>
              <w:right w:val="single" w:sz="4" w:space="0" w:color="auto"/>
            </w:tcBorders>
            <w:vAlign w:val="center"/>
            <w:hideMark/>
          </w:tcPr>
          <w:p w14:paraId="598DAC96" w14:textId="1C44E6C8"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15.87</w:t>
            </w:r>
            <w:r w:rsidR="00002B7E" w:rsidRPr="00705E61">
              <w:rPr>
                <w:rFonts w:ascii="Arial Narrow" w:hAnsi="Arial Narrow"/>
                <w:sz w:val="20"/>
                <w:szCs w:val="20"/>
              </w:rPr>
              <w:t xml:space="preserve"> </w:t>
            </w:r>
          </w:p>
        </w:tc>
        <w:tc>
          <w:tcPr>
            <w:tcW w:w="776" w:type="dxa"/>
            <w:tcBorders>
              <w:top w:val="single" w:sz="4" w:space="0" w:color="auto"/>
              <w:left w:val="single" w:sz="4" w:space="0" w:color="auto"/>
              <w:bottom w:val="single" w:sz="4" w:space="0" w:color="auto"/>
              <w:right w:val="single" w:sz="4" w:space="0" w:color="auto"/>
            </w:tcBorders>
            <w:vAlign w:val="center"/>
            <w:hideMark/>
          </w:tcPr>
          <w:p w14:paraId="2B22E84F" w14:textId="1A565722"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 xml:space="preserve"> 55</w:t>
            </w:r>
            <w:r w:rsidR="00002B7E" w:rsidRPr="001A5046">
              <w:rPr>
                <w:rFonts w:ascii="Arial Narrow" w:hAnsi="Arial Narrow"/>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vAlign w:val="center"/>
            <w:hideMark/>
          </w:tcPr>
          <w:p w14:paraId="7536F52A" w14:textId="7D5969F9"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14</w:t>
            </w:r>
            <w:r w:rsidR="00002B7E" w:rsidRPr="001A5046">
              <w:rPr>
                <w:rFonts w:ascii="Arial Narrow" w:hAnsi="Arial Narrow"/>
                <w:sz w:val="20"/>
                <w:szCs w:val="20"/>
              </w:rPr>
              <w:t xml:space="preserve"> </w:t>
            </w:r>
          </w:p>
        </w:tc>
        <w:tc>
          <w:tcPr>
            <w:tcW w:w="1590" w:type="dxa"/>
            <w:tcBorders>
              <w:top w:val="single" w:sz="4" w:space="0" w:color="auto"/>
              <w:left w:val="single" w:sz="4" w:space="0" w:color="auto"/>
              <w:bottom w:val="single" w:sz="4" w:space="0" w:color="auto"/>
              <w:right w:val="single" w:sz="4" w:space="0" w:color="auto"/>
            </w:tcBorders>
            <w:vAlign w:val="center"/>
            <w:hideMark/>
          </w:tcPr>
          <w:p w14:paraId="58683DA0" w14:textId="66009CCF"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NE</w:t>
            </w:r>
          </w:p>
        </w:tc>
        <w:tc>
          <w:tcPr>
            <w:tcW w:w="1680" w:type="dxa"/>
            <w:tcBorders>
              <w:top w:val="single" w:sz="4" w:space="0" w:color="auto"/>
              <w:left w:val="single" w:sz="4" w:space="0" w:color="auto"/>
              <w:bottom w:val="single" w:sz="4" w:space="0" w:color="auto"/>
              <w:right w:val="single" w:sz="4" w:space="0" w:color="auto"/>
            </w:tcBorders>
            <w:vAlign w:val="center"/>
            <w:hideMark/>
          </w:tcPr>
          <w:p w14:paraId="3210F639" w14:textId="6A435F41"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 xml:space="preserve">0.95 </w:t>
            </w:r>
            <w:r w:rsidR="00002B7E" w:rsidRPr="001A5046">
              <w:rPr>
                <w:rFonts w:ascii="Arial Narrow" w:hAnsi="Arial Narrow"/>
                <w:sz w:val="20"/>
                <w:szCs w:val="20"/>
              </w:rPr>
              <w:t xml:space="preserve">  </w:t>
            </w:r>
            <w:r w:rsidRPr="001A5046">
              <w:rPr>
                <w:rFonts w:ascii="Arial Narrow" w:hAnsi="Arial Narrow"/>
                <w:sz w:val="20"/>
                <w:szCs w:val="20"/>
              </w:rPr>
              <w:t>(0.50, 1.80)</w:t>
            </w:r>
          </w:p>
        </w:tc>
      </w:tr>
      <w:tr w:rsidR="00E120DC" w:rsidRPr="00AF1E6C" w14:paraId="00E3F22E" w14:textId="77777777" w:rsidTr="00620847">
        <w:trPr>
          <w:trHeight w:val="211"/>
        </w:trPr>
        <w:tc>
          <w:tcPr>
            <w:tcW w:w="8905" w:type="dxa"/>
            <w:gridSpan w:val="7"/>
            <w:tcBorders>
              <w:top w:val="single" w:sz="4" w:space="0" w:color="auto"/>
              <w:left w:val="single" w:sz="4" w:space="0" w:color="auto"/>
              <w:bottom w:val="single" w:sz="4" w:space="0" w:color="auto"/>
              <w:right w:val="single" w:sz="4" w:space="0" w:color="auto"/>
            </w:tcBorders>
            <w:vAlign w:val="center"/>
          </w:tcPr>
          <w:p w14:paraId="7A754BA5" w14:textId="77777777" w:rsidR="00E120DC" w:rsidRPr="001A5046" w:rsidRDefault="00E120DC" w:rsidP="00620847">
            <w:pPr>
              <w:keepNext/>
              <w:jc w:val="left"/>
              <w:rPr>
                <w:rFonts w:ascii="Arial Narrow" w:hAnsi="Arial Narrow"/>
                <w:b/>
                <w:bCs/>
                <w:sz w:val="20"/>
                <w:szCs w:val="20"/>
              </w:rPr>
            </w:pPr>
            <w:r w:rsidRPr="001A5046">
              <w:rPr>
                <w:rFonts w:ascii="Arial Narrow" w:hAnsi="Arial Narrow"/>
                <w:b/>
                <w:bCs/>
                <w:sz w:val="20"/>
                <w:szCs w:val="20"/>
              </w:rPr>
              <w:t>Complement (receipt of prior lenvatinib per CRF – No)</w:t>
            </w:r>
            <w:r w:rsidRPr="001A5046">
              <w:rPr>
                <w:rFonts w:ascii="Arial Narrow" w:hAnsi="Arial Narrow"/>
                <w:b/>
                <w:bCs/>
                <w:sz w:val="20"/>
                <w:szCs w:val="20"/>
                <w:vertAlign w:val="superscript"/>
              </w:rPr>
              <w:t>c</w:t>
            </w:r>
          </w:p>
        </w:tc>
      </w:tr>
      <w:tr w:rsidR="00E120DC" w:rsidRPr="00AF1E6C" w14:paraId="71FF67E5" w14:textId="77777777" w:rsidTr="00E120DC">
        <w:trPr>
          <w:trHeight w:val="211"/>
        </w:trPr>
        <w:tc>
          <w:tcPr>
            <w:tcW w:w="652" w:type="dxa"/>
            <w:tcBorders>
              <w:top w:val="single" w:sz="4" w:space="0" w:color="auto"/>
              <w:left w:val="single" w:sz="4" w:space="0" w:color="auto"/>
              <w:bottom w:val="single" w:sz="4" w:space="0" w:color="auto"/>
              <w:right w:val="single" w:sz="4" w:space="0" w:color="auto"/>
            </w:tcBorders>
            <w:vAlign w:val="center"/>
          </w:tcPr>
          <w:p w14:paraId="43CE7E4A" w14:textId="35AA2CBC" w:rsidR="00E120DC" w:rsidRPr="001A5046" w:rsidRDefault="00E120DC" w:rsidP="00E120DC">
            <w:pPr>
              <w:keepNext/>
              <w:jc w:val="center"/>
              <w:rPr>
                <w:rFonts w:ascii="Arial Narrow" w:hAnsi="Arial Narrow"/>
                <w:sz w:val="20"/>
                <w:szCs w:val="20"/>
              </w:rPr>
            </w:pPr>
            <w:r w:rsidRPr="001A5046">
              <w:rPr>
                <w:rFonts w:ascii="Arial Narrow" w:hAnsi="Arial Narrow"/>
                <w:sz w:val="20"/>
                <w:szCs w:val="20"/>
              </w:rPr>
              <w:t>62</w:t>
            </w:r>
            <w:r w:rsidR="00002B7E" w:rsidRPr="00705E61">
              <w:rPr>
                <w:rFonts w:ascii="Arial Narrow" w:hAnsi="Arial Narrow"/>
                <w:sz w:val="20"/>
                <w:szCs w:val="20"/>
              </w:rPr>
              <w:t xml:space="preserve"> </w:t>
            </w:r>
          </w:p>
        </w:tc>
        <w:tc>
          <w:tcPr>
            <w:tcW w:w="1186" w:type="dxa"/>
            <w:tcBorders>
              <w:top w:val="single" w:sz="4" w:space="0" w:color="auto"/>
              <w:left w:val="single" w:sz="4" w:space="0" w:color="auto"/>
              <w:bottom w:val="single" w:sz="4" w:space="0" w:color="auto"/>
              <w:right w:val="single" w:sz="4" w:space="0" w:color="auto"/>
            </w:tcBorders>
            <w:vAlign w:val="center"/>
          </w:tcPr>
          <w:p w14:paraId="63CFC3D5" w14:textId="5C830641"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7</w:t>
            </w:r>
            <w:r w:rsidR="00002B7E" w:rsidRPr="00705E61">
              <w:rPr>
                <w:rFonts w:ascii="Arial Narrow" w:hAnsi="Arial Narrow"/>
                <w:sz w:val="20"/>
                <w:szCs w:val="20"/>
              </w:rPr>
              <w:t xml:space="preserve"> </w:t>
            </w:r>
          </w:p>
        </w:tc>
        <w:tc>
          <w:tcPr>
            <w:tcW w:w="1821" w:type="dxa"/>
            <w:tcBorders>
              <w:top w:val="single" w:sz="4" w:space="0" w:color="auto"/>
              <w:left w:val="single" w:sz="4" w:space="0" w:color="auto"/>
              <w:bottom w:val="single" w:sz="4" w:space="0" w:color="auto"/>
              <w:right w:val="single" w:sz="4" w:space="0" w:color="auto"/>
            </w:tcBorders>
            <w:vAlign w:val="center"/>
          </w:tcPr>
          <w:p w14:paraId="3498BDB6" w14:textId="2CE70A32"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NE</w:t>
            </w:r>
          </w:p>
        </w:tc>
        <w:tc>
          <w:tcPr>
            <w:tcW w:w="776" w:type="dxa"/>
            <w:tcBorders>
              <w:top w:val="single" w:sz="4" w:space="0" w:color="auto"/>
              <w:left w:val="single" w:sz="4" w:space="0" w:color="auto"/>
              <w:bottom w:val="single" w:sz="4" w:space="0" w:color="auto"/>
              <w:right w:val="single" w:sz="4" w:space="0" w:color="auto"/>
            </w:tcBorders>
            <w:vAlign w:val="center"/>
          </w:tcPr>
          <w:p w14:paraId="62B2C835" w14:textId="2993E347"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33</w:t>
            </w:r>
            <w:r w:rsidR="00002B7E" w:rsidRPr="00705E61">
              <w:rPr>
                <w:rFonts w:ascii="Arial Narrow" w:hAnsi="Arial Narrow"/>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14:paraId="7FB771F7" w14:textId="2982D158"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7</w:t>
            </w:r>
            <w:r w:rsidR="00002B7E" w:rsidRPr="00705E61">
              <w:rPr>
                <w:rFonts w:ascii="Arial Narrow" w:hAnsi="Arial Narrow"/>
                <w:sz w:val="20"/>
                <w:szCs w:val="20"/>
              </w:rPr>
              <w:t xml:space="preserve"> </w:t>
            </w:r>
          </w:p>
        </w:tc>
        <w:tc>
          <w:tcPr>
            <w:tcW w:w="1590" w:type="dxa"/>
            <w:tcBorders>
              <w:top w:val="single" w:sz="4" w:space="0" w:color="auto"/>
              <w:left w:val="single" w:sz="4" w:space="0" w:color="auto"/>
              <w:bottom w:val="single" w:sz="4" w:space="0" w:color="auto"/>
              <w:right w:val="single" w:sz="4" w:space="0" w:color="auto"/>
            </w:tcBorders>
            <w:vAlign w:val="center"/>
          </w:tcPr>
          <w:p w14:paraId="3B9C1355" w14:textId="2A1EED29"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NE</w:t>
            </w:r>
          </w:p>
        </w:tc>
        <w:tc>
          <w:tcPr>
            <w:tcW w:w="1680" w:type="dxa"/>
            <w:tcBorders>
              <w:top w:val="single" w:sz="4" w:space="0" w:color="auto"/>
              <w:left w:val="single" w:sz="4" w:space="0" w:color="auto"/>
              <w:bottom w:val="single" w:sz="4" w:space="0" w:color="auto"/>
              <w:right w:val="single" w:sz="4" w:space="0" w:color="auto"/>
            </w:tcBorders>
            <w:vAlign w:val="center"/>
          </w:tcPr>
          <w:p w14:paraId="6D9E6E6E" w14:textId="67936791"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0.43</w:t>
            </w:r>
            <w:r w:rsidR="00002B7E" w:rsidRPr="001A5046">
              <w:rPr>
                <w:rFonts w:ascii="Arial Narrow" w:hAnsi="Arial Narrow"/>
                <w:sz w:val="20"/>
                <w:szCs w:val="20"/>
              </w:rPr>
              <w:t xml:space="preserve"> </w:t>
            </w:r>
            <w:r w:rsidRPr="001A5046">
              <w:rPr>
                <w:rFonts w:ascii="Arial Narrow" w:hAnsi="Arial Narrow"/>
                <w:sz w:val="20"/>
                <w:szCs w:val="20"/>
              </w:rPr>
              <w:t xml:space="preserve"> (0.15, 1.22)</w:t>
            </w:r>
          </w:p>
        </w:tc>
      </w:tr>
      <w:tr w:rsidR="00E120DC" w:rsidRPr="00AF1E6C" w14:paraId="2BDE119A" w14:textId="77777777" w:rsidTr="00620847">
        <w:trPr>
          <w:trHeight w:val="211"/>
        </w:trPr>
        <w:tc>
          <w:tcPr>
            <w:tcW w:w="8905" w:type="dxa"/>
            <w:gridSpan w:val="7"/>
            <w:tcBorders>
              <w:top w:val="single" w:sz="4" w:space="0" w:color="auto"/>
              <w:left w:val="single" w:sz="4" w:space="0" w:color="auto"/>
              <w:bottom w:val="single" w:sz="4" w:space="0" w:color="auto"/>
              <w:right w:val="single" w:sz="4" w:space="0" w:color="auto"/>
            </w:tcBorders>
            <w:vAlign w:val="center"/>
          </w:tcPr>
          <w:p w14:paraId="4AB20E5E" w14:textId="77777777" w:rsidR="00E120DC" w:rsidRPr="001A5046" w:rsidRDefault="00E120DC" w:rsidP="00620847">
            <w:pPr>
              <w:keepNext/>
              <w:rPr>
                <w:rFonts w:ascii="Arial Narrow" w:hAnsi="Arial Narrow"/>
                <w:b/>
                <w:bCs/>
                <w:sz w:val="20"/>
                <w:szCs w:val="20"/>
              </w:rPr>
            </w:pPr>
            <w:r w:rsidRPr="001A5046">
              <w:rPr>
                <w:rFonts w:ascii="Arial Narrow" w:hAnsi="Arial Narrow"/>
                <w:b/>
                <w:bCs/>
                <w:sz w:val="20"/>
                <w:szCs w:val="20"/>
              </w:rPr>
              <w:t xml:space="preserve">Receipt of prior sorafenib per CRF - </w:t>
            </w:r>
            <w:proofErr w:type="spellStart"/>
            <w:r w:rsidRPr="001A5046">
              <w:rPr>
                <w:rFonts w:ascii="Arial Narrow" w:hAnsi="Arial Narrow"/>
                <w:b/>
                <w:bCs/>
                <w:sz w:val="20"/>
                <w:szCs w:val="20"/>
              </w:rPr>
              <w:t>Yes</w:t>
            </w:r>
            <w:r w:rsidRPr="001A5046">
              <w:rPr>
                <w:rFonts w:ascii="Arial Narrow" w:hAnsi="Arial Narrow"/>
                <w:b/>
                <w:bCs/>
                <w:sz w:val="20"/>
                <w:szCs w:val="20"/>
                <w:vertAlign w:val="superscript"/>
              </w:rPr>
              <w:t>d</w:t>
            </w:r>
            <w:proofErr w:type="spellEnd"/>
          </w:p>
        </w:tc>
      </w:tr>
      <w:tr w:rsidR="00E120DC" w:rsidRPr="00AF1E6C" w14:paraId="4B5B2AEF" w14:textId="77777777" w:rsidTr="00E120DC">
        <w:trPr>
          <w:trHeight w:val="211"/>
        </w:trPr>
        <w:tc>
          <w:tcPr>
            <w:tcW w:w="652" w:type="dxa"/>
            <w:tcBorders>
              <w:top w:val="single" w:sz="4" w:space="0" w:color="auto"/>
              <w:left w:val="single" w:sz="4" w:space="0" w:color="auto"/>
              <w:bottom w:val="single" w:sz="4" w:space="0" w:color="auto"/>
              <w:right w:val="single" w:sz="4" w:space="0" w:color="auto"/>
            </w:tcBorders>
            <w:vAlign w:val="center"/>
          </w:tcPr>
          <w:p w14:paraId="0156188A" w14:textId="1CF90344" w:rsidR="00E120DC" w:rsidRPr="001A5046" w:rsidRDefault="00E120DC" w:rsidP="00E120DC">
            <w:pPr>
              <w:keepNext/>
              <w:jc w:val="center"/>
              <w:rPr>
                <w:rFonts w:ascii="Arial Narrow" w:hAnsi="Arial Narrow"/>
                <w:sz w:val="20"/>
                <w:szCs w:val="20"/>
              </w:rPr>
            </w:pPr>
            <w:r w:rsidRPr="001A5046">
              <w:rPr>
                <w:rFonts w:ascii="Arial Narrow" w:hAnsi="Arial Narrow"/>
                <w:sz w:val="20"/>
                <w:szCs w:val="20"/>
              </w:rPr>
              <w:t>101</w:t>
            </w:r>
            <w:r w:rsidR="00002B7E" w:rsidRPr="00705E61">
              <w:rPr>
                <w:rFonts w:ascii="Arial Narrow" w:hAnsi="Arial Narrow"/>
                <w:sz w:val="20"/>
                <w:szCs w:val="20"/>
              </w:rPr>
              <w:t xml:space="preserve"> </w:t>
            </w:r>
          </w:p>
        </w:tc>
        <w:tc>
          <w:tcPr>
            <w:tcW w:w="1186" w:type="dxa"/>
            <w:tcBorders>
              <w:top w:val="single" w:sz="4" w:space="0" w:color="auto"/>
              <w:left w:val="single" w:sz="4" w:space="0" w:color="auto"/>
              <w:bottom w:val="single" w:sz="4" w:space="0" w:color="auto"/>
              <w:right w:val="single" w:sz="4" w:space="0" w:color="auto"/>
            </w:tcBorders>
            <w:vAlign w:val="center"/>
          </w:tcPr>
          <w:p w14:paraId="5EF82692" w14:textId="17FEF629"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20</w:t>
            </w:r>
            <w:r w:rsidR="00002B7E" w:rsidRPr="00705E61">
              <w:rPr>
                <w:rFonts w:ascii="Arial Narrow" w:hAnsi="Arial Narrow"/>
                <w:sz w:val="20"/>
                <w:szCs w:val="20"/>
              </w:rPr>
              <w:t xml:space="preserve"> </w:t>
            </w:r>
          </w:p>
        </w:tc>
        <w:tc>
          <w:tcPr>
            <w:tcW w:w="1821" w:type="dxa"/>
            <w:tcBorders>
              <w:top w:val="single" w:sz="4" w:space="0" w:color="auto"/>
              <w:left w:val="single" w:sz="4" w:space="0" w:color="auto"/>
              <w:bottom w:val="single" w:sz="4" w:space="0" w:color="auto"/>
              <w:right w:val="single" w:sz="4" w:space="0" w:color="auto"/>
            </w:tcBorders>
            <w:vAlign w:val="center"/>
          </w:tcPr>
          <w:p w14:paraId="70EC90F8" w14:textId="2B364E0D"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19.35</w:t>
            </w:r>
            <w:r w:rsidR="00002B7E" w:rsidRPr="00705E61">
              <w:rPr>
                <w:rFonts w:ascii="Arial Narrow" w:hAnsi="Arial Narrow"/>
                <w:sz w:val="20"/>
                <w:szCs w:val="20"/>
              </w:rPr>
              <w:t xml:space="preserve"> </w:t>
            </w:r>
          </w:p>
        </w:tc>
        <w:tc>
          <w:tcPr>
            <w:tcW w:w="776" w:type="dxa"/>
            <w:tcBorders>
              <w:top w:val="single" w:sz="4" w:space="0" w:color="auto"/>
              <w:left w:val="single" w:sz="4" w:space="0" w:color="auto"/>
              <w:bottom w:val="single" w:sz="4" w:space="0" w:color="auto"/>
              <w:right w:val="single" w:sz="4" w:space="0" w:color="auto"/>
            </w:tcBorders>
            <w:vAlign w:val="center"/>
          </w:tcPr>
          <w:p w14:paraId="3E826EE8" w14:textId="5D5D0351"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54</w:t>
            </w:r>
            <w:r w:rsidR="00002B7E" w:rsidRPr="00705E61">
              <w:rPr>
                <w:rFonts w:ascii="Arial Narrow" w:hAnsi="Arial Narrow"/>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14:paraId="2CE59B04" w14:textId="545515EA"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13</w:t>
            </w:r>
            <w:r w:rsidR="00002B7E" w:rsidRPr="00705E61">
              <w:rPr>
                <w:rFonts w:ascii="Arial Narrow" w:hAnsi="Arial Narrow"/>
                <w:sz w:val="20"/>
                <w:szCs w:val="20"/>
              </w:rPr>
              <w:t xml:space="preserve"> </w:t>
            </w:r>
          </w:p>
        </w:tc>
        <w:tc>
          <w:tcPr>
            <w:tcW w:w="1590" w:type="dxa"/>
            <w:tcBorders>
              <w:top w:val="single" w:sz="4" w:space="0" w:color="auto"/>
              <w:left w:val="single" w:sz="4" w:space="0" w:color="auto"/>
              <w:bottom w:val="single" w:sz="4" w:space="0" w:color="auto"/>
              <w:right w:val="single" w:sz="4" w:space="0" w:color="auto"/>
            </w:tcBorders>
            <w:vAlign w:val="center"/>
          </w:tcPr>
          <w:p w14:paraId="7F78AF08" w14:textId="68333B14"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NE</w:t>
            </w:r>
          </w:p>
        </w:tc>
        <w:tc>
          <w:tcPr>
            <w:tcW w:w="1680" w:type="dxa"/>
            <w:tcBorders>
              <w:top w:val="single" w:sz="4" w:space="0" w:color="auto"/>
              <w:left w:val="single" w:sz="4" w:space="0" w:color="auto"/>
              <w:bottom w:val="single" w:sz="4" w:space="0" w:color="auto"/>
              <w:right w:val="single" w:sz="4" w:space="0" w:color="auto"/>
            </w:tcBorders>
            <w:vAlign w:val="center"/>
          </w:tcPr>
          <w:p w14:paraId="53DFCA27" w14:textId="5F368387"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 xml:space="preserve">0.59 </w:t>
            </w:r>
            <w:r w:rsidR="00002B7E" w:rsidRPr="001A5046">
              <w:rPr>
                <w:rFonts w:ascii="Arial Narrow" w:hAnsi="Arial Narrow"/>
                <w:sz w:val="20"/>
                <w:szCs w:val="20"/>
              </w:rPr>
              <w:t xml:space="preserve">  </w:t>
            </w:r>
            <w:r w:rsidRPr="001A5046">
              <w:rPr>
                <w:rFonts w:ascii="Arial Narrow" w:hAnsi="Arial Narrow"/>
                <w:sz w:val="20"/>
                <w:szCs w:val="20"/>
              </w:rPr>
              <w:t>(0.29, 1.19)</w:t>
            </w:r>
          </w:p>
        </w:tc>
      </w:tr>
      <w:tr w:rsidR="00E120DC" w:rsidRPr="00AF1E6C" w14:paraId="05C54EFE" w14:textId="77777777" w:rsidTr="00620847">
        <w:trPr>
          <w:trHeight w:val="211"/>
        </w:trPr>
        <w:tc>
          <w:tcPr>
            <w:tcW w:w="8905" w:type="dxa"/>
            <w:gridSpan w:val="7"/>
            <w:tcBorders>
              <w:top w:val="single" w:sz="4" w:space="0" w:color="auto"/>
              <w:left w:val="single" w:sz="4" w:space="0" w:color="auto"/>
              <w:bottom w:val="single" w:sz="4" w:space="0" w:color="auto"/>
              <w:right w:val="single" w:sz="4" w:space="0" w:color="auto"/>
            </w:tcBorders>
            <w:vAlign w:val="center"/>
          </w:tcPr>
          <w:p w14:paraId="038AFAD4" w14:textId="77777777" w:rsidR="00E120DC" w:rsidRPr="001A5046" w:rsidRDefault="00E120DC" w:rsidP="00620847">
            <w:pPr>
              <w:keepNext/>
              <w:rPr>
                <w:rFonts w:ascii="Arial Narrow" w:hAnsi="Arial Narrow"/>
                <w:b/>
                <w:bCs/>
                <w:sz w:val="20"/>
                <w:szCs w:val="20"/>
              </w:rPr>
            </w:pPr>
            <w:r w:rsidRPr="001A5046">
              <w:rPr>
                <w:rFonts w:ascii="Arial Narrow" w:hAnsi="Arial Narrow"/>
                <w:b/>
                <w:bCs/>
                <w:sz w:val="20"/>
                <w:szCs w:val="20"/>
              </w:rPr>
              <w:t>Complement (receipt of prior sorafenib per CRF – No)</w:t>
            </w:r>
            <w:r w:rsidRPr="001A5046">
              <w:rPr>
                <w:rFonts w:ascii="Arial Narrow" w:hAnsi="Arial Narrow"/>
                <w:b/>
                <w:bCs/>
                <w:sz w:val="20"/>
                <w:szCs w:val="20"/>
                <w:vertAlign w:val="superscript"/>
              </w:rPr>
              <w:t>e</w:t>
            </w:r>
            <w:r w:rsidRPr="001A5046">
              <w:rPr>
                <w:rFonts w:ascii="Arial Narrow" w:hAnsi="Arial Narrow"/>
                <w:b/>
                <w:bCs/>
                <w:sz w:val="20"/>
                <w:szCs w:val="20"/>
              </w:rPr>
              <w:t>. This subgroup was previously treated with lenvatinib only and is the base case population in the economic model</w:t>
            </w:r>
          </w:p>
        </w:tc>
      </w:tr>
      <w:tr w:rsidR="00E120DC" w:rsidRPr="00E120DC" w14:paraId="2BF30C72" w14:textId="77777777" w:rsidTr="00E120DC">
        <w:trPr>
          <w:trHeight w:val="211"/>
        </w:trPr>
        <w:tc>
          <w:tcPr>
            <w:tcW w:w="652" w:type="dxa"/>
            <w:tcBorders>
              <w:top w:val="single" w:sz="4" w:space="0" w:color="auto"/>
              <w:left w:val="single" w:sz="4" w:space="0" w:color="auto"/>
              <w:bottom w:val="single" w:sz="4" w:space="0" w:color="auto"/>
              <w:right w:val="single" w:sz="4" w:space="0" w:color="auto"/>
            </w:tcBorders>
            <w:vAlign w:val="center"/>
          </w:tcPr>
          <w:p w14:paraId="7D740DAF" w14:textId="4960C3DC" w:rsidR="00E120DC" w:rsidRPr="001A5046" w:rsidRDefault="00E120DC" w:rsidP="00E120DC">
            <w:pPr>
              <w:keepNext/>
              <w:jc w:val="center"/>
              <w:rPr>
                <w:rFonts w:ascii="Arial Narrow" w:hAnsi="Arial Narrow"/>
                <w:sz w:val="20"/>
                <w:szCs w:val="20"/>
              </w:rPr>
            </w:pPr>
            <w:r w:rsidRPr="001A5046">
              <w:rPr>
                <w:rFonts w:ascii="Arial Narrow" w:hAnsi="Arial Narrow"/>
                <w:sz w:val="20"/>
                <w:szCs w:val="20"/>
              </w:rPr>
              <w:t>69</w:t>
            </w:r>
            <w:r w:rsidR="00002B7E" w:rsidRPr="00705E61">
              <w:rPr>
                <w:rFonts w:ascii="Arial Narrow" w:hAnsi="Arial Narrow"/>
                <w:sz w:val="20"/>
                <w:szCs w:val="20"/>
              </w:rPr>
              <w:t xml:space="preserve"> </w:t>
            </w:r>
          </w:p>
        </w:tc>
        <w:tc>
          <w:tcPr>
            <w:tcW w:w="1186" w:type="dxa"/>
            <w:tcBorders>
              <w:top w:val="single" w:sz="4" w:space="0" w:color="auto"/>
              <w:left w:val="single" w:sz="4" w:space="0" w:color="auto"/>
              <w:bottom w:val="single" w:sz="4" w:space="0" w:color="auto"/>
              <w:right w:val="single" w:sz="4" w:space="0" w:color="auto"/>
            </w:tcBorders>
            <w:vAlign w:val="center"/>
          </w:tcPr>
          <w:p w14:paraId="683DE13E" w14:textId="2046A564"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17</w:t>
            </w:r>
            <w:r w:rsidR="00002B7E" w:rsidRPr="00705E61">
              <w:rPr>
                <w:rFonts w:ascii="Arial Narrow" w:hAnsi="Arial Narrow"/>
                <w:sz w:val="20"/>
                <w:szCs w:val="20"/>
              </w:rPr>
              <w:t xml:space="preserve"> </w:t>
            </w:r>
          </w:p>
        </w:tc>
        <w:tc>
          <w:tcPr>
            <w:tcW w:w="1821" w:type="dxa"/>
            <w:tcBorders>
              <w:top w:val="single" w:sz="4" w:space="0" w:color="auto"/>
              <w:left w:val="single" w:sz="4" w:space="0" w:color="auto"/>
              <w:bottom w:val="single" w:sz="4" w:space="0" w:color="auto"/>
              <w:right w:val="single" w:sz="4" w:space="0" w:color="auto"/>
            </w:tcBorders>
            <w:vAlign w:val="center"/>
          </w:tcPr>
          <w:p w14:paraId="28F6EC4E" w14:textId="5143B855"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14.49</w:t>
            </w:r>
            <w:r w:rsidR="00002B7E" w:rsidRPr="00705E61">
              <w:rPr>
                <w:rFonts w:ascii="Arial Narrow" w:hAnsi="Arial Narrow"/>
                <w:sz w:val="20"/>
                <w:szCs w:val="20"/>
              </w:rPr>
              <w:t xml:space="preserve"> </w:t>
            </w:r>
          </w:p>
        </w:tc>
        <w:tc>
          <w:tcPr>
            <w:tcW w:w="776" w:type="dxa"/>
            <w:tcBorders>
              <w:top w:val="single" w:sz="4" w:space="0" w:color="auto"/>
              <w:left w:val="single" w:sz="4" w:space="0" w:color="auto"/>
              <w:bottom w:val="single" w:sz="4" w:space="0" w:color="auto"/>
              <w:right w:val="single" w:sz="4" w:space="0" w:color="auto"/>
            </w:tcBorders>
            <w:vAlign w:val="center"/>
          </w:tcPr>
          <w:p w14:paraId="23D42B94" w14:textId="2E0367E7"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34</w:t>
            </w:r>
            <w:r w:rsidR="00002B7E" w:rsidRPr="00705E61">
              <w:rPr>
                <w:rFonts w:ascii="Arial Narrow" w:hAnsi="Arial Narrow"/>
                <w:sz w:val="20"/>
                <w:szCs w:val="20"/>
              </w:rPr>
              <w:t xml:space="preserve"> </w:t>
            </w:r>
          </w:p>
        </w:tc>
        <w:tc>
          <w:tcPr>
            <w:tcW w:w="1200" w:type="dxa"/>
            <w:tcBorders>
              <w:top w:val="single" w:sz="4" w:space="0" w:color="auto"/>
              <w:left w:val="single" w:sz="4" w:space="0" w:color="auto"/>
              <w:bottom w:val="single" w:sz="4" w:space="0" w:color="auto"/>
              <w:right w:val="single" w:sz="4" w:space="0" w:color="auto"/>
            </w:tcBorders>
            <w:vAlign w:val="center"/>
          </w:tcPr>
          <w:p w14:paraId="1D988BEF" w14:textId="53B5C649"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8</w:t>
            </w:r>
            <w:r w:rsidR="00002B7E" w:rsidRPr="00705E61">
              <w:rPr>
                <w:rFonts w:ascii="Arial Narrow" w:hAnsi="Arial Narrow"/>
                <w:sz w:val="20"/>
                <w:szCs w:val="20"/>
              </w:rPr>
              <w:t xml:space="preserve"> </w:t>
            </w:r>
          </w:p>
        </w:tc>
        <w:tc>
          <w:tcPr>
            <w:tcW w:w="1590" w:type="dxa"/>
            <w:tcBorders>
              <w:top w:val="single" w:sz="4" w:space="0" w:color="auto"/>
              <w:left w:val="single" w:sz="4" w:space="0" w:color="auto"/>
              <w:bottom w:val="single" w:sz="4" w:space="0" w:color="auto"/>
              <w:right w:val="single" w:sz="4" w:space="0" w:color="auto"/>
            </w:tcBorders>
            <w:vAlign w:val="center"/>
          </w:tcPr>
          <w:p w14:paraId="003D0806" w14:textId="7944D52A"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NE</w:t>
            </w:r>
          </w:p>
        </w:tc>
        <w:tc>
          <w:tcPr>
            <w:tcW w:w="1680" w:type="dxa"/>
            <w:tcBorders>
              <w:top w:val="single" w:sz="4" w:space="0" w:color="auto"/>
              <w:left w:val="single" w:sz="4" w:space="0" w:color="auto"/>
              <w:bottom w:val="single" w:sz="4" w:space="0" w:color="auto"/>
              <w:right w:val="single" w:sz="4" w:space="0" w:color="auto"/>
            </w:tcBorders>
            <w:vAlign w:val="center"/>
          </w:tcPr>
          <w:p w14:paraId="40698A7F" w14:textId="7F84AF4A" w:rsidR="00E120DC" w:rsidRPr="001A5046" w:rsidRDefault="00E120DC" w:rsidP="00620847">
            <w:pPr>
              <w:keepNext/>
              <w:jc w:val="center"/>
              <w:rPr>
                <w:rFonts w:ascii="Arial Narrow" w:hAnsi="Arial Narrow"/>
                <w:sz w:val="20"/>
                <w:szCs w:val="20"/>
              </w:rPr>
            </w:pPr>
            <w:r w:rsidRPr="001A5046">
              <w:rPr>
                <w:rFonts w:ascii="Arial Narrow" w:hAnsi="Arial Narrow"/>
                <w:sz w:val="20"/>
                <w:szCs w:val="20"/>
              </w:rPr>
              <w:t>1.06</w:t>
            </w:r>
            <w:r w:rsidR="00002B7E" w:rsidRPr="001A5046">
              <w:rPr>
                <w:rFonts w:ascii="Arial Narrow" w:hAnsi="Arial Narrow"/>
                <w:sz w:val="20"/>
                <w:szCs w:val="20"/>
              </w:rPr>
              <w:t xml:space="preserve"> </w:t>
            </w:r>
            <w:r w:rsidR="00002B7E" w:rsidRPr="001A5046">
              <w:rPr>
                <w:rFonts w:ascii="Arial Narrow" w:hAnsi="Arial Narrow"/>
                <w:sz w:val="20"/>
                <w:szCs w:val="20"/>
                <w:vertAlign w:val="superscript"/>
              </w:rPr>
              <w:t>1</w:t>
            </w:r>
            <w:r w:rsidRPr="001A5046">
              <w:rPr>
                <w:rFonts w:ascii="Arial Narrow" w:hAnsi="Arial Narrow"/>
                <w:sz w:val="20"/>
                <w:szCs w:val="20"/>
              </w:rPr>
              <w:t>(0.45, 2.47)</w:t>
            </w:r>
          </w:p>
        </w:tc>
      </w:tr>
    </w:tbl>
    <w:p w14:paraId="26313F44" w14:textId="641DC393" w:rsidR="00E120DC" w:rsidRPr="00E120DC" w:rsidRDefault="00E120DC" w:rsidP="00E120DC">
      <w:pPr>
        <w:pStyle w:val="FooterTableFigure"/>
        <w:keepNext/>
        <w:rPr>
          <w:rFonts w:eastAsia="Calibri"/>
        </w:rPr>
      </w:pPr>
      <w:r w:rsidRPr="004767D4">
        <w:rPr>
          <w:rFonts w:eastAsia="Calibri"/>
        </w:rPr>
        <w:t>Source:</w:t>
      </w:r>
      <w:r w:rsidRPr="00E120DC">
        <w:t xml:space="preserve"> </w:t>
      </w:r>
      <w:r w:rsidRPr="009F70B1">
        <w:t>XL184-311 CSR Addendum 1. Figure 9, p44.</w:t>
      </w:r>
      <w:r w:rsidRPr="00E120DC">
        <w:rPr>
          <w:rFonts w:eastAsia="Calibri"/>
        </w:rPr>
        <w:t xml:space="preserve"> </w:t>
      </w:r>
    </w:p>
    <w:p w14:paraId="4A54E2FA" w14:textId="779C87BF" w:rsidR="00E120DC" w:rsidRPr="004767D4" w:rsidRDefault="00E120DC" w:rsidP="00E120DC">
      <w:pPr>
        <w:pStyle w:val="FooterTableFigure"/>
        <w:keepNext/>
        <w:rPr>
          <w:rFonts w:eastAsia="Calibri"/>
        </w:rPr>
      </w:pPr>
      <w:r>
        <w:rPr>
          <w:rFonts w:eastAsia="Calibri"/>
        </w:rPr>
        <w:t xml:space="preserve">CRF = case form report; </w:t>
      </w:r>
      <w:r w:rsidRPr="00A54DD7">
        <w:rPr>
          <w:rFonts w:eastAsia="Calibri"/>
        </w:rPr>
        <w:t>CI</w:t>
      </w:r>
      <w:r>
        <w:rPr>
          <w:rFonts w:eastAsia="Calibri"/>
        </w:rPr>
        <w:t>=</w:t>
      </w:r>
      <w:r w:rsidRPr="00A54DD7">
        <w:rPr>
          <w:rFonts w:eastAsia="Calibri"/>
        </w:rPr>
        <w:t xml:space="preserve"> confidence interval; HR</w:t>
      </w:r>
      <w:r>
        <w:rPr>
          <w:rFonts w:eastAsia="Calibri"/>
        </w:rPr>
        <w:t>=</w:t>
      </w:r>
      <w:r w:rsidRPr="00A54DD7">
        <w:rPr>
          <w:rFonts w:eastAsia="Calibri"/>
        </w:rPr>
        <w:t xml:space="preserve"> hazard ratio</w:t>
      </w:r>
      <w:r>
        <w:rPr>
          <w:rFonts w:eastAsia="Calibri"/>
        </w:rPr>
        <w:t xml:space="preserve">; ITT = intent to treat; OS = overall survival. </w:t>
      </w:r>
    </w:p>
    <w:p w14:paraId="35947167" w14:textId="6AD4343E" w:rsidR="00E120DC" w:rsidRDefault="00E120DC" w:rsidP="00E120DC">
      <w:pPr>
        <w:pStyle w:val="FooterTableFigure"/>
        <w:rPr>
          <w:rFonts w:eastAsia="Calibri"/>
        </w:rPr>
      </w:pPr>
      <w:r>
        <w:rPr>
          <w:rFonts w:eastAsia="Calibri"/>
        </w:rPr>
        <w:t>a</w:t>
      </w:r>
      <w:r w:rsidRPr="004767D4">
        <w:rPr>
          <w:rFonts w:eastAsia="Calibri"/>
        </w:rPr>
        <w:t xml:space="preserve"> HR and 95% CI were estimated from the Cox proportional-hazard unstratified model. HR &lt; 1 indicates </w:t>
      </w:r>
      <w:r>
        <w:rPr>
          <w:rFonts w:eastAsia="Calibri"/>
        </w:rPr>
        <w:t>OS</w:t>
      </w:r>
      <w:r w:rsidRPr="004767D4">
        <w:rPr>
          <w:rFonts w:eastAsia="Calibri"/>
        </w:rPr>
        <w:t xml:space="preserve"> in favour of cabozantinib.</w:t>
      </w:r>
    </w:p>
    <w:p w14:paraId="1ACF5B6E" w14:textId="77777777" w:rsidR="00E120DC" w:rsidRDefault="00E120DC" w:rsidP="00E120DC">
      <w:pPr>
        <w:pStyle w:val="FooterTableFigure"/>
        <w:rPr>
          <w:rFonts w:eastAsia="Calibri"/>
        </w:rPr>
      </w:pPr>
      <w:r>
        <w:rPr>
          <w:rFonts w:eastAsia="Calibri"/>
        </w:rPr>
        <w:t>b Patients could have received prior lenvatinib or lenvatinib and sorafenib</w:t>
      </w:r>
    </w:p>
    <w:p w14:paraId="1FF34ABA" w14:textId="77777777" w:rsidR="00E120DC" w:rsidRDefault="00E120DC" w:rsidP="00E120DC">
      <w:pPr>
        <w:pStyle w:val="FooterTableFigure"/>
        <w:rPr>
          <w:rFonts w:eastAsia="Calibri"/>
        </w:rPr>
      </w:pPr>
      <w:r>
        <w:rPr>
          <w:rFonts w:eastAsia="Calibri"/>
        </w:rPr>
        <w:t xml:space="preserve">c Patients could have received prior sorafenib only </w:t>
      </w:r>
    </w:p>
    <w:p w14:paraId="53868B26" w14:textId="77777777" w:rsidR="00E120DC" w:rsidRDefault="00E120DC" w:rsidP="00E120DC">
      <w:pPr>
        <w:pStyle w:val="FooterTableFigure"/>
        <w:rPr>
          <w:rFonts w:eastAsia="Calibri"/>
        </w:rPr>
      </w:pPr>
      <w:r>
        <w:rPr>
          <w:rFonts w:eastAsia="Calibri"/>
        </w:rPr>
        <w:t>d Patients could have received prior sorafenib or lenvatinib and sorafenib</w:t>
      </w:r>
    </w:p>
    <w:p w14:paraId="2D4FF7E3" w14:textId="1B283140" w:rsidR="00B03E8B" w:rsidRPr="004767D4" w:rsidRDefault="00E120DC" w:rsidP="004767D4">
      <w:pPr>
        <w:pStyle w:val="FooterTableFigure"/>
        <w:rPr>
          <w:rFonts w:eastAsia="Calibri"/>
        </w:rPr>
      </w:pPr>
      <w:r>
        <w:rPr>
          <w:rFonts w:eastAsia="Calibri"/>
        </w:rPr>
        <w:t>e Patients could have received prior lenvatinib only</w:t>
      </w:r>
    </w:p>
    <w:p w14:paraId="54D6BB80" w14:textId="3234968A" w:rsidR="00E120DC" w:rsidRPr="0023484B" w:rsidRDefault="00E120DC" w:rsidP="00E120DC">
      <w:pPr>
        <w:pStyle w:val="3-BodyText"/>
        <w:keepLines/>
        <w:widowControl w:val="0"/>
        <w:rPr>
          <w:rFonts w:eastAsiaTheme="majorEastAsia"/>
        </w:rPr>
      </w:pPr>
      <w:r>
        <w:rPr>
          <w:rFonts w:eastAsiaTheme="majorEastAsia"/>
        </w:rPr>
        <w:t xml:space="preserve">The PFS </w:t>
      </w:r>
      <w:r w:rsidR="00985104">
        <w:rPr>
          <w:rFonts w:eastAsiaTheme="majorEastAsia"/>
        </w:rPr>
        <w:t>HR</w:t>
      </w:r>
      <w:r w:rsidR="00015B4E">
        <w:rPr>
          <w:rFonts w:eastAsiaTheme="majorEastAsia"/>
        </w:rPr>
        <w:t xml:space="preserve"> </w:t>
      </w:r>
      <w:r>
        <w:rPr>
          <w:rFonts w:eastAsiaTheme="majorEastAsia"/>
        </w:rPr>
        <w:t xml:space="preserve">for the subgroup of patients who had received prior lenvatinib only (i.e. the base case population in the economic model) was 0.28 (95% CI: 0.16, 0.48). </w:t>
      </w:r>
    </w:p>
    <w:p w14:paraId="29C14143" w14:textId="35A68C9B" w:rsidR="00B76395" w:rsidRPr="0023484B" w:rsidRDefault="000A29B4" w:rsidP="00155A55">
      <w:pPr>
        <w:pStyle w:val="3-BodyText"/>
        <w:rPr>
          <w:rFonts w:ascii="Calibri" w:hAnsi="Calibri"/>
        </w:rPr>
      </w:pPr>
      <w:r w:rsidRPr="0023484B">
        <w:rPr>
          <w:rFonts w:eastAsiaTheme="majorEastAsia"/>
        </w:rPr>
        <w:lastRenderedPageBreak/>
        <w:t xml:space="preserve">The </w:t>
      </w:r>
      <w:r w:rsidR="00016F8C" w:rsidRPr="0023484B">
        <w:rPr>
          <w:rFonts w:eastAsiaTheme="majorEastAsia"/>
        </w:rPr>
        <w:t>overall survival</w:t>
      </w:r>
      <w:r w:rsidRPr="0023484B">
        <w:rPr>
          <w:rFonts w:eastAsiaTheme="majorEastAsia"/>
        </w:rPr>
        <w:t xml:space="preserve"> </w:t>
      </w:r>
      <w:r w:rsidR="00985104">
        <w:rPr>
          <w:rFonts w:eastAsiaTheme="majorEastAsia"/>
        </w:rPr>
        <w:t>HR</w:t>
      </w:r>
      <w:r w:rsidR="00015B4E" w:rsidRPr="0023484B">
        <w:rPr>
          <w:rFonts w:eastAsiaTheme="majorEastAsia"/>
        </w:rPr>
        <w:t xml:space="preserve"> </w:t>
      </w:r>
      <w:r w:rsidR="00E120DC">
        <w:rPr>
          <w:rFonts w:eastAsiaTheme="majorEastAsia"/>
        </w:rPr>
        <w:t xml:space="preserve">for the subgroup of patients who had received prior lenvatinib only (i.e. the base case population in the economic model) </w:t>
      </w:r>
      <w:r w:rsidRPr="0023484B">
        <w:rPr>
          <w:rFonts w:eastAsiaTheme="majorEastAsia"/>
        </w:rPr>
        <w:t xml:space="preserve">was </w:t>
      </w:r>
      <w:r w:rsidR="00A37601" w:rsidRPr="0023484B">
        <w:rPr>
          <w:rFonts w:eastAsiaTheme="majorEastAsia"/>
        </w:rPr>
        <w:t>1.06 (</w:t>
      </w:r>
      <w:r w:rsidR="00E120DC">
        <w:rPr>
          <w:rFonts w:eastAsiaTheme="majorEastAsia"/>
        </w:rPr>
        <w:t xml:space="preserve">95% CI: </w:t>
      </w:r>
      <w:r w:rsidR="00A37601" w:rsidRPr="0023484B">
        <w:rPr>
          <w:rFonts w:eastAsiaTheme="majorEastAsia"/>
        </w:rPr>
        <w:t>0.45, 2.47)</w:t>
      </w:r>
      <w:r w:rsidR="002C3D37" w:rsidRPr="0023484B">
        <w:rPr>
          <w:rFonts w:eastAsiaTheme="majorEastAsia"/>
        </w:rPr>
        <w:t>.</w:t>
      </w:r>
    </w:p>
    <w:p w14:paraId="3863547F" w14:textId="7CDBE4AA" w:rsidR="00FC7FBD" w:rsidRPr="00FC7FBD" w:rsidRDefault="00FC7FBD" w:rsidP="00180F22">
      <w:pPr>
        <w:spacing w:after="120"/>
        <w:rPr>
          <w:u w:val="single"/>
        </w:rPr>
      </w:pPr>
      <w:r w:rsidRPr="00FC7FBD">
        <w:rPr>
          <w:u w:val="single"/>
        </w:rPr>
        <w:t>Adjustment for treatment switching</w:t>
      </w:r>
    </w:p>
    <w:p w14:paraId="07B4D6F8" w14:textId="24A66D6E" w:rsidR="0097078A" w:rsidRPr="0097078A" w:rsidRDefault="50D3EA23" w:rsidP="002770A3">
      <w:pPr>
        <w:pStyle w:val="3-BodyText"/>
        <w:rPr>
          <w:i/>
          <w:iCs/>
        </w:rPr>
      </w:pPr>
      <w:r w:rsidRPr="0564460C">
        <w:rPr>
          <w:rFonts w:eastAsiaTheme="majorEastAsia"/>
        </w:rPr>
        <w:t xml:space="preserve">The submission </w:t>
      </w:r>
      <w:r w:rsidR="00846727">
        <w:rPr>
          <w:rFonts w:eastAsiaTheme="majorEastAsia"/>
        </w:rPr>
        <w:t>used</w:t>
      </w:r>
      <w:r w:rsidRPr="0564460C">
        <w:rPr>
          <w:rFonts w:eastAsiaTheme="majorEastAsia"/>
        </w:rPr>
        <w:t xml:space="preserve"> the Rank-Preserving Structural Failure Time (RPSFT) method</w:t>
      </w:r>
      <w:r w:rsidR="4CF6FB3F" w:rsidRPr="0564460C">
        <w:rPr>
          <w:rFonts w:eastAsiaTheme="majorEastAsia"/>
        </w:rPr>
        <w:t xml:space="preserve"> to </w:t>
      </w:r>
      <w:r w:rsidR="00593983">
        <w:rPr>
          <w:rFonts w:eastAsiaTheme="majorEastAsia"/>
        </w:rPr>
        <w:t xml:space="preserve">adjust </w:t>
      </w:r>
      <w:r w:rsidR="00846727">
        <w:rPr>
          <w:rFonts w:eastAsiaTheme="majorEastAsia"/>
        </w:rPr>
        <w:t xml:space="preserve">the overall survival results </w:t>
      </w:r>
      <w:r w:rsidR="00593983">
        <w:rPr>
          <w:rFonts w:eastAsiaTheme="majorEastAsia"/>
        </w:rPr>
        <w:t>for</w:t>
      </w:r>
      <w:r w:rsidR="00593983" w:rsidRPr="0564460C">
        <w:rPr>
          <w:rFonts w:eastAsiaTheme="majorEastAsia"/>
        </w:rPr>
        <w:t xml:space="preserve"> </w:t>
      </w:r>
      <w:r w:rsidR="4CF6FB3F" w:rsidRPr="0564460C">
        <w:rPr>
          <w:rFonts w:eastAsiaTheme="majorEastAsia"/>
        </w:rPr>
        <w:t xml:space="preserve">patients in the placebo arm crossing over to </w:t>
      </w:r>
      <w:r w:rsidR="4CF6FB3F">
        <w:t xml:space="preserve">treatment with open-label cabozantinib following </w:t>
      </w:r>
      <w:r w:rsidR="40A9A119">
        <w:t>progression</w:t>
      </w:r>
      <w:r w:rsidRPr="0564460C">
        <w:rPr>
          <w:rFonts w:eastAsiaTheme="majorEastAsia"/>
        </w:rPr>
        <w:t xml:space="preserve">. </w:t>
      </w:r>
    </w:p>
    <w:p w14:paraId="6796DFC5" w14:textId="641C3A08" w:rsidR="0097078A" w:rsidRPr="0097078A" w:rsidRDefault="50D3EA23" w:rsidP="002770A3">
      <w:pPr>
        <w:pStyle w:val="3-BodyText"/>
        <w:rPr>
          <w:i/>
          <w:iCs/>
        </w:rPr>
      </w:pPr>
      <w:r w:rsidRPr="0564460C">
        <w:rPr>
          <w:rFonts w:eastAsiaTheme="majorEastAsia"/>
        </w:rPr>
        <w:t xml:space="preserve">The </w:t>
      </w:r>
      <w:r w:rsidR="0DB85F9D" w:rsidRPr="0564460C">
        <w:rPr>
          <w:rFonts w:eastAsiaTheme="majorEastAsia"/>
        </w:rPr>
        <w:t xml:space="preserve">submission argued that the </w:t>
      </w:r>
      <w:r w:rsidRPr="0564460C">
        <w:rPr>
          <w:rFonts w:eastAsiaTheme="majorEastAsia"/>
        </w:rPr>
        <w:t xml:space="preserve">choice of </w:t>
      </w:r>
      <w:r w:rsidR="40A9A119" w:rsidRPr="0564460C">
        <w:rPr>
          <w:rFonts w:eastAsiaTheme="majorEastAsia"/>
        </w:rPr>
        <w:t xml:space="preserve">the RPSFT </w:t>
      </w:r>
      <w:r w:rsidRPr="0564460C">
        <w:rPr>
          <w:rFonts w:eastAsiaTheme="majorEastAsia"/>
        </w:rPr>
        <w:t xml:space="preserve">approach was supported by a </w:t>
      </w:r>
      <w:r w:rsidR="512F329D" w:rsidRPr="0564460C">
        <w:rPr>
          <w:rFonts w:eastAsiaTheme="majorEastAsia"/>
        </w:rPr>
        <w:t>National Institute for Health and Care Excellence (</w:t>
      </w:r>
      <w:r w:rsidRPr="0564460C">
        <w:rPr>
          <w:rFonts w:eastAsiaTheme="majorEastAsia"/>
        </w:rPr>
        <w:t>NICE</w:t>
      </w:r>
      <w:r w:rsidR="512F329D" w:rsidRPr="0564460C">
        <w:rPr>
          <w:rFonts w:eastAsiaTheme="majorEastAsia"/>
        </w:rPr>
        <w:t>)</w:t>
      </w:r>
      <w:r w:rsidRPr="0564460C">
        <w:rPr>
          <w:rFonts w:eastAsiaTheme="majorEastAsia"/>
        </w:rPr>
        <w:t xml:space="preserve"> </w:t>
      </w:r>
      <w:r w:rsidR="00713CEF">
        <w:rPr>
          <w:rFonts w:eastAsiaTheme="majorEastAsia"/>
        </w:rPr>
        <w:t xml:space="preserve">technology </w:t>
      </w:r>
      <w:r w:rsidRPr="0564460C">
        <w:rPr>
          <w:rFonts w:eastAsiaTheme="majorEastAsia"/>
        </w:rPr>
        <w:t xml:space="preserve">appraisal </w:t>
      </w:r>
      <w:r w:rsidR="00713CEF">
        <w:rPr>
          <w:rFonts w:eastAsiaTheme="majorEastAsia"/>
        </w:rPr>
        <w:t xml:space="preserve">guidance </w:t>
      </w:r>
      <w:r w:rsidRPr="0564460C">
        <w:rPr>
          <w:rFonts w:eastAsiaTheme="majorEastAsia"/>
        </w:rPr>
        <w:t>(2018)</w:t>
      </w:r>
      <w:r w:rsidR="00180F22">
        <w:rPr>
          <w:rFonts w:eastAsiaTheme="majorEastAsia"/>
        </w:rPr>
        <w:t xml:space="preserve"> </w:t>
      </w:r>
      <w:r>
        <w:t xml:space="preserve">and the potential for bias when the proportion of placebo </w:t>
      </w:r>
      <w:r w:rsidR="00B82455">
        <w:t xml:space="preserve">arm </w:t>
      </w:r>
      <w:r>
        <w:t xml:space="preserve">patients who switched </w:t>
      </w:r>
      <w:r w:rsidR="006F7812">
        <w:t xml:space="preserve">was </w:t>
      </w:r>
      <w:r>
        <w:t>high.</w:t>
      </w:r>
    </w:p>
    <w:p w14:paraId="6F9EB99F" w14:textId="1472ABAA" w:rsidR="00FC7FBD" w:rsidRDefault="40A9A119" w:rsidP="002770A3">
      <w:pPr>
        <w:pStyle w:val="3-BodyText"/>
        <w:rPr>
          <w:i/>
          <w:iCs/>
        </w:rPr>
      </w:pPr>
      <w:r>
        <w:t xml:space="preserve">The submission also provided the results of applying </w:t>
      </w:r>
      <w:r w:rsidR="43558E62">
        <w:t xml:space="preserve">the </w:t>
      </w:r>
      <w:r w:rsidR="0DB85F9D">
        <w:t xml:space="preserve">two-stage method and </w:t>
      </w:r>
      <w:r w:rsidR="00180F22">
        <w:t>the inverse probability of censoring weights (</w:t>
      </w:r>
      <w:r w:rsidR="0DB85F9D">
        <w:t>IPCW</w:t>
      </w:r>
      <w:r w:rsidR="00180F22">
        <w:t>) method</w:t>
      </w:r>
      <w:r w:rsidR="50D3EA23" w:rsidRPr="0564460C">
        <w:rPr>
          <w:i/>
          <w:iCs/>
        </w:rPr>
        <w:t>.</w:t>
      </w:r>
      <w:r w:rsidR="4C5BEAFA" w:rsidRPr="0564460C">
        <w:rPr>
          <w:i/>
          <w:iCs/>
        </w:rPr>
        <w:t xml:space="preserve"> </w:t>
      </w:r>
    </w:p>
    <w:p w14:paraId="5C7E353D" w14:textId="2D3270AB" w:rsidR="00823B07" w:rsidRPr="00E120DC" w:rsidRDefault="00683529" w:rsidP="002770A3">
      <w:pPr>
        <w:pStyle w:val="3-BodyText"/>
        <w:rPr>
          <w:i/>
          <w:iCs/>
        </w:rPr>
      </w:pPr>
      <w:r w:rsidRPr="0023484B">
        <w:fldChar w:fldCharType="begin" w:fldLock="1"/>
      </w:r>
      <w:r w:rsidRPr="0023484B">
        <w:instrText xml:space="preserve"> REF _Ref142651092 \h </w:instrText>
      </w:r>
      <w:r w:rsidR="0023484B" w:rsidRPr="0023484B">
        <w:instrText xml:space="preserve"> \* MERGEFORMAT </w:instrText>
      </w:r>
      <w:r w:rsidRPr="0023484B">
        <w:fldChar w:fldCharType="separate"/>
      </w:r>
      <w:r w:rsidR="008760F8">
        <w:t xml:space="preserve">Table </w:t>
      </w:r>
      <w:r w:rsidR="008760F8">
        <w:rPr>
          <w:noProof/>
        </w:rPr>
        <w:t>9</w:t>
      </w:r>
      <w:r w:rsidRPr="0023484B">
        <w:fldChar w:fldCharType="end"/>
      </w:r>
      <w:r w:rsidR="007E413C" w:rsidRPr="0023484B">
        <w:t xml:space="preserve"> </w:t>
      </w:r>
      <w:r w:rsidR="00823B07" w:rsidRPr="0023484B">
        <w:t xml:space="preserve">presents </w:t>
      </w:r>
      <w:r w:rsidR="00E843F1" w:rsidRPr="0023484B">
        <w:t xml:space="preserve">the </w:t>
      </w:r>
      <w:r w:rsidR="00BC4924" w:rsidRPr="0023484B">
        <w:t>estimated</w:t>
      </w:r>
      <w:r w:rsidR="003754B7" w:rsidRPr="0023484B">
        <w:t xml:space="preserve"> overall survival </w:t>
      </w:r>
      <w:r w:rsidR="001B76CF" w:rsidRPr="0023484B">
        <w:t xml:space="preserve">for the </w:t>
      </w:r>
      <w:r w:rsidR="00057204" w:rsidRPr="0023484B">
        <w:t>full ITT</w:t>
      </w:r>
      <w:r w:rsidR="001B76CF" w:rsidRPr="0023484B">
        <w:t xml:space="preserve"> population </w:t>
      </w:r>
      <w:r w:rsidR="003754B7" w:rsidRPr="0023484B">
        <w:t xml:space="preserve">in the COSMIC-311 trial and </w:t>
      </w:r>
      <w:r w:rsidR="00AF1E6C">
        <w:t xml:space="preserve">results </w:t>
      </w:r>
      <w:r w:rsidR="003754B7" w:rsidRPr="0023484B">
        <w:t>adjusted for cross-over</w:t>
      </w:r>
      <w:r w:rsidR="00783EBC" w:rsidRPr="0023484B">
        <w:t>.</w:t>
      </w:r>
      <w:r w:rsidR="001B76CF" w:rsidRPr="0023484B">
        <w:t xml:space="preserve"> </w:t>
      </w:r>
    </w:p>
    <w:p w14:paraId="01D8D1C8" w14:textId="4B59104F" w:rsidR="00823B07" w:rsidRPr="00823B07" w:rsidRDefault="00683529" w:rsidP="00683529">
      <w:pPr>
        <w:pStyle w:val="Caption"/>
        <w:rPr>
          <w:bCs w:val="0"/>
        </w:rPr>
      </w:pPr>
      <w:bookmarkStart w:id="42" w:name="_Ref142651092"/>
      <w:r>
        <w:lastRenderedPageBreak/>
        <w:t xml:space="preserve">Table </w:t>
      </w:r>
      <w:r>
        <w:fldChar w:fldCharType="begin" w:fldLock="1"/>
      </w:r>
      <w:r>
        <w:instrText>SEQ Table \* ARABIC</w:instrText>
      </w:r>
      <w:r>
        <w:fldChar w:fldCharType="separate"/>
      </w:r>
      <w:r w:rsidR="008760F8">
        <w:rPr>
          <w:noProof/>
        </w:rPr>
        <w:t>9</w:t>
      </w:r>
      <w:r>
        <w:fldChar w:fldCharType="end"/>
      </w:r>
      <w:bookmarkEnd w:id="42"/>
      <w:r>
        <w:rPr>
          <w:bCs w:val="0"/>
        </w:rPr>
        <w:t xml:space="preserve">: </w:t>
      </w:r>
      <w:r w:rsidR="00823B07">
        <w:rPr>
          <w:bCs w:val="0"/>
        </w:rPr>
        <w:t xml:space="preserve">Overall survival </w:t>
      </w:r>
      <w:r w:rsidR="00823B07" w:rsidRPr="00823B07">
        <w:rPr>
          <w:bCs w:val="0"/>
        </w:rPr>
        <w:t>in the COSMIC-311 trial</w:t>
      </w:r>
      <w:r w:rsidR="00823B07">
        <w:rPr>
          <w:bCs w:val="0"/>
        </w:rPr>
        <w:t xml:space="preserve"> and adjusted for cross-over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8"/>
        <w:gridCol w:w="1701"/>
        <w:gridCol w:w="1701"/>
        <w:gridCol w:w="1273"/>
        <w:gridCol w:w="1654"/>
      </w:tblGrid>
      <w:tr w:rsidR="00823B07" w:rsidRPr="00FE70C3" w14:paraId="18EDAE14" w14:textId="77777777" w:rsidTr="007D4611">
        <w:trPr>
          <w:cantSplit/>
          <w:tblHeader/>
        </w:trPr>
        <w:tc>
          <w:tcPr>
            <w:tcW w:w="1491" w:type="pct"/>
            <w:tcBorders>
              <w:bottom w:val="double" w:sz="4" w:space="0" w:color="auto"/>
            </w:tcBorders>
            <w:vAlign w:val="center"/>
          </w:tcPr>
          <w:p w14:paraId="75F49C20" w14:textId="77777777" w:rsidR="00823B07" w:rsidRPr="00FE70C3" w:rsidRDefault="00823B07" w:rsidP="002770A3">
            <w:pPr>
              <w:pStyle w:val="In-tableHeading"/>
              <w:jc w:val="center"/>
            </w:pPr>
          </w:p>
        </w:tc>
        <w:tc>
          <w:tcPr>
            <w:tcW w:w="943" w:type="pct"/>
            <w:tcBorders>
              <w:bottom w:val="double" w:sz="4" w:space="0" w:color="auto"/>
            </w:tcBorders>
            <w:vAlign w:val="center"/>
          </w:tcPr>
          <w:p w14:paraId="441679DA" w14:textId="77777777" w:rsidR="00823B07" w:rsidRDefault="00823B07" w:rsidP="002770A3">
            <w:pPr>
              <w:pStyle w:val="In-tableHeading"/>
              <w:jc w:val="center"/>
            </w:pPr>
            <w:r>
              <w:t>Cabozantinib</w:t>
            </w:r>
          </w:p>
          <w:p w14:paraId="2D4D8546" w14:textId="77777777" w:rsidR="00823B07" w:rsidRPr="00FE70C3" w:rsidRDefault="00823B07" w:rsidP="002770A3">
            <w:pPr>
              <w:pStyle w:val="In-tableHeading"/>
              <w:jc w:val="center"/>
            </w:pPr>
            <w:r w:rsidRPr="00FE70C3">
              <w:t xml:space="preserve"> n/N (%)</w:t>
            </w:r>
          </w:p>
        </w:tc>
        <w:tc>
          <w:tcPr>
            <w:tcW w:w="943" w:type="pct"/>
            <w:tcBorders>
              <w:bottom w:val="double" w:sz="4" w:space="0" w:color="auto"/>
            </w:tcBorders>
            <w:vAlign w:val="center"/>
          </w:tcPr>
          <w:p w14:paraId="11FEA98C" w14:textId="77777777" w:rsidR="00823B07" w:rsidRDefault="00823B07" w:rsidP="002770A3">
            <w:pPr>
              <w:pStyle w:val="In-tableHeading"/>
              <w:jc w:val="center"/>
            </w:pPr>
            <w:r>
              <w:t>Placebo</w:t>
            </w:r>
          </w:p>
          <w:p w14:paraId="71BB0E89" w14:textId="77777777" w:rsidR="00823B07" w:rsidRPr="00FE70C3" w:rsidRDefault="00823B07" w:rsidP="002770A3">
            <w:pPr>
              <w:pStyle w:val="In-tableHeading"/>
              <w:jc w:val="center"/>
            </w:pPr>
            <w:r w:rsidRPr="00FE70C3">
              <w:t xml:space="preserve"> n/N (%)</w:t>
            </w:r>
          </w:p>
        </w:tc>
        <w:tc>
          <w:tcPr>
            <w:tcW w:w="706" w:type="pct"/>
            <w:tcBorders>
              <w:bottom w:val="double" w:sz="4" w:space="0" w:color="auto"/>
            </w:tcBorders>
            <w:vAlign w:val="center"/>
          </w:tcPr>
          <w:p w14:paraId="3029A431" w14:textId="6523DEB5" w:rsidR="00823B07" w:rsidRPr="00FE70C3" w:rsidRDefault="007968B2" w:rsidP="002770A3">
            <w:pPr>
              <w:pStyle w:val="In-tableHeading"/>
              <w:jc w:val="center"/>
            </w:pPr>
            <w:r>
              <w:t>Mean difference</w:t>
            </w:r>
            <w:r w:rsidR="00121593">
              <w:t xml:space="preserve"> (months) </w:t>
            </w:r>
            <w:r>
              <w:t xml:space="preserve"> </w:t>
            </w:r>
          </w:p>
        </w:tc>
        <w:tc>
          <w:tcPr>
            <w:tcW w:w="916" w:type="pct"/>
            <w:tcBorders>
              <w:bottom w:val="double" w:sz="4" w:space="0" w:color="auto"/>
            </w:tcBorders>
            <w:vAlign w:val="center"/>
          </w:tcPr>
          <w:p w14:paraId="488CC08B" w14:textId="77777777" w:rsidR="00823B07" w:rsidRDefault="00823B07" w:rsidP="002770A3">
            <w:pPr>
              <w:pStyle w:val="In-tableHeading"/>
              <w:jc w:val="center"/>
            </w:pPr>
            <w:r w:rsidRPr="00FE70C3">
              <w:t>HR (95% CI)</w:t>
            </w:r>
            <w:r>
              <w:t xml:space="preserve"> </w:t>
            </w:r>
          </w:p>
          <w:p w14:paraId="5AC37F0B" w14:textId="77777777" w:rsidR="00823B07" w:rsidRPr="00FE70C3" w:rsidRDefault="00823B07" w:rsidP="002770A3">
            <w:pPr>
              <w:pStyle w:val="In-tableHeading"/>
              <w:jc w:val="center"/>
            </w:pPr>
            <w:r>
              <w:t>p-value</w:t>
            </w:r>
          </w:p>
        </w:tc>
      </w:tr>
      <w:tr w:rsidR="00823B07" w:rsidRPr="00FE70C3" w14:paraId="228D7080" w14:textId="77777777" w:rsidTr="002770A3">
        <w:trPr>
          <w:cantSplit/>
          <w:tblHeader/>
        </w:trPr>
        <w:tc>
          <w:tcPr>
            <w:tcW w:w="5000" w:type="pct"/>
            <w:gridSpan w:val="5"/>
            <w:tcBorders>
              <w:top w:val="double" w:sz="4" w:space="0" w:color="auto"/>
            </w:tcBorders>
            <w:vAlign w:val="center"/>
          </w:tcPr>
          <w:p w14:paraId="713BEA03" w14:textId="624502B9" w:rsidR="00823B07" w:rsidRDefault="00823B07" w:rsidP="002770A3">
            <w:pPr>
              <w:pStyle w:val="In-tableHeading"/>
            </w:pPr>
            <w:r>
              <w:t>Full ITT population at C</w:t>
            </w:r>
            <w:r w:rsidR="006F5252">
              <w:t>C</w:t>
            </w:r>
            <w:r>
              <w:t>O2</w:t>
            </w:r>
            <w:r w:rsidRPr="00460CED">
              <w:rPr>
                <w:vertAlign w:val="superscript"/>
              </w:rPr>
              <w:t>a</w:t>
            </w:r>
          </w:p>
        </w:tc>
      </w:tr>
      <w:tr w:rsidR="00823B07" w:rsidRPr="00FE70C3" w14:paraId="26ABAD32" w14:textId="77777777" w:rsidTr="007D4611">
        <w:trPr>
          <w:cantSplit/>
        </w:trPr>
        <w:tc>
          <w:tcPr>
            <w:tcW w:w="1491" w:type="pct"/>
            <w:vAlign w:val="center"/>
          </w:tcPr>
          <w:p w14:paraId="1FD61A75" w14:textId="77777777" w:rsidR="00823B07" w:rsidRPr="00FE70C3" w:rsidRDefault="00823B07" w:rsidP="002770A3">
            <w:pPr>
              <w:pStyle w:val="TableText0"/>
            </w:pPr>
            <w:r w:rsidRPr="007F5255">
              <w:t>Deaths, n/N (%)</w:t>
            </w:r>
          </w:p>
        </w:tc>
        <w:tc>
          <w:tcPr>
            <w:tcW w:w="943" w:type="pct"/>
            <w:vAlign w:val="center"/>
          </w:tcPr>
          <w:p w14:paraId="73C1B64B" w14:textId="7731C13A" w:rsidR="00823B07" w:rsidRPr="001A5046" w:rsidRDefault="00823B07" w:rsidP="002770A3">
            <w:pPr>
              <w:pStyle w:val="TableText0"/>
              <w:jc w:val="center"/>
            </w:pPr>
            <w:r w:rsidRPr="001A5046">
              <w:t xml:space="preserve">37/170 (22) </w:t>
            </w:r>
          </w:p>
        </w:tc>
        <w:tc>
          <w:tcPr>
            <w:tcW w:w="943" w:type="pct"/>
            <w:vAlign w:val="center"/>
          </w:tcPr>
          <w:p w14:paraId="697B5980" w14:textId="2D3A1A48" w:rsidR="00823B07" w:rsidRPr="001A5046" w:rsidRDefault="00823B07" w:rsidP="002770A3">
            <w:pPr>
              <w:pStyle w:val="TableText0"/>
              <w:jc w:val="center"/>
            </w:pPr>
            <w:r w:rsidRPr="001A5046">
              <w:t>21/88 (24)</w:t>
            </w:r>
          </w:p>
        </w:tc>
        <w:tc>
          <w:tcPr>
            <w:tcW w:w="706" w:type="pct"/>
            <w:vAlign w:val="center"/>
          </w:tcPr>
          <w:p w14:paraId="3C255FE3" w14:textId="77777777" w:rsidR="00823B07" w:rsidRPr="001A5046" w:rsidRDefault="00823B07" w:rsidP="002770A3">
            <w:pPr>
              <w:pStyle w:val="TableText0"/>
              <w:jc w:val="center"/>
            </w:pPr>
            <w:r w:rsidRPr="001A5046">
              <w:t>-</w:t>
            </w:r>
          </w:p>
        </w:tc>
        <w:tc>
          <w:tcPr>
            <w:tcW w:w="916" w:type="pct"/>
            <w:vAlign w:val="center"/>
          </w:tcPr>
          <w:p w14:paraId="00DC5FE2" w14:textId="07ECFDC1" w:rsidR="00823B07" w:rsidRPr="001A5046" w:rsidRDefault="00823B07" w:rsidP="002770A3">
            <w:pPr>
              <w:pStyle w:val="TableText0"/>
              <w:jc w:val="center"/>
            </w:pPr>
            <w:r w:rsidRPr="001A5046">
              <w:t>0.76 (0.45, 1.31)</w:t>
            </w:r>
            <w:r w:rsidR="001C798B" w:rsidRPr="001A5046">
              <w:t xml:space="preserve"> </w:t>
            </w:r>
            <w:r w:rsidR="007D4611" w:rsidRPr="001A5046">
              <w:rPr>
                <w:vertAlign w:val="superscript"/>
              </w:rPr>
              <w:t>b</w:t>
            </w:r>
          </w:p>
          <w:p w14:paraId="21572178" w14:textId="050972D3" w:rsidR="00823B07" w:rsidRPr="001A5046" w:rsidRDefault="00180F22" w:rsidP="002770A3">
            <w:pPr>
              <w:pStyle w:val="TableText0"/>
              <w:jc w:val="center"/>
            </w:pPr>
            <w:r w:rsidRPr="001A5046">
              <w:t>p</w:t>
            </w:r>
            <w:r w:rsidR="00823B07" w:rsidRPr="001A5046">
              <w:t>=0.3260</w:t>
            </w:r>
          </w:p>
        </w:tc>
      </w:tr>
      <w:tr w:rsidR="00BA2045" w:rsidRPr="00FE70C3" w14:paraId="4E40AD3B" w14:textId="77777777" w:rsidTr="007D4611">
        <w:trPr>
          <w:cantSplit/>
        </w:trPr>
        <w:tc>
          <w:tcPr>
            <w:tcW w:w="1491" w:type="pct"/>
            <w:vAlign w:val="center"/>
          </w:tcPr>
          <w:p w14:paraId="5E5D908F" w14:textId="609D29DB" w:rsidR="00BA2045" w:rsidRPr="007F5255" w:rsidRDefault="00BA2045" w:rsidP="00BA2045">
            <w:pPr>
              <w:pStyle w:val="TableText0"/>
            </w:pPr>
            <w:r w:rsidRPr="00FE70C3">
              <w:t>Median months OS (95% CI)</w:t>
            </w:r>
          </w:p>
        </w:tc>
        <w:tc>
          <w:tcPr>
            <w:tcW w:w="943" w:type="pct"/>
            <w:vAlign w:val="center"/>
          </w:tcPr>
          <w:p w14:paraId="467F964A" w14:textId="673E8EF6" w:rsidR="00BA2045" w:rsidRPr="001A5046" w:rsidRDefault="00BA2045" w:rsidP="00BA2045">
            <w:pPr>
              <w:pStyle w:val="TableText0"/>
              <w:jc w:val="center"/>
            </w:pPr>
            <w:r w:rsidRPr="001A5046">
              <w:t>19.4 (15.9, NE)</w:t>
            </w:r>
          </w:p>
        </w:tc>
        <w:tc>
          <w:tcPr>
            <w:tcW w:w="943" w:type="pct"/>
            <w:vAlign w:val="center"/>
          </w:tcPr>
          <w:p w14:paraId="27B574A5" w14:textId="3DD612AC" w:rsidR="00BA2045" w:rsidRPr="001A5046" w:rsidRDefault="00BA2045" w:rsidP="00BA2045">
            <w:pPr>
              <w:pStyle w:val="TableText0"/>
              <w:jc w:val="center"/>
            </w:pPr>
            <w:r w:rsidRPr="001A5046">
              <w:t>NE (NE, NE)</w:t>
            </w:r>
          </w:p>
        </w:tc>
        <w:tc>
          <w:tcPr>
            <w:tcW w:w="706" w:type="pct"/>
            <w:vAlign w:val="center"/>
          </w:tcPr>
          <w:p w14:paraId="774896A9" w14:textId="25EFAEE4" w:rsidR="00BA2045" w:rsidRPr="001A5046" w:rsidRDefault="007D4611" w:rsidP="00BA2045">
            <w:pPr>
              <w:pStyle w:val="TableText0"/>
              <w:jc w:val="center"/>
            </w:pPr>
            <w:r w:rsidRPr="001A5046">
              <w:t>-</w:t>
            </w:r>
          </w:p>
        </w:tc>
        <w:tc>
          <w:tcPr>
            <w:tcW w:w="916" w:type="pct"/>
            <w:vAlign w:val="center"/>
          </w:tcPr>
          <w:p w14:paraId="36C8BE7E" w14:textId="0E88BDF3" w:rsidR="00BA2045" w:rsidRPr="001A5046" w:rsidRDefault="007D4611" w:rsidP="00BA2045">
            <w:pPr>
              <w:pStyle w:val="TableText0"/>
              <w:jc w:val="center"/>
            </w:pPr>
            <w:r w:rsidRPr="001A5046">
              <w:t>-</w:t>
            </w:r>
          </w:p>
        </w:tc>
      </w:tr>
      <w:tr w:rsidR="007D4611" w:rsidRPr="00FE70C3" w14:paraId="65FAD0E1" w14:textId="77777777" w:rsidTr="007D4611">
        <w:trPr>
          <w:cantSplit/>
        </w:trPr>
        <w:tc>
          <w:tcPr>
            <w:tcW w:w="1491" w:type="pct"/>
            <w:vAlign w:val="center"/>
          </w:tcPr>
          <w:p w14:paraId="7C8510B2" w14:textId="3B63D949" w:rsidR="007D4611" w:rsidRPr="00FE70C3" w:rsidRDefault="007D4611" w:rsidP="00BA2045">
            <w:pPr>
              <w:pStyle w:val="TableText0"/>
            </w:pPr>
            <w:r>
              <w:t xml:space="preserve">Mean </w:t>
            </w:r>
            <w:r w:rsidRPr="00FE70C3">
              <w:t>months OS (95% CI)</w:t>
            </w:r>
            <w:r w:rsidR="00234568" w:rsidRPr="00234568">
              <w:rPr>
                <w:vertAlign w:val="superscript"/>
              </w:rPr>
              <w:t>e</w:t>
            </w:r>
          </w:p>
        </w:tc>
        <w:tc>
          <w:tcPr>
            <w:tcW w:w="943" w:type="pct"/>
            <w:vAlign w:val="center"/>
          </w:tcPr>
          <w:p w14:paraId="7733931D" w14:textId="3B228EFA" w:rsidR="007D4611" w:rsidRPr="001A5046" w:rsidRDefault="007D4611" w:rsidP="007D4611">
            <w:pPr>
              <w:pStyle w:val="TableText0"/>
              <w:jc w:val="center"/>
            </w:pPr>
            <w:r w:rsidRPr="001A5046">
              <w:t>37.58</w:t>
            </w:r>
          </w:p>
          <w:p w14:paraId="17DE7DFE" w14:textId="109FC3A3" w:rsidR="007D4611" w:rsidRPr="001A5046" w:rsidRDefault="007D4611" w:rsidP="007D4611">
            <w:pPr>
              <w:pStyle w:val="TableText0"/>
              <w:jc w:val="center"/>
            </w:pPr>
            <w:r w:rsidRPr="001A5046">
              <w:t>(27.08, 50.74)</w:t>
            </w:r>
          </w:p>
        </w:tc>
        <w:tc>
          <w:tcPr>
            <w:tcW w:w="943" w:type="pct"/>
            <w:vAlign w:val="center"/>
          </w:tcPr>
          <w:p w14:paraId="791B3AF6" w14:textId="5A260765" w:rsidR="007D4611" w:rsidRPr="001A5046" w:rsidRDefault="007D4611" w:rsidP="007D4611">
            <w:pPr>
              <w:jc w:val="center"/>
              <w:rPr>
                <w:rFonts w:ascii="Arial Narrow" w:eastAsiaTheme="majorEastAsia" w:hAnsi="Arial Narrow" w:cstheme="majorBidi"/>
                <w:bCs/>
                <w:sz w:val="20"/>
              </w:rPr>
            </w:pPr>
            <w:r w:rsidRPr="001A5046">
              <w:rPr>
                <w:rFonts w:ascii="Arial Narrow" w:eastAsiaTheme="majorEastAsia" w:hAnsi="Arial Narrow" w:cstheme="majorBidi"/>
                <w:bCs/>
                <w:sz w:val="20"/>
              </w:rPr>
              <w:t>30.45</w:t>
            </w:r>
          </w:p>
          <w:p w14:paraId="4D944088" w14:textId="24B1DDAA" w:rsidR="007D4611" w:rsidRPr="001A5046" w:rsidRDefault="007D4611" w:rsidP="007D4611">
            <w:pPr>
              <w:pStyle w:val="TableText0"/>
              <w:jc w:val="center"/>
            </w:pPr>
            <w:r w:rsidRPr="001A5046">
              <w:t>(20.89, 45.71)</w:t>
            </w:r>
          </w:p>
        </w:tc>
        <w:tc>
          <w:tcPr>
            <w:tcW w:w="706" w:type="pct"/>
            <w:vAlign w:val="center"/>
          </w:tcPr>
          <w:p w14:paraId="5BC13EDF" w14:textId="77777777" w:rsidR="008A1F8F" w:rsidRPr="001A5046" w:rsidRDefault="008A1F8F" w:rsidP="008A1F8F">
            <w:pPr>
              <w:pStyle w:val="TableText0"/>
              <w:jc w:val="center"/>
            </w:pPr>
            <w:r w:rsidRPr="001A5046">
              <w:t>7.13</w:t>
            </w:r>
          </w:p>
          <w:p w14:paraId="4B7C7148" w14:textId="26490E95" w:rsidR="008A1F8F" w:rsidRPr="001A5046" w:rsidRDefault="008A1F8F" w:rsidP="008A1F8F">
            <w:pPr>
              <w:pStyle w:val="TableText0"/>
              <w:jc w:val="center"/>
            </w:pPr>
            <w:r w:rsidRPr="001A5046">
              <w:t>(-10.01,24.27)</w:t>
            </w:r>
          </w:p>
        </w:tc>
        <w:tc>
          <w:tcPr>
            <w:tcW w:w="916" w:type="pct"/>
            <w:vAlign w:val="center"/>
          </w:tcPr>
          <w:p w14:paraId="0012A2C3" w14:textId="2EEBC4F5" w:rsidR="007D4611" w:rsidRPr="001A5046" w:rsidRDefault="007D4611" w:rsidP="00BA2045">
            <w:pPr>
              <w:pStyle w:val="TableText0"/>
              <w:jc w:val="center"/>
            </w:pPr>
            <w:r w:rsidRPr="001A5046">
              <w:t>-</w:t>
            </w:r>
          </w:p>
        </w:tc>
      </w:tr>
      <w:tr w:rsidR="00823B07" w:rsidRPr="00FE70C3" w14:paraId="0123B1D4" w14:textId="77777777" w:rsidTr="002770A3">
        <w:trPr>
          <w:cantSplit/>
          <w:tblHeader/>
        </w:trPr>
        <w:tc>
          <w:tcPr>
            <w:tcW w:w="5000" w:type="pct"/>
            <w:gridSpan w:val="5"/>
            <w:tcBorders>
              <w:top w:val="double" w:sz="4" w:space="0" w:color="auto"/>
            </w:tcBorders>
            <w:vAlign w:val="center"/>
          </w:tcPr>
          <w:p w14:paraId="205F3FEA" w14:textId="093B1A44" w:rsidR="00823B07" w:rsidRPr="001A5046" w:rsidRDefault="00823B07" w:rsidP="002770A3">
            <w:pPr>
              <w:pStyle w:val="In-tableHeading"/>
              <w:rPr>
                <w:rFonts w:cstheme="majorBidi"/>
                <w:b w:val="0"/>
                <w:bCs/>
                <w:lang w:val="en-AU"/>
              </w:rPr>
            </w:pPr>
            <w:r w:rsidRPr="001A5046">
              <w:rPr>
                <w:rFonts w:cstheme="majorBidi"/>
                <w:b w:val="0"/>
                <w:bCs/>
                <w:lang w:val="en-AU"/>
              </w:rPr>
              <w:t>Full ITT population at C</w:t>
            </w:r>
            <w:r w:rsidR="006F5252" w:rsidRPr="001A5046">
              <w:rPr>
                <w:rFonts w:cstheme="majorBidi"/>
                <w:b w:val="0"/>
                <w:bCs/>
                <w:lang w:val="en-AU"/>
              </w:rPr>
              <w:t>C</w:t>
            </w:r>
            <w:r w:rsidRPr="001A5046">
              <w:rPr>
                <w:rFonts w:cstheme="majorBidi"/>
                <w:b w:val="0"/>
                <w:bCs/>
                <w:lang w:val="en-AU"/>
              </w:rPr>
              <w:t xml:space="preserve">O2, adjusted using </w:t>
            </w:r>
            <w:proofErr w:type="spellStart"/>
            <w:r w:rsidRPr="001A5046">
              <w:rPr>
                <w:rFonts w:cstheme="majorBidi"/>
                <w:b w:val="0"/>
                <w:bCs/>
                <w:lang w:val="en-AU"/>
              </w:rPr>
              <w:t>RPSFT</w:t>
            </w:r>
            <w:r w:rsidR="007D4611" w:rsidRPr="001A5046">
              <w:rPr>
                <w:rFonts w:cstheme="majorBidi"/>
                <w:b w:val="0"/>
                <w:bCs/>
                <w:vertAlign w:val="superscript"/>
                <w:lang w:val="en-AU"/>
              </w:rPr>
              <w:t>c</w:t>
            </w:r>
            <w:proofErr w:type="spellEnd"/>
          </w:p>
        </w:tc>
      </w:tr>
      <w:tr w:rsidR="00823B07" w:rsidRPr="00FE70C3" w14:paraId="79201D6B" w14:textId="77777777" w:rsidTr="007D4611">
        <w:trPr>
          <w:cantSplit/>
        </w:trPr>
        <w:tc>
          <w:tcPr>
            <w:tcW w:w="1491" w:type="pct"/>
            <w:vAlign w:val="center"/>
          </w:tcPr>
          <w:p w14:paraId="5169BFDF" w14:textId="77777777" w:rsidR="00823B07" w:rsidRPr="00FE70C3" w:rsidRDefault="00823B07" w:rsidP="002770A3">
            <w:pPr>
              <w:pStyle w:val="TableText0"/>
            </w:pPr>
            <w:r w:rsidRPr="007F5255">
              <w:t>Deaths, n/N (%)</w:t>
            </w:r>
          </w:p>
        </w:tc>
        <w:tc>
          <w:tcPr>
            <w:tcW w:w="943" w:type="pct"/>
            <w:vAlign w:val="center"/>
          </w:tcPr>
          <w:p w14:paraId="60F2AE25" w14:textId="13517146" w:rsidR="00823B07" w:rsidRPr="001A5046" w:rsidRDefault="00D907A2" w:rsidP="007E0A4C">
            <w:pPr>
              <w:pStyle w:val="TableText0"/>
              <w:jc w:val="center"/>
            </w:pPr>
            <w:r w:rsidRPr="001A5046">
              <w:t>37</w:t>
            </w:r>
            <w:r w:rsidR="001730B6" w:rsidRPr="001A5046">
              <w:t>/170</w:t>
            </w:r>
            <w:r w:rsidRPr="001A5046">
              <w:t xml:space="preserve"> (22)</w:t>
            </w:r>
          </w:p>
        </w:tc>
        <w:tc>
          <w:tcPr>
            <w:tcW w:w="943" w:type="pct"/>
            <w:vAlign w:val="center"/>
          </w:tcPr>
          <w:p w14:paraId="590FA877" w14:textId="5DB2DAE6" w:rsidR="00823B07" w:rsidRPr="001A5046" w:rsidRDefault="00D907A2" w:rsidP="002770A3">
            <w:pPr>
              <w:pStyle w:val="TableText0"/>
              <w:jc w:val="center"/>
            </w:pPr>
            <w:r w:rsidRPr="001A5046">
              <w:t>21</w:t>
            </w:r>
            <w:r w:rsidR="001730B6" w:rsidRPr="001A5046">
              <w:t>/88</w:t>
            </w:r>
            <w:r w:rsidRPr="001A5046">
              <w:t xml:space="preserve"> (24)</w:t>
            </w:r>
          </w:p>
        </w:tc>
        <w:tc>
          <w:tcPr>
            <w:tcW w:w="706" w:type="pct"/>
            <w:vAlign w:val="center"/>
          </w:tcPr>
          <w:p w14:paraId="48BED411" w14:textId="50DFA7FC" w:rsidR="00823B07" w:rsidRPr="001A5046" w:rsidRDefault="001730B6" w:rsidP="002770A3">
            <w:pPr>
              <w:pStyle w:val="TableText0"/>
              <w:jc w:val="center"/>
            </w:pPr>
            <w:r w:rsidRPr="001A5046">
              <w:t>-</w:t>
            </w:r>
          </w:p>
        </w:tc>
        <w:tc>
          <w:tcPr>
            <w:tcW w:w="916" w:type="pct"/>
            <w:vAlign w:val="center"/>
          </w:tcPr>
          <w:p w14:paraId="659AA7B1" w14:textId="52D8DDBC" w:rsidR="00823B07" w:rsidRPr="001A5046" w:rsidRDefault="007D4611" w:rsidP="007D4611">
            <w:pPr>
              <w:pStyle w:val="TableText0"/>
              <w:jc w:val="center"/>
            </w:pPr>
            <w:r w:rsidRPr="001A5046">
              <w:t>0.65 (0.38, 1.13)</w:t>
            </w:r>
            <w:r w:rsidRPr="001A5046">
              <w:rPr>
                <w:vertAlign w:val="superscript"/>
              </w:rPr>
              <w:t xml:space="preserve"> b</w:t>
            </w:r>
          </w:p>
        </w:tc>
      </w:tr>
      <w:tr w:rsidR="00BA2045" w:rsidRPr="00FE70C3" w14:paraId="44AC7103" w14:textId="77777777" w:rsidTr="007D4611">
        <w:trPr>
          <w:cantSplit/>
        </w:trPr>
        <w:tc>
          <w:tcPr>
            <w:tcW w:w="1491" w:type="pct"/>
            <w:vAlign w:val="center"/>
          </w:tcPr>
          <w:p w14:paraId="5B5E89FD" w14:textId="4ACC7787" w:rsidR="00BA2045" w:rsidRPr="007F5255" w:rsidRDefault="00BA2045" w:rsidP="00BA2045">
            <w:pPr>
              <w:pStyle w:val="TableText0"/>
            </w:pPr>
            <w:r w:rsidRPr="00FE70C3">
              <w:t>Median months OS (95% CI)</w:t>
            </w:r>
          </w:p>
        </w:tc>
        <w:tc>
          <w:tcPr>
            <w:tcW w:w="943" w:type="pct"/>
            <w:vAlign w:val="center"/>
          </w:tcPr>
          <w:p w14:paraId="54E09470" w14:textId="211242FF" w:rsidR="00BA2045" w:rsidRPr="001A5046" w:rsidDel="00443395" w:rsidRDefault="00BA2045" w:rsidP="00BA2045">
            <w:pPr>
              <w:pStyle w:val="TableText0"/>
            </w:pPr>
            <w:r w:rsidRPr="001A5046">
              <w:t>19.4 (15.9, NE)</w:t>
            </w:r>
          </w:p>
        </w:tc>
        <w:tc>
          <w:tcPr>
            <w:tcW w:w="943" w:type="pct"/>
            <w:vAlign w:val="center"/>
          </w:tcPr>
          <w:p w14:paraId="46AB6B3F" w14:textId="54A0F904" w:rsidR="00BA2045" w:rsidRPr="001A5046" w:rsidRDefault="00BA2045" w:rsidP="00BA2045">
            <w:pPr>
              <w:pStyle w:val="TableText0"/>
              <w:jc w:val="center"/>
            </w:pPr>
            <w:r w:rsidRPr="001A5046">
              <w:t>NE (NE, NE)</w:t>
            </w:r>
          </w:p>
        </w:tc>
        <w:tc>
          <w:tcPr>
            <w:tcW w:w="706" w:type="pct"/>
            <w:vAlign w:val="center"/>
          </w:tcPr>
          <w:p w14:paraId="393E3291" w14:textId="77152A08" w:rsidR="00BA2045" w:rsidRPr="001A5046" w:rsidRDefault="007D4611" w:rsidP="00BA2045">
            <w:pPr>
              <w:pStyle w:val="TableText0"/>
              <w:jc w:val="center"/>
            </w:pPr>
            <w:r w:rsidRPr="001A5046">
              <w:t>-</w:t>
            </w:r>
          </w:p>
        </w:tc>
        <w:tc>
          <w:tcPr>
            <w:tcW w:w="916" w:type="pct"/>
            <w:vAlign w:val="center"/>
          </w:tcPr>
          <w:p w14:paraId="2226C6FC" w14:textId="01FA6082" w:rsidR="00BA2045" w:rsidRPr="001A5046" w:rsidRDefault="007D4611" w:rsidP="00BA2045">
            <w:pPr>
              <w:pStyle w:val="TableText0"/>
              <w:jc w:val="center"/>
            </w:pPr>
            <w:r w:rsidRPr="001A5046">
              <w:t>-</w:t>
            </w:r>
          </w:p>
        </w:tc>
      </w:tr>
      <w:tr w:rsidR="00107B4D" w:rsidRPr="00FE70C3" w14:paraId="6DB73A5A" w14:textId="77777777" w:rsidTr="007D4611">
        <w:trPr>
          <w:cantSplit/>
        </w:trPr>
        <w:tc>
          <w:tcPr>
            <w:tcW w:w="1491" w:type="pct"/>
            <w:vAlign w:val="center"/>
          </w:tcPr>
          <w:p w14:paraId="11B1E1CB" w14:textId="1EBCF8D4" w:rsidR="00107B4D" w:rsidRPr="007F5255" w:rsidRDefault="007D4611" w:rsidP="00107B4D">
            <w:pPr>
              <w:pStyle w:val="TableText0"/>
            </w:pPr>
            <w:r>
              <w:t xml:space="preserve">Mean </w:t>
            </w:r>
            <w:r w:rsidRPr="00FE70C3">
              <w:t>months OS (95% CI)</w:t>
            </w:r>
            <w:r w:rsidR="00234568" w:rsidRPr="00234568">
              <w:rPr>
                <w:vertAlign w:val="superscript"/>
              </w:rPr>
              <w:t xml:space="preserve"> e</w:t>
            </w:r>
          </w:p>
        </w:tc>
        <w:tc>
          <w:tcPr>
            <w:tcW w:w="943" w:type="pct"/>
            <w:vAlign w:val="center"/>
          </w:tcPr>
          <w:p w14:paraId="179C9238" w14:textId="16DF278A" w:rsidR="007D4611" w:rsidRPr="001A5046" w:rsidRDefault="007D4611" w:rsidP="007D4611">
            <w:pPr>
              <w:pStyle w:val="TableText0"/>
              <w:jc w:val="center"/>
            </w:pPr>
            <w:r w:rsidRPr="001A5046">
              <w:t>37.58</w:t>
            </w:r>
          </w:p>
          <w:p w14:paraId="702FEEF4" w14:textId="405AD146" w:rsidR="00107B4D" w:rsidRPr="001A5046" w:rsidRDefault="007D4611" w:rsidP="007D4611">
            <w:pPr>
              <w:pStyle w:val="TableText0"/>
              <w:jc w:val="center"/>
            </w:pPr>
            <w:r w:rsidRPr="001A5046">
              <w:t>(27.08, 50.74)</w:t>
            </w:r>
          </w:p>
        </w:tc>
        <w:tc>
          <w:tcPr>
            <w:tcW w:w="943" w:type="pct"/>
            <w:vAlign w:val="center"/>
          </w:tcPr>
          <w:p w14:paraId="21D00D76" w14:textId="21A3C8ED" w:rsidR="007D4611" w:rsidRPr="001A5046" w:rsidRDefault="007D4611" w:rsidP="007D4611">
            <w:pPr>
              <w:jc w:val="center"/>
              <w:rPr>
                <w:rFonts w:ascii="Arial Narrow" w:eastAsiaTheme="majorEastAsia" w:hAnsi="Arial Narrow" w:cstheme="majorBidi"/>
                <w:bCs/>
                <w:sz w:val="20"/>
              </w:rPr>
            </w:pPr>
            <w:r w:rsidRPr="001A5046">
              <w:rPr>
                <w:rFonts w:ascii="Arial Narrow" w:eastAsiaTheme="majorEastAsia" w:hAnsi="Arial Narrow" w:cstheme="majorBidi"/>
                <w:bCs/>
                <w:sz w:val="20"/>
              </w:rPr>
              <w:t xml:space="preserve"> 27.39</w:t>
            </w:r>
          </w:p>
          <w:p w14:paraId="79EEE80B" w14:textId="45A13917" w:rsidR="00107B4D" w:rsidRPr="001A5046" w:rsidRDefault="007D4611" w:rsidP="007D4611">
            <w:pPr>
              <w:pStyle w:val="TableText0"/>
              <w:jc w:val="center"/>
            </w:pPr>
            <w:r w:rsidRPr="001A5046">
              <w:t>(18.38, 41.15)</w:t>
            </w:r>
          </w:p>
        </w:tc>
        <w:tc>
          <w:tcPr>
            <w:tcW w:w="706" w:type="pct"/>
            <w:vAlign w:val="center"/>
          </w:tcPr>
          <w:p w14:paraId="736844E3" w14:textId="2EBD16B1" w:rsidR="001730B6" w:rsidRPr="001A5046" w:rsidRDefault="00121593" w:rsidP="00107B4D">
            <w:pPr>
              <w:pStyle w:val="TableText0"/>
              <w:jc w:val="center"/>
            </w:pPr>
            <w:r w:rsidRPr="001A5046">
              <w:t>10.19</w:t>
            </w:r>
          </w:p>
          <w:p w14:paraId="5D48F34B" w14:textId="6C1EFB71" w:rsidR="00107B4D" w:rsidRPr="001A5046" w:rsidRDefault="00121593" w:rsidP="00107B4D">
            <w:pPr>
              <w:pStyle w:val="TableText0"/>
              <w:jc w:val="center"/>
            </w:pPr>
            <w:r w:rsidRPr="001A5046">
              <w:t>(-6.95, 27.33)</w:t>
            </w:r>
          </w:p>
        </w:tc>
        <w:tc>
          <w:tcPr>
            <w:tcW w:w="916" w:type="pct"/>
            <w:vAlign w:val="center"/>
          </w:tcPr>
          <w:p w14:paraId="52AA637B" w14:textId="4CF5A1EC" w:rsidR="00107B4D" w:rsidRPr="001A5046" w:rsidRDefault="007D4611" w:rsidP="00107B4D">
            <w:pPr>
              <w:pStyle w:val="TableText0"/>
              <w:jc w:val="center"/>
            </w:pPr>
            <w:r w:rsidRPr="001A5046">
              <w:t>-</w:t>
            </w:r>
          </w:p>
        </w:tc>
      </w:tr>
      <w:tr w:rsidR="00107B4D" w:rsidRPr="00FE70C3" w14:paraId="5074E0B3" w14:textId="77777777" w:rsidTr="002770A3">
        <w:trPr>
          <w:cantSplit/>
          <w:tblHeader/>
        </w:trPr>
        <w:tc>
          <w:tcPr>
            <w:tcW w:w="5000" w:type="pct"/>
            <w:gridSpan w:val="5"/>
            <w:tcBorders>
              <w:top w:val="double" w:sz="4" w:space="0" w:color="auto"/>
            </w:tcBorders>
            <w:vAlign w:val="center"/>
          </w:tcPr>
          <w:p w14:paraId="0D855E07" w14:textId="16940E28" w:rsidR="00107B4D" w:rsidRPr="001A5046" w:rsidRDefault="00107B4D" w:rsidP="00107B4D">
            <w:pPr>
              <w:pStyle w:val="In-tableHeading"/>
              <w:rPr>
                <w:rFonts w:cstheme="majorBidi"/>
                <w:b w:val="0"/>
                <w:bCs/>
                <w:lang w:val="en-AU"/>
              </w:rPr>
            </w:pPr>
            <w:r w:rsidRPr="001A5046">
              <w:rPr>
                <w:rFonts w:cstheme="majorBidi"/>
                <w:b w:val="0"/>
                <w:bCs/>
                <w:lang w:val="en-AU"/>
              </w:rPr>
              <w:t>Full ITT population at C</w:t>
            </w:r>
            <w:r w:rsidR="006F5252" w:rsidRPr="001A5046">
              <w:rPr>
                <w:rFonts w:cstheme="majorBidi"/>
                <w:b w:val="0"/>
                <w:bCs/>
                <w:lang w:val="en-AU"/>
              </w:rPr>
              <w:t>C</w:t>
            </w:r>
            <w:r w:rsidRPr="001A5046">
              <w:rPr>
                <w:rFonts w:cstheme="majorBidi"/>
                <w:b w:val="0"/>
                <w:bCs/>
                <w:lang w:val="en-AU"/>
              </w:rPr>
              <w:t xml:space="preserve">O2, adjusted using two-stage </w:t>
            </w:r>
            <w:proofErr w:type="spellStart"/>
            <w:r w:rsidRPr="001A5046">
              <w:rPr>
                <w:rFonts w:cstheme="majorBidi"/>
                <w:b w:val="0"/>
                <w:bCs/>
                <w:lang w:val="en-AU"/>
              </w:rPr>
              <w:t>method</w:t>
            </w:r>
            <w:r w:rsidR="007D4611" w:rsidRPr="001A5046">
              <w:rPr>
                <w:rFonts w:cstheme="majorBidi"/>
                <w:b w:val="0"/>
                <w:bCs/>
                <w:vertAlign w:val="superscript"/>
                <w:lang w:val="en-AU"/>
              </w:rPr>
              <w:t>d</w:t>
            </w:r>
            <w:proofErr w:type="spellEnd"/>
          </w:p>
        </w:tc>
      </w:tr>
      <w:tr w:rsidR="001730B6" w:rsidRPr="00FE70C3" w14:paraId="4A3FADA8" w14:textId="77777777" w:rsidTr="007D4611">
        <w:trPr>
          <w:cantSplit/>
        </w:trPr>
        <w:tc>
          <w:tcPr>
            <w:tcW w:w="1491" w:type="pct"/>
            <w:vAlign w:val="center"/>
          </w:tcPr>
          <w:p w14:paraId="2EDD08AC" w14:textId="77777777" w:rsidR="001730B6" w:rsidRPr="00FE70C3" w:rsidRDefault="001730B6" w:rsidP="001730B6">
            <w:pPr>
              <w:pStyle w:val="TableText0"/>
            </w:pPr>
            <w:r w:rsidRPr="007F5255">
              <w:t>Deaths, n/N (%)</w:t>
            </w:r>
          </w:p>
        </w:tc>
        <w:tc>
          <w:tcPr>
            <w:tcW w:w="943" w:type="pct"/>
            <w:vAlign w:val="center"/>
          </w:tcPr>
          <w:p w14:paraId="70A2798F" w14:textId="400EA144" w:rsidR="001730B6" w:rsidRPr="001A5046" w:rsidRDefault="001730B6" w:rsidP="001730B6">
            <w:pPr>
              <w:pStyle w:val="TableText0"/>
              <w:jc w:val="center"/>
            </w:pPr>
            <w:r w:rsidRPr="001A5046">
              <w:t xml:space="preserve">37/170 (22) </w:t>
            </w:r>
          </w:p>
        </w:tc>
        <w:tc>
          <w:tcPr>
            <w:tcW w:w="943" w:type="pct"/>
            <w:vAlign w:val="center"/>
          </w:tcPr>
          <w:p w14:paraId="241E634E" w14:textId="40FA2FD0" w:rsidR="001730B6" w:rsidRPr="001A5046" w:rsidRDefault="001730B6" w:rsidP="001730B6">
            <w:pPr>
              <w:pStyle w:val="TableText0"/>
              <w:jc w:val="center"/>
            </w:pPr>
            <w:r w:rsidRPr="001A5046">
              <w:t>21/88 (24)</w:t>
            </w:r>
          </w:p>
        </w:tc>
        <w:tc>
          <w:tcPr>
            <w:tcW w:w="706" w:type="pct"/>
            <w:vAlign w:val="center"/>
          </w:tcPr>
          <w:p w14:paraId="3CD460A8" w14:textId="10651B5C" w:rsidR="001730B6" w:rsidRPr="001A5046" w:rsidRDefault="001730B6" w:rsidP="001730B6">
            <w:pPr>
              <w:pStyle w:val="TableText0"/>
              <w:jc w:val="center"/>
            </w:pPr>
            <w:r w:rsidRPr="001A5046">
              <w:t>-</w:t>
            </w:r>
          </w:p>
        </w:tc>
        <w:tc>
          <w:tcPr>
            <w:tcW w:w="916" w:type="pct"/>
            <w:vAlign w:val="center"/>
          </w:tcPr>
          <w:p w14:paraId="3A8CE526" w14:textId="26B28979" w:rsidR="001730B6" w:rsidRPr="001A5046" w:rsidRDefault="007D4611" w:rsidP="007D4611">
            <w:pPr>
              <w:pStyle w:val="TableText0"/>
              <w:jc w:val="center"/>
            </w:pPr>
            <w:r w:rsidRPr="001A5046">
              <w:t>0.70 (0.41, 1.22)</w:t>
            </w:r>
            <w:r w:rsidRPr="001A5046">
              <w:rPr>
                <w:vertAlign w:val="superscript"/>
              </w:rPr>
              <w:t xml:space="preserve"> b</w:t>
            </w:r>
            <w:r w:rsidRPr="001A5046" w:rsidDel="007D4611">
              <w:t xml:space="preserve"> </w:t>
            </w:r>
          </w:p>
        </w:tc>
      </w:tr>
      <w:tr w:rsidR="00BA2045" w:rsidRPr="00FE70C3" w14:paraId="1D8691E3" w14:textId="77777777" w:rsidTr="007D4611">
        <w:trPr>
          <w:cantSplit/>
        </w:trPr>
        <w:tc>
          <w:tcPr>
            <w:tcW w:w="1491" w:type="pct"/>
            <w:vAlign w:val="center"/>
          </w:tcPr>
          <w:p w14:paraId="6F01C277" w14:textId="2F7370F5" w:rsidR="00BA2045" w:rsidRPr="007F5255" w:rsidRDefault="00BA2045" w:rsidP="00BA2045">
            <w:pPr>
              <w:pStyle w:val="TableText0"/>
            </w:pPr>
            <w:r w:rsidRPr="00FE70C3">
              <w:t>Median months OS (95% CI)</w:t>
            </w:r>
          </w:p>
        </w:tc>
        <w:tc>
          <w:tcPr>
            <w:tcW w:w="943" w:type="pct"/>
            <w:vAlign w:val="center"/>
          </w:tcPr>
          <w:p w14:paraId="318E48C4" w14:textId="2F4BD36C" w:rsidR="00BA2045" w:rsidRPr="001A5046" w:rsidDel="00443395" w:rsidRDefault="00BA2045" w:rsidP="00BA2045">
            <w:pPr>
              <w:pStyle w:val="TableText0"/>
              <w:jc w:val="center"/>
            </w:pPr>
            <w:r w:rsidRPr="001A5046">
              <w:t>19.4</w:t>
            </w:r>
            <w:r w:rsidR="00643802" w:rsidRPr="001A5046">
              <w:t xml:space="preserve"> </w:t>
            </w:r>
            <w:r w:rsidR="00643802" w:rsidRPr="001A5046">
              <w:rPr>
                <w:vertAlign w:val="superscript"/>
              </w:rPr>
              <w:t>1</w:t>
            </w:r>
            <w:r w:rsidRPr="001A5046">
              <w:t xml:space="preserve"> (15.9, NE)</w:t>
            </w:r>
          </w:p>
        </w:tc>
        <w:tc>
          <w:tcPr>
            <w:tcW w:w="943" w:type="pct"/>
            <w:vAlign w:val="center"/>
          </w:tcPr>
          <w:p w14:paraId="3A8A52A8" w14:textId="60F5E641" w:rsidR="00BA2045" w:rsidRPr="001A5046" w:rsidRDefault="00BA2045" w:rsidP="00BA2045">
            <w:pPr>
              <w:pStyle w:val="TableText0"/>
              <w:jc w:val="center"/>
            </w:pPr>
            <w:r w:rsidRPr="001A5046">
              <w:t>NE (NE, NE)</w:t>
            </w:r>
          </w:p>
        </w:tc>
        <w:tc>
          <w:tcPr>
            <w:tcW w:w="706" w:type="pct"/>
            <w:vAlign w:val="center"/>
          </w:tcPr>
          <w:p w14:paraId="6791CD7F" w14:textId="42306BEE" w:rsidR="00BA2045" w:rsidRPr="001A5046" w:rsidRDefault="007D4611" w:rsidP="00BA2045">
            <w:pPr>
              <w:pStyle w:val="TableText0"/>
              <w:jc w:val="center"/>
            </w:pPr>
            <w:r w:rsidRPr="001A5046">
              <w:t>-</w:t>
            </w:r>
          </w:p>
        </w:tc>
        <w:tc>
          <w:tcPr>
            <w:tcW w:w="916" w:type="pct"/>
            <w:vAlign w:val="center"/>
          </w:tcPr>
          <w:p w14:paraId="5F857280" w14:textId="56A95477" w:rsidR="00BA2045" w:rsidRPr="001A5046" w:rsidRDefault="007D4611" w:rsidP="00BA2045">
            <w:pPr>
              <w:pStyle w:val="TableText0"/>
              <w:jc w:val="center"/>
            </w:pPr>
            <w:r w:rsidRPr="001A5046">
              <w:t>-</w:t>
            </w:r>
          </w:p>
        </w:tc>
      </w:tr>
      <w:tr w:rsidR="001730B6" w:rsidRPr="00FE70C3" w14:paraId="693FB505" w14:textId="77777777" w:rsidTr="007D4611">
        <w:trPr>
          <w:cantSplit/>
        </w:trPr>
        <w:tc>
          <w:tcPr>
            <w:tcW w:w="1491" w:type="pct"/>
            <w:vAlign w:val="center"/>
          </w:tcPr>
          <w:p w14:paraId="430FD597" w14:textId="65A91740" w:rsidR="001730B6" w:rsidRPr="007F5255" w:rsidRDefault="007D4611" w:rsidP="001730B6">
            <w:pPr>
              <w:pStyle w:val="TableText0"/>
            </w:pPr>
            <w:r>
              <w:t xml:space="preserve">Mean </w:t>
            </w:r>
            <w:r w:rsidRPr="00FE70C3">
              <w:t>months OS (95% CI)</w:t>
            </w:r>
            <w:r w:rsidR="00234568" w:rsidRPr="00234568">
              <w:rPr>
                <w:vertAlign w:val="superscript"/>
              </w:rPr>
              <w:t xml:space="preserve"> e</w:t>
            </w:r>
          </w:p>
        </w:tc>
        <w:tc>
          <w:tcPr>
            <w:tcW w:w="943" w:type="pct"/>
            <w:vAlign w:val="center"/>
          </w:tcPr>
          <w:p w14:paraId="06E5FDAB" w14:textId="7C700321" w:rsidR="007D4611" w:rsidRPr="001A5046" w:rsidRDefault="007D4611" w:rsidP="007D4611">
            <w:pPr>
              <w:pStyle w:val="TableText0"/>
              <w:jc w:val="center"/>
            </w:pPr>
            <w:r w:rsidRPr="001A5046">
              <w:t>37.58</w:t>
            </w:r>
          </w:p>
          <w:p w14:paraId="5181EA28" w14:textId="40D7604F" w:rsidR="001730B6" w:rsidRPr="001A5046" w:rsidRDefault="007D4611" w:rsidP="007D4611">
            <w:pPr>
              <w:pStyle w:val="TableText0"/>
              <w:jc w:val="center"/>
            </w:pPr>
            <w:r w:rsidRPr="001A5046">
              <w:t>(27.08, 50.74)</w:t>
            </w:r>
          </w:p>
        </w:tc>
        <w:tc>
          <w:tcPr>
            <w:tcW w:w="943" w:type="pct"/>
            <w:vAlign w:val="center"/>
          </w:tcPr>
          <w:p w14:paraId="63DB3CFE" w14:textId="518BC67A" w:rsidR="007D4611" w:rsidRPr="001A5046" w:rsidRDefault="007D4611" w:rsidP="007D4611">
            <w:pPr>
              <w:jc w:val="center"/>
              <w:rPr>
                <w:rFonts w:ascii="Arial Narrow" w:eastAsiaTheme="majorEastAsia" w:hAnsi="Arial Narrow" w:cstheme="majorBidi"/>
                <w:bCs/>
                <w:sz w:val="20"/>
              </w:rPr>
            </w:pPr>
            <w:r w:rsidRPr="001A5046">
              <w:rPr>
                <w:rFonts w:ascii="Arial Narrow" w:eastAsiaTheme="majorEastAsia" w:hAnsi="Arial Narrow" w:cstheme="majorBidi"/>
                <w:bCs/>
                <w:sz w:val="20"/>
              </w:rPr>
              <w:t xml:space="preserve"> 29.25</w:t>
            </w:r>
          </w:p>
          <w:p w14:paraId="0000D461" w14:textId="6CBFCBC4" w:rsidR="001730B6" w:rsidRPr="001A5046" w:rsidRDefault="007D4611" w:rsidP="007D4611">
            <w:pPr>
              <w:pStyle w:val="TableText0"/>
              <w:jc w:val="center"/>
            </w:pPr>
            <w:r w:rsidRPr="001A5046">
              <w:t>(18.83, 43.47)</w:t>
            </w:r>
          </w:p>
        </w:tc>
        <w:tc>
          <w:tcPr>
            <w:tcW w:w="706" w:type="pct"/>
            <w:vAlign w:val="center"/>
          </w:tcPr>
          <w:p w14:paraId="17AF9D31" w14:textId="3DC1CB1E" w:rsidR="001730B6" w:rsidRPr="001A5046" w:rsidRDefault="001730B6" w:rsidP="001730B6">
            <w:pPr>
              <w:pStyle w:val="TableText0"/>
              <w:jc w:val="center"/>
            </w:pPr>
            <w:r w:rsidRPr="001A5046">
              <w:t xml:space="preserve">8.33 </w:t>
            </w:r>
          </w:p>
          <w:p w14:paraId="3AE04A88" w14:textId="18412EDD" w:rsidR="001730B6" w:rsidRPr="001A5046" w:rsidRDefault="001730B6" w:rsidP="001730B6">
            <w:pPr>
              <w:pStyle w:val="TableText0"/>
              <w:jc w:val="center"/>
            </w:pPr>
            <w:r w:rsidRPr="001A5046">
              <w:t>(-8.81, 25.47)</w:t>
            </w:r>
          </w:p>
        </w:tc>
        <w:tc>
          <w:tcPr>
            <w:tcW w:w="916" w:type="pct"/>
            <w:vAlign w:val="center"/>
          </w:tcPr>
          <w:p w14:paraId="49980D36" w14:textId="77366A75" w:rsidR="001730B6" w:rsidRPr="001A5046" w:rsidRDefault="007D4611" w:rsidP="001730B6">
            <w:pPr>
              <w:pStyle w:val="TableText0"/>
              <w:jc w:val="center"/>
            </w:pPr>
            <w:r w:rsidRPr="001A5046">
              <w:t>-</w:t>
            </w:r>
          </w:p>
        </w:tc>
      </w:tr>
      <w:tr w:rsidR="001730B6" w:rsidRPr="00FE70C3" w14:paraId="12AB1496" w14:textId="77777777" w:rsidTr="002770A3">
        <w:trPr>
          <w:cantSplit/>
          <w:tblHeader/>
        </w:trPr>
        <w:tc>
          <w:tcPr>
            <w:tcW w:w="5000" w:type="pct"/>
            <w:gridSpan w:val="5"/>
            <w:tcBorders>
              <w:top w:val="double" w:sz="4" w:space="0" w:color="auto"/>
            </w:tcBorders>
            <w:vAlign w:val="center"/>
          </w:tcPr>
          <w:p w14:paraId="15B9C444" w14:textId="72F3F3CD" w:rsidR="001730B6" w:rsidRPr="001A5046" w:rsidRDefault="001730B6" w:rsidP="001730B6">
            <w:pPr>
              <w:pStyle w:val="In-tableHeading"/>
              <w:rPr>
                <w:rFonts w:cstheme="majorBidi"/>
                <w:b w:val="0"/>
                <w:bCs/>
                <w:lang w:val="en-AU"/>
              </w:rPr>
            </w:pPr>
            <w:r w:rsidRPr="001A5046">
              <w:rPr>
                <w:rFonts w:cstheme="majorBidi"/>
                <w:b w:val="0"/>
                <w:bCs/>
                <w:lang w:val="en-AU"/>
              </w:rPr>
              <w:t>Full ITT population at C</w:t>
            </w:r>
            <w:r w:rsidR="006F5252" w:rsidRPr="001A5046">
              <w:rPr>
                <w:rFonts w:cstheme="majorBidi"/>
                <w:b w:val="0"/>
                <w:bCs/>
                <w:lang w:val="en-AU"/>
              </w:rPr>
              <w:t>C</w:t>
            </w:r>
            <w:r w:rsidRPr="001A5046">
              <w:rPr>
                <w:rFonts w:cstheme="majorBidi"/>
                <w:b w:val="0"/>
                <w:bCs/>
                <w:lang w:val="en-AU"/>
              </w:rPr>
              <w:t>O2, adjusted using IPCW</w:t>
            </w:r>
            <w:r w:rsidR="008F16A2" w:rsidRPr="001A5046">
              <w:rPr>
                <w:rFonts w:cstheme="majorBidi"/>
                <w:b w:val="0"/>
                <w:bCs/>
                <w:vertAlign w:val="superscript"/>
                <w:lang w:val="en-AU"/>
              </w:rPr>
              <w:footnoteReference w:id="16"/>
            </w:r>
          </w:p>
        </w:tc>
      </w:tr>
      <w:tr w:rsidR="001730B6" w:rsidRPr="00FE70C3" w14:paraId="262FBD53" w14:textId="77777777" w:rsidTr="007D4611">
        <w:trPr>
          <w:cantSplit/>
        </w:trPr>
        <w:tc>
          <w:tcPr>
            <w:tcW w:w="1491" w:type="pct"/>
            <w:vAlign w:val="center"/>
          </w:tcPr>
          <w:p w14:paraId="48417497" w14:textId="77777777" w:rsidR="001730B6" w:rsidRPr="00FE70C3" w:rsidRDefault="001730B6" w:rsidP="001730B6">
            <w:pPr>
              <w:pStyle w:val="TableText0"/>
            </w:pPr>
            <w:r w:rsidRPr="007F5255">
              <w:t>Deaths, n/N (%)</w:t>
            </w:r>
          </w:p>
        </w:tc>
        <w:tc>
          <w:tcPr>
            <w:tcW w:w="943" w:type="pct"/>
            <w:vAlign w:val="center"/>
          </w:tcPr>
          <w:p w14:paraId="1222A43E" w14:textId="64C9D132" w:rsidR="001730B6" w:rsidRPr="001A5046" w:rsidRDefault="001730B6" w:rsidP="001730B6">
            <w:pPr>
              <w:pStyle w:val="TableText0"/>
              <w:jc w:val="center"/>
            </w:pPr>
            <w:r w:rsidRPr="001A5046">
              <w:t xml:space="preserve">37/170 (22) </w:t>
            </w:r>
          </w:p>
        </w:tc>
        <w:tc>
          <w:tcPr>
            <w:tcW w:w="943" w:type="pct"/>
            <w:vAlign w:val="center"/>
          </w:tcPr>
          <w:p w14:paraId="56039AC4" w14:textId="3199B591" w:rsidR="001730B6" w:rsidRPr="001A5046" w:rsidRDefault="001730B6" w:rsidP="001730B6">
            <w:pPr>
              <w:pStyle w:val="TableText0"/>
              <w:jc w:val="center"/>
            </w:pPr>
            <w:r w:rsidRPr="001A5046">
              <w:t>21/88</w:t>
            </w:r>
            <w:r w:rsidR="00643802" w:rsidRPr="001A5046">
              <w:t xml:space="preserve"> </w:t>
            </w:r>
            <w:r w:rsidRPr="001A5046">
              <w:t xml:space="preserve"> (24)</w:t>
            </w:r>
          </w:p>
        </w:tc>
        <w:tc>
          <w:tcPr>
            <w:tcW w:w="706" w:type="pct"/>
            <w:vAlign w:val="center"/>
          </w:tcPr>
          <w:p w14:paraId="63552C8A" w14:textId="35C80CFF" w:rsidR="001730B6" w:rsidRPr="001A5046" w:rsidRDefault="001730B6" w:rsidP="001730B6">
            <w:pPr>
              <w:pStyle w:val="TableText0"/>
              <w:jc w:val="center"/>
            </w:pPr>
            <w:r w:rsidRPr="001A5046">
              <w:t>-</w:t>
            </w:r>
          </w:p>
        </w:tc>
        <w:tc>
          <w:tcPr>
            <w:tcW w:w="916" w:type="pct"/>
            <w:vAlign w:val="center"/>
          </w:tcPr>
          <w:p w14:paraId="559A9415" w14:textId="2288AA6E" w:rsidR="001730B6" w:rsidRPr="001A5046" w:rsidRDefault="007D4611" w:rsidP="007D4611">
            <w:pPr>
              <w:pStyle w:val="TableText0"/>
              <w:jc w:val="center"/>
            </w:pPr>
            <w:r w:rsidRPr="001A5046">
              <w:t>0.68 (</w:t>
            </w:r>
            <w:r w:rsidR="00AF1E6C" w:rsidRPr="001A5046">
              <w:t>0.</w:t>
            </w:r>
            <w:r w:rsidRPr="001A5046">
              <w:t>37, 1.27)</w:t>
            </w:r>
            <w:r w:rsidRPr="001A5046">
              <w:rPr>
                <w:vertAlign w:val="superscript"/>
              </w:rPr>
              <w:t xml:space="preserve"> b</w:t>
            </w:r>
            <w:r w:rsidRPr="001A5046" w:rsidDel="007D4611">
              <w:t xml:space="preserve"> </w:t>
            </w:r>
          </w:p>
        </w:tc>
      </w:tr>
      <w:tr w:rsidR="00BA2045" w:rsidRPr="00FE70C3" w14:paraId="3D6AA9C6" w14:textId="77777777" w:rsidTr="007D4611">
        <w:trPr>
          <w:cantSplit/>
        </w:trPr>
        <w:tc>
          <w:tcPr>
            <w:tcW w:w="1491" w:type="pct"/>
            <w:vAlign w:val="center"/>
          </w:tcPr>
          <w:p w14:paraId="6F2DE3C4" w14:textId="37BAE842" w:rsidR="00BA2045" w:rsidRPr="007F5255" w:rsidRDefault="00BA2045" w:rsidP="00BA2045">
            <w:pPr>
              <w:pStyle w:val="TableText0"/>
            </w:pPr>
            <w:r w:rsidRPr="00FE70C3">
              <w:t>Median months OS (95% CI)</w:t>
            </w:r>
          </w:p>
        </w:tc>
        <w:tc>
          <w:tcPr>
            <w:tcW w:w="943" w:type="pct"/>
            <w:vAlign w:val="center"/>
          </w:tcPr>
          <w:p w14:paraId="4E87C82B" w14:textId="757CC39D" w:rsidR="00BA2045" w:rsidRPr="001A5046" w:rsidDel="00443395" w:rsidRDefault="00BA2045" w:rsidP="00BA2045">
            <w:pPr>
              <w:pStyle w:val="TableText0"/>
              <w:jc w:val="center"/>
            </w:pPr>
            <w:r w:rsidRPr="001A5046">
              <w:t>19.4 (15.9, NE)</w:t>
            </w:r>
          </w:p>
        </w:tc>
        <w:tc>
          <w:tcPr>
            <w:tcW w:w="943" w:type="pct"/>
            <w:vAlign w:val="center"/>
          </w:tcPr>
          <w:p w14:paraId="4A16FE1A" w14:textId="25C7BFAA" w:rsidR="00BA2045" w:rsidRPr="001A5046" w:rsidRDefault="00BA2045" w:rsidP="00BA2045">
            <w:pPr>
              <w:pStyle w:val="TableText0"/>
              <w:jc w:val="center"/>
            </w:pPr>
            <w:r w:rsidRPr="001A5046">
              <w:t>NE (NE, NE)</w:t>
            </w:r>
          </w:p>
        </w:tc>
        <w:tc>
          <w:tcPr>
            <w:tcW w:w="706" w:type="pct"/>
            <w:vAlign w:val="center"/>
          </w:tcPr>
          <w:p w14:paraId="6F1EF52C" w14:textId="3C2076FB" w:rsidR="00BA2045" w:rsidRPr="001A5046" w:rsidRDefault="007D4611" w:rsidP="00BA2045">
            <w:pPr>
              <w:pStyle w:val="TableText0"/>
              <w:jc w:val="center"/>
            </w:pPr>
            <w:r w:rsidRPr="001A5046">
              <w:t>-</w:t>
            </w:r>
          </w:p>
        </w:tc>
        <w:tc>
          <w:tcPr>
            <w:tcW w:w="916" w:type="pct"/>
            <w:vAlign w:val="center"/>
          </w:tcPr>
          <w:p w14:paraId="11B08F00" w14:textId="44814BF5" w:rsidR="00BA2045" w:rsidRPr="001A5046" w:rsidRDefault="007D4611" w:rsidP="00BA2045">
            <w:pPr>
              <w:pStyle w:val="TableText0"/>
              <w:jc w:val="center"/>
            </w:pPr>
            <w:r w:rsidRPr="001A5046">
              <w:t>-</w:t>
            </w:r>
          </w:p>
        </w:tc>
      </w:tr>
      <w:tr w:rsidR="001730B6" w:rsidRPr="00FE70C3" w14:paraId="7B0B5CD3" w14:textId="77777777" w:rsidTr="007D4611">
        <w:trPr>
          <w:cantSplit/>
        </w:trPr>
        <w:tc>
          <w:tcPr>
            <w:tcW w:w="1491" w:type="pct"/>
            <w:vAlign w:val="center"/>
          </w:tcPr>
          <w:p w14:paraId="00BCA424" w14:textId="5FD091E0" w:rsidR="001730B6" w:rsidRPr="007F5255" w:rsidRDefault="007D4611" w:rsidP="001730B6">
            <w:pPr>
              <w:pStyle w:val="TableText0"/>
            </w:pPr>
            <w:r>
              <w:t xml:space="preserve">Mean </w:t>
            </w:r>
            <w:r w:rsidRPr="00FE70C3">
              <w:t>months OS (95% CI)</w:t>
            </w:r>
            <w:r w:rsidR="00234568" w:rsidRPr="00234568">
              <w:rPr>
                <w:vertAlign w:val="superscript"/>
              </w:rPr>
              <w:t xml:space="preserve"> e</w:t>
            </w:r>
          </w:p>
        </w:tc>
        <w:tc>
          <w:tcPr>
            <w:tcW w:w="943" w:type="pct"/>
            <w:vAlign w:val="center"/>
          </w:tcPr>
          <w:p w14:paraId="0E03CD2C" w14:textId="3CE23D15" w:rsidR="007D4611" w:rsidRPr="001A5046" w:rsidRDefault="007D4611" w:rsidP="007D4611">
            <w:pPr>
              <w:pStyle w:val="TableText0"/>
              <w:jc w:val="center"/>
            </w:pPr>
            <w:r w:rsidRPr="001A5046">
              <w:t>37.58</w:t>
            </w:r>
          </w:p>
          <w:p w14:paraId="5FF1AA4E" w14:textId="668E94A1" w:rsidR="001730B6" w:rsidRPr="001A5046" w:rsidRDefault="007D4611" w:rsidP="007D4611">
            <w:pPr>
              <w:pStyle w:val="TableText0"/>
              <w:jc w:val="center"/>
            </w:pPr>
            <w:r w:rsidRPr="001A5046">
              <w:t>(27.08, 50.74)</w:t>
            </w:r>
          </w:p>
        </w:tc>
        <w:tc>
          <w:tcPr>
            <w:tcW w:w="943" w:type="pct"/>
            <w:vAlign w:val="center"/>
          </w:tcPr>
          <w:p w14:paraId="069B3A69" w14:textId="31A339B2" w:rsidR="007D4611" w:rsidRPr="001A5046" w:rsidRDefault="007D4611" w:rsidP="007D4611">
            <w:pPr>
              <w:jc w:val="center"/>
              <w:rPr>
                <w:rFonts w:ascii="Arial Narrow" w:eastAsiaTheme="majorEastAsia" w:hAnsi="Arial Narrow" w:cstheme="majorBidi"/>
                <w:bCs/>
                <w:sz w:val="20"/>
              </w:rPr>
            </w:pPr>
            <w:r w:rsidRPr="001A5046">
              <w:rPr>
                <w:rFonts w:ascii="Arial Narrow" w:eastAsiaTheme="majorEastAsia" w:hAnsi="Arial Narrow" w:cstheme="majorBidi"/>
                <w:bCs/>
                <w:sz w:val="20"/>
              </w:rPr>
              <w:t xml:space="preserve"> 31.76</w:t>
            </w:r>
          </w:p>
          <w:p w14:paraId="551F5923" w14:textId="0C1C8106" w:rsidR="001730B6" w:rsidRPr="001A5046" w:rsidRDefault="007D4611" w:rsidP="007D4611">
            <w:pPr>
              <w:pStyle w:val="TableText0"/>
              <w:jc w:val="center"/>
            </w:pPr>
            <w:r w:rsidRPr="001A5046">
              <w:t xml:space="preserve"> (19.5, 51.59)</w:t>
            </w:r>
          </w:p>
        </w:tc>
        <w:tc>
          <w:tcPr>
            <w:tcW w:w="706" w:type="pct"/>
            <w:vAlign w:val="center"/>
          </w:tcPr>
          <w:p w14:paraId="2A05F4EA" w14:textId="3C5ABAB7" w:rsidR="001730B6" w:rsidRPr="001A5046" w:rsidRDefault="001730B6" w:rsidP="001730B6">
            <w:pPr>
              <w:pStyle w:val="TableText0"/>
              <w:jc w:val="center"/>
            </w:pPr>
            <w:r w:rsidRPr="001A5046">
              <w:t xml:space="preserve">5.82 </w:t>
            </w:r>
          </w:p>
          <w:p w14:paraId="2EAB811D" w14:textId="75D5E6D8" w:rsidR="001730B6" w:rsidRPr="001A5046" w:rsidRDefault="001730B6" w:rsidP="001730B6">
            <w:pPr>
              <w:pStyle w:val="TableText0"/>
              <w:jc w:val="center"/>
            </w:pPr>
            <w:r w:rsidRPr="001A5046">
              <w:t>(-11.7, 23.34)</w:t>
            </w:r>
          </w:p>
        </w:tc>
        <w:tc>
          <w:tcPr>
            <w:tcW w:w="916" w:type="pct"/>
            <w:vAlign w:val="center"/>
          </w:tcPr>
          <w:p w14:paraId="0484F082" w14:textId="457FB641" w:rsidR="001730B6" w:rsidRPr="001A5046" w:rsidRDefault="007D4611" w:rsidP="001730B6">
            <w:pPr>
              <w:pStyle w:val="TableText0"/>
              <w:jc w:val="center"/>
            </w:pPr>
            <w:r w:rsidRPr="001A5046">
              <w:t>-</w:t>
            </w:r>
          </w:p>
        </w:tc>
      </w:tr>
    </w:tbl>
    <w:p w14:paraId="074B9FC2" w14:textId="34B200EC" w:rsidR="00823B07" w:rsidRDefault="00823B07" w:rsidP="00BE5CA9">
      <w:pPr>
        <w:pStyle w:val="FooterTableFigure"/>
        <w:keepNext/>
        <w:rPr>
          <w:rFonts w:eastAsia="Calibri"/>
        </w:rPr>
      </w:pPr>
      <w:r w:rsidRPr="00FE70C3">
        <w:rPr>
          <w:rFonts w:eastAsia="Calibri"/>
        </w:rPr>
        <w:t xml:space="preserve">Source: </w:t>
      </w:r>
      <w:r>
        <w:rPr>
          <w:rFonts w:eastAsia="Calibri"/>
        </w:rPr>
        <w:t>p</w:t>
      </w:r>
      <w:r w:rsidR="009E61B3">
        <w:rPr>
          <w:rFonts w:eastAsia="Calibri"/>
        </w:rPr>
        <w:t>p93-95,</w:t>
      </w:r>
      <w:r w:rsidR="00E566F8">
        <w:rPr>
          <w:rFonts w:eastAsia="Calibri"/>
        </w:rPr>
        <w:t xml:space="preserve"> p</w:t>
      </w:r>
      <w:r w:rsidR="009E61B3">
        <w:rPr>
          <w:rFonts w:eastAsia="Calibri"/>
        </w:rPr>
        <w:t>98</w:t>
      </w:r>
      <w:r>
        <w:rPr>
          <w:rFonts w:eastAsia="Calibri"/>
        </w:rPr>
        <w:t xml:space="preserve"> of the submission and </w:t>
      </w:r>
      <w:r w:rsidR="009E61B3">
        <w:rPr>
          <w:rFonts w:eastAsia="Calibri"/>
        </w:rPr>
        <w:t>p</w:t>
      </w:r>
      <w:r w:rsidR="00080B76">
        <w:rPr>
          <w:rFonts w:eastAsia="Calibri"/>
        </w:rPr>
        <w:t xml:space="preserve">15, </w:t>
      </w:r>
      <w:r w:rsidR="009E61B3">
        <w:rPr>
          <w:rFonts w:eastAsia="Calibri"/>
        </w:rPr>
        <w:t>36</w:t>
      </w:r>
      <w:r w:rsidR="00E566F8">
        <w:rPr>
          <w:rFonts w:eastAsia="Calibri"/>
        </w:rPr>
        <w:t xml:space="preserve"> </w:t>
      </w:r>
      <w:r>
        <w:rPr>
          <w:rFonts w:eastAsia="Calibri"/>
        </w:rPr>
        <w:t>Attachment 7.</w:t>
      </w:r>
    </w:p>
    <w:p w14:paraId="7B3C7ACA" w14:textId="4C0CCD60" w:rsidR="00823B07" w:rsidRDefault="00823B07" w:rsidP="00BE5CA9">
      <w:pPr>
        <w:pStyle w:val="FooterTableFigure"/>
        <w:keepNext/>
      </w:pPr>
      <w:r>
        <w:t xml:space="preserve">BIRC = blinded independent radiology committee; </w:t>
      </w:r>
      <w:r w:rsidRPr="00EF0171">
        <w:t xml:space="preserve">CI = confidence interval; </w:t>
      </w:r>
      <w:r>
        <w:t>C</w:t>
      </w:r>
      <w:r w:rsidR="006F5252">
        <w:t>C</w:t>
      </w:r>
      <w:r>
        <w:t>O2 = clinical cut-off 2; HR = hazard rate ratio;</w:t>
      </w:r>
      <w:r w:rsidR="008A1F8F" w:rsidRPr="008A1F8F">
        <w:t xml:space="preserve"> IPCW</w:t>
      </w:r>
      <w:r w:rsidR="008A1F8F">
        <w:t xml:space="preserve"> = </w:t>
      </w:r>
      <w:r w:rsidR="008A1F8F" w:rsidRPr="008A1F8F">
        <w:t>Inverse Probability of Censoring Weights</w:t>
      </w:r>
      <w:r w:rsidR="008A1F8F">
        <w:t xml:space="preserve">  </w:t>
      </w:r>
      <w:r w:rsidRPr="00D41669">
        <w:t xml:space="preserve"> ITT</w:t>
      </w:r>
      <w:r>
        <w:t xml:space="preserve"> =</w:t>
      </w:r>
      <w:r w:rsidRPr="00D41669">
        <w:t xml:space="preserve"> Intent-to-treat; </w:t>
      </w:r>
      <w:r w:rsidRPr="003A23B7">
        <w:t>NE</w:t>
      </w:r>
      <w:r>
        <w:t xml:space="preserve"> = </w:t>
      </w:r>
      <w:r w:rsidRPr="003A23B7">
        <w:t>not estimable; OS</w:t>
      </w:r>
      <w:r>
        <w:t xml:space="preserve"> = </w:t>
      </w:r>
      <w:r w:rsidRPr="003A23B7">
        <w:t>overall survival</w:t>
      </w:r>
      <w:r w:rsidR="008A1F8F">
        <w:t xml:space="preserve">; </w:t>
      </w:r>
      <w:r w:rsidR="008A1F8F" w:rsidRPr="008A1F8F">
        <w:t>RPSFT</w:t>
      </w:r>
      <w:r w:rsidR="008A1F8F">
        <w:t xml:space="preserve"> = </w:t>
      </w:r>
      <w:r w:rsidR="008A1F8F" w:rsidRPr="008A1F8F">
        <w:t>Rank-Preserving Structural Failure Time</w:t>
      </w:r>
      <w:r>
        <w:t>.</w:t>
      </w:r>
    </w:p>
    <w:p w14:paraId="5A3F82C1" w14:textId="77777777" w:rsidR="00823B07" w:rsidRDefault="00823B07" w:rsidP="00BE5CA9">
      <w:pPr>
        <w:pStyle w:val="FooterTableFigure"/>
        <w:keepNext/>
      </w:pPr>
      <w:r w:rsidRPr="00B83739">
        <w:rPr>
          <w:b/>
          <w:bCs/>
        </w:rPr>
        <w:t>Bold</w:t>
      </w:r>
      <w:r w:rsidRPr="00B83739">
        <w:t xml:space="preserve"> indicates statistically significant results.</w:t>
      </w:r>
    </w:p>
    <w:p w14:paraId="629A962B" w14:textId="6F5BCB43" w:rsidR="003754B7" w:rsidRDefault="00535157" w:rsidP="00BE5CA9">
      <w:pPr>
        <w:pStyle w:val="FooterTableFigure"/>
        <w:keepNext/>
      </w:pPr>
      <w:r>
        <w:t>a</w:t>
      </w:r>
      <w:r w:rsidR="00F81C00" w:rsidRPr="00F81C00">
        <w:t xml:space="preserve"> Full ITT population: Patients randomised to receive study treatment as of the second clinical cut-off (C</w:t>
      </w:r>
      <w:r w:rsidR="006F5252">
        <w:t>C</w:t>
      </w:r>
      <w:r w:rsidR="00F81C00" w:rsidRPr="00F81C00">
        <w:t>O2) on 2 February 2021.</w:t>
      </w:r>
    </w:p>
    <w:p w14:paraId="0CDE4939" w14:textId="2F91C379" w:rsidR="007D4611" w:rsidRDefault="00535157" w:rsidP="00BE5CA9">
      <w:pPr>
        <w:pStyle w:val="FooterTableFigure"/>
        <w:keepNext/>
      </w:pPr>
      <w:r>
        <w:t>b</w:t>
      </w:r>
      <w:r w:rsidR="007D4611">
        <w:t xml:space="preserve"> </w:t>
      </w:r>
      <w:r w:rsidR="007D4611" w:rsidRPr="007D4611">
        <w:t>Stratification factors (per IxRS) comprise receipt of prior lenvatinib (yes vs no) and age at informed consent (≤ 65 years vs 65 years); Estimated using the Cox proportional-hazard model (adjusted for stratification factors if applicable). HR &lt; 1 indicated in favour of cabozantinib.</w:t>
      </w:r>
    </w:p>
    <w:p w14:paraId="3370A824" w14:textId="48EB0ACA" w:rsidR="007968B2" w:rsidRDefault="007D4611" w:rsidP="00BE5CA9">
      <w:pPr>
        <w:pStyle w:val="FooterTableFigure"/>
        <w:keepNext/>
      </w:pPr>
      <w:r>
        <w:t>c</w:t>
      </w:r>
      <w:r w:rsidR="00D15931" w:rsidRPr="00D15931">
        <w:t xml:space="preserve">. </w:t>
      </w:r>
      <w:r w:rsidR="003754B7" w:rsidRPr="003754B7">
        <w:t>The treatment effect of cabozantinib over placebo was estimated at 1.42 when assuming the common treatment effect (k=1)</w:t>
      </w:r>
      <w:r w:rsidR="00D15931">
        <w:rPr>
          <w:rStyle w:val="FootnoteReference"/>
        </w:rPr>
        <w:footnoteReference w:id="17"/>
      </w:r>
    </w:p>
    <w:p w14:paraId="1FDB199A" w14:textId="1085470E" w:rsidR="003754B7" w:rsidRDefault="007D4611" w:rsidP="00BE5CA9">
      <w:pPr>
        <w:pStyle w:val="FooterTableFigure"/>
        <w:keepNext/>
      </w:pPr>
      <w:r>
        <w:t>d</w:t>
      </w:r>
      <w:r w:rsidR="007968B2">
        <w:t xml:space="preserve"> </w:t>
      </w:r>
      <w:r w:rsidR="007968B2" w:rsidRPr="007968B2">
        <w:t>The corresponding treatment effect in placebo switchers compared to non-switchers was 1.093</w:t>
      </w:r>
      <w:r w:rsidR="007968B2">
        <w:t xml:space="preserve"> (i.e. shrunk by 9%)</w:t>
      </w:r>
      <w:r w:rsidR="00EC6228">
        <w:rPr>
          <w:rStyle w:val="FootnoteReference"/>
        </w:rPr>
        <w:footnoteReference w:id="18"/>
      </w:r>
    </w:p>
    <w:p w14:paraId="4AB16125" w14:textId="27AE2CD6" w:rsidR="00002B7E" w:rsidRPr="00234568" w:rsidRDefault="00234568" w:rsidP="00FC479C">
      <w:pPr>
        <w:pStyle w:val="FooterTableFigure"/>
      </w:pPr>
      <w:proofErr w:type="spellStart"/>
      <w:r w:rsidRPr="00234568">
        <w:t>e</w:t>
      </w:r>
      <w:proofErr w:type="spellEnd"/>
      <w:r>
        <w:t xml:space="preserve"> Estimated after extrapolating overall survival using an exponential function to 200 months.</w:t>
      </w:r>
    </w:p>
    <w:p w14:paraId="68F2A8EA" w14:textId="2FF5B1DB" w:rsidR="00FC7FBD" w:rsidRDefault="001D117E" w:rsidP="00A62221">
      <w:pPr>
        <w:pStyle w:val="3-BodyText"/>
      </w:pPr>
      <w:r>
        <w:fldChar w:fldCharType="begin" w:fldLock="1"/>
      </w:r>
      <w:r>
        <w:instrText xml:space="preserve"> REF _Ref142906852 \h </w:instrText>
      </w:r>
      <w:r>
        <w:fldChar w:fldCharType="separate"/>
      </w:r>
      <w:r w:rsidR="00647249" w:rsidRPr="00F74D25">
        <w:t xml:space="preserve">Figure </w:t>
      </w:r>
      <w:r w:rsidR="00647249">
        <w:rPr>
          <w:noProof/>
        </w:rPr>
        <w:t>3</w:t>
      </w:r>
      <w:r>
        <w:fldChar w:fldCharType="end"/>
      </w:r>
      <w:r>
        <w:t xml:space="preserve"> </w:t>
      </w:r>
      <w:r w:rsidR="50D3EA23">
        <w:t>presents the Kaplan-Meier curves for overall survival in the cabozantinib</w:t>
      </w:r>
      <w:r w:rsidR="4C1F9644">
        <w:t xml:space="preserve"> and </w:t>
      </w:r>
      <w:r w:rsidR="50D3EA23">
        <w:t>placebo</w:t>
      </w:r>
      <w:r w:rsidR="4C1F9644">
        <w:t xml:space="preserve"> arms as of C</w:t>
      </w:r>
      <w:r w:rsidR="00EA7C05">
        <w:t>C</w:t>
      </w:r>
      <w:r w:rsidR="4C1F9644">
        <w:t>O2</w:t>
      </w:r>
      <w:r w:rsidR="50D3EA23">
        <w:t xml:space="preserve">, and </w:t>
      </w:r>
      <w:r w:rsidR="4C1F9644">
        <w:t xml:space="preserve">in the </w:t>
      </w:r>
      <w:r w:rsidR="50D3EA23">
        <w:t>placebo-RPSFT adjusted treatment arms.</w:t>
      </w:r>
    </w:p>
    <w:p w14:paraId="39586069" w14:textId="52B9DAA9" w:rsidR="00460414" w:rsidRPr="00F74D25" w:rsidRDefault="001349FB" w:rsidP="006709BA">
      <w:pPr>
        <w:pStyle w:val="Caption"/>
        <w:rPr>
          <w:rStyle w:val="CommentReference"/>
          <w:b/>
          <w:szCs w:val="24"/>
        </w:rPr>
      </w:pPr>
      <w:bookmarkStart w:id="43" w:name="_Ref142405213"/>
      <w:bookmarkStart w:id="44" w:name="_Ref142906852"/>
      <w:r w:rsidRPr="00F74D25">
        <w:lastRenderedPageBreak/>
        <w:t xml:space="preserve">Figure </w:t>
      </w:r>
      <w:r>
        <w:fldChar w:fldCharType="begin" w:fldLock="1"/>
      </w:r>
      <w:r>
        <w:instrText>SEQ Figure \* ARABIC</w:instrText>
      </w:r>
      <w:r>
        <w:fldChar w:fldCharType="separate"/>
      </w:r>
      <w:r w:rsidR="00647249">
        <w:rPr>
          <w:noProof/>
        </w:rPr>
        <w:t>3</w:t>
      </w:r>
      <w:r>
        <w:fldChar w:fldCharType="end"/>
      </w:r>
      <w:bookmarkEnd w:id="43"/>
      <w:bookmarkEnd w:id="44"/>
      <w:r w:rsidR="006709BA">
        <w:t>:</w:t>
      </w:r>
      <w:r w:rsidR="00F74D25">
        <w:t xml:space="preserve"> </w:t>
      </w:r>
      <w:r w:rsidR="00460414" w:rsidRPr="00F74D25">
        <w:rPr>
          <w:rStyle w:val="CommentReference"/>
          <w:b/>
          <w:szCs w:val="24"/>
        </w:rPr>
        <w:t>KM curves for OS in cabozantinib, placebo, and placebo-RPSFT adjusted</w:t>
      </w:r>
    </w:p>
    <w:p w14:paraId="0E776EF2" w14:textId="77777777" w:rsidR="00460414" w:rsidRDefault="00460414" w:rsidP="00460414">
      <w:pPr>
        <w:pStyle w:val="FooterTableFigure"/>
        <w:rPr>
          <w:rFonts w:eastAsia="Calibri"/>
        </w:rPr>
      </w:pPr>
      <w:r>
        <w:rPr>
          <w:rFonts w:eastAsia="Calibri"/>
          <w:noProof/>
        </w:rPr>
        <w:drawing>
          <wp:inline distT="0" distB="0" distL="0" distR="0" wp14:anchorId="58E45A02" wp14:editId="41F5DF53">
            <wp:extent cx="5725160" cy="3514192"/>
            <wp:effectExtent l="19050" t="19050" r="27940" b="10160"/>
            <wp:docPr id="1637895510" name="Picture 1637895510" descr="A graph of a number of patien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895510" name="Picture 5" descr="A graph of a number of patients&#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0097" cy="3554051"/>
                    </a:xfrm>
                    <a:prstGeom prst="rect">
                      <a:avLst/>
                    </a:prstGeom>
                    <a:noFill/>
                    <a:ln w="3175">
                      <a:solidFill>
                        <a:schemeClr val="tx1"/>
                      </a:solidFill>
                    </a:ln>
                  </pic:spPr>
                </pic:pic>
              </a:graphicData>
            </a:graphic>
          </wp:inline>
        </w:drawing>
      </w:r>
    </w:p>
    <w:p w14:paraId="16E7E261" w14:textId="77777777" w:rsidR="00460414" w:rsidRDefault="00460414" w:rsidP="00460414">
      <w:pPr>
        <w:pStyle w:val="FooterTableFigure"/>
        <w:rPr>
          <w:rFonts w:eastAsia="Calibri"/>
        </w:rPr>
      </w:pPr>
      <w:r>
        <w:rPr>
          <w:rFonts w:eastAsia="Calibri"/>
        </w:rPr>
        <w:t xml:space="preserve">Source: </w:t>
      </w:r>
      <w:r w:rsidRPr="0092375F">
        <w:rPr>
          <w:rFonts w:eastAsia="Calibri"/>
        </w:rPr>
        <w:t>Figure 2</w:t>
      </w:r>
      <w:r>
        <w:rPr>
          <w:rFonts w:eastAsia="Calibri"/>
        </w:rPr>
        <w:t>-</w:t>
      </w:r>
      <w:r w:rsidRPr="0092375F">
        <w:rPr>
          <w:rFonts w:eastAsia="Calibri"/>
        </w:rPr>
        <w:t>9</w:t>
      </w:r>
      <w:r>
        <w:rPr>
          <w:rFonts w:eastAsia="Calibri"/>
        </w:rPr>
        <w:t xml:space="preserve">, p94 of the submission. </w:t>
      </w:r>
    </w:p>
    <w:p w14:paraId="4EFAF9CA" w14:textId="13DC1A19" w:rsidR="00180F22" w:rsidRPr="0023484B" w:rsidRDefault="6DC1F336" w:rsidP="00EA7055">
      <w:pPr>
        <w:pStyle w:val="3-BodyText"/>
      </w:pPr>
      <w:r>
        <w:t>After adjusting the placebo arm for treatment crossover using the RPSFT method, the HR was estimated a</w:t>
      </w:r>
      <w:r w:rsidR="00EA6B8B">
        <w:t>s</w:t>
      </w:r>
      <w:r>
        <w:t xml:space="preserve"> 0.65 </w:t>
      </w:r>
      <w:bookmarkStart w:id="45" w:name="_Hlk142040434"/>
      <w:r>
        <w:t>(95%</w:t>
      </w:r>
      <w:r w:rsidR="007E0A4C">
        <w:t xml:space="preserve"> </w:t>
      </w:r>
      <w:r>
        <w:t xml:space="preserve">CI: 0.28, 1.53) </w:t>
      </w:r>
      <w:bookmarkEnd w:id="45"/>
      <w:r>
        <w:t>for cabozantinib versus placebo</w:t>
      </w:r>
      <w:r w:rsidR="00180F22">
        <w:t xml:space="preserve"> (compared to </w:t>
      </w:r>
      <w:r w:rsidR="3A0BB478" w:rsidRPr="00180F22">
        <w:t>0.76 (95% CI: 0.45, 1.31)</w:t>
      </w:r>
      <w:r w:rsidR="00180F22" w:rsidRPr="00180F22">
        <w:t xml:space="preserve"> in the ITT)</w:t>
      </w:r>
      <w:r w:rsidR="3A0BB478" w:rsidRPr="00180F22">
        <w:t>.</w:t>
      </w:r>
      <w:r w:rsidR="3A0BB478" w:rsidRPr="0564460C">
        <w:rPr>
          <w:i/>
          <w:iCs/>
        </w:rPr>
        <w:t xml:space="preserve"> </w:t>
      </w:r>
      <w:r w:rsidR="2DB386DF" w:rsidRPr="0023484B">
        <w:t>T</w:t>
      </w:r>
      <w:r w:rsidR="2DB386DF" w:rsidRPr="0023484B">
        <w:rPr>
          <w:rFonts w:eastAsia="MS Gothic" w:cs="Times New Roman"/>
          <w:color w:val="000000" w:themeColor="text1"/>
          <w:lang w:eastAsia="en-US" w:bidi="en-US"/>
        </w:rPr>
        <w:t xml:space="preserve">he improvement in overall survival increased </w:t>
      </w:r>
      <w:r w:rsidR="00AF1E6C">
        <w:rPr>
          <w:rFonts w:eastAsia="MS Gothic" w:cs="Times New Roman"/>
          <w:color w:val="000000" w:themeColor="text1"/>
          <w:lang w:eastAsia="en-US" w:bidi="en-US"/>
        </w:rPr>
        <w:t xml:space="preserve">in terms of the point estimate </w:t>
      </w:r>
      <w:r w:rsidR="2DB386DF" w:rsidRPr="0023484B">
        <w:rPr>
          <w:rFonts w:eastAsia="MS Gothic" w:cs="Times New Roman"/>
          <w:color w:val="000000" w:themeColor="text1"/>
          <w:lang w:eastAsia="en-US" w:bidi="en-US"/>
        </w:rPr>
        <w:t>but remained not statistically significant</w:t>
      </w:r>
      <w:r w:rsidR="00B17422" w:rsidRPr="0023484B">
        <w:rPr>
          <w:rFonts w:eastAsia="MS Gothic" w:cs="Times New Roman"/>
          <w:color w:val="000000" w:themeColor="text1"/>
          <w:lang w:eastAsia="en-US" w:bidi="en-US"/>
        </w:rPr>
        <w:t xml:space="preserve"> due to the widening of the confidence interval</w:t>
      </w:r>
      <w:r w:rsidR="2DB386DF" w:rsidRPr="0023484B">
        <w:t>.</w:t>
      </w:r>
      <w:r w:rsidR="00021F0B" w:rsidRPr="0023484B">
        <w:t xml:space="preserve"> </w:t>
      </w:r>
      <w:r w:rsidR="004813FA" w:rsidRPr="0023484B">
        <w:t>The results were not sensitive to changing the common treatment effect.</w:t>
      </w:r>
    </w:p>
    <w:p w14:paraId="7D97C090" w14:textId="50C684DD" w:rsidR="00B21C7D" w:rsidRPr="00427986" w:rsidRDefault="755BF491" w:rsidP="00EA7055">
      <w:pPr>
        <w:pStyle w:val="3-BodyText"/>
      </w:pPr>
      <w:r w:rsidRPr="0023484B">
        <w:t xml:space="preserve">The Guidelines for preparing submissions to PBAC state that methods for adjusting the treatment effect for treatment switching may rely on assumptions that are difficult to validate. Consequently, it is preferable to use a number of different statistical </w:t>
      </w:r>
      <w:r w:rsidR="68C23762" w:rsidRPr="0023484B">
        <w:t xml:space="preserve">methods </w:t>
      </w:r>
      <w:r w:rsidRPr="0023484B">
        <w:t xml:space="preserve">to adjust for switching. Similar results will reduce uncertainty and increase confidence in the treatment effect used in the economic model. In this case, three statistical </w:t>
      </w:r>
      <w:r w:rsidR="68C23762" w:rsidRPr="0023484B">
        <w:t xml:space="preserve">methods </w:t>
      </w:r>
      <w:r w:rsidRPr="0023484B">
        <w:t>were used (RPSFT, two-stage and IPCW).</w:t>
      </w:r>
      <w:r w:rsidR="00B46CE2" w:rsidRPr="0023484B">
        <w:t xml:space="preserve"> </w:t>
      </w:r>
      <w:r w:rsidR="00AF1E6C">
        <w:t>T</w:t>
      </w:r>
      <w:r w:rsidR="00B46CE2" w:rsidRPr="0023484B">
        <w:t xml:space="preserve">he estimated HRs </w:t>
      </w:r>
      <w:r w:rsidR="00AF1E6C">
        <w:t xml:space="preserve">and 95% CIs </w:t>
      </w:r>
      <w:r w:rsidR="00B46CE2" w:rsidRPr="0023484B">
        <w:t>were similar across the statistical methods used to adjust for cross-over</w:t>
      </w:r>
      <w:r w:rsidR="00AF1E6C">
        <w:t xml:space="preserve">. Although the </w:t>
      </w:r>
      <w:r w:rsidR="00B46CE2" w:rsidRPr="0023484B">
        <w:t>estimated</w:t>
      </w:r>
      <w:r w:rsidR="004813FA" w:rsidRPr="0023484B">
        <w:t xml:space="preserve"> difference</w:t>
      </w:r>
      <w:r w:rsidR="00AF1E6C">
        <w:t>s</w:t>
      </w:r>
      <w:r w:rsidR="004813FA" w:rsidRPr="0023484B">
        <w:t xml:space="preserve"> in</w:t>
      </w:r>
      <w:r w:rsidR="00B46CE2" w:rsidRPr="0023484B">
        <w:t xml:space="preserve"> mean survival (estimated following extrapolation) w</w:t>
      </w:r>
      <w:r w:rsidR="00AF1E6C">
        <w:t>ere</w:t>
      </w:r>
      <w:r w:rsidR="00B46CE2" w:rsidRPr="0023484B">
        <w:t xml:space="preserve"> materially different across the methods (range: 5.82 to 10.19 </w:t>
      </w:r>
      <w:r w:rsidR="00B46CE2" w:rsidRPr="00427986">
        <w:t>months)</w:t>
      </w:r>
      <w:r w:rsidR="00AF1E6C" w:rsidRPr="00427986">
        <w:t>, the confidence intervals were wide and overlapping indicating that there was no statistical difference in the results</w:t>
      </w:r>
      <w:r w:rsidR="00180F22" w:rsidRPr="00427986">
        <w:t xml:space="preserve">. </w:t>
      </w:r>
    </w:p>
    <w:p w14:paraId="27173169" w14:textId="115F2AF7" w:rsidR="004221D8" w:rsidRPr="00427986" w:rsidRDefault="00985104" w:rsidP="00EA7055">
      <w:pPr>
        <w:pStyle w:val="3-BodyText"/>
      </w:pPr>
      <w:bookmarkStart w:id="46" w:name="_Ref147750694"/>
      <w:r>
        <w:t>The PSCR presented the results f</w:t>
      </w:r>
      <w:r w:rsidR="004221D8" w:rsidRPr="00427986">
        <w:t>or the subgroup of patients who had received prior lenvatinib only</w:t>
      </w:r>
      <w:r>
        <w:t>. T</w:t>
      </w:r>
      <w:r w:rsidR="004221D8" w:rsidRPr="00427986">
        <w:t>he HR was estimated to be 1.06 (95% CI: 0.45, 2.47)</w:t>
      </w:r>
      <w:r>
        <w:t xml:space="preserve"> and, w</w:t>
      </w:r>
      <w:r w:rsidR="004221D8" w:rsidRPr="00427986">
        <w:t>hen adjusted using the RPSFT method</w:t>
      </w:r>
      <w:r>
        <w:t>,</w:t>
      </w:r>
      <w:r w:rsidR="004221D8" w:rsidRPr="00427986">
        <w:t xml:space="preserve"> the HR was 0.98 (95% CI: 0.24, 3.91).</w:t>
      </w:r>
      <w:bookmarkEnd w:id="46"/>
    </w:p>
    <w:p w14:paraId="1452C351" w14:textId="72807353" w:rsidR="00B60939" w:rsidRPr="00C9624D" w:rsidDel="00BE64DE" w:rsidRDefault="00B60939" w:rsidP="00D86231">
      <w:pPr>
        <w:pStyle w:val="4-SubsectionHeading"/>
      </w:pPr>
      <w:bookmarkStart w:id="47" w:name="_Toc22897642"/>
      <w:bookmarkStart w:id="48" w:name="_Toc145504685"/>
      <w:r w:rsidRPr="00C9624D" w:rsidDel="00BE64DE">
        <w:lastRenderedPageBreak/>
        <w:t>Comparative harms</w:t>
      </w:r>
      <w:bookmarkEnd w:id="47"/>
      <w:bookmarkEnd w:id="48"/>
    </w:p>
    <w:p w14:paraId="3B7F076A" w14:textId="60B82F51" w:rsidR="00DD36C3" w:rsidRPr="00F0351B" w:rsidDel="00BE64DE" w:rsidRDefault="00647249" w:rsidP="006C46F2">
      <w:pPr>
        <w:pStyle w:val="3-BodyText"/>
      </w:pPr>
      <w:r>
        <w:fldChar w:fldCharType="begin" w:fldLock="1"/>
      </w:r>
      <w:r>
        <w:instrText xml:space="preserve"> REF _Ref147931521 \h </w:instrText>
      </w:r>
      <w:r>
        <w:fldChar w:fldCharType="separate"/>
      </w:r>
      <w:r w:rsidR="008760F8" w:rsidDel="00BE64DE">
        <w:t xml:space="preserve">Table </w:t>
      </w:r>
      <w:r w:rsidR="008760F8">
        <w:rPr>
          <w:noProof/>
        </w:rPr>
        <w:t>10</w:t>
      </w:r>
      <w:r>
        <w:fldChar w:fldCharType="end"/>
      </w:r>
      <w:r>
        <w:t xml:space="preserve"> </w:t>
      </w:r>
      <w:r w:rsidR="4C5BEAFA" w:rsidRPr="00F0351B" w:rsidDel="00BE64DE">
        <w:t xml:space="preserve">presents a summary of adverse events in the COSMIC-311 trial. </w:t>
      </w:r>
    </w:p>
    <w:p w14:paraId="310B2246" w14:textId="2D2BFDB8" w:rsidR="00B60939" w:rsidRPr="00D86231" w:rsidDel="00BE64DE" w:rsidRDefault="005946AE" w:rsidP="005946AE">
      <w:pPr>
        <w:pStyle w:val="Caption"/>
        <w:jc w:val="left"/>
        <w:rPr>
          <w:rStyle w:val="CommentReference"/>
          <w:b/>
          <w:szCs w:val="24"/>
        </w:rPr>
      </w:pPr>
      <w:bookmarkStart w:id="49" w:name="_Ref147931521"/>
      <w:r w:rsidDel="00BE64DE">
        <w:t xml:space="preserve">Table </w:t>
      </w:r>
      <w:r w:rsidDel="00BE64DE">
        <w:fldChar w:fldCharType="begin" w:fldLock="1"/>
      </w:r>
      <w:r w:rsidDel="00BE64DE">
        <w:instrText>SEQ Table \* ARABIC</w:instrText>
      </w:r>
      <w:r w:rsidDel="00BE64DE">
        <w:fldChar w:fldCharType="separate"/>
      </w:r>
      <w:r w:rsidR="008760F8">
        <w:rPr>
          <w:noProof/>
        </w:rPr>
        <w:t>10</w:t>
      </w:r>
      <w:r w:rsidDel="00BE64DE">
        <w:fldChar w:fldCharType="end"/>
      </w:r>
      <w:bookmarkEnd w:id="49"/>
      <w:r w:rsidDel="00BE64DE">
        <w:t xml:space="preserve">: </w:t>
      </w:r>
      <w:r w:rsidR="005D26B4" w:rsidRPr="00D86231" w:rsidDel="00BE64DE">
        <w:rPr>
          <w:rStyle w:val="CommentReference"/>
          <w:b/>
          <w:szCs w:val="24"/>
        </w:rPr>
        <w:t xml:space="preserve">Summary of key adverse events in </w:t>
      </w:r>
      <w:r w:rsidR="00DC1C00" w:rsidDel="00BE64DE">
        <w:rPr>
          <w:rStyle w:val="CommentReference"/>
          <w:b/>
          <w:szCs w:val="24"/>
        </w:rPr>
        <w:t>COSMIC-311</w:t>
      </w:r>
      <w:r w:rsidR="00B61730" w:rsidDel="00BE64DE">
        <w:rPr>
          <w:rStyle w:val="CommentReference"/>
          <w:b/>
          <w:szCs w:val="24"/>
        </w:rPr>
        <w:t xml:space="preserve"> (C</w:t>
      </w:r>
      <w:r w:rsidR="006F5252" w:rsidDel="00BE64DE">
        <w:rPr>
          <w:rStyle w:val="CommentReference"/>
          <w:b/>
          <w:szCs w:val="24"/>
        </w:rPr>
        <w:t>C</w:t>
      </w:r>
      <w:r w:rsidR="00B61730" w:rsidDel="00BE64DE">
        <w:rPr>
          <w:rStyle w:val="CommentReference"/>
          <w:b/>
          <w:szCs w:val="24"/>
        </w:rPr>
        <w:t>O2)</w:t>
      </w:r>
      <w:r w:rsidR="002F5699" w:rsidRPr="00180F22">
        <w:rPr>
          <w:rStyle w:val="CommentReference"/>
          <w:b/>
          <w:szCs w:val="24"/>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34"/>
        <w:gridCol w:w="1562"/>
        <w:gridCol w:w="1439"/>
        <w:gridCol w:w="1582"/>
      </w:tblGrid>
      <w:tr w:rsidR="005D26B4" w:rsidRPr="00FC1940" w:rsidDel="00BE64DE" w14:paraId="3ADA51C0" w14:textId="6ED102C5" w:rsidTr="00180F22">
        <w:trPr>
          <w:cantSplit/>
          <w:tblHeader/>
        </w:trPr>
        <w:tc>
          <w:tcPr>
            <w:tcW w:w="2459" w:type="pct"/>
            <w:tcBorders>
              <w:bottom w:val="double" w:sz="4" w:space="0" w:color="auto"/>
            </w:tcBorders>
            <w:vAlign w:val="center"/>
          </w:tcPr>
          <w:p w14:paraId="21B479AB" w14:textId="4B4C399B" w:rsidR="005D26B4" w:rsidRPr="00FC1940" w:rsidDel="00BE64DE" w:rsidRDefault="005D26B4" w:rsidP="009D798F">
            <w:pPr>
              <w:pStyle w:val="In-tableHeading"/>
              <w:jc w:val="center"/>
              <w:rPr>
                <w:szCs w:val="20"/>
              </w:rPr>
            </w:pPr>
            <w:r w:rsidRPr="00FC1940" w:rsidDel="00BE64DE">
              <w:rPr>
                <w:szCs w:val="20"/>
              </w:rPr>
              <w:t>Trial ID</w:t>
            </w:r>
          </w:p>
        </w:tc>
        <w:tc>
          <w:tcPr>
            <w:tcW w:w="866" w:type="pct"/>
            <w:tcBorders>
              <w:bottom w:val="double" w:sz="4" w:space="0" w:color="auto"/>
            </w:tcBorders>
            <w:vAlign w:val="center"/>
          </w:tcPr>
          <w:p w14:paraId="23AC57BC" w14:textId="3CA508EE" w:rsidR="005D26B4" w:rsidRPr="00FC1940" w:rsidDel="00BE64DE" w:rsidRDefault="001F0333" w:rsidP="0087327D">
            <w:pPr>
              <w:pStyle w:val="In-tableHeading"/>
              <w:jc w:val="center"/>
              <w:rPr>
                <w:szCs w:val="20"/>
              </w:rPr>
            </w:pPr>
            <w:r w:rsidRPr="00FC1940" w:rsidDel="00BE64DE">
              <w:rPr>
                <w:szCs w:val="20"/>
              </w:rPr>
              <w:t>Cabozantinib</w:t>
            </w:r>
          </w:p>
          <w:p w14:paraId="25AE8D22" w14:textId="687F566F" w:rsidR="005D26B4" w:rsidRPr="00FC1940" w:rsidDel="00BE64DE" w:rsidRDefault="005D26B4" w:rsidP="0087327D">
            <w:pPr>
              <w:pStyle w:val="In-tableHeading"/>
              <w:jc w:val="center"/>
              <w:rPr>
                <w:szCs w:val="20"/>
              </w:rPr>
            </w:pPr>
            <w:r w:rsidRPr="00FC1940" w:rsidDel="00BE64DE">
              <w:rPr>
                <w:szCs w:val="20"/>
              </w:rPr>
              <w:t>n/N (%)</w:t>
            </w:r>
          </w:p>
        </w:tc>
        <w:tc>
          <w:tcPr>
            <w:tcW w:w="798" w:type="pct"/>
            <w:tcBorders>
              <w:bottom w:val="double" w:sz="4" w:space="0" w:color="auto"/>
            </w:tcBorders>
            <w:vAlign w:val="center"/>
          </w:tcPr>
          <w:p w14:paraId="34690FEB" w14:textId="27E556EE" w:rsidR="005D26B4" w:rsidRPr="00FC1940" w:rsidDel="00BE64DE" w:rsidRDefault="00B61730" w:rsidP="0087327D">
            <w:pPr>
              <w:pStyle w:val="In-tableHeading"/>
              <w:jc w:val="center"/>
              <w:rPr>
                <w:szCs w:val="20"/>
              </w:rPr>
            </w:pPr>
            <w:r w:rsidDel="00BE64DE">
              <w:rPr>
                <w:szCs w:val="20"/>
              </w:rPr>
              <w:t>Placebo</w:t>
            </w:r>
          </w:p>
          <w:p w14:paraId="3D94778C" w14:textId="383BE484" w:rsidR="005D26B4" w:rsidRPr="00FC1940" w:rsidDel="00BE64DE" w:rsidRDefault="005D26B4" w:rsidP="0087327D">
            <w:pPr>
              <w:pStyle w:val="In-tableHeading"/>
              <w:jc w:val="center"/>
              <w:rPr>
                <w:szCs w:val="20"/>
              </w:rPr>
            </w:pPr>
            <w:r w:rsidRPr="00FC1940" w:rsidDel="00BE64DE">
              <w:rPr>
                <w:szCs w:val="20"/>
              </w:rPr>
              <w:t>n/N (%)</w:t>
            </w:r>
          </w:p>
        </w:tc>
        <w:tc>
          <w:tcPr>
            <w:tcW w:w="877" w:type="pct"/>
            <w:tcBorders>
              <w:bottom w:val="double" w:sz="4" w:space="0" w:color="auto"/>
            </w:tcBorders>
            <w:vAlign w:val="center"/>
          </w:tcPr>
          <w:p w14:paraId="03BB1326" w14:textId="370C52CB" w:rsidR="005D26B4" w:rsidRPr="00FC1940" w:rsidDel="00BE64DE" w:rsidRDefault="005D26B4" w:rsidP="0087327D">
            <w:pPr>
              <w:pStyle w:val="In-tableHeading"/>
              <w:jc w:val="center"/>
              <w:rPr>
                <w:szCs w:val="20"/>
              </w:rPr>
            </w:pPr>
            <w:r w:rsidRPr="00FC1940" w:rsidDel="00BE64DE">
              <w:rPr>
                <w:szCs w:val="20"/>
              </w:rPr>
              <w:t>RD (95% CI)</w:t>
            </w:r>
          </w:p>
        </w:tc>
      </w:tr>
      <w:tr w:rsidR="008B474F" w:rsidRPr="00AF1E6C" w:rsidDel="00BE64DE" w14:paraId="097999E8" w14:textId="0CAFFCE2" w:rsidTr="00180F22">
        <w:trPr>
          <w:cantSplit/>
        </w:trPr>
        <w:tc>
          <w:tcPr>
            <w:tcW w:w="2459" w:type="pct"/>
            <w:tcBorders>
              <w:top w:val="single" w:sz="4" w:space="0" w:color="auto"/>
            </w:tcBorders>
            <w:shd w:val="clear" w:color="auto" w:fill="FFFFFF"/>
          </w:tcPr>
          <w:p w14:paraId="73C7D16F" w14:textId="165CCC6C" w:rsidR="008B474F" w:rsidRPr="00EC2B8E" w:rsidDel="00BE64DE" w:rsidRDefault="008B474F" w:rsidP="008B474F">
            <w:pPr>
              <w:pStyle w:val="TableText0"/>
              <w:rPr>
                <w:szCs w:val="20"/>
              </w:rPr>
            </w:pPr>
            <w:r w:rsidRPr="00EC2B8E" w:rsidDel="00BE64DE">
              <w:rPr>
                <w:rFonts w:cstheme="minorHAnsi"/>
                <w:szCs w:val="20"/>
              </w:rPr>
              <w:t xml:space="preserve">Any AE </w:t>
            </w:r>
          </w:p>
        </w:tc>
        <w:tc>
          <w:tcPr>
            <w:tcW w:w="866" w:type="pct"/>
            <w:shd w:val="clear" w:color="auto" w:fill="FFFFFF"/>
            <w:vAlign w:val="center"/>
          </w:tcPr>
          <w:p w14:paraId="53BA973E" w14:textId="78E9EE00" w:rsidR="008B474F" w:rsidRPr="00EC2B8E" w:rsidDel="00BE64DE" w:rsidRDefault="008B474F" w:rsidP="008B474F">
            <w:pPr>
              <w:pStyle w:val="TableText0"/>
              <w:jc w:val="center"/>
              <w:rPr>
                <w:szCs w:val="20"/>
              </w:rPr>
            </w:pPr>
            <w:r w:rsidRPr="00EC2B8E" w:rsidDel="00BE64DE">
              <w:rPr>
                <w:rFonts w:cstheme="minorHAnsi"/>
                <w:szCs w:val="20"/>
              </w:rPr>
              <w:t>166/170</w:t>
            </w:r>
            <w:r w:rsidR="0080201F" w:rsidRPr="00EC2B8E">
              <w:rPr>
                <w:rFonts w:cstheme="minorHAnsi"/>
                <w:szCs w:val="20"/>
              </w:rPr>
              <w:t xml:space="preserve"> </w:t>
            </w:r>
            <w:r w:rsidRPr="00EC2B8E" w:rsidDel="00BE64DE">
              <w:rPr>
                <w:rFonts w:cstheme="minorHAnsi"/>
                <w:szCs w:val="20"/>
              </w:rPr>
              <w:t xml:space="preserve"> (98)</w:t>
            </w:r>
          </w:p>
        </w:tc>
        <w:tc>
          <w:tcPr>
            <w:tcW w:w="798" w:type="pct"/>
            <w:shd w:val="clear" w:color="auto" w:fill="FFFFFF"/>
            <w:vAlign w:val="center"/>
          </w:tcPr>
          <w:p w14:paraId="3849128B" w14:textId="415C7B26" w:rsidR="008B474F" w:rsidRPr="00EC2B8E" w:rsidDel="00BE64DE" w:rsidRDefault="008B474F" w:rsidP="008B474F">
            <w:pPr>
              <w:pStyle w:val="TableText0"/>
              <w:jc w:val="center"/>
              <w:rPr>
                <w:szCs w:val="20"/>
              </w:rPr>
            </w:pPr>
            <w:r w:rsidRPr="00EC2B8E" w:rsidDel="00BE64DE">
              <w:rPr>
                <w:rFonts w:cstheme="minorHAnsi"/>
                <w:szCs w:val="20"/>
              </w:rPr>
              <w:t>75/88</w:t>
            </w:r>
            <w:r w:rsidR="000667D4" w:rsidRPr="00EC2B8E">
              <w:rPr>
                <w:rFonts w:cstheme="minorHAnsi"/>
                <w:szCs w:val="20"/>
              </w:rPr>
              <w:t xml:space="preserve"> </w:t>
            </w:r>
            <w:r w:rsidRPr="00EC2B8E" w:rsidDel="00BE64DE">
              <w:rPr>
                <w:rFonts w:cstheme="minorHAnsi"/>
                <w:szCs w:val="20"/>
              </w:rPr>
              <w:t xml:space="preserve"> (85)</w:t>
            </w:r>
          </w:p>
        </w:tc>
        <w:tc>
          <w:tcPr>
            <w:tcW w:w="877" w:type="pct"/>
            <w:tcBorders>
              <w:top w:val="single" w:sz="4" w:space="0" w:color="auto"/>
            </w:tcBorders>
            <w:shd w:val="clear" w:color="auto" w:fill="auto"/>
            <w:vAlign w:val="center"/>
          </w:tcPr>
          <w:p w14:paraId="66594359" w14:textId="0DA7EC5C" w:rsidR="008B474F" w:rsidRPr="00EC2B8E" w:rsidDel="00BE64DE" w:rsidRDefault="008B474F" w:rsidP="008B474F">
            <w:pPr>
              <w:pStyle w:val="TableText0"/>
              <w:jc w:val="center"/>
              <w:rPr>
                <w:szCs w:val="20"/>
              </w:rPr>
            </w:pPr>
            <w:r w:rsidRPr="00EC2B8E" w:rsidDel="00BE64DE">
              <w:rPr>
                <w:szCs w:val="20"/>
              </w:rPr>
              <w:t xml:space="preserve">0.12 </w:t>
            </w:r>
            <w:r w:rsidR="000667D4" w:rsidRPr="00EC2B8E" w:rsidDel="00BE64DE">
              <w:rPr>
                <w:szCs w:val="20"/>
              </w:rPr>
              <w:t xml:space="preserve"> </w:t>
            </w:r>
            <w:r w:rsidRPr="00EC2B8E" w:rsidDel="00BE64DE">
              <w:rPr>
                <w:szCs w:val="20"/>
              </w:rPr>
              <w:t xml:space="preserve">(0.05, 0.20) </w:t>
            </w:r>
          </w:p>
        </w:tc>
      </w:tr>
      <w:tr w:rsidR="008B474F" w:rsidRPr="00AF1E6C" w:rsidDel="00BE64DE" w14:paraId="5B3EAF94" w14:textId="12BFD50F" w:rsidTr="00180F22">
        <w:trPr>
          <w:cantSplit/>
        </w:trPr>
        <w:tc>
          <w:tcPr>
            <w:tcW w:w="2459" w:type="pct"/>
            <w:shd w:val="clear" w:color="auto" w:fill="FFFFFF"/>
          </w:tcPr>
          <w:p w14:paraId="30466A23" w14:textId="4AB2D51C" w:rsidR="008B474F" w:rsidRPr="00EC2B8E" w:rsidDel="00BE64DE" w:rsidRDefault="008B474F" w:rsidP="008B474F">
            <w:pPr>
              <w:pStyle w:val="TableText0"/>
              <w:rPr>
                <w:szCs w:val="20"/>
              </w:rPr>
            </w:pPr>
            <w:r w:rsidRPr="00EC2B8E" w:rsidDel="00BE64DE">
              <w:rPr>
                <w:rFonts w:cstheme="minorHAnsi"/>
                <w:szCs w:val="20"/>
              </w:rPr>
              <w:t xml:space="preserve">Treatment-related AE </w:t>
            </w:r>
          </w:p>
        </w:tc>
        <w:tc>
          <w:tcPr>
            <w:tcW w:w="866" w:type="pct"/>
            <w:shd w:val="clear" w:color="auto" w:fill="FFFFFF"/>
            <w:vAlign w:val="center"/>
          </w:tcPr>
          <w:p w14:paraId="1862A02D" w14:textId="29A391B6" w:rsidR="008B474F" w:rsidRPr="00EC2B8E" w:rsidDel="00BE64DE" w:rsidRDefault="008B474F" w:rsidP="008B474F">
            <w:pPr>
              <w:pStyle w:val="TableText0"/>
              <w:jc w:val="center"/>
              <w:rPr>
                <w:szCs w:val="20"/>
              </w:rPr>
            </w:pPr>
            <w:r w:rsidRPr="00EC2B8E" w:rsidDel="00BE64DE">
              <w:rPr>
                <w:rFonts w:cstheme="minorHAnsi"/>
                <w:szCs w:val="20"/>
              </w:rPr>
              <w:t>159</w:t>
            </w:r>
            <w:r w:rsidR="0080201F" w:rsidRPr="00EC2B8E">
              <w:rPr>
                <w:rFonts w:cstheme="minorHAnsi"/>
                <w:szCs w:val="20"/>
              </w:rPr>
              <w:t xml:space="preserve"> </w:t>
            </w:r>
            <w:r w:rsidRPr="00EC2B8E" w:rsidDel="00BE64DE">
              <w:rPr>
                <w:rFonts w:cstheme="minorHAnsi"/>
                <w:szCs w:val="20"/>
              </w:rPr>
              <w:t>(94)</w:t>
            </w:r>
          </w:p>
        </w:tc>
        <w:tc>
          <w:tcPr>
            <w:tcW w:w="798" w:type="pct"/>
            <w:shd w:val="clear" w:color="auto" w:fill="FFFFFF"/>
            <w:vAlign w:val="center"/>
          </w:tcPr>
          <w:p w14:paraId="1AA7A190" w14:textId="0AAE602B" w:rsidR="008B474F" w:rsidRPr="00EC2B8E" w:rsidDel="00BE64DE" w:rsidRDefault="008B474F" w:rsidP="008B474F">
            <w:pPr>
              <w:pStyle w:val="TableText0"/>
              <w:jc w:val="center"/>
              <w:rPr>
                <w:szCs w:val="20"/>
              </w:rPr>
            </w:pPr>
            <w:r w:rsidRPr="00EC2B8E" w:rsidDel="00BE64DE">
              <w:rPr>
                <w:rFonts w:cstheme="minorHAnsi"/>
                <w:szCs w:val="20"/>
              </w:rPr>
              <w:t xml:space="preserve">41 </w:t>
            </w:r>
            <w:r w:rsidR="000667D4" w:rsidRPr="00EC2B8E">
              <w:rPr>
                <w:rFonts w:cstheme="minorHAnsi"/>
                <w:szCs w:val="20"/>
              </w:rPr>
              <w:t xml:space="preserve"> </w:t>
            </w:r>
            <w:r w:rsidRPr="00EC2B8E" w:rsidDel="00BE64DE">
              <w:rPr>
                <w:rFonts w:cstheme="minorHAnsi"/>
                <w:szCs w:val="20"/>
              </w:rPr>
              <w:t>(47)</w:t>
            </w:r>
          </w:p>
        </w:tc>
        <w:tc>
          <w:tcPr>
            <w:tcW w:w="877" w:type="pct"/>
            <w:shd w:val="clear" w:color="auto" w:fill="auto"/>
            <w:vAlign w:val="center"/>
          </w:tcPr>
          <w:p w14:paraId="2BEDC22B" w14:textId="0A9C9E1C" w:rsidR="008B474F" w:rsidRPr="00EC2B8E" w:rsidDel="00BE64DE" w:rsidRDefault="008B474F" w:rsidP="008B474F">
            <w:pPr>
              <w:pStyle w:val="TableText0"/>
              <w:jc w:val="center"/>
              <w:rPr>
                <w:szCs w:val="20"/>
              </w:rPr>
            </w:pPr>
            <w:r w:rsidRPr="00EC2B8E" w:rsidDel="00BE64DE">
              <w:rPr>
                <w:szCs w:val="20"/>
              </w:rPr>
              <w:t xml:space="preserve">0.47 </w:t>
            </w:r>
            <w:r w:rsidR="000667D4" w:rsidRPr="00EC2B8E" w:rsidDel="00BE64DE">
              <w:rPr>
                <w:szCs w:val="20"/>
              </w:rPr>
              <w:t xml:space="preserve"> </w:t>
            </w:r>
            <w:r w:rsidRPr="00EC2B8E" w:rsidDel="00BE64DE">
              <w:rPr>
                <w:szCs w:val="20"/>
              </w:rPr>
              <w:t>(0.36, 0.58)</w:t>
            </w:r>
          </w:p>
        </w:tc>
      </w:tr>
      <w:tr w:rsidR="008B474F" w:rsidRPr="00AF1E6C" w:rsidDel="00BE64DE" w14:paraId="74DF9478" w14:textId="092B752D" w:rsidTr="00180F22">
        <w:trPr>
          <w:cantSplit/>
        </w:trPr>
        <w:tc>
          <w:tcPr>
            <w:tcW w:w="2459" w:type="pct"/>
            <w:shd w:val="clear" w:color="auto" w:fill="FFFFFF"/>
          </w:tcPr>
          <w:p w14:paraId="070B1A92" w14:textId="3BF1C340" w:rsidR="008B474F" w:rsidRPr="00EC2B8E" w:rsidDel="00BE64DE" w:rsidRDefault="008B474F" w:rsidP="008B474F">
            <w:pPr>
              <w:pStyle w:val="TableText0"/>
              <w:rPr>
                <w:szCs w:val="20"/>
              </w:rPr>
            </w:pPr>
            <w:r w:rsidRPr="00EC2B8E" w:rsidDel="00BE64DE">
              <w:rPr>
                <w:rFonts w:cstheme="minorHAnsi"/>
                <w:szCs w:val="20"/>
              </w:rPr>
              <w:t>Grade 3</w:t>
            </w:r>
            <w:r w:rsidR="00161DAF" w:rsidRPr="00EC2B8E" w:rsidDel="00BE64DE">
              <w:rPr>
                <w:rFonts w:cstheme="minorHAnsi"/>
                <w:szCs w:val="20"/>
              </w:rPr>
              <w:t>/</w:t>
            </w:r>
            <w:r w:rsidRPr="00EC2B8E" w:rsidDel="00BE64DE">
              <w:rPr>
                <w:rFonts w:cstheme="minorHAnsi"/>
                <w:szCs w:val="20"/>
              </w:rPr>
              <w:t xml:space="preserve">4 AE </w:t>
            </w:r>
          </w:p>
        </w:tc>
        <w:tc>
          <w:tcPr>
            <w:tcW w:w="866" w:type="pct"/>
            <w:shd w:val="clear" w:color="auto" w:fill="FFFFFF"/>
            <w:vAlign w:val="center"/>
          </w:tcPr>
          <w:p w14:paraId="500703AB" w14:textId="4B2F821B" w:rsidR="008B474F" w:rsidRPr="00EC2B8E" w:rsidDel="00BE64DE" w:rsidRDefault="008B474F" w:rsidP="008B474F">
            <w:pPr>
              <w:pStyle w:val="TableText0"/>
              <w:jc w:val="center"/>
              <w:rPr>
                <w:szCs w:val="20"/>
              </w:rPr>
            </w:pPr>
            <w:r w:rsidRPr="00EC2B8E" w:rsidDel="00BE64DE">
              <w:rPr>
                <w:rFonts w:cstheme="minorHAnsi"/>
                <w:szCs w:val="20"/>
              </w:rPr>
              <w:t>106</w:t>
            </w:r>
            <w:r w:rsidR="0080201F" w:rsidRPr="00EC2B8E">
              <w:rPr>
                <w:rFonts w:cstheme="minorHAnsi"/>
                <w:szCs w:val="20"/>
              </w:rPr>
              <w:t xml:space="preserve"> </w:t>
            </w:r>
            <w:r w:rsidRPr="00EC2B8E" w:rsidDel="00BE64DE">
              <w:rPr>
                <w:rFonts w:cstheme="minorHAnsi"/>
                <w:szCs w:val="20"/>
              </w:rPr>
              <w:t>(62)</w:t>
            </w:r>
          </w:p>
        </w:tc>
        <w:tc>
          <w:tcPr>
            <w:tcW w:w="798" w:type="pct"/>
            <w:shd w:val="clear" w:color="auto" w:fill="FFFFFF"/>
            <w:vAlign w:val="center"/>
          </w:tcPr>
          <w:p w14:paraId="38248C8A" w14:textId="789F11A2" w:rsidR="008B474F" w:rsidRPr="00EC2B8E" w:rsidDel="00BE64DE" w:rsidRDefault="008B474F" w:rsidP="008B474F">
            <w:pPr>
              <w:pStyle w:val="TableText0"/>
              <w:jc w:val="center"/>
              <w:rPr>
                <w:szCs w:val="20"/>
              </w:rPr>
            </w:pPr>
            <w:r w:rsidRPr="00EC2B8E" w:rsidDel="00BE64DE">
              <w:rPr>
                <w:rFonts w:cstheme="minorHAnsi"/>
                <w:szCs w:val="20"/>
              </w:rPr>
              <w:t>25</w:t>
            </w:r>
            <w:r w:rsidR="000667D4" w:rsidRPr="00EC2B8E">
              <w:rPr>
                <w:rFonts w:cstheme="minorHAnsi"/>
                <w:szCs w:val="20"/>
              </w:rPr>
              <w:t xml:space="preserve"> </w:t>
            </w:r>
            <w:r w:rsidRPr="00EC2B8E" w:rsidDel="00BE64DE">
              <w:rPr>
                <w:rFonts w:cstheme="minorHAnsi"/>
                <w:szCs w:val="20"/>
              </w:rPr>
              <w:t xml:space="preserve"> (28)</w:t>
            </w:r>
          </w:p>
        </w:tc>
        <w:tc>
          <w:tcPr>
            <w:tcW w:w="877" w:type="pct"/>
            <w:shd w:val="clear" w:color="auto" w:fill="auto"/>
            <w:vAlign w:val="center"/>
          </w:tcPr>
          <w:p w14:paraId="6D3066AB" w14:textId="7718D3CB" w:rsidR="008B474F" w:rsidRPr="00EC2B8E" w:rsidDel="00BE64DE" w:rsidRDefault="008B474F" w:rsidP="008B474F">
            <w:pPr>
              <w:pStyle w:val="TableText0"/>
              <w:jc w:val="center"/>
              <w:rPr>
                <w:szCs w:val="20"/>
              </w:rPr>
            </w:pPr>
            <w:r w:rsidRPr="00EC2B8E" w:rsidDel="00BE64DE">
              <w:rPr>
                <w:szCs w:val="20"/>
              </w:rPr>
              <w:t xml:space="preserve">0.34 (0.22, 0.46) </w:t>
            </w:r>
          </w:p>
        </w:tc>
      </w:tr>
      <w:tr w:rsidR="008B474F" w:rsidRPr="00AF1E6C" w:rsidDel="00BE64DE" w14:paraId="6E3BA3B5" w14:textId="64D14961" w:rsidTr="00180F22">
        <w:trPr>
          <w:cantSplit/>
        </w:trPr>
        <w:tc>
          <w:tcPr>
            <w:tcW w:w="2459" w:type="pct"/>
            <w:shd w:val="clear" w:color="auto" w:fill="FFFFFF"/>
          </w:tcPr>
          <w:p w14:paraId="629D2010" w14:textId="7A6C141D" w:rsidR="008B474F" w:rsidRPr="00EC2B8E" w:rsidDel="00BE64DE" w:rsidRDefault="008B474F" w:rsidP="008B474F">
            <w:pPr>
              <w:pStyle w:val="TableText0"/>
              <w:rPr>
                <w:szCs w:val="20"/>
              </w:rPr>
            </w:pPr>
            <w:r w:rsidRPr="00EC2B8E" w:rsidDel="00BE64DE">
              <w:rPr>
                <w:rFonts w:cstheme="minorHAnsi"/>
                <w:szCs w:val="20"/>
              </w:rPr>
              <w:t>Treatment-related Grade 3</w:t>
            </w:r>
            <w:r w:rsidR="00161DAF" w:rsidRPr="00EC2B8E" w:rsidDel="00BE64DE">
              <w:rPr>
                <w:rFonts w:cstheme="minorHAnsi"/>
                <w:szCs w:val="20"/>
              </w:rPr>
              <w:t>/</w:t>
            </w:r>
            <w:r w:rsidRPr="00EC2B8E" w:rsidDel="00BE64DE">
              <w:rPr>
                <w:rFonts w:cstheme="minorHAnsi"/>
                <w:szCs w:val="20"/>
              </w:rPr>
              <w:t xml:space="preserve">4 AE </w:t>
            </w:r>
          </w:p>
        </w:tc>
        <w:tc>
          <w:tcPr>
            <w:tcW w:w="866" w:type="pct"/>
            <w:shd w:val="clear" w:color="auto" w:fill="FFFFFF"/>
            <w:vAlign w:val="center"/>
          </w:tcPr>
          <w:p w14:paraId="40E3E63F" w14:textId="2D579A76" w:rsidR="008B474F" w:rsidRPr="00EC2B8E" w:rsidDel="00BE64DE" w:rsidRDefault="008B474F" w:rsidP="008B474F">
            <w:pPr>
              <w:pStyle w:val="TableText0"/>
              <w:jc w:val="center"/>
              <w:rPr>
                <w:szCs w:val="20"/>
              </w:rPr>
            </w:pPr>
            <w:r w:rsidRPr="00EC2B8E" w:rsidDel="00BE64DE">
              <w:rPr>
                <w:rFonts w:cstheme="minorHAnsi"/>
                <w:szCs w:val="20"/>
              </w:rPr>
              <w:t>88 (52)</w:t>
            </w:r>
          </w:p>
        </w:tc>
        <w:tc>
          <w:tcPr>
            <w:tcW w:w="798" w:type="pct"/>
            <w:shd w:val="clear" w:color="auto" w:fill="FFFFFF"/>
            <w:vAlign w:val="center"/>
          </w:tcPr>
          <w:p w14:paraId="0204CFF7" w14:textId="24FB5C34" w:rsidR="008B474F" w:rsidRPr="00EC2B8E" w:rsidDel="00BE64DE" w:rsidRDefault="008B474F" w:rsidP="008B474F">
            <w:pPr>
              <w:pStyle w:val="TableText0"/>
              <w:jc w:val="center"/>
              <w:rPr>
                <w:szCs w:val="20"/>
              </w:rPr>
            </w:pPr>
            <w:r w:rsidRPr="00EC2B8E" w:rsidDel="00BE64DE">
              <w:rPr>
                <w:rFonts w:cstheme="minorHAnsi"/>
                <w:szCs w:val="20"/>
              </w:rPr>
              <w:t xml:space="preserve">7 </w:t>
            </w:r>
            <w:r w:rsidR="000667D4" w:rsidRPr="00EC2B8E">
              <w:rPr>
                <w:rFonts w:cstheme="minorHAnsi"/>
                <w:szCs w:val="20"/>
              </w:rPr>
              <w:t xml:space="preserve"> </w:t>
            </w:r>
            <w:r w:rsidRPr="00EC2B8E" w:rsidDel="00BE64DE">
              <w:rPr>
                <w:rFonts w:cstheme="minorHAnsi"/>
                <w:szCs w:val="20"/>
              </w:rPr>
              <w:t>(8.0)</w:t>
            </w:r>
          </w:p>
        </w:tc>
        <w:tc>
          <w:tcPr>
            <w:tcW w:w="877" w:type="pct"/>
            <w:shd w:val="clear" w:color="auto" w:fill="auto"/>
            <w:vAlign w:val="center"/>
          </w:tcPr>
          <w:p w14:paraId="0DAAD860" w14:textId="3D5F801F" w:rsidR="008B474F" w:rsidRPr="00EC2B8E" w:rsidDel="00BE64DE" w:rsidRDefault="008B474F" w:rsidP="008B474F">
            <w:pPr>
              <w:pStyle w:val="TableText0"/>
              <w:jc w:val="center"/>
              <w:rPr>
                <w:szCs w:val="20"/>
              </w:rPr>
            </w:pPr>
            <w:r w:rsidRPr="00EC2B8E" w:rsidDel="00BE64DE">
              <w:rPr>
                <w:szCs w:val="20"/>
              </w:rPr>
              <w:t xml:space="preserve">0.44 </w:t>
            </w:r>
            <w:r w:rsidR="000667D4" w:rsidRPr="00EC2B8E">
              <w:rPr>
                <w:szCs w:val="20"/>
              </w:rPr>
              <w:t xml:space="preserve"> </w:t>
            </w:r>
            <w:r w:rsidRPr="00EC2B8E" w:rsidDel="00BE64DE">
              <w:rPr>
                <w:szCs w:val="20"/>
              </w:rPr>
              <w:t>(0.34, 0.53)</w:t>
            </w:r>
          </w:p>
        </w:tc>
      </w:tr>
      <w:tr w:rsidR="008B474F" w:rsidRPr="00AF1E6C" w:rsidDel="00BE64DE" w14:paraId="52477F5F" w14:textId="176560DB" w:rsidTr="00180F22">
        <w:trPr>
          <w:cantSplit/>
        </w:trPr>
        <w:tc>
          <w:tcPr>
            <w:tcW w:w="2459" w:type="pct"/>
            <w:shd w:val="clear" w:color="auto" w:fill="FFFFFF"/>
          </w:tcPr>
          <w:p w14:paraId="52DFBF90" w14:textId="2B1688F6" w:rsidR="008B474F" w:rsidRPr="00EC2B8E" w:rsidDel="00BE64DE" w:rsidRDefault="008B474F" w:rsidP="008B474F">
            <w:pPr>
              <w:pStyle w:val="TableText0"/>
              <w:rPr>
                <w:szCs w:val="20"/>
              </w:rPr>
            </w:pPr>
            <w:r w:rsidRPr="00EC2B8E" w:rsidDel="00BE64DE">
              <w:rPr>
                <w:rFonts w:cstheme="minorHAnsi"/>
                <w:szCs w:val="20"/>
              </w:rPr>
              <w:t xml:space="preserve">Grade 5 AE ≤ 30 days after last dose </w:t>
            </w:r>
          </w:p>
        </w:tc>
        <w:tc>
          <w:tcPr>
            <w:tcW w:w="866" w:type="pct"/>
            <w:shd w:val="clear" w:color="auto" w:fill="FFFFFF"/>
            <w:vAlign w:val="center"/>
          </w:tcPr>
          <w:p w14:paraId="6CC4CD8D" w14:textId="3A5CBEA5" w:rsidR="008B474F" w:rsidRPr="00EC2B8E" w:rsidDel="00BE64DE" w:rsidRDefault="008B474F" w:rsidP="008B474F">
            <w:pPr>
              <w:pStyle w:val="TableText0"/>
              <w:jc w:val="center"/>
              <w:rPr>
                <w:szCs w:val="20"/>
              </w:rPr>
            </w:pPr>
            <w:r w:rsidRPr="00EC2B8E" w:rsidDel="00BE64DE">
              <w:rPr>
                <w:rFonts w:cstheme="minorHAnsi"/>
                <w:szCs w:val="20"/>
              </w:rPr>
              <w:t xml:space="preserve">14 </w:t>
            </w:r>
            <w:r w:rsidR="0080201F" w:rsidRPr="00EC2B8E">
              <w:rPr>
                <w:rFonts w:cstheme="minorHAnsi"/>
                <w:szCs w:val="20"/>
              </w:rPr>
              <w:t xml:space="preserve"> </w:t>
            </w:r>
            <w:r w:rsidRPr="00EC2B8E" w:rsidDel="00BE64DE">
              <w:rPr>
                <w:rFonts w:cstheme="minorHAnsi"/>
                <w:szCs w:val="20"/>
              </w:rPr>
              <w:t>(8.2)</w:t>
            </w:r>
          </w:p>
        </w:tc>
        <w:tc>
          <w:tcPr>
            <w:tcW w:w="798" w:type="pct"/>
            <w:shd w:val="clear" w:color="auto" w:fill="FFFFFF"/>
            <w:vAlign w:val="center"/>
          </w:tcPr>
          <w:p w14:paraId="550E9D0C" w14:textId="130A901E" w:rsidR="008B474F" w:rsidRPr="00EC2B8E" w:rsidDel="00BE64DE" w:rsidRDefault="008B474F" w:rsidP="008B474F">
            <w:pPr>
              <w:pStyle w:val="TableText0"/>
              <w:jc w:val="center"/>
              <w:rPr>
                <w:szCs w:val="20"/>
              </w:rPr>
            </w:pPr>
            <w:r w:rsidRPr="00EC2B8E" w:rsidDel="00BE64DE">
              <w:rPr>
                <w:rFonts w:cstheme="minorHAnsi"/>
                <w:szCs w:val="20"/>
              </w:rPr>
              <w:t xml:space="preserve">7 </w:t>
            </w:r>
            <w:r w:rsidR="000667D4" w:rsidRPr="00EC2B8E">
              <w:rPr>
                <w:rFonts w:cstheme="minorHAnsi"/>
                <w:szCs w:val="20"/>
              </w:rPr>
              <w:t xml:space="preserve"> </w:t>
            </w:r>
            <w:r w:rsidR="000667D4" w:rsidRPr="00EC2B8E" w:rsidDel="00BE64DE">
              <w:rPr>
                <w:rFonts w:cstheme="minorHAnsi"/>
                <w:szCs w:val="20"/>
              </w:rPr>
              <w:t xml:space="preserve"> </w:t>
            </w:r>
            <w:r w:rsidRPr="00EC2B8E" w:rsidDel="00BE64DE">
              <w:rPr>
                <w:rFonts w:cstheme="minorHAnsi"/>
                <w:szCs w:val="20"/>
              </w:rPr>
              <w:t>(8.0)</w:t>
            </w:r>
          </w:p>
        </w:tc>
        <w:tc>
          <w:tcPr>
            <w:tcW w:w="877" w:type="pct"/>
            <w:shd w:val="clear" w:color="auto" w:fill="auto"/>
            <w:vAlign w:val="center"/>
          </w:tcPr>
          <w:p w14:paraId="2CABB4E5" w14:textId="17479004" w:rsidR="008B474F" w:rsidRPr="00EC2B8E" w:rsidDel="00BE64DE" w:rsidRDefault="008B474F" w:rsidP="008B474F">
            <w:pPr>
              <w:pStyle w:val="TableText0"/>
              <w:jc w:val="center"/>
              <w:rPr>
                <w:szCs w:val="20"/>
              </w:rPr>
            </w:pPr>
            <w:r w:rsidRPr="00EC2B8E" w:rsidDel="00BE64DE">
              <w:rPr>
                <w:szCs w:val="20"/>
              </w:rPr>
              <w:t>0.00</w:t>
            </w:r>
            <w:r w:rsidR="000667D4" w:rsidRPr="00EC2B8E">
              <w:rPr>
                <w:szCs w:val="20"/>
              </w:rPr>
              <w:t xml:space="preserve"> </w:t>
            </w:r>
            <w:r w:rsidRPr="00EC2B8E" w:rsidDel="00BE64DE">
              <w:rPr>
                <w:szCs w:val="20"/>
              </w:rPr>
              <w:t xml:space="preserve"> (-0.07, 0.07) </w:t>
            </w:r>
          </w:p>
        </w:tc>
      </w:tr>
      <w:tr w:rsidR="008B474F" w:rsidRPr="00AF1E6C" w:rsidDel="00BE64DE" w14:paraId="5223AAF5" w14:textId="2F7275BE" w:rsidTr="00180F22">
        <w:trPr>
          <w:cantSplit/>
        </w:trPr>
        <w:tc>
          <w:tcPr>
            <w:tcW w:w="2459" w:type="pct"/>
            <w:shd w:val="clear" w:color="auto" w:fill="FFFFFF"/>
          </w:tcPr>
          <w:p w14:paraId="3A98A01E" w14:textId="1676F1C9" w:rsidR="008B474F" w:rsidRPr="00EC2B8E" w:rsidDel="00BE64DE" w:rsidRDefault="008B474F" w:rsidP="008B474F">
            <w:pPr>
              <w:pStyle w:val="TableText0"/>
              <w:rPr>
                <w:szCs w:val="20"/>
              </w:rPr>
            </w:pPr>
            <w:r w:rsidRPr="00EC2B8E" w:rsidDel="00BE64DE">
              <w:rPr>
                <w:rFonts w:cstheme="minorHAnsi"/>
                <w:szCs w:val="20"/>
              </w:rPr>
              <w:t xml:space="preserve">Treatment-related Grade 5 AE ≤ 30 days after last dose </w:t>
            </w:r>
          </w:p>
        </w:tc>
        <w:tc>
          <w:tcPr>
            <w:tcW w:w="866" w:type="pct"/>
            <w:shd w:val="clear" w:color="auto" w:fill="FFFFFF"/>
            <w:vAlign w:val="center"/>
          </w:tcPr>
          <w:p w14:paraId="0C435F7D" w14:textId="2F6C9703" w:rsidR="008B474F" w:rsidRPr="00EC2B8E" w:rsidDel="00BE64DE" w:rsidRDefault="008B474F" w:rsidP="008B474F">
            <w:pPr>
              <w:pStyle w:val="TableText0"/>
              <w:jc w:val="center"/>
              <w:rPr>
                <w:szCs w:val="20"/>
              </w:rPr>
            </w:pPr>
            <w:r w:rsidRPr="00EC2B8E" w:rsidDel="00BE64DE">
              <w:rPr>
                <w:rFonts w:cstheme="minorHAnsi"/>
                <w:szCs w:val="20"/>
              </w:rPr>
              <w:t>0</w:t>
            </w:r>
          </w:p>
        </w:tc>
        <w:tc>
          <w:tcPr>
            <w:tcW w:w="798" w:type="pct"/>
            <w:shd w:val="clear" w:color="auto" w:fill="FFFFFF"/>
            <w:vAlign w:val="center"/>
          </w:tcPr>
          <w:p w14:paraId="0FB307EB" w14:textId="78C42ADA" w:rsidR="008B474F" w:rsidRPr="00EC2B8E" w:rsidDel="00BE64DE" w:rsidRDefault="008B474F" w:rsidP="008B474F">
            <w:pPr>
              <w:pStyle w:val="TableText0"/>
              <w:jc w:val="center"/>
              <w:rPr>
                <w:szCs w:val="20"/>
              </w:rPr>
            </w:pPr>
            <w:r w:rsidRPr="00EC2B8E" w:rsidDel="00BE64DE">
              <w:rPr>
                <w:rFonts w:cstheme="minorHAnsi"/>
                <w:szCs w:val="20"/>
              </w:rPr>
              <w:t>0</w:t>
            </w:r>
            <w:r w:rsidR="005860C6">
              <w:rPr>
                <w:rFonts w:cstheme="minorHAnsi"/>
                <w:szCs w:val="20"/>
              </w:rPr>
              <w:t xml:space="preserve"> </w:t>
            </w:r>
          </w:p>
        </w:tc>
        <w:tc>
          <w:tcPr>
            <w:tcW w:w="877" w:type="pct"/>
            <w:shd w:val="clear" w:color="auto" w:fill="auto"/>
            <w:vAlign w:val="center"/>
          </w:tcPr>
          <w:p w14:paraId="62437D1D" w14:textId="19837C62" w:rsidR="008B474F" w:rsidRPr="00EC2B8E" w:rsidDel="00BE64DE" w:rsidRDefault="008B474F" w:rsidP="008B474F">
            <w:pPr>
              <w:pStyle w:val="TableText0"/>
              <w:jc w:val="center"/>
              <w:rPr>
                <w:szCs w:val="20"/>
              </w:rPr>
            </w:pPr>
            <w:r w:rsidRPr="00EC2B8E" w:rsidDel="00BE64DE">
              <w:rPr>
                <w:szCs w:val="20"/>
              </w:rPr>
              <w:t xml:space="preserve">0.00 </w:t>
            </w:r>
            <w:r w:rsidR="000667D4" w:rsidRPr="00EC2B8E">
              <w:rPr>
                <w:szCs w:val="20"/>
              </w:rPr>
              <w:t xml:space="preserve"> </w:t>
            </w:r>
            <w:r w:rsidRPr="00EC2B8E" w:rsidDel="00BE64DE">
              <w:rPr>
                <w:szCs w:val="20"/>
              </w:rPr>
              <w:t>(-0.02, 0.02)</w:t>
            </w:r>
          </w:p>
        </w:tc>
      </w:tr>
      <w:tr w:rsidR="008B474F" w:rsidRPr="00AF1E6C" w:rsidDel="00BE64DE" w14:paraId="7E6A44ED" w14:textId="5CB0AA90" w:rsidTr="00180F22">
        <w:trPr>
          <w:cantSplit/>
        </w:trPr>
        <w:tc>
          <w:tcPr>
            <w:tcW w:w="2459" w:type="pct"/>
            <w:shd w:val="clear" w:color="auto" w:fill="FFFFFF"/>
          </w:tcPr>
          <w:p w14:paraId="5CC3A96B" w14:textId="2470FB6E" w:rsidR="008B474F" w:rsidRPr="00EC2B8E" w:rsidDel="00BE64DE" w:rsidRDefault="008B474F" w:rsidP="008B474F">
            <w:pPr>
              <w:pStyle w:val="TableText0"/>
              <w:rPr>
                <w:szCs w:val="20"/>
              </w:rPr>
            </w:pPr>
            <w:r w:rsidRPr="00EC2B8E" w:rsidDel="00BE64DE">
              <w:rPr>
                <w:rFonts w:cstheme="minorHAnsi"/>
                <w:szCs w:val="20"/>
              </w:rPr>
              <w:t xml:space="preserve">Treatment-related Grade 5 AE at any time </w:t>
            </w:r>
          </w:p>
        </w:tc>
        <w:tc>
          <w:tcPr>
            <w:tcW w:w="866" w:type="pct"/>
            <w:shd w:val="clear" w:color="auto" w:fill="FFFFFF"/>
            <w:vAlign w:val="center"/>
          </w:tcPr>
          <w:p w14:paraId="5947631F" w14:textId="04399FF1" w:rsidR="008B474F" w:rsidRPr="00EC2B8E" w:rsidDel="00BE64DE" w:rsidRDefault="008B474F" w:rsidP="008B474F">
            <w:pPr>
              <w:pStyle w:val="TableText0"/>
              <w:jc w:val="center"/>
              <w:rPr>
                <w:szCs w:val="20"/>
              </w:rPr>
            </w:pPr>
            <w:r w:rsidRPr="00EC2B8E" w:rsidDel="00BE64DE">
              <w:rPr>
                <w:rFonts w:cstheme="minorHAnsi"/>
                <w:szCs w:val="20"/>
              </w:rPr>
              <w:t>0</w:t>
            </w:r>
          </w:p>
        </w:tc>
        <w:tc>
          <w:tcPr>
            <w:tcW w:w="798" w:type="pct"/>
            <w:shd w:val="clear" w:color="auto" w:fill="FFFFFF"/>
            <w:vAlign w:val="center"/>
          </w:tcPr>
          <w:p w14:paraId="22B274FB" w14:textId="24618FBB" w:rsidR="008B474F" w:rsidRPr="00EC2B8E" w:rsidDel="00BE64DE" w:rsidRDefault="008B474F" w:rsidP="008B474F">
            <w:pPr>
              <w:pStyle w:val="TableText0"/>
              <w:jc w:val="center"/>
              <w:rPr>
                <w:szCs w:val="20"/>
              </w:rPr>
            </w:pPr>
            <w:r w:rsidRPr="00EC2B8E" w:rsidDel="00BE64DE">
              <w:rPr>
                <w:rFonts w:cstheme="minorHAnsi"/>
                <w:szCs w:val="20"/>
              </w:rPr>
              <w:t>0</w:t>
            </w:r>
            <w:r w:rsidR="005860C6">
              <w:rPr>
                <w:rFonts w:cstheme="minorHAnsi"/>
                <w:szCs w:val="20"/>
              </w:rPr>
              <w:t xml:space="preserve"> </w:t>
            </w:r>
          </w:p>
        </w:tc>
        <w:tc>
          <w:tcPr>
            <w:tcW w:w="877" w:type="pct"/>
            <w:shd w:val="clear" w:color="auto" w:fill="auto"/>
            <w:vAlign w:val="center"/>
          </w:tcPr>
          <w:p w14:paraId="333E770F" w14:textId="360D7995" w:rsidR="008B474F" w:rsidRPr="00EC2B8E" w:rsidDel="00BE64DE" w:rsidRDefault="008B474F" w:rsidP="008B474F">
            <w:pPr>
              <w:pStyle w:val="TableText0"/>
              <w:jc w:val="center"/>
              <w:rPr>
                <w:szCs w:val="20"/>
              </w:rPr>
            </w:pPr>
            <w:r w:rsidRPr="00EC2B8E" w:rsidDel="00BE64DE">
              <w:rPr>
                <w:szCs w:val="20"/>
              </w:rPr>
              <w:t>0.00</w:t>
            </w:r>
            <w:r w:rsidR="000667D4" w:rsidRPr="00EC2B8E">
              <w:rPr>
                <w:szCs w:val="20"/>
              </w:rPr>
              <w:t xml:space="preserve"> </w:t>
            </w:r>
            <w:r w:rsidRPr="00EC2B8E" w:rsidDel="00BE64DE">
              <w:rPr>
                <w:szCs w:val="20"/>
              </w:rPr>
              <w:t xml:space="preserve"> (-0.02, 0.02) </w:t>
            </w:r>
          </w:p>
        </w:tc>
      </w:tr>
      <w:tr w:rsidR="008B474F" w:rsidRPr="00AF1E6C" w:rsidDel="00BE64DE" w14:paraId="6ED05C45" w14:textId="32F5D6C5" w:rsidTr="00180F22">
        <w:trPr>
          <w:cantSplit/>
        </w:trPr>
        <w:tc>
          <w:tcPr>
            <w:tcW w:w="2459" w:type="pct"/>
            <w:shd w:val="clear" w:color="auto" w:fill="FFFFFF"/>
          </w:tcPr>
          <w:p w14:paraId="196711E6" w14:textId="209B31C0" w:rsidR="008B474F" w:rsidRPr="00EC2B8E" w:rsidDel="00BE64DE" w:rsidRDefault="008B474F" w:rsidP="008B474F">
            <w:pPr>
              <w:pStyle w:val="TableText0"/>
              <w:rPr>
                <w:szCs w:val="20"/>
              </w:rPr>
            </w:pPr>
            <w:r w:rsidRPr="00EC2B8E" w:rsidDel="00BE64DE">
              <w:rPr>
                <w:rFonts w:cstheme="minorHAnsi"/>
                <w:szCs w:val="20"/>
              </w:rPr>
              <w:t xml:space="preserve">Serious AE </w:t>
            </w:r>
          </w:p>
        </w:tc>
        <w:tc>
          <w:tcPr>
            <w:tcW w:w="866" w:type="pct"/>
            <w:shd w:val="clear" w:color="auto" w:fill="FFFFFF"/>
            <w:vAlign w:val="center"/>
          </w:tcPr>
          <w:p w14:paraId="22265B2E" w14:textId="5942B942" w:rsidR="008B474F" w:rsidRPr="00EC2B8E" w:rsidDel="00BE64DE" w:rsidRDefault="008B474F" w:rsidP="008B474F">
            <w:pPr>
              <w:pStyle w:val="TableText0"/>
              <w:jc w:val="center"/>
              <w:rPr>
                <w:szCs w:val="20"/>
              </w:rPr>
            </w:pPr>
            <w:r w:rsidRPr="00EC2B8E" w:rsidDel="00BE64DE">
              <w:rPr>
                <w:rFonts w:cstheme="minorHAnsi"/>
                <w:szCs w:val="20"/>
              </w:rPr>
              <w:t>66</w:t>
            </w:r>
            <w:r w:rsidR="0080201F" w:rsidRPr="00EC2B8E">
              <w:rPr>
                <w:rFonts w:cstheme="minorHAnsi"/>
                <w:szCs w:val="20"/>
              </w:rPr>
              <w:t xml:space="preserve"> </w:t>
            </w:r>
            <w:r w:rsidRPr="00EC2B8E" w:rsidDel="00BE64DE">
              <w:rPr>
                <w:rFonts w:cstheme="minorHAnsi"/>
                <w:szCs w:val="20"/>
              </w:rPr>
              <w:t>(39)</w:t>
            </w:r>
          </w:p>
        </w:tc>
        <w:tc>
          <w:tcPr>
            <w:tcW w:w="798" w:type="pct"/>
            <w:shd w:val="clear" w:color="auto" w:fill="FFFFFF"/>
            <w:vAlign w:val="center"/>
          </w:tcPr>
          <w:p w14:paraId="3484B726" w14:textId="6FC9EE8B" w:rsidR="008B474F" w:rsidRPr="00EC2B8E" w:rsidDel="00BE64DE" w:rsidRDefault="008B474F" w:rsidP="008B474F">
            <w:pPr>
              <w:pStyle w:val="TableText0"/>
              <w:jc w:val="center"/>
              <w:rPr>
                <w:szCs w:val="20"/>
              </w:rPr>
            </w:pPr>
            <w:r w:rsidRPr="00EC2B8E" w:rsidDel="00BE64DE">
              <w:rPr>
                <w:rFonts w:cstheme="minorHAnsi"/>
                <w:szCs w:val="20"/>
              </w:rPr>
              <w:t>24</w:t>
            </w:r>
            <w:r w:rsidR="000667D4" w:rsidRPr="00EC2B8E">
              <w:rPr>
                <w:rFonts w:cstheme="minorHAnsi"/>
                <w:szCs w:val="20"/>
              </w:rPr>
              <w:t xml:space="preserve"> </w:t>
            </w:r>
            <w:r w:rsidRPr="00EC2B8E" w:rsidDel="00BE64DE">
              <w:rPr>
                <w:rFonts w:cstheme="minorHAnsi"/>
                <w:szCs w:val="20"/>
              </w:rPr>
              <w:t xml:space="preserve"> (27)</w:t>
            </w:r>
          </w:p>
        </w:tc>
        <w:tc>
          <w:tcPr>
            <w:tcW w:w="877" w:type="pct"/>
            <w:shd w:val="clear" w:color="auto" w:fill="auto"/>
            <w:vAlign w:val="center"/>
          </w:tcPr>
          <w:p w14:paraId="6272F290" w14:textId="64E9EC47" w:rsidR="008B474F" w:rsidRPr="00EC2B8E" w:rsidDel="00BE64DE" w:rsidRDefault="008B474F" w:rsidP="008B474F">
            <w:pPr>
              <w:pStyle w:val="TableText0"/>
              <w:jc w:val="center"/>
              <w:rPr>
                <w:szCs w:val="20"/>
              </w:rPr>
            </w:pPr>
            <w:r w:rsidRPr="00EC2B8E" w:rsidDel="00BE64DE">
              <w:rPr>
                <w:szCs w:val="20"/>
              </w:rPr>
              <w:t>0.12</w:t>
            </w:r>
            <w:r w:rsidR="000667D4" w:rsidRPr="00EC2B8E">
              <w:rPr>
                <w:szCs w:val="20"/>
              </w:rPr>
              <w:t xml:space="preserve"> </w:t>
            </w:r>
            <w:r w:rsidRPr="00EC2B8E" w:rsidDel="00BE64DE">
              <w:rPr>
                <w:szCs w:val="20"/>
              </w:rPr>
              <w:t>(0.00, 0.23)</w:t>
            </w:r>
          </w:p>
        </w:tc>
      </w:tr>
      <w:tr w:rsidR="008B474F" w:rsidRPr="00AF1E6C" w:rsidDel="00BE64DE" w14:paraId="1A06FA29" w14:textId="0E5B2341" w:rsidTr="00180F22">
        <w:trPr>
          <w:cantSplit/>
        </w:trPr>
        <w:tc>
          <w:tcPr>
            <w:tcW w:w="2459" w:type="pct"/>
            <w:shd w:val="clear" w:color="auto" w:fill="FFFFFF"/>
          </w:tcPr>
          <w:p w14:paraId="57C0E53E" w14:textId="6E9B3C17" w:rsidR="008B474F" w:rsidRPr="00EC2B8E" w:rsidDel="00BE64DE" w:rsidRDefault="008B474F" w:rsidP="008B474F">
            <w:pPr>
              <w:pStyle w:val="TableText0"/>
              <w:rPr>
                <w:szCs w:val="20"/>
              </w:rPr>
            </w:pPr>
            <w:r w:rsidRPr="00EC2B8E" w:rsidDel="00BE64DE">
              <w:rPr>
                <w:rFonts w:cstheme="minorHAnsi"/>
                <w:szCs w:val="20"/>
              </w:rPr>
              <w:t xml:space="preserve">Treatment-related serious AE </w:t>
            </w:r>
          </w:p>
        </w:tc>
        <w:tc>
          <w:tcPr>
            <w:tcW w:w="866" w:type="pct"/>
            <w:shd w:val="clear" w:color="auto" w:fill="FFFFFF"/>
            <w:vAlign w:val="center"/>
          </w:tcPr>
          <w:p w14:paraId="1E2753CB" w14:textId="73FC182F" w:rsidR="008B474F" w:rsidRPr="00EC2B8E" w:rsidDel="00BE64DE" w:rsidRDefault="008B474F" w:rsidP="008B474F">
            <w:pPr>
              <w:pStyle w:val="TableText0"/>
              <w:jc w:val="center"/>
              <w:rPr>
                <w:szCs w:val="20"/>
              </w:rPr>
            </w:pPr>
            <w:r w:rsidRPr="00EC2B8E" w:rsidDel="00BE64DE">
              <w:rPr>
                <w:rFonts w:cstheme="minorHAnsi"/>
                <w:szCs w:val="20"/>
              </w:rPr>
              <w:t>25</w:t>
            </w:r>
            <w:r w:rsidR="0080201F" w:rsidRPr="00EC2B8E">
              <w:rPr>
                <w:rFonts w:cstheme="minorHAnsi"/>
                <w:szCs w:val="20"/>
              </w:rPr>
              <w:t xml:space="preserve"> </w:t>
            </w:r>
            <w:r w:rsidRPr="00EC2B8E" w:rsidDel="00BE64DE">
              <w:rPr>
                <w:rFonts w:cstheme="minorHAnsi"/>
                <w:szCs w:val="20"/>
              </w:rPr>
              <w:t>(15)</w:t>
            </w:r>
          </w:p>
        </w:tc>
        <w:tc>
          <w:tcPr>
            <w:tcW w:w="798" w:type="pct"/>
            <w:shd w:val="clear" w:color="auto" w:fill="FFFFFF"/>
            <w:vAlign w:val="center"/>
          </w:tcPr>
          <w:p w14:paraId="65C6452C" w14:textId="7D6F7D2A" w:rsidR="008B474F" w:rsidRPr="00EC2B8E" w:rsidDel="00BE64DE" w:rsidRDefault="008B474F" w:rsidP="008B474F">
            <w:pPr>
              <w:pStyle w:val="TableText0"/>
              <w:jc w:val="center"/>
              <w:rPr>
                <w:szCs w:val="20"/>
              </w:rPr>
            </w:pPr>
            <w:r w:rsidRPr="00EC2B8E" w:rsidDel="00BE64DE">
              <w:rPr>
                <w:rFonts w:cstheme="minorHAnsi"/>
                <w:szCs w:val="20"/>
              </w:rPr>
              <w:t>1</w:t>
            </w:r>
            <w:r w:rsidR="000667D4" w:rsidRPr="00EC2B8E">
              <w:rPr>
                <w:rFonts w:cstheme="minorHAnsi"/>
                <w:szCs w:val="20"/>
              </w:rPr>
              <w:t xml:space="preserve"> </w:t>
            </w:r>
            <w:r w:rsidRPr="00EC2B8E" w:rsidDel="00BE64DE">
              <w:rPr>
                <w:rFonts w:cstheme="minorHAnsi"/>
                <w:szCs w:val="20"/>
              </w:rPr>
              <w:t>(1.1)</w:t>
            </w:r>
          </w:p>
        </w:tc>
        <w:tc>
          <w:tcPr>
            <w:tcW w:w="877" w:type="pct"/>
            <w:shd w:val="clear" w:color="auto" w:fill="auto"/>
            <w:vAlign w:val="center"/>
          </w:tcPr>
          <w:p w14:paraId="02588C32" w14:textId="5A8E21C9" w:rsidR="008B474F" w:rsidRPr="00EC2B8E" w:rsidDel="00BE64DE" w:rsidRDefault="008B474F" w:rsidP="008B474F">
            <w:pPr>
              <w:pStyle w:val="TableText0"/>
              <w:jc w:val="center"/>
              <w:rPr>
                <w:szCs w:val="20"/>
              </w:rPr>
            </w:pPr>
            <w:r w:rsidRPr="00EC2B8E" w:rsidDel="00BE64DE">
              <w:rPr>
                <w:szCs w:val="20"/>
              </w:rPr>
              <w:t xml:space="preserve">0.14 </w:t>
            </w:r>
            <w:r w:rsidR="000667D4" w:rsidRPr="00EC2B8E" w:rsidDel="00BE64DE">
              <w:rPr>
                <w:szCs w:val="20"/>
              </w:rPr>
              <w:t xml:space="preserve"> </w:t>
            </w:r>
            <w:r w:rsidRPr="00EC2B8E" w:rsidDel="00BE64DE">
              <w:rPr>
                <w:szCs w:val="20"/>
              </w:rPr>
              <w:t xml:space="preserve">(0.08, 0.19) </w:t>
            </w:r>
          </w:p>
        </w:tc>
      </w:tr>
      <w:tr w:rsidR="008B474F" w:rsidRPr="00AF1E6C" w:rsidDel="00BE64DE" w14:paraId="6B14940F" w14:textId="0FAE4F0D" w:rsidTr="00180F22">
        <w:trPr>
          <w:cantSplit/>
        </w:trPr>
        <w:tc>
          <w:tcPr>
            <w:tcW w:w="2459" w:type="pct"/>
            <w:shd w:val="clear" w:color="auto" w:fill="FFFFFF"/>
          </w:tcPr>
          <w:p w14:paraId="7A08408E" w14:textId="75D54452" w:rsidR="008B474F" w:rsidRPr="00EC2B8E" w:rsidDel="00BE64DE" w:rsidRDefault="008B474F" w:rsidP="008B474F">
            <w:pPr>
              <w:pStyle w:val="TableText0"/>
              <w:rPr>
                <w:szCs w:val="20"/>
              </w:rPr>
            </w:pPr>
            <w:r w:rsidRPr="00EC2B8E" w:rsidDel="00BE64DE">
              <w:rPr>
                <w:rFonts w:cstheme="minorHAnsi"/>
                <w:szCs w:val="20"/>
              </w:rPr>
              <w:t xml:space="preserve">AE leading to dose modification (reduction or interruption) </w:t>
            </w:r>
          </w:p>
        </w:tc>
        <w:tc>
          <w:tcPr>
            <w:tcW w:w="866" w:type="pct"/>
            <w:shd w:val="clear" w:color="auto" w:fill="FFFFFF"/>
            <w:vAlign w:val="center"/>
          </w:tcPr>
          <w:p w14:paraId="29A17B21" w14:textId="19B309DE" w:rsidR="008B474F" w:rsidRPr="00EC2B8E" w:rsidDel="00BE64DE" w:rsidRDefault="008B474F" w:rsidP="008B474F">
            <w:pPr>
              <w:pStyle w:val="TableText0"/>
              <w:jc w:val="center"/>
              <w:rPr>
                <w:szCs w:val="20"/>
              </w:rPr>
            </w:pPr>
            <w:r w:rsidRPr="00EC2B8E" w:rsidDel="00BE64DE">
              <w:rPr>
                <w:rFonts w:cstheme="minorHAnsi"/>
                <w:szCs w:val="20"/>
              </w:rPr>
              <w:t>139</w:t>
            </w:r>
            <w:r w:rsidR="0080201F" w:rsidRPr="00EC2B8E">
              <w:rPr>
                <w:rFonts w:cstheme="minorHAnsi"/>
                <w:szCs w:val="20"/>
              </w:rPr>
              <w:t xml:space="preserve"> </w:t>
            </w:r>
            <w:r w:rsidRPr="00EC2B8E" w:rsidDel="00BE64DE">
              <w:rPr>
                <w:rFonts w:cstheme="minorHAnsi"/>
                <w:szCs w:val="20"/>
              </w:rPr>
              <w:t xml:space="preserve"> (82)</w:t>
            </w:r>
          </w:p>
        </w:tc>
        <w:tc>
          <w:tcPr>
            <w:tcW w:w="798" w:type="pct"/>
            <w:shd w:val="clear" w:color="auto" w:fill="FFFFFF"/>
            <w:vAlign w:val="center"/>
          </w:tcPr>
          <w:p w14:paraId="32FD5810" w14:textId="4F9B2AD4" w:rsidR="008B474F" w:rsidRPr="00EC2B8E" w:rsidDel="00BE64DE" w:rsidRDefault="008B474F" w:rsidP="008B474F">
            <w:pPr>
              <w:pStyle w:val="TableText0"/>
              <w:jc w:val="center"/>
              <w:rPr>
                <w:szCs w:val="20"/>
              </w:rPr>
            </w:pPr>
            <w:r w:rsidRPr="00EC2B8E" w:rsidDel="00BE64DE">
              <w:rPr>
                <w:rFonts w:cstheme="minorHAnsi"/>
                <w:szCs w:val="20"/>
              </w:rPr>
              <w:t>24</w:t>
            </w:r>
            <w:r w:rsidR="000667D4" w:rsidRPr="00EC2B8E">
              <w:rPr>
                <w:rFonts w:cstheme="minorHAnsi"/>
                <w:szCs w:val="20"/>
              </w:rPr>
              <w:t xml:space="preserve"> </w:t>
            </w:r>
            <w:r w:rsidR="000667D4" w:rsidRPr="00EC2B8E" w:rsidDel="00BE64DE">
              <w:rPr>
                <w:rFonts w:cstheme="minorHAnsi"/>
                <w:szCs w:val="20"/>
              </w:rPr>
              <w:t xml:space="preserve"> </w:t>
            </w:r>
            <w:r w:rsidRPr="00EC2B8E" w:rsidDel="00BE64DE">
              <w:rPr>
                <w:rFonts w:cstheme="minorHAnsi"/>
                <w:szCs w:val="20"/>
              </w:rPr>
              <w:t>(27)</w:t>
            </w:r>
          </w:p>
        </w:tc>
        <w:tc>
          <w:tcPr>
            <w:tcW w:w="877" w:type="pct"/>
            <w:vAlign w:val="center"/>
          </w:tcPr>
          <w:p w14:paraId="3C2824B2" w14:textId="000033F9" w:rsidR="008B474F" w:rsidRPr="00EC2B8E" w:rsidDel="00BE64DE" w:rsidRDefault="008B474F" w:rsidP="008B474F">
            <w:pPr>
              <w:pStyle w:val="TableText0"/>
              <w:jc w:val="center"/>
              <w:rPr>
                <w:szCs w:val="20"/>
              </w:rPr>
            </w:pPr>
            <w:r w:rsidRPr="00EC2B8E" w:rsidDel="00BE64DE">
              <w:rPr>
                <w:szCs w:val="20"/>
              </w:rPr>
              <w:t xml:space="preserve">0.54 </w:t>
            </w:r>
            <w:r w:rsidR="000667D4" w:rsidRPr="00EC2B8E">
              <w:rPr>
                <w:szCs w:val="20"/>
              </w:rPr>
              <w:t xml:space="preserve"> </w:t>
            </w:r>
            <w:r w:rsidRPr="00EC2B8E" w:rsidDel="00BE64DE">
              <w:rPr>
                <w:szCs w:val="20"/>
              </w:rPr>
              <w:t xml:space="preserve">(0.44, 0.65) </w:t>
            </w:r>
          </w:p>
        </w:tc>
      </w:tr>
      <w:tr w:rsidR="008B474F" w:rsidRPr="00AF1E6C" w:rsidDel="00BE64DE" w14:paraId="645EACC7" w14:textId="14DCDB43" w:rsidTr="00180F22">
        <w:trPr>
          <w:cantSplit/>
        </w:trPr>
        <w:tc>
          <w:tcPr>
            <w:tcW w:w="2459" w:type="pct"/>
            <w:shd w:val="clear" w:color="auto" w:fill="FFFFFF"/>
          </w:tcPr>
          <w:p w14:paraId="1339407B" w14:textId="0D50CA2B" w:rsidR="008B474F" w:rsidRPr="00EC2B8E" w:rsidDel="00BE64DE" w:rsidRDefault="008B474F" w:rsidP="008B474F">
            <w:pPr>
              <w:pStyle w:val="TableText0"/>
              <w:rPr>
                <w:szCs w:val="20"/>
              </w:rPr>
            </w:pPr>
            <w:r w:rsidRPr="00EC2B8E" w:rsidDel="00BE64DE">
              <w:rPr>
                <w:rFonts w:cstheme="minorHAnsi"/>
                <w:szCs w:val="20"/>
              </w:rPr>
              <w:t xml:space="preserve">AE leading to dose reduction </w:t>
            </w:r>
          </w:p>
        </w:tc>
        <w:tc>
          <w:tcPr>
            <w:tcW w:w="866" w:type="pct"/>
            <w:shd w:val="clear" w:color="auto" w:fill="FFFFFF"/>
            <w:vAlign w:val="center"/>
          </w:tcPr>
          <w:p w14:paraId="166B6190" w14:textId="22D696EC" w:rsidR="008B474F" w:rsidRPr="00EC2B8E" w:rsidDel="00BE64DE" w:rsidRDefault="008B474F" w:rsidP="008B474F">
            <w:pPr>
              <w:pStyle w:val="TableText0"/>
              <w:jc w:val="center"/>
              <w:rPr>
                <w:szCs w:val="20"/>
              </w:rPr>
            </w:pPr>
            <w:r w:rsidRPr="00EC2B8E" w:rsidDel="00BE64DE">
              <w:rPr>
                <w:rFonts w:cstheme="minorHAnsi"/>
                <w:szCs w:val="20"/>
              </w:rPr>
              <w:t xml:space="preserve">114 </w:t>
            </w:r>
            <w:r w:rsidR="0080201F" w:rsidRPr="00EC2B8E">
              <w:rPr>
                <w:rFonts w:cstheme="minorHAnsi"/>
                <w:szCs w:val="20"/>
              </w:rPr>
              <w:t xml:space="preserve"> </w:t>
            </w:r>
            <w:r w:rsidR="0080201F" w:rsidRPr="00EC2B8E" w:rsidDel="00BE64DE">
              <w:rPr>
                <w:rFonts w:cstheme="minorHAnsi"/>
                <w:szCs w:val="20"/>
              </w:rPr>
              <w:t xml:space="preserve"> </w:t>
            </w:r>
            <w:r w:rsidRPr="00EC2B8E" w:rsidDel="00BE64DE">
              <w:rPr>
                <w:rFonts w:cstheme="minorHAnsi"/>
                <w:szCs w:val="20"/>
              </w:rPr>
              <w:t>(67)</w:t>
            </w:r>
          </w:p>
        </w:tc>
        <w:tc>
          <w:tcPr>
            <w:tcW w:w="798" w:type="pct"/>
            <w:shd w:val="clear" w:color="auto" w:fill="FFFFFF"/>
            <w:vAlign w:val="center"/>
          </w:tcPr>
          <w:p w14:paraId="308A919A" w14:textId="1D68AFCF" w:rsidR="008B474F" w:rsidRPr="00EC2B8E" w:rsidDel="00BE64DE" w:rsidRDefault="008B474F" w:rsidP="008B474F">
            <w:pPr>
              <w:pStyle w:val="TableText0"/>
              <w:jc w:val="center"/>
              <w:rPr>
                <w:szCs w:val="20"/>
              </w:rPr>
            </w:pPr>
            <w:r w:rsidRPr="00EC2B8E" w:rsidDel="00BE64DE">
              <w:rPr>
                <w:rFonts w:cstheme="minorHAnsi"/>
                <w:szCs w:val="20"/>
              </w:rPr>
              <w:t xml:space="preserve">4 </w:t>
            </w:r>
            <w:r w:rsidR="000667D4" w:rsidRPr="00EC2B8E">
              <w:rPr>
                <w:rFonts w:cstheme="minorHAnsi"/>
                <w:szCs w:val="20"/>
              </w:rPr>
              <w:t xml:space="preserve"> </w:t>
            </w:r>
            <w:r w:rsidR="000667D4" w:rsidRPr="00EC2B8E" w:rsidDel="00BE64DE">
              <w:rPr>
                <w:rFonts w:cstheme="minorHAnsi"/>
                <w:szCs w:val="20"/>
              </w:rPr>
              <w:t xml:space="preserve"> </w:t>
            </w:r>
            <w:r w:rsidRPr="00EC2B8E" w:rsidDel="00BE64DE">
              <w:rPr>
                <w:rFonts w:cstheme="minorHAnsi"/>
                <w:szCs w:val="20"/>
              </w:rPr>
              <w:t>(4.5)</w:t>
            </w:r>
          </w:p>
        </w:tc>
        <w:tc>
          <w:tcPr>
            <w:tcW w:w="877" w:type="pct"/>
            <w:vAlign w:val="center"/>
          </w:tcPr>
          <w:p w14:paraId="4F0094F0" w14:textId="69A8B2EA" w:rsidR="008B474F" w:rsidRPr="00EC2B8E" w:rsidDel="00BE64DE" w:rsidRDefault="008B474F" w:rsidP="008B474F">
            <w:pPr>
              <w:pStyle w:val="TableText0"/>
              <w:jc w:val="center"/>
              <w:rPr>
                <w:szCs w:val="20"/>
              </w:rPr>
            </w:pPr>
            <w:r w:rsidRPr="00EC2B8E" w:rsidDel="00BE64DE">
              <w:rPr>
                <w:szCs w:val="20"/>
              </w:rPr>
              <w:t>0.63 (0.54, 0.71)</w:t>
            </w:r>
          </w:p>
        </w:tc>
      </w:tr>
      <w:tr w:rsidR="008B474F" w:rsidRPr="00AF1E6C" w:rsidDel="00BE64DE" w14:paraId="580F4794" w14:textId="117F2524" w:rsidTr="00180F22">
        <w:trPr>
          <w:cantSplit/>
        </w:trPr>
        <w:tc>
          <w:tcPr>
            <w:tcW w:w="2459" w:type="pct"/>
            <w:shd w:val="clear" w:color="auto" w:fill="FFFFFF"/>
          </w:tcPr>
          <w:p w14:paraId="76BFE9D3" w14:textId="29AD1BE8" w:rsidR="008B474F" w:rsidRPr="00EC2B8E" w:rsidDel="00BE64DE" w:rsidRDefault="008B474F" w:rsidP="008B474F">
            <w:pPr>
              <w:pStyle w:val="TableText0"/>
              <w:rPr>
                <w:szCs w:val="20"/>
              </w:rPr>
            </w:pPr>
            <w:r w:rsidRPr="00EC2B8E" w:rsidDel="00BE64DE">
              <w:rPr>
                <w:rFonts w:cstheme="minorHAnsi"/>
                <w:szCs w:val="20"/>
              </w:rPr>
              <w:t xml:space="preserve">AE leading to dose interruption </w:t>
            </w:r>
          </w:p>
        </w:tc>
        <w:tc>
          <w:tcPr>
            <w:tcW w:w="866" w:type="pct"/>
            <w:shd w:val="clear" w:color="auto" w:fill="FFFFFF"/>
            <w:vAlign w:val="center"/>
          </w:tcPr>
          <w:p w14:paraId="3B7A36E5" w14:textId="07E49BBE" w:rsidR="008B474F" w:rsidRPr="00EC2B8E" w:rsidDel="00BE64DE" w:rsidRDefault="008B474F" w:rsidP="008B474F">
            <w:pPr>
              <w:pStyle w:val="TableText0"/>
              <w:jc w:val="center"/>
              <w:rPr>
                <w:szCs w:val="20"/>
              </w:rPr>
            </w:pPr>
            <w:r w:rsidRPr="00EC2B8E" w:rsidDel="00BE64DE">
              <w:rPr>
                <w:rFonts w:cstheme="minorHAnsi"/>
                <w:szCs w:val="20"/>
              </w:rPr>
              <w:t>121</w:t>
            </w:r>
            <w:r w:rsidR="0080201F" w:rsidRPr="00EC2B8E">
              <w:rPr>
                <w:rFonts w:cstheme="minorHAnsi"/>
                <w:szCs w:val="20"/>
              </w:rPr>
              <w:t xml:space="preserve"> </w:t>
            </w:r>
            <w:r w:rsidRPr="00EC2B8E" w:rsidDel="00BE64DE">
              <w:rPr>
                <w:rFonts w:cstheme="minorHAnsi"/>
                <w:szCs w:val="20"/>
              </w:rPr>
              <w:t xml:space="preserve"> (71)</w:t>
            </w:r>
          </w:p>
        </w:tc>
        <w:tc>
          <w:tcPr>
            <w:tcW w:w="798" w:type="pct"/>
            <w:shd w:val="clear" w:color="auto" w:fill="FFFFFF"/>
            <w:vAlign w:val="center"/>
          </w:tcPr>
          <w:p w14:paraId="5A98B0C1" w14:textId="68378E9B" w:rsidR="008B474F" w:rsidRPr="00EC2B8E" w:rsidDel="00BE64DE" w:rsidRDefault="008B474F" w:rsidP="008B474F">
            <w:pPr>
              <w:pStyle w:val="TableText0"/>
              <w:jc w:val="center"/>
              <w:rPr>
                <w:szCs w:val="20"/>
              </w:rPr>
            </w:pPr>
            <w:r w:rsidRPr="00EC2B8E" w:rsidDel="00BE64DE">
              <w:rPr>
                <w:rFonts w:cstheme="minorHAnsi"/>
                <w:szCs w:val="20"/>
              </w:rPr>
              <w:t>23</w:t>
            </w:r>
            <w:r w:rsidR="000667D4" w:rsidRPr="00EC2B8E">
              <w:rPr>
                <w:rFonts w:cstheme="minorHAnsi"/>
                <w:szCs w:val="20"/>
              </w:rPr>
              <w:t xml:space="preserve"> </w:t>
            </w:r>
            <w:r w:rsidRPr="00EC2B8E" w:rsidDel="00BE64DE">
              <w:rPr>
                <w:rFonts w:cstheme="minorHAnsi"/>
                <w:szCs w:val="20"/>
              </w:rPr>
              <w:t xml:space="preserve"> (26)</w:t>
            </w:r>
          </w:p>
        </w:tc>
        <w:tc>
          <w:tcPr>
            <w:tcW w:w="877" w:type="pct"/>
            <w:vAlign w:val="center"/>
          </w:tcPr>
          <w:p w14:paraId="2EC1B37B" w14:textId="1C357E7F" w:rsidR="008B474F" w:rsidRPr="00EC2B8E" w:rsidDel="00BE64DE" w:rsidRDefault="008B474F" w:rsidP="008B474F">
            <w:pPr>
              <w:pStyle w:val="TableText0"/>
              <w:jc w:val="center"/>
              <w:rPr>
                <w:szCs w:val="20"/>
              </w:rPr>
            </w:pPr>
            <w:r w:rsidRPr="00EC2B8E" w:rsidDel="00BE64DE">
              <w:rPr>
                <w:szCs w:val="20"/>
              </w:rPr>
              <w:t xml:space="preserve">0.45 </w:t>
            </w:r>
            <w:r w:rsidR="000667D4" w:rsidRPr="00EC2B8E" w:rsidDel="00BE64DE">
              <w:rPr>
                <w:szCs w:val="20"/>
              </w:rPr>
              <w:t xml:space="preserve"> </w:t>
            </w:r>
            <w:r w:rsidRPr="00EC2B8E" w:rsidDel="00BE64DE">
              <w:rPr>
                <w:szCs w:val="20"/>
              </w:rPr>
              <w:t>(0.34, 0.56)</w:t>
            </w:r>
          </w:p>
        </w:tc>
      </w:tr>
      <w:tr w:rsidR="008B474F" w:rsidRPr="00AF1E6C" w:rsidDel="00BE64DE" w14:paraId="57AFE614" w14:textId="6E993CF0" w:rsidTr="00180F22">
        <w:trPr>
          <w:cantSplit/>
        </w:trPr>
        <w:tc>
          <w:tcPr>
            <w:tcW w:w="2459" w:type="pct"/>
            <w:shd w:val="clear" w:color="auto" w:fill="FFFFFF"/>
          </w:tcPr>
          <w:p w14:paraId="3AAB480D" w14:textId="5A18B3D6" w:rsidR="008B474F" w:rsidRPr="00EC2B8E" w:rsidDel="00BE64DE" w:rsidRDefault="008B474F" w:rsidP="008B474F">
            <w:pPr>
              <w:pStyle w:val="TableText0"/>
              <w:rPr>
                <w:szCs w:val="20"/>
              </w:rPr>
            </w:pPr>
            <w:r w:rsidRPr="00EC2B8E" w:rsidDel="00BE64DE">
              <w:rPr>
                <w:rFonts w:cstheme="minorHAnsi"/>
                <w:szCs w:val="20"/>
              </w:rPr>
              <w:t xml:space="preserve">AE leading to treatment discontinuation (not causally related to disease under study) </w:t>
            </w:r>
          </w:p>
        </w:tc>
        <w:tc>
          <w:tcPr>
            <w:tcW w:w="866" w:type="pct"/>
            <w:shd w:val="clear" w:color="auto" w:fill="FFFFFF"/>
            <w:vAlign w:val="center"/>
          </w:tcPr>
          <w:p w14:paraId="57F7FBD4" w14:textId="4B4288CE" w:rsidR="008B474F" w:rsidRPr="00EC2B8E" w:rsidDel="00BE64DE" w:rsidRDefault="008B474F" w:rsidP="008B474F">
            <w:pPr>
              <w:pStyle w:val="TableText0"/>
              <w:jc w:val="center"/>
              <w:rPr>
                <w:szCs w:val="20"/>
              </w:rPr>
            </w:pPr>
            <w:r w:rsidRPr="00EC2B8E" w:rsidDel="00BE64DE">
              <w:rPr>
                <w:rFonts w:cstheme="minorHAnsi"/>
                <w:szCs w:val="20"/>
              </w:rPr>
              <w:t>15</w:t>
            </w:r>
            <w:r w:rsidR="0080201F" w:rsidRPr="00EC2B8E">
              <w:rPr>
                <w:rFonts w:cstheme="minorHAnsi"/>
                <w:szCs w:val="20"/>
              </w:rPr>
              <w:t xml:space="preserve"> </w:t>
            </w:r>
            <w:r w:rsidRPr="00EC2B8E" w:rsidDel="00BE64DE">
              <w:rPr>
                <w:rFonts w:cstheme="minorHAnsi"/>
                <w:szCs w:val="20"/>
              </w:rPr>
              <w:t xml:space="preserve"> (8.8)</w:t>
            </w:r>
          </w:p>
        </w:tc>
        <w:tc>
          <w:tcPr>
            <w:tcW w:w="798" w:type="pct"/>
            <w:shd w:val="clear" w:color="auto" w:fill="FFFFFF"/>
            <w:vAlign w:val="center"/>
          </w:tcPr>
          <w:p w14:paraId="5F84DD70" w14:textId="19C716A1" w:rsidR="008B474F" w:rsidRPr="00EC2B8E" w:rsidDel="00BE64DE" w:rsidRDefault="008B474F" w:rsidP="008B474F">
            <w:pPr>
              <w:pStyle w:val="TableText0"/>
              <w:jc w:val="center"/>
              <w:rPr>
                <w:szCs w:val="20"/>
              </w:rPr>
            </w:pPr>
            <w:r w:rsidRPr="00EC2B8E" w:rsidDel="00BE64DE">
              <w:rPr>
                <w:rFonts w:cstheme="minorHAnsi"/>
                <w:szCs w:val="20"/>
              </w:rPr>
              <w:t>0</w:t>
            </w:r>
            <w:r w:rsidR="005860C6">
              <w:rPr>
                <w:rFonts w:cstheme="minorHAnsi"/>
                <w:szCs w:val="20"/>
              </w:rPr>
              <w:t xml:space="preserve"> </w:t>
            </w:r>
          </w:p>
        </w:tc>
        <w:tc>
          <w:tcPr>
            <w:tcW w:w="877" w:type="pct"/>
            <w:vAlign w:val="center"/>
          </w:tcPr>
          <w:p w14:paraId="07300156" w14:textId="30C17F22" w:rsidR="008B474F" w:rsidRPr="00EC2B8E" w:rsidDel="00BE64DE" w:rsidRDefault="008B474F" w:rsidP="008B474F">
            <w:pPr>
              <w:pStyle w:val="TableText0"/>
              <w:jc w:val="center"/>
              <w:rPr>
                <w:szCs w:val="20"/>
              </w:rPr>
            </w:pPr>
            <w:r w:rsidRPr="00EC2B8E" w:rsidDel="00BE64DE">
              <w:rPr>
                <w:szCs w:val="20"/>
              </w:rPr>
              <w:t xml:space="preserve">0.09 </w:t>
            </w:r>
            <w:r w:rsidR="000667D4" w:rsidRPr="00EC2B8E" w:rsidDel="00BE64DE">
              <w:rPr>
                <w:szCs w:val="20"/>
              </w:rPr>
              <w:t xml:space="preserve"> </w:t>
            </w:r>
            <w:r w:rsidRPr="00EC2B8E" w:rsidDel="00BE64DE">
              <w:rPr>
                <w:szCs w:val="20"/>
              </w:rPr>
              <w:t xml:space="preserve">(0.04, 0.13)  </w:t>
            </w:r>
          </w:p>
        </w:tc>
      </w:tr>
      <w:tr w:rsidR="008B474F" w:rsidRPr="00AF1E6C" w:rsidDel="00BE64DE" w14:paraId="3467F6BD" w14:textId="4B521873" w:rsidTr="00180F22">
        <w:trPr>
          <w:cantSplit/>
        </w:trPr>
        <w:tc>
          <w:tcPr>
            <w:tcW w:w="2459" w:type="pct"/>
            <w:shd w:val="clear" w:color="auto" w:fill="FFFFFF"/>
            <w:vAlign w:val="center"/>
          </w:tcPr>
          <w:p w14:paraId="28982561" w14:textId="4046671A" w:rsidR="008B474F" w:rsidRPr="00EC2B8E" w:rsidDel="00BE64DE" w:rsidRDefault="008B474F" w:rsidP="003E23F9">
            <w:pPr>
              <w:pStyle w:val="TableText0"/>
              <w:rPr>
                <w:szCs w:val="20"/>
              </w:rPr>
            </w:pPr>
            <w:r w:rsidRPr="00EC2B8E" w:rsidDel="00BE64DE">
              <w:rPr>
                <w:rFonts w:cstheme="minorHAnsi"/>
                <w:szCs w:val="20"/>
              </w:rPr>
              <w:t>Related to study treatment</w:t>
            </w:r>
            <w:r w:rsidR="00B21EB4" w:rsidRPr="00EC2B8E">
              <w:rPr>
                <w:rFonts w:cstheme="minorHAnsi"/>
                <w:szCs w:val="20"/>
                <w:vertAlign w:val="superscript"/>
              </w:rPr>
              <w:t>b</w:t>
            </w:r>
            <w:r w:rsidR="00854CF6" w:rsidRPr="00EC2B8E">
              <w:rPr>
                <w:rFonts w:cstheme="minorHAnsi"/>
                <w:szCs w:val="20"/>
                <w:vertAlign w:val="superscript"/>
              </w:rPr>
              <w:t xml:space="preserve"> </w:t>
            </w:r>
          </w:p>
        </w:tc>
        <w:tc>
          <w:tcPr>
            <w:tcW w:w="866" w:type="pct"/>
            <w:shd w:val="clear" w:color="auto" w:fill="FFFFFF"/>
            <w:vAlign w:val="center"/>
          </w:tcPr>
          <w:p w14:paraId="6FDEB91A" w14:textId="7D2C565E" w:rsidR="008B474F" w:rsidRPr="00EC2B8E" w:rsidDel="00BE64DE" w:rsidRDefault="008B474F" w:rsidP="008B474F">
            <w:pPr>
              <w:pStyle w:val="TableText0"/>
              <w:jc w:val="center"/>
              <w:rPr>
                <w:szCs w:val="20"/>
              </w:rPr>
            </w:pPr>
            <w:r w:rsidRPr="00EC2B8E" w:rsidDel="00BE64DE">
              <w:rPr>
                <w:rFonts w:cstheme="minorHAnsi"/>
                <w:szCs w:val="20"/>
              </w:rPr>
              <w:t>10</w:t>
            </w:r>
            <w:r w:rsidR="0080201F" w:rsidRPr="00EC2B8E">
              <w:rPr>
                <w:rFonts w:cstheme="minorHAnsi"/>
                <w:szCs w:val="20"/>
              </w:rPr>
              <w:t xml:space="preserve"> </w:t>
            </w:r>
            <w:r w:rsidRPr="00EC2B8E" w:rsidDel="00BE64DE">
              <w:rPr>
                <w:rFonts w:cstheme="minorHAnsi"/>
                <w:szCs w:val="20"/>
              </w:rPr>
              <w:t>(5.9)</w:t>
            </w:r>
          </w:p>
        </w:tc>
        <w:tc>
          <w:tcPr>
            <w:tcW w:w="798" w:type="pct"/>
            <w:shd w:val="clear" w:color="auto" w:fill="FFFFFF"/>
            <w:vAlign w:val="center"/>
          </w:tcPr>
          <w:p w14:paraId="4E70037F" w14:textId="797132B7" w:rsidR="008B474F" w:rsidRPr="00EC2B8E" w:rsidDel="00BE64DE" w:rsidRDefault="008B474F" w:rsidP="008B474F">
            <w:pPr>
              <w:pStyle w:val="TableText0"/>
              <w:jc w:val="center"/>
              <w:rPr>
                <w:szCs w:val="20"/>
              </w:rPr>
            </w:pPr>
            <w:r w:rsidRPr="00EC2B8E" w:rsidDel="00BE64DE">
              <w:rPr>
                <w:rFonts w:cstheme="minorHAnsi"/>
                <w:szCs w:val="20"/>
              </w:rPr>
              <w:t>0</w:t>
            </w:r>
            <w:r w:rsidR="005860C6">
              <w:rPr>
                <w:rFonts w:cstheme="minorHAnsi"/>
                <w:szCs w:val="20"/>
              </w:rPr>
              <w:t xml:space="preserve"> </w:t>
            </w:r>
          </w:p>
        </w:tc>
        <w:tc>
          <w:tcPr>
            <w:tcW w:w="877" w:type="pct"/>
            <w:vAlign w:val="center"/>
          </w:tcPr>
          <w:p w14:paraId="3A42EC17" w14:textId="25C51AFB" w:rsidR="008B474F" w:rsidRPr="00EC2B8E" w:rsidDel="00BE64DE" w:rsidRDefault="008B474F" w:rsidP="008B474F">
            <w:pPr>
              <w:pStyle w:val="TableText0"/>
              <w:jc w:val="center"/>
              <w:rPr>
                <w:szCs w:val="20"/>
              </w:rPr>
            </w:pPr>
            <w:r w:rsidRPr="00EC2B8E" w:rsidDel="00BE64DE">
              <w:rPr>
                <w:szCs w:val="20"/>
              </w:rPr>
              <w:t>0.06</w:t>
            </w:r>
            <w:r w:rsidR="000667D4" w:rsidRPr="00EC2B8E">
              <w:rPr>
                <w:szCs w:val="20"/>
              </w:rPr>
              <w:t xml:space="preserve"> </w:t>
            </w:r>
            <w:r w:rsidRPr="00EC2B8E" w:rsidDel="00BE64DE">
              <w:rPr>
                <w:szCs w:val="20"/>
              </w:rPr>
              <w:t xml:space="preserve"> (0.02, 0.10)</w:t>
            </w:r>
          </w:p>
        </w:tc>
      </w:tr>
    </w:tbl>
    <w:p w14:paraId="77412402" w14:textId="67512265" w:rsidR="005D26B4" w:rsidRPr="00AF1E6C" w:rsidDel="00BE64DE" w:rsidRDefault="005D26B4" w:rsidP="00D86231">
      <w:pPr>
        <w:pStyle w:val="FooterTableFigure"/>
        <w:rPr>
          <w:sz w:val="20"/>
        </w:rPr>
      </w:pPr>
      <w:r w:rsidRPr="00AF1E6C" w:rsidDel="00BE64DE">
        <w:t>Source:</w:t>
      </w:r>
      <w:r w:rsidR="00FC1940" w:rsidRPr="00AF1E6C" w:rsidDel="00BE64DE">
        <w:t xml:space="preserve"> </w:t>
      </w:r>
      <w:r w:rsidRPr="00AF1E6C" w:rsidDel="00BE64DE">
        <w:t>Table</w:t>
      </w:r>
      <w:r w:rsidR="00FC1940" w:rsidRPr="00AF1E6C" w:rsidDel="00BE64DE">
        <w:t xml:space="preserve"> 2-21</w:t>
      </w:r>
      <w:r w:rsidRPr="00AF1E6C" w:rsidDel="00BE64DE">
        <w:t>, p</w:t>
      </w:r>
      <w:r w:rsidR="00FC1940" w:rsidRPr="00AF1E6C" w:rsidDel="00BE64DE">
        <w:t xml:space="preserve">77 </w:t>
      </w:r>
      <w:r w:rsidRPr="00AF1E6C" w:rsidDel="00BE64DE">
        <w:t>of the submission.</w:t>
      </w:r>
    </w:p>
    <w:p w14:paraId="611F3343" w14:textId="3D998611" w:rsidR="00B21EB4" w:rsidRDefault="00163C55" w:rsidP="00D86231">
      <w:pPr>
        <w:pStyle w:val="FooterTableFigure"/>
        <w:rPr>
          <w:rFonts w:eastAsia="Calibri"/>
        </w:rPr>
      </w:pPr>
      <w:r w:rsidDel="00BE64DE">
        <w:rPr>
          <w:rFonts w:eastAsia="Calibri"/>
        </w:rPr>
        <w:t xml:space="preserve">AE = adverse event; </w:t>
      </w:r>
      <w:r w:rsidR="005D26B4" w:rsidRPr="00B40358" w:rsidDel="00BE64DE">
        <w:rPr>
          <w:rFonts w:eastAsia="Calibri"/>
        </w:rPr>
        <w:t xml:space="preserve">CI = confidence interval; </w:t>
      </w:r>
      <w:r w:rsidR="005D26B4" w:rsidDel="00BE64DE">
        <w:rPr>
          <w:rFonts w:eastAsia="Calibri"/>
        </w:rPr>
        <w:t>RD = risk difference</w:t>
      </w:r>
      <w:r w:rsidR="003616D0" w:rsidDel="00BE64DE">
        <w:rPr>
          <w:rFonts w:eastAsia="Calibri"/>
        </w:rPr>
        <w:t>.</w:t>
      </w:r>
    </w:p>
    <w:p w14:paraId="1C0DD856" w14:textId="4EB2AE8E" w:rsidR="009E61B3" w:rsidRPr="009E61B3" w:rsidDel="00BE64DE" w:rsidRDefault="00B21EB4" w:rsidP="00D86231">
      <w:pPr>
        <w:pStyle w:val="FooterTableFigure"/>
        <w:rPr>
          <w:rFonts w:eastAsia="Calibri"/>
        </w:rPr>
      </w:pPr>
      <w:r>
        <w:rPr>
          <w:rFonts w:eastAsia="Calibri"/>
        </w:rPr>
        <w:t xml:space="preserve">a </w:t>
      </w:r>
      <w:r w:rsidRPr="00B21EB4">
        <w:rPr>
          <w:rFonts w:eastAsia="Calibri"/>
        </w:rPr>
        <w:t>Full ITT population: Patients randomised to receive study treatment as of the second clinical cut-off (CCO2) on 2 February 2021.</w:t>
      </w:r>
      <w:r w:rsidR="002F5699">
        <w:t xml:space="preserve"> </w:t>
      </w:r>
      <w:r w:rsidR="002F5699">
        <w:rPr>
          <w:rFonts w:eastAsia="Calibri"/>
        </w:rPr>
        <w:t>M</w:t>
      </w:r>
      <w:r w:rsidR="002F5699" w:rsidRPr="002F5699">
        <w:rPr>
          <w:rFonts w:eastAsia="Calibri"/>
        </w:rPr>
        <w:t xml:space="preserve">edian </w:t>
      </w:r>
      <w:r w:rsidR="002F5699">
        <w:rPr>
          <w:rFonts w:eastAsia="Calibri"/>
        </w:rPr>
        <w:t xml:space="preserve">time is </w:t>
      </w:r>
      <w:r w:rsidR="002F5699" w:rsidRPr="002F5699">
        <w:rPr>
          <w:rFonts w:eastAsia="Calibri"/>
        </w:rPr>
        <w:t>10.1 months</w:t>
      </w:r>
    </w:p>
    <w:p w14:paraId="33B63E3A" w14:textId="4E3226D6" w:rsidR="00002B7E" w:rsidDel="00BE64DE" w:rsidRDefault="00B21EB4" w:rsidP="00D86231">
      <w:pPr>
        <w:pStyle w:val="FooterTableFigure"/>
        <w:rPr>
          <w:rFonts w:eastAsia="Calibri"/>
        </w:rPr>
      </w:pPr>
      <w:r>
        <w:rPr>
          <w:rFonts w:eastAsia="Calibri"/>
        </w:rPr>
        <w:t>b</w:t>
      </w:r>
      <w:r w:rsidR="009E61B3" w:rsidDel="00BE64DE">
        <w:rPr>
          <w:rFonts w:eastAsia="Calibri"/>
        </w:rPr>
        <w:t xml:space="preserve"> </w:t>
      </w:r>
      <w:r w:rsidR="003616D0" w:rsidDel="00BE64DE">
        <w:rPr>
          <w:rFonts w:eastAsia="Calibri"/>
        </w:rPr>
        <w:t>L</w:t>
      </w:r>
      <w:r w:rsidR="00861D5D" w:rsidDel="00BE64DE">
        <w:rPr>
          <w:rFonts w:eastAsia="Calibri"/>
        </w:rPr>
        <w:t>eading to study discontinuation</w:t>
      </w:r>
      <w:r w:rsidR="003616D0" w:rsidDel="00BE64DE">
        <w:rPr>
          <w:rFonts w:eastAsia="Calibri"/>
        </w:rPr>
        <w:t>.</w:t>
      </w:r>
    </w:p>
    <w:p w14:paraId="3C46BD0C" w14:textId="30B24A4B" w:rsidR="00B61730" w:rsidRPr="00163C55" w:rsidDel="00BE64DE" w:rsidRDefault="6DC1F336" w:rsidP="00B61730">
      <w:pPr>
        <w:pStyle w:val="3-BodyText"/>
      </w:pPr>
      <w:r w:rsidDel="00BE64DE">
        <w:t xml:space="preserve">Nearly all patients treated with cabozantinib (98%, versus 85% for placebo) in the full ITT </w:t>
      </w:r>
      <w:r w:rsidR="12FB289B" w:rsidDel="00BE64DE">
        <w:t>experienced</w:t>
      </w:r>
      <w:r w:rsidDel="00BE64DE">
        <w:t xml:space="preserve"> an adverse event. </w:t>
      </w:r>
      <w:r w:rsidR="12FB289B" w:rsidDel="00BE64DE">
        <w:t xml:space="preserve">Patients treated with cabozantinib versus placebo were more likely to </w:t>
      </w:r>
      <w:r w:rsidR="40120236" w:rsidDel="00BE64DE">
        <w:t>experience</w:t>
      </w:r>
      <w:r w:rsidR="12FB289B" w:rsidDel="00BE64DE">
        <w:t xml:space="preserve"> treatment-related adverse events (94% versus 47%), grade 3</w:t>
      </w:r>
      <w:r w:rsidR="00554B32" w:rsidDel="00BE64DE">
        <w:t>/</w:t>
      </w:r>
      <w:r w:rsidR="12FB289B" w:rsidDel="00BE64DE">
        <w:t>4 adverse events (62% versus 28%), treatment-related grade 3</w:t>
      </w:r>
      <w:r w:rsidR="00161DAF" w:rsidDel="00BE64DE">
        <w:t>/</w:t>
      </w:r>
      <w:r w:rsidR="12FB289B" w:rsidDel="00BE64DE">
        <w:t xml:space="preserve">4 adverse events (52% versus 8%), serious adverse events (39% versus 27%), and adverse events leading to dose modification (82% versus 27%) or treatment discontinuation (8.8% versus 0%). </w:t>
      </w:r>
    </w:p>
    <w:p w14:paraId="732E91AD" w14:textId="22A816B2" w:rsidR="000B4E26" w:rsidDel="00BE64DE" w:rsidRDefault="12FB289B" w:rsidP="00487216">
      <w:pPr>
        <w:pStyle w:val="3-BodyText"/>
      </w:pPr>
      <w:r w:rsidDel="00BE64DE">
        <w:t xml:space="preserve">The most frequent treatment-related </w:t>
      </w:r>
      <w:r w:rsidR="6ADE6117" w:rsidDel="00BE64DE">
        <w:t xml:space="preserve">adverse events </w:t>
      </w:r>
      <w:r w:rsidDel="00BE64DE">
        <w:t>(≥ 20% incidence) reported for patients in the cabozantinib arm in descending order of incidence were diarrh</w:t>
      </w:r>
      <w:r w:rsidR="00593983">
        <w:t>o</w:t>
      </w:r>
      <w:r w:rsidDel="00BE64DE">
        <w:t xml:space="preserve">ea, </w:t>
      </w:r>
      <w:r w:rsidR="00554B32" w:rsidDel="00BE64DE">
        <w:t>p</w:t>
      </w:r>
      <w:r w:rsidDel="00BE64DE">
        <w:t xml:space="preserve">almar-plantar </w:t>
      </w:r>
      <w:proofErr w:type="spellStart"/>
      <w:r w:rsidDel="00BE64DE">
        <w:t>erythrodysaesthesia</w:t>
      </w:r>
      <w:proofErr w:type="spellEnd"/>
      <w:r w:rsidDel="00BE64DE">
        <w:t xml:space="preserve"> syndrome, hypertension, </w:t>
      </w:r>
      <w:r w:rsidR="255A1ABE" w:rsidDel="00BE64DE">
        <w:t>increased a</w:t>
      </w:r>
      <w:r w:rsidDel="00BE64DE">
        <w:t>lanine aminotransferase</w:t>
      </w:r>
      <w:r w:rsidR="255A1ABE" w:rsidDel="00BE64DE">
        <w:t xml:space="preserve"> (ALT)</w:t>
      </w:r>
      <w:r w:rsidDel="00BE64DE">
        <w:t xml:space="preserve">, </w:t>
      </w:r>
      <w:r w:rsidR="255A1ABE" w:rsidDel="00BE64DE">
        <w:t>increased a</w:t>
      </w:r>
      <w:r w:rsidDel="00BE64DE">
        <w:t xml:space="preserve">spartate aminotransferase </w:t>
      </w:r>
      <w:r w:rsidR="255A1ABE" w:rsidDel="00BE64DE">
        <w:t>(AST)</w:t>
      </w:r>
      <w:r w:rsidDel="00BE64DE">
        <w:t>, decreased appetite, fatigue, and nausea.</w:t>
      </w:r>
    </w:p>
    <w:p w14:paraId="3AC80988" w14:textId="4A753606" w:rsidR="000B4E26" w:rsidDel="00BE64DE" w:rsidRDefault="6A075C99" w:rsidP="00487216">
      <w:pPr>
        <w:pStyle w:val="3-BodyText"/>
      </w:pPr>
      <w:r w:rsidDel="00BE64DE">
        <w:t xml:space="preserve">The most frequent </w:t>
      </w:r>
      <w:r w:rsidR="00554B32" w:rsidDel="00BE64DE">
        <w:t>g</w:t>
      </w:r>
      <w:r w:rsidDel="00BE64DE">
        <w:t>rade</w:t>
      </w:r>
      <w:r w:rsidR="00554B32" w:rsidDel="00BE64DE">
        <w:t> </w:t>
      </w:r>
      <w:r w:rsidDel="00BE64DE">
        <w:t>3</w:t>
      </w:r>
      <w:r w:rsidR="00554B32" w:rsidDel="00BE64DE">
        <w:t>/</w:t>
      </w:r>
      <w:r w:rsidDel="00BE64DE">
        <w:t xml:space="preserve">4 </w:t>
      </w:r>
      <w:r w:rsidR="6ADE6117" w:rsidDel="00BE64DE">
        <w:t xml:space="preserve">adverse events </w:t>
      </w:r>
      <w:r w:rsidDel="00BE64DE">
        <w:t xml:space="preserve">(≥ 5% incidence) reported for patients in the cabozantinib arm in descending order of incidence were hypertension, </w:t>
      </w:r>
      <w:r w:rsidR="00554B32" w:rsidDel="00BE64DE">
        <w:t>p</w:t>
      </w:r>
      <w:r w:rsidR="6ADE6117" w:rsidDel="00BE64DE">
        <w:t xml:space="preserve">almar-plantar </w:t>
      </w:r>
      <w:proofErr w:type="spellStart"/>
      <w:r w:rsidR="6ADE6117" w:rsidDel="00BE64DE">
        <w:t>erythrodysaesthesia</w:t>
      </w:r>
      <w:proofErr w:type="spellEnd"/>
      <w:r w:rsidR="6ADE6117" w:rsidDel="00BE64DE">
        <w:t xml:space="preserve"> syndrome</w:t>
      </w:r>
      <w:r w:rsidDel="00BE64DE">
        <w:t>, fatigue, diarrh</w:t>
      </w:r>
      <w:r w:rsidR="00593983">
        <w:t>o</w:t>
      </w:r>
      <w:r w:rsidDel="00BE64DE">
        <w:t xml:space="preserve">ea, and hypocalcaemia. There were no </w:t>
      </w:r>
      <w:r w:rsidR="00554B32" w:rsidDel="00BE64DE">
        <w:t>g</w:t>
      </w:r>
      <w:r w:rsidDel="00BE64DE">
        <w:t>rade 3</w:t>
      </w:r>
      <w:r w:rsidR="00554B32" w:rsidDel="00BE64DE">
        <w:t>/</w:t>
      </w:r>
      <w:r w:rsidDel="00BE64DE">
        <w:t xml:space="preserve">4 </w:t>
      </w:r>
      <w:r w:rsidR="6ADE6117" w:rsidDel="00BE64DE">
        <w:t xml:space="preserve">adverse events </w:t>
      </w:r>
      <w:r w:rsidDel="00BE64DE">
        <w:t>with a ≥ 5% incidence reported in the placebo arm.</w:t>
      </w:r>
    </w:p>
    <w:p w14:paraId="04908C7F" w14:textId="415B9B7D" w:rsidR="007F1017" w:rsidRPr="00C9624D" w:rsidRDefault="007F1017" w:rsidP="00D86231">
      <w:pPr>
        <w:pStyle w:val="4-SubsectionHeading"/>
      </w:pPr>
      <w:bookmarkStart w:id="50" w:name="_Toc22897643"/>
      <w:bookmarkStart w:id="51" w:name="_Toc145504686"/>
      <w:r w:rsidRPr="00C9624D">
        <w:t>Benefits/harms</w:t>
      </w:r>
      <w:bookmarkEnd w:id="50"/>
      <w:bookmarkEnd w:id="51"/>
    </w:p>
    <w:p w14:paraId="625FD429" w14:textId="67AF8D33" w:rsidR="00DB5BE1" w:rsidRPr="00163C55" w:rsidRDefault="306F62D5" w:rsidP="001C6343">
      <w:pPr>
        <w:pStyle w:val="3-BodyText"/>
        <w:rPr>
          <w:rFonts w:ascii="Arial Narrow" w:hAnsi="Arial Narrow"/>
          <w:b/>
          <w:bCs/>
          <w:sz w:val="20"/>
          <w:szCs w:val="18"/>
        </w:rPr>
      </w:pPr>
      <w:r w:rsidRPr="00ED5BD4">
        <w:rPr>
          <w:lang w:val="en-US"/>
        </w:rPr>
        <w:t xml:space="preserve">A summary of the comparative benefits and harms for </w:t>
      </w:r>
      <w:r w:rsidR="12FB289B">
        <w:rPr>
          <w:lang w:val="en-US"/>
        </w:rPr>
        <w:t>cabozantinib</w:t>
      </w:r>
      <w:r w:rsidRPr="00ED5BD4">
        <w:rPr>
          <w:lang w:val="en-US"/>
        </w:rPr>
        <w:t xml:space="preserve"> versus </w:t>
      </w:r>
      <w:r w:rsidR="12FB289B">
        <w:rPr>
          <w:lang w:val="en-US"/>
        </w:rPr>
        <w:t>placebo</w:t>
      </w:r>
      <w:r w:rsidRPr="00ED5BD4">
        <w:rPr>
          <w:lang w:val="en-US"/>
        </w:rPr>
        <w:t xml:space="preserve"> </w:t>
      </w:r>
      <w:r w:rsidR="00E120DC">
        <w:rPr>
          <w:lang w:val="en-US"/>
        </w:rPr>
        <w:t xml:space="preserve">in the full ITT population (not the subgroup who received lenvatinib only, which was used in the economic model) </w:t>
      </w:r>
      <w:r w:rsidRPr="00ED5BD4">
        <w:rPr>
          <w:lang w:val="en-US"/>
        </w:rPr>
        <w:t>is presented in</w:t>
      </w:r>
      <w:r w:rsidR="44C81E4E">
        <w:rPr>
          <w:lang w:val="en-US"/>
        </w:rPr>
        <w:t xml:space="preserve"> </w:t>
      </w:r>
      <w:r w:rsidR="001C6343">
        <w:rPr>
          <w:lang w:val="en-US"/>
        </w:rPr>
        <w:fldChar w:fldCharType="begin" w:fldLock="1"/>
      </w:r>
      <w:r w:rsidR="001C6343">
        <w:rPr>
          <w:lang w:val="en-US"/>
        </w:rPr>
        <w:instrText xml:space="preserve"> REF _Ref142477645 \h </w:instrText>
      </w:r>
      <w:r w:rsidR="001C6343">
        <w:rPr>
          <w:lang w:val="en-US"/>
        </w:rPr>
      </w:r>
      <w:r w:rsidR="001C6343">
        <w:rPr>
          <w:lang w:val="en-US"/>
        </w:rPr>
        <w:fldChar w:fldCharType="separate"/>
      </w:r>
      <w:r w:rsidR="008760F8">
        <w:t xml:space="preserve">Table </w:t>
      </w:r>
      <w:r w:rsidR="008760F8">
        <w:rPr>
          <w:noProof/>
        </w:rPr>
        <w:t>11</w:t>
      </w:r>
      <w:r w:rsidR="001C6343">
        <w:rPr>
          <w:lang w:val="en-US"/>
        </w:rPr>
        <w:fldChar w:fldCharType="end"/>
      </w:r>
      <w:r w:rsidR="4B351A3F">
        <w:rPr>
          <w:lang w:val="en-US"/>
        </w:rPr>
        <w:t>.</w:t>
      </w:r>
      <w:bookmarkStart w:id="52" w:name="_Ref104805037"/>
      <w:r w:rsidR="00E120DC">
        <w:rPr>
          <w:lang w:val="en-US"/>
        </w:rPr>
        <w:t xml:space="preserve"> </w:t>
      </w:r>
    </w:p>
    <w:p w14:paraId="04AC1B54" w14:textId="479BFC60" w:rsidR="00B62715" w:rsidRDefault="00D6076E" w:rsidP="00D22B13">
      <w:pPr>
        <w:pStyle w:val="Caption"/>
        <w:rPr>
          <w:rStyle w:val="CommentReference"/>
          <w:b/>
          <w:bCs w:val="0"/>
          <w:snapToGrid w:val="0"/>
          <w:szCs w:val="24"/>
        </w:rPr>
      </w:pPr>
      <w:bookmarkStart w:id="53" w:name="_Ref142477645"/>
      <w:r>
        <w:lastRenderedPageBreak/>
        <w:t xml:space="preserve">Table </w:t>
      </w:r>
      <w:r>
        <w:fldChar w:fldCharType="begin" w:fldLock="1"/>
      </w:r>
      <w:r>
        <w:instrText>SEQ Table \* ARABIC</w:instrText>
      </w:r>
      <w:r>
        <w:fldChar w:fldCharType="separate"/>
      </w:r>
      <w:r w:rsidR="008760F8">
        <w:rPr>
          <w:noProof/>
        </w:rPr>
        <w:t>11</w:t>
      </w:r>
      <w:r>
        <w:fldChar w:fldCharType="end"/>
      </w:r>
      <w:bookmarkEnd w:id="52"/>
      <w:bookmarkEnd w:id="53"/>
      <w:r>
        <w:t xml:space="preserve">: </w:t>
      </w:r>
      <w:r w:rsidR="00B62715" w:rsidRPr="00D2155B">
        <w:rPr>
          <w:rStyle w:val="CommentReference"/>
          <w:b/>
          <w:szCs w:val="24"/>
        </w:rPr>
        <w:t xml:space="preserve">Summary of comparative benefits and harms for </w:t>
      </w:r>
      <w:r w:rsidR="00E37ABF">
        <w:rPr>
          <w:rStyle w:val="CommentReference"/>
          <w:b/>
          <w:szCs w:val="24"/>
        </w:rPr>
        <w:t xml:space="preserve">cabozantinib </w:t>
      </w:r>
      <w:r w:rsidR="00B62715" w:rsidRPr="00D2155B">
        <w:rPr>
          <w:rStyle w:val="CommentReference"/>
          <w:b/>
          <w:szCs w:val="24"/>
        </w:rPr>
        <w:t xml:space="preserve">and </w:t>
      </w:r>
      <w:r w:rsidR="00E37ABF">
        <w:rPr>
          <w:rStyle w:val="CommentReference"/>
          <w:b/>
          <w:szCs w:val="24"/>
        </w:rPr>
        <w:t>placebo</w:t>
      </w:r>
    </w:p>
    <w:tbl>
      <w:tblPr>
        <w:tblW w:w="5000" w:type="pct"/>
        <w:tblLayout w:type="fixed"/>
        <w:tblCellMar>
          <w:left w:w="28" w:type="dxa"/>
          <w:right w:w="28" w:type="dxa"/>
        </w:tblCellMar>
        <w:tblLook w:val="04A0" w:firstRow="1" w:lastRow="0" w:firstColumn="1" w:lastColumn="0" w:noHBand="0" w:noVBand="1"/>
      </w:tblPr>
      <w:tblGrid>
        <w:gridCol w:w="1135"/>
        <w:gridCol w:w="1419"/>
        <w:gridCol w:w="1419"/>
        <w:gridCol w:w="1417"/>
        <w:gridCol w:w="1086"/>
        <w:gridCol w:w="1042"/>
        <w:gridCol w:w="1499"/>
      </w:tblGrid>
      <w:tr w:rsidR="00E37ABF" w:rsidRPr="00EC2B8E" w14:paraId="49393CF9" w14:textId="77777777" w:rsidTr="00180F22">
        <w:trPr>
          <w:cantSplit/>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9AA66DE" w14:textId="77777777" w:rsidR="00E37ABF" w:rsidRPr="00EC2B8E" w:rsidRDefault="00E37ABF" w:rsidP="00D22B13">
            <w:pPr>
              <w:pStyle w:val="In-tableHeading"/>
              <w:keepLines/>
            </w:pPr>
            <w:r w:rsidRPr="00EC2B8E">
              <w:t>Benefits</w:t>
            </w:r>
          </w:p>
        </w:tc>
      </w:tr>
      <w:tr w:rsidR="00E37ABF" w:rsidRPr="00EC2B8E" w14:paraId="7056C3F6" w14:textId="77777777" w:rsidTr="00180F22">
        <w:trPr>
          <w:cantSplit/>
        </w:trPr>
        <w:tc>
          <w:tcPr>
            <w:tcW w:w="5000" w:type="pct"/>
            <w:gridSpan w:val="7"/>
            <w:tcBorders>
              <w:top w:val="single" w:sz="4" w:space="0" w:color="auto"/>
              <w:left w:val="single" w:sz="4" w:space="0" w:color="auto"/>
              <w:bottom w:val="single" w:sz="2" w:space="0" w:color="auto"/>
              <w:right w:val="single" w:sz="4" w:space="0" w:color="auto"/>
            </w:tcBorders>
            <w:shd w:val="clear" w:color="auto" w:fill="auto"/>
            <w:vAlign w:val="center"/>
          </w:tcPr>
          <w:p w14:paraId="33E4ECA2" w14:textId="77777777" w:rsidR="00E37ABF" w:rsidRPr="00EC2B8E" w:rsidRDefault="00E37ABF" w:rsidP="00D22B13">
            <w:pPr>
              <w:pStyle w:val="In-tableHeading"/>
              <w:keepLines/>
            </w:pPr>
            <w:r w:rsidRPr="00EC2B8E">
              <w:t>Overall response rate (OITT)</w:t>
            </w:r>
          </w:p>
        </w:tc>
      </w:tr>
      <w:tr w:rsidR="00180F22" w:rsidRPr="00EC2B8E" w14:paraId="7518DB99" w14:textId="77777777" w:rsidTr="00180F22">
        <w:trPr>
          <w:cantSplit/>
          <w:trHeight w:val="102"/>
          <w:tblHeader/>
        </w:trPr>
        <w:tc>
          <w:tcPr>
            <w:tcW w:w="629" w:type="pct"/>
            <w:vMerge w:val="restart"/>
            <w:tcBorders>
              <w:top w:val="single" w:sz="4" w:space="0" w:color="auto"/>
              <w:left w:val="single" w:sz="4" w:space="0" w:color="auto"/>
              <w:right w:val="single" w:sz="4" w:space="0" w:color="auto"/>
            </w:tcBorders>
            <w:shd w:val="clear" w:color="auto" w:fill="auto"/>
            <w:vAlign w:val="center"/>
          </w:tcPr>
          <w:p w14:paraId="12E5881B" w14:textId="77777777" w:rsidR="00180F22" w:rsidRPr="00EC2B8E" w:rsidRDefault="00180F22" w:rsidP="00D22B13">
            <w:pPr>
              <w:pStyle w:val="In-tableHeading"/>
              <w:keepLines/>
              <w:jc w:val="center"/>
            </w:pPr>
            <w:r w:rsidRPr="00EC2B8E">
              <w:t>Trial</w:t>
            </w:r>
          </w:p>
        </w:tc>
        <w:tc>
          <w:tcPr>
            <w:tcW w:w="787" w:type="pct"/>
            <w:vMerge w:val="restart"/>
            <w:tcBorders>
              <w:top w:val="single" w:sz="4" w:space="0" w:color="auto"/>
              <w:left w:val="single" w:sz="4" w:space="0" w:color="auto"/>
              <w:right w:val="single" w:sz="4" w:space="0" w:color="auto"/>
            </w:tcBorders>
            <w:vAlign w:val="center"/>
          </w:tcPr>
          <w:p w14:paraId="30F02424" w14:textId="0EA0A8B1" w:rsidR="00180F22" w:rsidRPr="00EC2B8E" w:rsidRDefault="00180F22" w:rsidP="00D22B13">
            <w:pPr>
              <w:pStyle w:val="In-tableHeading"/>
              <w:keepLines/>
              <w:jc w:val="center"/>
            </w:pPr>
            <w:r w:rsidRPr="00EC2B8E">
              <w:t xml:space="preserve">Cabozantinib, n/N </w:t>
            </w:r>
          </w:p>
        </w:tc>
        <w:tc>
          <w:tcPr>
            <w:tcW w:w="787" w:type="pct"/>
            <w:vMerge w:val="restart"/>
            <w:tcBorders>
              <w:top w:val="single" w:sz="4" w:space="0" w:color="auto"/>
              <w:left w:val="single" w:sz="4" w:space="0" w:color="auto"/>
              <w:right w:val="single" w:sz="4" w:space="0" w:color="auto"/>
            </w:tcBorders>
            <w:vAlign w:val="center"/>
          </w:tcPr>
          <w:p w14:paraId="3616F638" w14:textId="06DC53DC" w:rsidR="00180F22" w:rsidRPr="00EC2B8E" w:rsidRDefault="00180F22" w:rsidP="00D22B13">
            <w:pPr>
              <w:pStyle w:val="In-tableHeading"/>
              <w:keepLines/>
              <w:jc w:val="center"/>
            </w:pPr>
            <w:r w:rsidRPr="00EC2B8E">
              <w:t xml:space="preserve">Placebo, </w:t>
            </w:r>
            <w:r w:rsidRPr="00EC2B8E">
              <w:br/>
              <w:t>n/N</w:t>
            </w:r>
          </w:p>
        </w:tc>
        <w:tc>
          <w:tcPr>
            <w:tcW w:w="786" w:type="pct"/>
            <w:vMerge w:val="restart"/>
            <w:tcBorders>
              <w:top w:val="single" w:sz="4" w:space="0" w:color="auto"/>
              <w:left w:val="single" w:sz="4" w:space="0" w:color="auto"/>
              <w:right w:val="single" w:sz="4" w:space="0" w:color="auto"/>
            </w:tcBorders>
            <w:vAlign w:val="center"/>
          </w:tcPr>
          <w:p w14:paraId="0FD53B0A" w14:textId="6884D76C" w:rsidR="00180F22" w:rsidRPr="00EC2B8E" w:rsidRDefault="00180F22" w:rsidP="00D22B13">
            <w:pPr>
              <w:pStyle w:val="In-tableHeading"/>
              <w:keepLines/>
              <w:jc w:val="center"/>
            </w:pPr>
            <w:r w:rsidRPr="00EC2B8E">
              <w:t>RR (95% CI)</w:t>
            </w:r>
          </w:p>
        </w:tc>
        <w:tc>
          <w:tcPr>
            <w:tcW w:w="1179" w:type="pct"/>
            <w:gridSpan w:val="2"/>
            <w:tcBorders>
              <w:top w:val="single" w:sz="4" w:space="0" w:color="auto"/>
              <w:left w:val="single" w:sz="4" w:space="0" w:color="auto"/>
              <w:bottom w:val="single" w:sz="2" w:space="0" w:color="auto"/>
              <w:right w:val="single" w:sz="4" w:space="0" w:color="auto"/>
            </w:tcBorders>
            <w:vAlign w:val="center"/>
          </w:tcPr>
          <w:p w14:paraId="0246B931" w14:textId="77777777" w:rsidR="00180F22" w:rsidRPr="00EC2B8E" w:rsidRDefault="00180F22" w:rsidP="00D22B13">
            <w:pPr>
              <w:pStyle w:val="In-tableHeading"/>
              <w:keepLines/>
              <w:jc w:val="center"/>
            </w:pPr>
            <w:r w:rsidRPr="00EC2B8E">
              <w:t>Event rate/100 patients*</w:t>
            </w:r>
          </w:p>
        </w:tc>
        <w:tc>
          <w:tcPr>
            <w:tcW w:w="832" w:type="pct"/>
            <w:vMerge w:val="restart"/>
            <w:tcBorders>
              <w:top w:val="single" w:sz="4" w:space="0" w:color="auto"/>
              <w:left w:val="single" w:sz="4" w:space="0" w:color="auto"/>
              <w:right w:val="single" w:sz="4" w:space="0" w:color="auto"/>
            </w:tcBorders>
            <w:vAlign w:val="center"/>
          </w:tcPr>
          <w:p w14:paraId="7093E72F" w14:textId="16DC860F" w:rsidR="00180F22" w:rsidRPr="00EC2B8E" w:rsidRDefault="00180F22" w:rsidP="00D22B13">
            <w:pPr>
              <w:pStyle w:val="In-tableHeading"/>
              <w:keepLines/>
              <w:jc w:val="center"/>
            </w:pPr>
            <w:r w:rsidRPr="00EC2B8E">
              <w:t>RD (99% CI)</w:t>
            </w:r>
          </w:p>
        </w:tc>
      </w:tr>
      <w:tr w:rsidR="00180F22" w:rsidRPr="00EC2B8E" w14:paraId="06BD1BBD" w14:textId="77777777" w:rsidTr="00180F22">
        <w:trPr>
          <w:cantSplit/>
          <w:trHeight w:val="102"/>
          <w:tblHeader/>
        </w:trPr>
        <w:tc>
          <w:tcPr>
            <w:tcW w:w="629" w:type="pct"/>
            <w:vMerge/>
            <w:tcBorders>
              <w:left w:val="single" w:sz="4" w:space="0" w:color="auto"/>
              <w:bottom w:val="single" w:sz="2" w:space="0" w:color="auto"/>
              <w:right w:val="single" w:sz="4" w:space="0" w:color="auto"/>
            </w:tcBorders>
            <w:shd w:val="clear" w:color="auto" w:fill="auto"/>
            <w:vAlign w:val="center"/>
          </w:tcPr>
          <w:p w14:paraId="3C5F1817" w14:textId="77777777" w:rsidR="00180F22" w:rsidRPr="00EC2B8E" w:rsidRDefault="00180F22" w:rsidP="00D22B13">
            <w:pPr>
              <w:pStyle w:val="In-tableHeading"/>
              <w:keepLines/>
              <w:jc w:val="center"/>
            </w:pPr>
          </w:p>
        </w:tc>
        <w:tc>
          <w:tcPr>
            <w:tcW w:w="787" w:type="pct"/>
            <w:vMerge/>
            <w:tcBorders>
              <w:left w:val="single" w:sz="4" w:space="0" w:color="auto"/>
              <w:bottom w:val="single" w:sz="2" w:space="0" w:color="auto"/>
              <w:right w:val="single" w:sz="4" w:space="0" w:color="auto"/>
            </w:tcBorders>
            <w:vAlign w:val="center"/>
          </w:tcPr>
          <w:p w14:paraId="272BED6B" w14:textId="77777777" w:rsidR="00180F22" w:rsidRPr="00EC2B8E" w:rsidRDefault="00180F22" w:rsidP="00D22B13">
            <w:pPr>
              <w:pStyle w:val="In-tableHeading"/>
              <w:keepLines/>
              <w:jc w:val="center"/>
            </w:pPr>
          </w:p>
        </w:tc>
        <w:tc>
          <w:tcPr>
            <w:tcW w:w="787" w:type="pct"/>
            <w:vMerge/>
            <w:tcBorders>
              <w:left w:val="single" w:sz="4" w:space="0" w:color="auto"/>
              <w:bottom w:val="single" w:sz="2" w:space="0" w:color="auto"/>
              <w:right w:val="single" w:sz="4" w:space="0" w:color="auto"/>
            </w:tcBorders>
            <w:vAlign w:val="center"/>
          </w:tcPr>
          <w:p w14:paraId="5B3FEB26" w14:textId="77777777" w:rsidR="00180F22" w:rsidRPr="00EC2B8E" w:rsidRDefault="00180F22" w:rsidP="00D22B13">
            <w:pPr>
              <w:pStyle w:val="In-tableHeading"/>
              <w:keepLines/>
              <w:jc w:val="center"/>
            </w:pPr>
          </w:p>
        </w:tc>
        <w:tc>
          <w:tcPr>
            <w:tcW w:w="786" w:type="pct"/>
            <w:vMerge/>
            <w:tcBorders>
              <w:left w:val="single" w:sz="4" w:space="0" w:color="auto"/>
              <w:bottom w:val="single" w:sz="2" w:space="0" w:color="auto"/>
              <w:right w:val="single" w:sz="4" w:space="0" w:color="auto"/>
            </w:tcBorders>
            <w:vAlign w:val="center"/>
          </w:tcPr>
          <w:p w14:paraId="3E2D035F" w14:textId="77777777" w:rsidR="00180F22" w:rsidRPr="00EC2B8E" w:rsidRDefault="00180F22" w:rsidP="00D22B13">
            <w:pPr>
              <w:pStyle w:val="In-tableHeading"/>
              <w:keepLines/>
              <w:jc w:val="center"/>
            </w:pPr>
          </w:p>
        </w:tc>
        <w:tc>
          <w:tcPr>
            <w:tcW w:w="602" w:type="pct"/>
            <w:tcBorders>
              <w:top w:val="single" w:sz="4" w:space="0" w:color="auto"/>
              <w:left w:val="single" w:sz="4" w:space="0" w:color="auto"/>
              <w:bottom w:val="single" w:sz="2" w:space="0" w:color="auto"/>
              <w:right w:val="single" w:sz="4" w:space="0" w:color="auto"/>
            </w:tcBorders>
            <w:tcMar>
              <w:left w:w="0" w:type="dxa"/>
              <w:right w:w="0" w:type="dxa"/>
            </w:tcMar>
            <w:vAlign w:val="center"/>
          </w:tcPr>
          <w:p w14:paraId="5C870066" w14:textId="39B23856" w:rsidR="00180F22" w:rsidRPr="00EC2B8E" w:rsidRDefault="00180F22" w:rsidP="00D22B13">
            <w:pPr>
              <w:pStyle w:val="In-tableHeading"/>
              <w:keepLines/>
              <w:jc w:val="center"/>
            </w:pPr>
            <w:r w:rsidRPr="00EC2B8E">
              <w:t>Cabozantinib</w:t>
            </w:r>
          </w:p>
        </w:tc>
        <w:tc>
          <w:tcPr>
            <w:tcW w:w="578" w:type="pct"/>
            <w:tcBorders>
              <w:top w:val="single" w:sz="4" w:space="0" w:color="auto"/>
              <w:left w:val="single" w:sz="4" w:space="0" w:color="auto"/>
              <w:bottom w:val="single" w:sz="2" w:space="0" w:color="auto"/>
              <w:right w:val="single" w:sz="4" w:space="0" w:color="auto"/>
            </w:tcBorders>
            <w:tcMar>
              <w:left w:w="0" w:type="dxa"/>
              <w:right w:w="0" w:type="dxa"/>
            </w:tcMar>
            <w:vAlign w:val="center"/>
          </w:tcPr>
          <w:p w14:paraId="5FE722EF" w14:textId="55C8125B" w:rsidR="00180F22" w:rsidRPr="00EC2B8E" w:rsidRDefault="00180F22" w:rsidP="00D22B13">
            <w:pPr>
              <w:pStyle w:val="In-tableHeading"/>
              <w:keepLines/>
              <w:jc w:val="center"/>
            </w:pPr>
            <w:r w:rsidRPr="00EC2B8E">
              <w:t>Placebo</w:t>
            </w:r>
          </w:p>
        </w:tc>
        <w:tc>
          <w:tcPr>
            <w:tcW w:w="832" w:type="pct"/>
            <w:vMerge/>
            <w:tcBorders>
              <w:left w:val="single" w:sz="4" w:space="0" w:color="auto"/>
              <w:bottom w:val="single" w:sz="2" w:space="0" w:color="auto"/>
              <w:right w:val="single" w:sz="4" w:space="0" w:color="auto"/>
            </w:tcBorders>
            <w:vAlign w:val="center"/>
          </w:tcPr>
          <w:p w14:paraId="41341958" w14:textId="77777777" w:rsidR="00180F22" w:rsidRPr="00EC2B8E" w:rsidRDefault="00180F22" w:rsidP="00D22B13">
            <w:pPr>
              <w:pStyle w:val="In-tableHeading"/>
              <w:keepLines/>
              <w:jc w:val="center"/>
            </w:pPr>
          </w:p>
        </w:tc>
      </w:tr>
      <w:tr w:rsidR="00E37ABF" w:rsidRPr="00EC2B8E" w14:paraId="6BA71668" w14:textId="77777777" w:rsidTr="00180F22">
        <w:trPr>
          <w:cantSplit/>
        </w:trPr>
        <w:tc>
          <w:tcPr>
            <w:tcW w:w="629" w:type="pct"/>
            <w:tcBorders>
              <w:top w:val="single" w:sz="2" w:space="0" w:color="auto"/>
              <w:left w:val="single" w:sz="2" w:space="0" w:color="auto"/>
              <w:bottom w:val="single" w:sz="2" w:space="0" w:color="auto"/>
              <w:right w:val="single" w:sz="2" w:space="0" w:color="auto"/>
            </w:tcBorders>
            <w:shd w:val="clear" w:color="auto" w:fill="auto"/>
            <w:vAlign w:val="center"/>
          </w:tcPr>
          <w:p w14:paraId="4BA8AEA6" w14:textId="77777777" w:rsidR="00E37ABF" w:rsidRPr="00EC2B8E" w:rsidRDefault="00E37ABF" w:rsidP="00D22B13">
            <w:pPr>
              <w:pStyle w:val="TableText0"/>
              <w:keepLines/>
            </w:pPr>
            <w:r w:rsidRPr="00EC2B8E">
              <w:t>COSMIC-311</w:t>
            </w:r>
          </w:p>
        </w:tc>
        <w:tc>
          <w:tcPr>
            <w:tcW w:w="787" w:type="pct"/>
            <w:tcBorders>
              <w:top w:val="single" w:sz="2" w:space="0" w:color="auto"/>
              <w:left w:val="single" w:sz="2" w:space="0" w:color="auto"/>
              <w:bottom w:val="single" w:sz="2" w:space="0" w:color="auto"/>
              <w:right w:val="single" w:sz="2" w:space="0" w:color="auto"/>
            </w:tcBorders>
            <w:vAlign w:val="center"/>
          </w:tcPr>
          <w:p w14:paraId="214100EE" w14:textId="60049E5E" w:rsidR="00E37ABF" w:rsidRPr="00EC2B8E" w:rsidRDefault="00E37ABF" w:rsidP="00D22B13">
            <w:pPr>
              <w:pStyle w:val="TableText0"/>
              <w:keepLines/>
              <w:jc w:val="center"/>
            </w:pPr>
            <w:r w:rsidRPr="00EC2B8E">
              <w:t>10/67 (15)</w:t>
            </w:r>
          </w:p>
        </w:tc>
        <w:tc>
          <w:tcPr>
            <w:tcW w:w="787" w:type="pct"/>
            <w:tcBorders>
              <w:top w:val="single" w:sz="2" w:space="0" w:color="auto"/>
              <w:left w:val="single" w:sz="2" w:space="0" w:color="auto"/>
              <w:bottom w:val="single" w:sz="2" w:space="0" w:color="auto"/>
              <w:right w:val="single" w:sz="2" w:space="0" w:color="auto"/>
            </w:tcBorders>
            <w:vAlign w:val="center"/>
          </w:tcPr>
          <w:p w14:paraId="55CD7025" w14:textId="2287B367" w:rsidR="00E37ABF" w:rsidRPr="00EC2B8E" w:rsidRDefault="00E37ABF" w:rsidP="00D22B13">
            <w:pPr>
              <w:pStyle w:val="TableText0"/>
              <w:keepLines/>
              <w:jc w:val="center"/>
            </w:pPr>
            <w:r w:rsidRPr="00EC2B8E">
              <w:t>0/33(0)</w:t>
            </w:r>
          </w:p>
        </w:tc>
        <w:tc>
          <w:tcPr>
            <w:tcW w:w="786" w:type="pct"/>
            <w:tcBorders>
              <w:top w:val="single" w:sz="2" w:space="0" w:color="auto"/>
              <w:left w:val="single" w:sz="2" w:space="0" w:color="auto"/>
              <w:bottom w:val="single" w:sz="2" w:space="0" w:color="auto"/>
              <w:right w:val="single" w:sz="2" w:space="0" w:color="auto"/>
            </w:tcBorders>
            <w:vAlign w:val="center"/>
          </w:tcPr>
          <w:p w14:paraId="4554126F" w14:textId="4AFA37C1" w:rsidR="00E37ABF" w:rsidRPr="00EC2B8E" w:rsidRDefault="00E37ABF" w:rsidP="00D22B13">
            <w:pPr>
              <w:pStyle w:val="TableText0"/>
              <w:keepLines/>
              <w:jc w:val="center"/>
            </w:pPr>
            <w:r w:rsidRPr="00EC2B8E">
              <w:t>10.50</w:t>
            </w:r>
            <w:r w:rsidR="00505631" w:rsidRPr="00EC2B8E">
              <w:t xml:space="preserve"> </w:t>
            </w:r>
          </w:p>
          <w:p w14:paraId="455401BE" w14:textId="77777777" w:rsidR="00E37ABF" w:rsidRPr="00EC2B8E" w:rsidRDefault="00E37ABF" w:rsidP="00D22B13">
            <w:pPr>
              <w:pStyle w:val="TableText0"/>
              <w:keepLines/>
              <w:jc w:val="center"/>
            </w:pPr>
            <w:r w:rsidRPr="00EC2B8E">
              <w:t>(0.63, 173.88)</w:t>
            </w:r>
          </w:p>
        </w:tc>
        <w:tc>
          <w:tcPr>
            <w:tcW w:w="602" w:type="pct"/>
            <w:tcBorders>
              <w:top w:val="single" w:sz="2" w:space="0" w:color="auto"/>
              <w:left w:val="single" w:sz="2" w:space="0" w:color="auto"/>
              <w:bottom w:val="single" w:sz="2" w:space="0" w:color="auto"/>
              <w:right w:val="single" w:sz="2" w:space="0" w:color="auto"/>
            </w:tcBorders>
            <w:vAlign w:val="center"/>
          </w:tcPr>
          <w:p w14:paraId="42D3B28F" w14:textId="7C39CFEF" w:rsidR="00E37ABF" w:rsidRPr="00EC2B8E" w:rsidRDefault="009623CD" w:rsidP="00D22B13">
            <w:pPr>
              <w:pStyle w:val="TableText0"/>
              <w:keepLines/>
              <w:jc w:val="center"/>
            </w:pPr>
            <w:r w:rsidRPr="00EC2B8E">
              <w:t>15</w:t>
            </w:r>
            <w:r w:rsidR="00505631" w:rsidRPr="00EC2B8E">
              <w:t xml:space="preserve"> </w:t>
            </w:r>
          </w:p>
        </w:tc>
        <w:tc>
          <w:tcPr>
            <w:tcW w:w="578" w:type="pct"/>
            <w:tcBorders>
              <w:top w:val="single" w:sz="2" w:space="0" w:color="auto"/>
              <w:left w:val="single" w:sz="2" w:space="0" w:color="auto"/>
              <w:bottom w:val="single" w:sz="2" w:space="0" w:color="auto"/>
              <w:right w:val="single" w:sz="2" w:space="0" w:color="auto"/>
            </w:tcBorders>
            <w:vAlign w:val="center"/>
          </w:tcPr>
          <w:p w14:paraId="4E75FE4D" w14:textId="50EB0872" w:rsidR="00E37ABF" w:rsidRPr="00EC2B8E" w:rsidRDefault="00E37ABF" w:rsidP="00D22B13">
            <w:pPr>
              <w:pStyle w:val="TableText0"/>
              <w:keepLines/>
              <w:jc w:val="center"/>
            </w:pPr>
            <w:r w:rsidRPr="00EC2B8E">
              <w:t>0</w:t>
            </w:r>
            <w:r w:rsidR="00505631" w:rsidRPr="00EC2B8E">
              <w:t xml:space="preserve"> </w:t>
            </w:r>
          </w:p>
        </w:tc>
        <w:tc>
          <w:tcPr>
            <w:tcW w:w="832" w:type="pct"/>
            <w:tcBorders>
              <w:top w:val="single" w:sz="2" w:space="0" w:color="auto"/>
              <w:left w:val="single" w:sz="2" w:space="0" w:color="auto"/>
              <w:bottom w:val="single" w:sz="2" w:space="0" w:color="auto"/>
              <w:right w:val="single" w:sz="2" w:space="0" w:color="auto"/>
            </w:tcBorders>
            <w:vAlign w:val="center"/>
          </w:tcPr>
          <w:p w14:paraId="1FA9AE76" w14:textId="63AFEABC" w:rsidR="00E37ABF" w:rsidRPr="00EC2B8E" w:rsidRDefault="00E37ABF" w:rsidP="00D22B13">
            <w:pPr>
              <w:pStyle w:val="TableText0"/>
              <w:keepLines/>
              <w:jc w:val="center"/>
            </w:pPr>
            <w:r w:rsidRPr="00EC2B8E">
              <w:t xml:space="preserve">0.15 </w:t>
            </w:r>
            <w:r w:rsidR="00505631" w:rsidRPr="00EC2B8E">
              <w:t xml:space="preserve"> </w:t>
            </w:r>
          </w:p>
          <w:p w14:paraId="4B969A37" w14:textId="77ED173D" w:rsidR="00E37ABF" w:rsidRPr="00EC2B8E" w:rsidRDefault="00E37ABF" w:rsidP="00D22B13">
            <w:pPr>
              <w:pStyle w:val="TableText0"/>
              <w:keepLines/>
              <w:jc w:val="center"/>
            </w:pPr>
            <w:r w:rsidRPr="00EC2B8E">
              <w:t>(0.</w:t>
            </w:r>
            <w:r w:rsidR="009623CD" w:rsidRPr="00EC2B8E">
              <w:t>037</w:t>
            </w:r>
            <w:r w:rsidRPr="00EC2B8E">
              <w:t>, 0.</w:t>
            </w:r>
            <w:r w:rsidR="009623CD" w:rsidRPr="00EC2B8E">
              <w:t>261</w:t>
            </w:r>
            <w:r w:rsidRPr="00EC2B8E">
              <w:t>)</w:t>
            </w:r>
          </w:p>
        </w:tc>
      </w:tr>
    </w:tbl>
    <w:tbl>
      <w:tblPr>
        <w:tblStyle w:val="TableGrid"/>
        <w:tblW w:w="5000" w:type="pct"/>
        <w:tblLayout w:type="fixed"/>
        <w:tblCellMar>
          <w:left w:w="28" w:type="dxa"/>
          <w:right w:w="28" w:type="dxa"/>
        </w:tblCellMar>
        <w:tblLook w:val="04A0" w:firstRow="1" w:lastRow="0" w:firstColumn="1" w:lastColumn="0" w:noHBand="0" w:noVBand="1"/>
      </w:tblPr>
      <w:tblGrid>
        <w:gridCol w:w="2547"/>
        <w:gridCol w:w="1417"/>
        <w:gridCol w:w="1461"/>
        <w:gridCol w:w="2083"/>
        <w:gridCol w:w="1509"/>
      </w:tblGrid>
      <w:tr w:rsidR="00E37ABF" w:rsidRPr="00EC2B8E" w14:paraId="2326F383" w14:textId="77777777" w:rsidTr="00180F22">
        <w:trPr>
          <w:trHeight w:val="20"/>
        </w:trPr>
        <w:tc>
          <w:tcPr>
            <w:tcW w:w="5000" w:type="pct"/>
            <w:gridSpan w:val="5"/>
            <w:tcBorders>
              <w:top w:val="single" w:sz="2" w:space="0" w:color="auto"/>
              <w:bottom w:val="single" w:sz="2" w:space="0" w:color="auto"/>
            </w:tcBorders>
            <w:shd w:val="clear" w:color="auto" w:fill="auto"/>
          </w:tcPr>
          <w:p w14:paraId="7758C267" w14:textId="7247EF20" w:rsidR="00E37ABF" w:rsidRPr="00EC2B8E" w:rsidRDefault="008F6805" w:rsidP="00D22B13">
            <w:pPr>
              <w:pStyle w:val="TableText0"/>
              <w:keepLines/>
              <w:rPr>
                <w:b/>
                <w:bCs w:val="0"/>
              </w:rPr>
            </w:pPr>
            <w:r w:rsidRPr="00EC2B8E">
              <w:rPr>
                <w:b/>
                <w:bCs w:val="0"/>
              </w:rPr>
              <w:t>Progression-free</w:t>
            </w:r>
            <w:r w:rsidR="00E37ABF" w:rsidRPr="00EC2B8E">
              <w:rPr>
                <w:b/>
                <w:bCs w:val="0"/>
              </w:rPr>
              <w:t xml:space="preserve"> survival (median duration of follow up </w:t>
            </w:r>
            <w:r w:rsidR="006C46F2" w:rsidRPr="00EC2B8E">
              <w:rPr>
                <w:b/>
                <w:bCs w:val="0"/>
              </w:rPr>
              <w:t>10.1</w:t>
            </w:r>
            <w:r w:rsidR="00E37ABF" w:rsidRPr="00EC2B8E">
              <w:rPr>
                <w:b/>
                <w:bCs w:val="0"/>
              </w:rPr>
              <w:t xml:space="preserve"> months) Full ITT</w:t>
            </w:r>
            <w:r w:rsidR="009623CD" w:rsidRPr="00EC2B8E">
              <w:rPr>
                <w:b/>
                <w:bCs w:val="0"/>
              </w:rPr>
              <w:t xml:space="preserve"> population</w:t>
            </w:r>
          </w:p>
        </w:tc>
      </w:tr>
      <w:tr w:rsidR="00E37ABF" w:rsidRPr="00EC2B8E" w14:paraId="796BC9F5" w14:textId="77777777" w:rsidTr="00180F22">
        <w:trPr>
          <w:trHeight w:val="20"/>
        </w:trPr>
        <w:tc>
          <w:tcPr>
            <w:tcW w:w="1412" w:type="pct"/>
            <w:tcBorders>
              <w:top w:val="single" w:sz="2" w:space="0" w:color="auto"/>
              <w:bottom w:val="single" w:sz="4" w:space="0" w:color="auto"/>
            </w:tcBorders>
            <w:shd w:val="clear" w:color="auto" w:fill="auto"/>
          </w:tcPr>
          <w:p w14:paraId="2858B970" w14:textId="77777777" w:rsidR="00E37ABF" w:rsidRPr="00EC2B8E" w:rsidRDefault="00E37ABF" w:rsidP="00D22B13">
            <w:pPr>
              <w:pStyle w:val="TableText0"/>
              <w:keepLines/>
              <w:rPr>
                <w:b/>
                <w:bCs w:val="0"/>
              </w:rPr>
            </w:pPr>
            <w:r w:rsidRPr="00EC2B8E">
              <w:rPr>
                <w:b/>
                <w:bCs w:val="0"/>
              </w:rPr>
              <w:t>Event</w:t>
            </w:r>
          </w:p>
        </w:tc>
        <w:tc>
          <w:tcPr>
            <w:tcW w:w="786" w:type="pct"/>
            <w:tcBorders>
              <w:top w:val="single" w:sz="2" w:space="0" w:color="auto"/>
              <w:bottom w:val="single" w:sz="4" w:space="0" w:color="auto"/>
            </w:tcBorders>
            <w:shd w:val="clear" w:color="auto" w:fill="auto"/>
          </w:tcPr>
          <w:p w14:paraId="6ECED726" w14:textId="77777777" w:rsidR="00E37ABF" w:rsidRPr="00EC2B8E" w:rsidRDefault="00E37ABF" w:rsidP="00D22B13">
            <w:pPr>
              <w:pStyle w:val="TableText0"/>
              <w:keepLines/>
              <w:jc w:val="center"/>
              <w:rPr>
                <w:b/>
                <w:bCs w:val="0"/>
                <w:szCs w:val="20"/>
              </w:rPr>
            </w:pPr>
            <w:r w:rsidRPr="00EC2B8E">
              <w:rPr>
                <w:b/>
                <w:bCs w:val="0"/>
              </w:rPr>
              <w:t>Cabozantinib</w:t>
            </w:r>
          </w:p>
        </w:tc>
        <w:tc>
          <w:tcPr>
            <w:tcW w:w="810" w:type="pct"/>
            <w:tcBorders>
              <w:top w:val="single" w:sz="2" w:space="0" w:color="auto"/>
              <w:bottom w:val="single" w:sz="4" w:space="0" w:color="auto"/>
            </w:tcBorders>
            <w:shd w:val="clear" w:color="auto" w:fill="auto"/>
          </w:tcPr>
          <w:p w14:paraId="1020C85D" w14:textId="38B43896" w:rsidR="00E37ABF" w:rsidRPr="00EC2B8E" w:rsidRDefault="007821FA" w:rsidP="00D22B13">
            <w:pPr>
              <w:pStyle w:val="TableText0"/>
              <w:keepLines/>
              <w:jc w:val="center"/>
              <w:rPr>
                <w:b/>
                <w:bCs w:val="0"/>
                <w:szCs w:val="20"/>
              </w:rPr>
            </w:pPr>
            <w:r w:rsidRPr="00EC2B8E">
              <w:rPr>
                <w:b/>
                <w:bCs w:val="0"/>
              </w:rPr>
              <w:t xml:space="preserve">Placebo </w:t>
            </w:r>
          </w:p>
        </w:tc>
        <w:tc>
          <w:tcPr>
            <w:tcW w:w="1155" w:type="pct"/>
            <w:tcBorders>
              <w:top w:val="single" w:sz="2" w:space="0" w:color="auto"/>
              <w:bottom w:val="single" w:sz="4" w:space="0" w:color="auto"/>
            </w:tcBorders>
            <w:shd w:val="clear" w:color="auto" w:fill="auto"/>
          </w:tcPr>
          <w:p w14:paraId="54B35F7E" w14:textId="77777777" w:rsidR="00E37ABF" w:rsidRPr="00EC2B8E" w:rsidRDefault="00E37ABF" w:rsidP="00D22B13">
            <w:pPr>
              <w:pStyle w:val="TableText0"/>
              <w:keepLines/>
              <w:jc w:val="center"/>
              <w:rPr>
                <w:rFonts w:cs="Times New Roman"/>
                <w:b/>
                <w:bCs w:val="0"/>
                <w:szCs w:val="20"/>
              </w:rPr>
            </w:pPr>
            <w:r w:rsidRPr="00EC2B8E">
              <w:rPr>
                <w:b/>
                <w:bCs w:val="0"/>
              </w:rPr>
              <w:t>Absolute Difference</w:t>
            </w:r>
          </w:p>
        </w:tc>
        <w:tc>
          <w:tcPr>
            <w:tcW w:w="837" w:type="pct"/>
            <w:tcBorders>
              <w:top w:val="single" w:sz="2" w:space="0" w:color="auto"/>
              <w:bottom w:val="single" w:sz="4" w:space="0" w:color="auto"/>
            </w:tcBorders>
            <w:shd w:val="clear" w:color="auto" w:fill="auto"/>
          </w:tcPr>
          <w:p w14:paraId="00633819" w14:textId="77777777" w:rsidR="00E37ABF" w:rsidRPr="00EC2B8E" w:rsidRDefault="00E37ABF" w:rsidP="00D22B13">
            <w:pPr>
              <w:pStyle w:val="TableText0"/>
              <w:keepLines/>
              <w:jc w:val="center"/>
              <w:rPr>
                <w:b/>
                <w:bCs w:val="0"/>
              </w:rPr>
            </w:pPr>
            <w:r w:rsidRPr="00EC2B8E">
              <w:rPr>
                <w:b/>
                <w:bCs w:val="0"/>
              </w:rPr>
              <w:t>HR (95% CI)</w:t>
            </w:r>
          </w:p>
        </w:tc>
      </w:tr>
      <w:tr w:rsidR="00F1456D" w:rsidRPr="00EC2B8E" w14:paraId="24451CAE" w14:textId="77777777" w:rsidTr="00180F22">
        <w:trPr>
          <w:trHeight w:val="243"/>
        </w:trPr>
        <w:tc>
          <w:tcPr>
            <w:tcW w:w="1412" w:type="pct"/>
            <w:tcBorders>
              <w:bottom w:val="single" w:sz="4" w:space="0" w:color="auto"/>
              <w:right w:val="single" w:sz="4" w:space="0" w:color="auto"/>
            </w:tcBorders>
            <w:shd w:val="clear" w:color="auto" w:fill="auto"/>
            <w:vAlign w:val="center"/>
          </w:tcPr>
          <w:p w14:paraId="372FA2A8" w14:textId="77777777" w:rsidR="00F1456D" w:rsidRPr="00EC2B8E" w:rsidRDefault="00F1456D" w:rsidP="00D22B13">
            <w:pPr>
              <w:pStyle w:val="TableText0"/>
              <w:keepLines/>
            </w:pPr>
            <w:r w:rsidRPr="00EC2B8E">
              <w:t>Progressed, n (%)</w:t>
            </w:r>
          </w:p>
        </w:tc>
        <w:tc>
          <w:tcPr>
            <w:tcW w:w="786" w:type="pct"/>
            <w:tcBorders>
              <w:top w:val="single" w:sz="4" w:space="0" w:color="auto"/>
              <w:left w:val="single" w:sz="4" w:space="0" w:color="auto"/>
              <w:bottom w:val="single" w:sz="4" w:space="0" w:color="auto"/>
              <w:right w:val="single" w:sz="4" w:space="0" w:color="auto"/>
            </w:tcBorders>
            <w:vAlign w:val="center"/>
          </w:tcPr>
          <w:p w14:paraId="397FE96A" w14:textId="6ECD08A8" w:rsidR="00F1456D" w:rsidRPr="00EC2B8E" w:rsidRDefault="00F1456D" w:rsidP="00D22B13">
            <w:pPr>
              <w:pStyle w:val="TableText0"/>
              <w:keepLines/>
              <w:jc w:val="center"/>
              <w:rPr>
                <w:rFonts w:cs="Times New Roman"/>
                <w:szCs w:val="20"/>
              </w:rPr>
            </w:pPr>
            <w:r w:rsidRPr="00EC2B8E">
              <w:rPr>
                <w:rFonts w:cs="Times New Roman"/>
                <w:szCs w:val="20"/>
              </w:rPr>
              <w:t>62/170</w:t>
            </w:r>
            <w:r w:rsidR="00505631" w:rsidRPr="00EC2B8E">
              <w:rPr>
                <w:rFonts w:cs="Times New Roman"/>
                <w:szCs w:val="20"/>
              </w:rPr>
              <w:t xml:space="preserve"> </w:t>
            </w:r>
            <w:r w:rsidRPr="00EC2B8E">
              <w:rPr>
                <w:rFonts w:cs="Times New Roman"/>
                <w:szCs w:val="20"/>
              </w:rPr>
              <w:t xml:space="preserve"> (36)</w:t>
            </w:r>
          </w:p>
        </w:tc>
        <w:tc>
          <w:tcPr>
            <w:tcW w:w="810" w:type="pct"/>
            <w:tcBorders>
              <w:top w:val="single" w:sz="4" w:space="0" w:color="auto"/>
              <w:left w:val="single" w:sz="4" w:space="0" w:color="auto"/>
              <w:bottom w:val="single" w:sz="4" w:space="0" w:color="auto"/>
              <w:right w:val="single" w:sz="4" w:space="0" w:color="auto"/>
            </w:tcBorders>
            <w:vAlign w:val="center"/>
          </w:tcPr>
          <w:p w14:paraId="7B2A4DF0" w14:textId="78DBACA9" w:rsidR="00F1456D" w:rsidRPr="00EC2B8E" w:rsidRDefault="00F1456D" w:rsidP="00D22B13">
            <w:pPr>
              <w:pStyle w:val="TableText0"/>
              <w:keepLines/>
              <w:jc w:val="center"/>
              <w:rPr>
                <w:rFonts w:cs="Times New Roman"/>
                <w:szCs w:val="20"/>
              </w:rPr>
            </w:pPr>
            <w:r w:rsidRPr="00EC2B8E">
              <w:rPr>
                <w:rFonts w:cs="Times New Roman"/>
                <w:szCs w:val="20"/>
              </w:rPr>
              <w:t>69/88</w:t>
            </w:r>
            <w:r w:rsidR="00505631" w:rsidRPr="00EC2B8E">
              <w:rPr>
                <w:rFonts w:cs="Times New Roman"/>
                <w:szCs w:val="20"/>
              </w:rPr>
              <w:t xml:space="preserve"> </w:t>
            </w:r>
            <w:r w:rsidRPr="00EC2B8E">
              <w:rPr>
                <w:rFonts w:cs="Times New Roman"/>
                <w:szCs w:val="20"/>
              </w:rPr>
              <w:t>(78)</w:t>
            </w:r>
          </w:p>
        </w:tc>
        <w:tc>
          <w:tcPr>
            <w:tcW w:w="1155" w:type="pct"/>
            <w:tcBorders>
              <w:left w:val="single" w:sz="4" w:space="0" w:color="auto"/>
              <w:bottom w:val="single" w:sz="4" w:space="0" w:color="auto"/>
              <w:right w:val="single" w:sz="4" w:space="0" w:color="auto"/>
            </w:tcBorders>
            <w:shd w:val="clear" w:color="auto" w:fill="auto"/>
            <w:vAlign w:val="center"/>
          </w:tcPr>
          <w:p w14:paraId="20FCE680" w14:textId="77777777" w:rsidR="00F1456D" w:rsidRPr="00EC2B8E" w:rsidRDefault="00F1456D" w:rsidP="00D22B13">
            <w:pPr>
              <w:pStyle w:val="TableText0"/>
              <w:keepLines/>
              <w:jc w:val="center"/>
              <w:rPr>
                <w:rFonts w:cs="Times New Roman"/>
                <w:szCs w:val="20"/>
              </w:rPr>
            </w:pPr>
            <w:r w:rsidRPr="00EC2B8E">
              <w:rPr>
                <w:rFonts w:cs="Times New Roman"/>
                <w:szCs w:val="20"/>
              </w:rPr>
              <w:t>-</w:t>
            </w:r>
          </w:p>
        </w:tc>
        <w:tc>
          <w:tcPr>
            <w:tcW w:w="837" w:type="pct"/>
            <w:vMerge w:val="restart"/>
            <w:tcBorders>
              <w:left w:val="single" w:sz="4" w:space="0" w:color="auto"/>
            </w:tcBorders>
            <w:shd w:val="clear" w:color="auto" w:fill="auto"/>
            <w:vAlign w:val="center"/>
          </w:tcPr>
          <w:p w14:paraId="6C3765B1" w14:textId="1E7BCD93" w:rsidR="00F1456D" w:rsidRPr="00EC2B8E" w:rsidRDefault="00F1456D" w:rsidP="00D22B13">
            <w:pPr>
              <w:pStyle w:val="TableText0"/>
              <w:keepLines/>
              <w:jc w:val="center"/>
              <w:rPr>
                <w:b/>
                <w:bCs w:val="0"/>
              </w:rPr>
            </w:pPr>
            <w:r w:rsidRPr="00EC2B8E">
              <w:rPr>
                <w:b/>
                <w:bCs w:val="0"/>
                <w:szCs w:val="20"/>
              </w:rPr>
              <w:t xml:space="preserve">0.22 </w:t>
            </w:r>
            <w:r w:rsidR="00505631" w:rsidRPr="00EC2B8E">
              <w:rPr>
                <w:b/>
                <w:bCs w:val="0"/>
                <w:szCs w:val="20"/>
              </w:rPr>
              <w:t xml:space="preserve"> </w:t>
            </w:r>
            <w:r w:rsidRPr="00EC2B8E">
              <w:rPr>
                <w:b/>
                <w:bCs w:val="0"/>
                <w:szCs w:val="20"/>
              </w:rPr>
              <w:t>(0.15, 0.32)</w:t>
            </w:r>
            <w:r w:rsidRPr="00EC2B8E" w:rsidDel="009623CD">
              <w:rPr>
                <w:szCs w:val="20"/>
              </w:rPr>
              <w:t xml:space="preserve"> </w:t>
            </w:r>
            <w:r w:rsidRPr="00EC2B8E">
              <w:rPr>
                <w:b/>
                <w:bCs w:val="0"/>
                <w:szCs w:val="20"/>
                <w:vertAlign w:val="superscript"/>
              </w:rPr>
              <w:t>b</w:t>
            </w:r>
          </w:p>
        </w:tc>
      </w:tr>
      <w:tr w:rsidR="00F1456D" w:rsidRPr="00EC2B8E" w14:paraId="4866D5DA" w14:textId="77777777" w:rsidTr="008C7E88">
        <w:trPr>
          <w:trHeight w:val="20"/>
        </w:trPr>
        <w:tc>
          <w:tcPr>
            <w:tcW w:w="1412" w:type="pct"/>
            <w:tcBorders>
              <w:bottom w:val="single" w:sz="4" w:space="0" w:color="auto"/>
              <w:right w:val="single" w:sz="4" w:space="0" w:color="auto"/>
            </w:tcBorders>
            <w:shd w:val="clear" w:color="auto" w:fill="auto"/>
            <w:vAlign w:val="center"/>
          </w:tcPr>
          <w:p w14:paraId="0A6A0FEA" w14:textId="76249C5F" w:rsidR="00F1456D" w:rsidRPr="00EC2B8E" w:rsidRDefault="00F1456D" w:rsidP="00D22B13">
            <w:pPr>
              <w:pStyle w:val="TableText0"/>
              <w:keepLines/>
            </w:pPr>
            <w:r w:rsidRPr="00EC2B8E">
              <w:t>Median PFS, months (96% CI</w:t>
            </w:r>
            <w:r w:rsidRPr="00EC2B8E">
              <w:rPr>
                <w:vertAlign w:val="superscript"/>
              </w:rPr>
              <w:t>)d</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3BC55A6C" w14:textId="0E8A55C0" w:rsidR="00F1456D" w:rsidRPr="00EC2B8E" w:rsidRDefault="00F1456D" w:rsidP="00D22B13">
            <w:pPr>
              <w:pStyle w:val="TableText0"/>
              <w:keepLines/>
              <w:jc w:val="center"/>
              <w:rPr>
                <w:szCs w:val="20"/>
              </w:rPr>
            </w:pPr>
            <w:r w:rsidRPr="00EC2B8E">
              <w:rPr>
                <w:szCs w:val="20"/>
              </w:rPr>
              <w:t xml:space="preserve">11.0 </w:t>
            </w:r>
            <w:r w:rsidR="00505631" w:rsidRPr="00EC2B8E">
              <w:rPr>
                <w:szCs w:val="20"/>
              </w:rPr>
              <w:t xml:space="preserve">  </w:t>
            </w:r>
            <w:r w:rsidRPr="00EC2B8E">
              <w:rPr>
                <w:szCs w:val="20"/>
              </w:rPr>
              <w:t>(7.4, 13.8)</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08805A4C" w14:textId="6C0855F4" w:rsidR="00F1456D" w:rsidRPr="00EC2B8E" w:rsidRDefault="00F1456D" w:rsidP="00D22B13">
            <w:pPr>
              <w:pStyle w:val="TableText0"/>
              <w:keepLines/>
              <w:jc w:val="center"/>
              <w:rPr>
                <w:szCs w:val="20"/>
              </w:rPr>
            </w:pPr>
            <w:r w:rsidRPr="00EC2B8E">
              <w:rPr>
                <w:szCs w:val="20"/>
              </w:rPr>
              <w:t xml:space="preserve">1.9 </w:t>
            </w:r>
            <w:r w:rsidR="00505631" w:rsidRPr="00EC2B8E">
              <w:rPr>
                <w:szCs w:val="20"/>
              </w:rPr>
              <w:t xml:space="preserve">  </w:t>
            </w:r>
            <w:r w:rsidRPr="00EC2B8E">
              <w:rPr>
                <w:szCs w:val="20"/>
              </w:rPr>
              <w:t>(1.9, 3.7)</w:t>
            </w:r>
          </w:p>
        </w:tc>
        <w:tc>
          <w:tcPr>
            <w:tcW w:w="1155" w:type="pct"/>
            <w:tcBorders>
              <w:left w:val="single" w:sz="4" w:space="0" w:color="auto"/>
              <w:bottom w:val="single" w:sz="4" w:space="0" w:color="auto"/>
              <w:right w:val="single" w:sz="4" w:space="0" w:color="auto"/>
            </w:tcBorders>
            <w:shd w:val="clear" w:color="auto" w:fill="auto"/>
            <w:vAlign w:val="center"/>
          </w:tcPr>
          <w:p w14:paraId="3F14CF74" w14:textId="16D65C1E" w:rsidR="00F1456D" w:rsidRPr="00EC2B8E" w:rsidRDefault="00F1456D" w:rsidP="00D22B13">
            <w:pPr>
              <w:pStyle w:val="TableText0"/>
              <w:keepLines/>
              <w:jc w:val="center"/>
              <w:rPr>
                <w:rFonts w:cs="Times New Roman"/>
                <w:szCs w:val="20"/>
              </w:rPr>
            </w:pPr>
            <w:r w:rsidRPr="00EC2B8E">
              <w:t>9.1</w:t>
            </w:r>
            <w:r w:rsidRPr="00EC2B8E">
              <w:rPr>
                <w:vertAlign w:val="superscript"/>
              </w:rPr>
              <w:t>a</w:t>
            </w:r>
            <w:r w:rsidR="00505631" w:rsidRPr="00EC2B8E">
              <w:rPr>
                <w:vertAlign w:val="superscript"/>
              </w:rPr>
              <w:t xml:space="preserve"> </w:t>
            </w:r>
          </w:p>
        </w:tc>
        <w:tc>
          <w:tcPr>
            <w:tcW w:w="837" w:type="pct"/>
            <w:vMerge/>
            <w:tcBorders>
              <w:left w:val="single" w:sz="4" w:space="0" w:color="auto"/>
            </w:tcBorders>
            <w:shd w:val="clear" w:color="auto" w:fill="auto"/>
          </w:tcPr>
          <w:p w14:paraId="1C6777AC" w14:textId="349BACA8" w:rsidR="00F1456D" w:rsidRPr="00EC2B8E" w:rsidRDefault="00F1456D" w:rsidP="00D22B13">
            <w:pPr>
              <w:pStyle w:val="TableText0"/>
              <w:keepLines/>
              <w:jc w:val="center"/>
            </w:pPr>
          </w:p>
        </w:tc>
      </w:tr>
      <w:tr w:rsidR="00F1456D" w:rsidRPr="00EC2B8E" w14:paraId="29F8A8D1" w14:textId="77777777" w:rsidTr="008C7E88">
        <w:trPr>
          <w:trHeight w:val="20"/>
        </w:trPr>
        <w:tc>
          <w:tcPr>
            <w:tcW w:w="1412" w:type="pct"/>
            <w:vAlign w:val="center"/>
          </w:tcPr>
          <w:p w14:paraId="1FD13115" w14:textId="6A3CF002" w:rsidR="00F1456D" w:rsidRPr="00EC2B8E" w:rsidRDefault="00F1456D" w:rsidP="00D22B13">
            <w:pPr>
              <w:pStyle w:val="TableText0"/>
              <w:keepLines/>
            </w:pPr>
            <w:r w:rsidRPr="00EC2B8E">
              <w:t xml:space="preserve">K-M landmark estimates (% of patients event-free) at 12 months </w:t>
            </w:r>
          </w:p>
        </w:tc>
        <w:tc>
          <w:tcPr>
            <w:tcW w:w="786" w:type="pct"/>
            <w:vAlign w:val="center"/>
          </w:tcPr>
          <w:p w14:paraId="3754C460" w14:textId="7D09A6F3" w:rsidR="00F1456D" w:rsidRPr="00EC2B8E" w:rsidRDefault="00F1456D" w:rsidP="00D22B13">
            <w:pPr>
              <w:pStyle w:val="TableText0"/>
              <w:keepLines/>
              <w:jc w:val="center"/>
              <w:rPr>
                <w:szCs w:val="20"/>
              </w:rPr>
            </w:pPr>
            <w:r w:rsidRPr="00EC2B8E">
              <w:t>45.6</w:t>
            </w:r>
          </w:p>
        </w:tc>
        <w:tc>
          <w:tcPr>
            <w:tcW w:w="810" w:type="pct"/>
            <w:vAlign w:val="center"/>
          </w:tcPr>
          <w:p w14:paraId="49FE773C" w14:textId="7656B614" w:rsidR="00F1456D" w:rsidRPr="00EC2B8E" w:rsidRDefault="00F1456D" w:rsidP="00D22B13">
            <w:pPr>
              <w:pStyle w:val="TableText0"/>
              <w:keepLines/>
              <w:jc w:val="center"/>
              <w:rPr>
                <w:szCs w:val="20"/>
              </w:rPr>
            </w:pPr>
            <w:r w:rsidRPr="00EC2B8E">
              <w:t>1.8</w:t>
            </w:r>
          </w:p>
        </w:tc>
        <w:tc>
          <w:tcPr>
            <w:tcW w:w="1155" w:type="pct"/>
            <w:tcBorders>
              <w:right w:val="single" w:sz="4" w:space="0" w:color="auto"/>
            </w:tcBorders>
            <w:vAlign w:val="center"/>
          </w:tcPr>
          <w:p w14:paraId="423102E7" w14:textId="2495E71D" w:rsidR="00F1456D" w:rsidRPr="00EC2B8E" w:rsidRDefault="00F1456D" w:rsidP="00D22B13">
            <w:pPr>
              <w:pStyle w:val="TableText0"/>
              <w:keepLines/>
              <w:jc w:val="center"/>
            </w:pPr>
            <w:r w:rsidRPr="00EC2B8E">
              <w:t xml:space="preserve"> 43.8</w:t>
            </w:r>
            <w:r w:rsidRPr="00EC2B8E">
              <w:rPr>
                <w:vertAlign w:val="superscript"/>
              </w:rPr>
              <w:t>a</w:t>
            </w:r>
          </w:p>
        </w:tc>
        <w:tc>
          <w:tcPr>
            <w:tcW w:w="837" w:type="pct"/>
            <w:vMerge/>
            <w:tcBorders>
              <w:left w:val="single" w:sz="4" w:space="0" w:color="auto"/>
            </w:tcBorders>
            <w:vAlign w:val="center"/>
          </w:tcPr>
          <w:p w14:paraId="6D49240B" w14:textId="697A13B7" w:rsidR="00F1456D" w:rsidRPr="00EC2B8E" w:rsidRDefault="00F1456D" w:rsidP="00D22B13">
            <w:pPr>
              <w:pStyle w:val="TableText0"/>
              <w:keepLines/>
              <w:jc w:val="center"/>
            </w:pPr>
          </w:p>
        </w:tc>
      </w:tr>
      <w:tr w:rsidR="00B21EB4" w:rsidRPr="00EC2B8E" w14:paraId="028A8559" w14:textId="77777777" w:rsidTr="002770A3">
        <w:trPr>
          <w:trHeight w:val="20"/>
        </w:trPr>
        <w:tc>
          <w:tcPr>
            <w:tcW w:w="5000" w:type="pct"/>
            <w:gridSpan w:val="5"/>
            <w:tcBorders>
              <w:top w:val="single" w:sz="4" w:space="0" w:color="auto"/>
              <w:bottom w:val="single" w:sz="4" w:space="0" w:color="auto"/>
            </w:tcBorders>
            <w:shd w:val="clear" w:color="auto" w:fill="auto"/>
          </w:tcPr>
          <w:p w14:paraId="3DDA80C3" w14:textId="6F2A855E" w:rsidR="00B21EB4" w:rsidRPr="00EC2B8E" w:rsidRDefault="00B21EB4" w:rsidP="00D22B13">
            <w:pPr>
              <w:pStyle w:val="TableText0"/>
              <w:keepLines/>
            </w:pPr>
            <w:r w:rsidRPr="00EC2B8E">
              <w:rPr>
                <w:b/>
                <w:bCs w:val="0"/>
              </w:rPr>
              <w:t>Overall survival (median duration of follow up 10.1 months) Full ITT population</w:t>
            </w:r>
          </w:p>
        </w:tc>
      </w:tr>
      <w:tr w:rsidR="00F1456D" w:rsidRPr="00EC2B8E" w14:paraId="5F8D37F9" w14:textId="77777777" w:rsidTr="00180F22">
        <w:trPr>
          <w:trHeight w:val="64"/>
        </w:trPr>
        <w:tc>
          <w:tcPr>
            <w:tcW w:w="1412" w:type="pct"/>
            <w:tcBorders>
              <w:bottom w:val="single" w:sz="4" w:space="0" w:color="auto"/>
              <w:right w:val="single" w:sz="4" w:space="0" w:color="auto"/>
            </w:tcBorders>
            <w:shd w:val="clear" w:color="auto" w:fill="auto"/>
            <w:vAlign w:val="center"/>
          </w:tcPr>
          <w:p w14:paraId="498DF1A6" w14:textId="77777777" w:rsidR="00F1456D" w:rsidRPr="00EC2B8E" w:rsidRDefault="00F1456D" w:rsidP="00D22B13">
            <w:pPr>
              <w:pStyle w:val="TableText0"/>
              <w:keepLines/>
            </w:pPr>
            <w:r w:rsidRPr="00EC2B8E">
              <w:t>Progressed, n (%)</w:t>
            </w:r>
          </w:p>
        </w:tc>
        <w:tc>
          <w:tcPr>
            <w:tcW w:w="786" w:type="pct"/>
            <w:tcBorders>
              <w:top w:val="single" w:sz="4" w:space="0" w:color="auto"/>
              <w:left w:val="single" w:sz="4" w:space="0" w:color="auto"/>
              <w:bottom w:val="single" w:sz="4" w:space="0" w:color="auto"/>
              <w:right w:val="single" w:sz="4" w:space="0" w:color="auto"/>
            </w:tcBorders>
            <w:vAlign w:val="center"/>
          </w:tcPr>
          <w:p w14:paraId="657C481E" w14:textId="52A7530C" w:rsidR="00F1456D" w:rsidRPr="00EC2B8E" w:rsidRDefault="00F1456D" w:rsidP="00D22B13">
            <w:pPr>
              <w:pStyle w:val="TableText0"/>
              <w:keepLines/>
              <w:jc w:val="center"/>
              <w:rPr>
                <w:szCs w:val="20"/>
              </w:rPr>
            </w:pPr>
            <w:r w:rsidRPr="00EC2B8E">
              <w:t>37/170</w:t>
            </w:r>
            <w:r w:rsidR="00505631" w:rsidRPr="00EC2B8E">
              <w:t xml:space="preserve"> </w:t>
            </w:r>
            <w:r w:rsidRPr="00EC2B8E">
              <w:t>(22)</w:t>
            </w:r>
          </w:p>
        </w:tc>
        <w:tc>
          <w:tcPr>
            <w:tcW w:w="810" w:type="pct"/>
            <w:tcBorders>
              <w:top w:val="single" w:sz="4" w:space="0" w:color="auto"/>
              <w:left w:val="single" w:sz="4" w:space="0" w:color="auto"/>
              <w:bottom w:val="single" w:sz="4" w:space="0" w:color="auto"/>
              <w:right w:val="single" w:sz="4" w:space="0" w:color="auto"/>
            </w:tcBorders>
            <w:vAlign w:val="center"/>
          </w:tcPr>
          <w:p w14:paraId="6BE7866E" w14:textId="754D7F3C" w:rsidR="00F1456D" w:rsidRPr="00EC2B8E" w:rsidRDefault="00F1456D" w:rsidP="00D22B13">
            <w:pPr>
              <w:pStyle w:val="TableText0"/>
              <w:keepLines/>
              <w:jc w:val="center"/>
              <w:rPr>
                <w:szCs w:val="20"/>
              </w:rPr>
            </w:pPr>
            <w:r w:rsidRPr="00EC2B8E">
              <w:t>21/88 (24)</w:t>
            </w:r>
          </w:p>
        </w:tc>
        <w:tc>
          <w:tcPr>
            <w:tcW w:w="1155" w:type="pct"/>
            <w:tcBorders>
              <w:left w:val="single" w:sz="4" w:space="0" w:color="auto"/>
              <w:bottom w:val="single" w:sz="4" w:space="0" w:color="auto"/>
              <w:right w:val="single" w:sz="4" w:space="0" w:color="auto"/>
            </w:tcBorders>
            <w:shd w:val="clear" w:color="auto" w:fill="auto"/>
            <w:vAlign w:val="center"/>
          </w:tcPr>
          <w:p w14:paraId="2C1D1A81" w14:textId="77777777" w:rsidR="00F1456D" w:rsidRPr="00EC2B8E" w:rsidRDefault="00F1456D" w:rsidP="00D22B13">
            <w:pPr>
              <w:pStyle w:val="TableText0"/>
              <w:keepLines/>
              <w:jc w:val="center"/>
              <w:rPr>
                <w:rFonts w:cs="Times New Roman"/>
                <w:szCs w:val="20"/>
              </w:rPr>
            </w:pPr>
            <w:r w:rsidRPr="00EC2B8E">
              <w:rPr>
                <w:rFonts w:cs="Times New Roman"/>
                <w:szCs w:val="20"/>
              </w:rPr>
              <w:t>-</w:t>
            </w:r>
          </w:p>
        </w:tc>
        <w:tc>
          <w:tcPr>
            <w:tcW w:w="837" w:type="pct"/>
            <w:vMerge w:val="restart"/>
            <w:tcBorders>
              <w:left w:val="single" w:sz="4" w:space="0" w:color="auto"/>
            </w:tcBorders>
            <w:shd w:val="clear" w:color="auto" w:fill="auto"/>
          </w:tcPr>
          <w:p w14:paraId="738E9A1B" w14:textId="4365FC45" w:rsidR="00F1456D" w:rsidRPr="00EC2B8E" w:rsidRDefault="00F1456D" w:rsidP="00D22B13">
            <w:pPr>
              <w:pStyle w:val="TableText0"/>
              <w:keepLines/>
              <w:jc w:val="center"/>
            </w:pPr>
            <w:r w:rsidRPr="00EC2B8E">
              <w:t>0.76</w:t>
            </w:r>
            <w:r w:rsidR="00505631" w:rsidRPr="00EC2B8E">
              <w:t xml:space="preserve"> </w:t>
            </w:r>
            <w:r w:rsidRPr="00EC2B8E">
              <w:t>(0.45, 1.31)</w:t>
            </w:r>
          </w:p>
          <w:p w14:paraId="40BAF672" w14:textId="1DCD3469" w:rsidR="00F1456D" w:rsidRPr="00EC2B8E" w:rsidRDefault="00F1456D" w:rsidP="00D22B13">
            <w:pPr>
              <w:pStyle w:val="TableText0"/>
              <w:keepLines/>
              <w:jc w:val="center"/>
            </w:pPr>
            <w:r w:rsidRPr="00EC2B8E">
              <w:t>p=0.3260</w:t>
            </w:r>
            <w:r w:rsidRPr="00EC2B8E">
              <w:rPr>
                <w:vertAlign w:val="superscript"/>
              </w:rPr>
              <w:t>b</w:t>
            </w:r>
          </w:p>
        </w:tc>
      </w:tr>
      <w:tr w:rsidR="00F1456D" w:rsidRPr="00EC2B8E" w14:paraId="12E76503" w14:textId="77777777" w:rsidTr="006906D7">
        <w:trPr>
          <w:trHeight w:val="110"/>
        </w:trPr>
        <w:tc>
          <w:tcPr>
            <w:tcW w:w="1412" w:type="pct"/>
            <w:tcBorders>
              <w:top w:val="single" w:sz="4" w:space="0" w:color="auto"/>
              <w:bottom w:val="single" w:sz="4" w:space="0" w:color="auto"/>
              <w:right w:val="single" w:sz="4" w:space="0" w:color="auto"/>
            </w:tcBorders>
            <w:shd w:val="clear" w:color="auto" w:fill="auto"/>
            <w:vAlign w:val="center"/>
          </w:tcPr>
          <w:p w14:paraId="2AD41D1B" w14:textId="5F64F0B4" w:rsidR="00F1456D" w:rsidRPr="00EC2B8E" w:rsidRDefault="00F1456D" w:rsidP="00D22B13">
            <w:pPr>
              <w:pStyle w:val="TableText0"/>
              <w:keepLines/>
            </w:pPr>
            <w:r w:rsidRPr="00EC2B8E">
              <w:t>Median OS, months (95% CI)</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66D59E5" w14:textId="1DC1031F" w:rsidR="00F1456D" w:rsidRPr="00EC2B8E" w:rsidRDefault="00F1456D" w:rsidP="00D22B13">
            <w:pPr>
              <w:pStyle w:val="TableText0"/>
              <w:keepLines/>
              <w:jc w:val="center"/>
            </w:pPr>
            <w:r w:rsidRPr="00EC2B8E">
              <w:rPr>
                <w:szCs w:val="20"/>
              </w:rPr>
              <w:t>19.4 (15.9, NE)</w:t>
            </w:r>
          </w:p>
        </w:tc>
        <w:tc>
          <w:tcPr>
            <w:tcW w:w="810" w:type="pct"/>
            <w:tcBorders>
              <w:top w:val="single" w:sz="4" w:space="0" w:color="auto"/>
              <w:left w:val="single" w:sz="4" w:space="0" w:color="auto"/>
              <w:bottom w:val="single" w:sz="4" w:space="0" w:color="auto"/>
              <w:right w:val="single" w:sz="4" w:space="0" w:color="auto"/>
            </w:tcBorders>
            <w:shd w:val="clear" w:color="auto" w:fill="auto"/>
            <w:vAlign w:val="center"/>
          </w:tcPr>
          <w:p w14:paraId="4C1E6BCD" w14:textId="14EA9841" w:rsidR="00F1456D" w:rsidRPr="00EC2B8E" w:rsidRDefault="00F1456D" w:rsidP="00D22B13">
            <w:pPr>
              <w:pStyle w:val="TableText0"/>
              <w:keepLines/>
              <w:jc w:val="center"/>
            </w:pPr>
            <w:r w:rsidRPr="00EC2B8E">
              <w:rPr>
                <w:szCs w:val="20"/>
              </w:rPr>
              <w:t>NE (NE, NE)</w:t>
            </w:r>
          </w:p>
        </w:tc>
        <w:tc>
          <w:tcPr>
            <w:tcW w:w="1155" w:type="pct"/>
            <w:tcBorders>
              <w:top w:val="single" w:sz="4" w:space="0" w:color="auto"/>
              <w:left w:val="single" w:sz="4" w:space="0" w:color="auto"/>
              <w:bottom w:val="single" w:sz="4" w:space="0" w:color="auto"/>
              <w:right w:val="single" w:sz="4" w:space="0" w:color="auto"/>
            </w:tcBorders>
            <w:shd w:val="clear" w:color="auto" w:fill="auto"/>
            <w:vAlign w:val="center"/>
          </w:tcPr>
          <w:p w14:paraId="461A677F" w14:textId="2F00D408" w:rsidR="00F1456D" w:rsidRPr="00EC2B8E" w:rsidRDefault="00F1456D" w:rsidP="00D22B13">
            <w:pPr>
              <w:pStyle w:val="TableText0"/>
              <w:keepLines/>
              <w:jc w:val="center"/>
              <w:rPr>
                <w:rFonts w:cs="Times New Roman"/>
                <w:szCs w:val="20"/>
              </w:rPr>
            </w:pPr>
            <w:proofErr w:type="spellStart"/>
            <w:r w:rsidRPr="00EC2B8E">
              <w:t>NE</w:t>
            </w:r>
            <w:r w:rsidRPr="00EC2B8E">
              <w:rPr>
                <w:vertAlign w:val="superscript"/>
              </w:rPr>
              <w:t>a</w:t>
            </w:r>
            <w:proofErr w:type="spellEnd"/>
          </w:p>
        </w:tc>
        <w:tc>
          <w:tcPr>
            <w:tcW w:w="837" w:type="pct"/>
            <w:vMerge/>
            <w:tcBorders>
              <w:left w:val="single" w:sz="4" w:space="0" w:color="auto"/>
            </w:tcBorders>
            <w:shd w:val="clear" w:color="auto" w:fill="auto"/>
          </w:tcPr>
          <w:p w14:paraId="7E014CAC" w14:textId="3325E6A9" w:rsidR="00F1456D" w:rsidRPr="00EC2B8E" w:rsidRDefault="00F1456D" w:rsidP="00D22B13">
            <w:pPr>
              <w:pStyle w:val="TableText0"/>
              <w:keepLines/>
              <w:jc w:val="center"/>
            </w:pPr>
          </w:p>
        </w:tc>
      </w:tr>
      <w:tr w:rsidR="00F1456D" w:rsidRPr="00EC2B8E" w14:paraId="51247675" w14:textId="77777777" w:rsidTr="006906D7">
        <w:trPr>
          <w:trHeight w:val="369"/>
        </w:trPr>
        <w:tc>
          <w:tcPr>
            <w:tcW w:w="1412" w:type="pct"/>
            <w:tcBorders>
              <w:top w:val="single" w:sz="4" w:space="0" w:color="auto"/>
              <w:bottom w:val="single" w:sz="4" w:space="0" w:color="auto"/>
            </w:tcBorders>
          </w:tcPr>
          <w:p w14:paraId="0D11C1A1" w14:textId="36E1C6C1" w:rsidR="00F1456D" w:rsidRPr="00EC2B8E" w:rsidRDefault="00F1456D" w:rsidP="00D22B13">
            <w:pPr>
              <w:pStyle w:val="TableText0"/>
              <w:keepLines/>
            </w:pPr>
            <w:r w:rsidRPr="00EC2B8E">
              <w:t>K-M landmark estimates (% of patients alive) at 12 months</w:t>
            </w:r>
          </w:p>
        </w:tc>
        <w:tc>
          <w:tcPr>
            <w:tcW w:w="786" w:type="pct"/>
            <w:tcBorders>
              <w:top w:val="single" w:sz="4" w:space="0" w:color="auto"/>
              <w:bottom w:val="single" w:sz="4" w:space="0" w:color="auto"/>
            </w:tcBorders>
            <w:vAlign w:val="center"/>
          </w:tcPr>
          <w:p w14:paraId="7D3DF95A" w14:textId="4D9012B7" w:rsidR="00F1456D" w:rsidRPr="00EC2B8E" w:rsidRDefault="00F1456D" w:rsidP="00D22B13">
            <w:pPr>
              <w:pStyle w:val="TableText0"/>
              <w:keepLines/>
              <w:jc w:val="center"/>
              <w:rPr>
                <w:b/>
              </w:rPr>
            </w:pPr>
            <w:r w:rsidRPr="00EC2B8E">
              <w:rPr>
                <w:b/>
                <w:lang w:val="en-US"/>
              </w:rPr>
              <w:t>71.7</w:t>
            </w:r>
          </w:p>
        </w:tc>
        <w:tc>
          <w:tcPr>
            <w:tcW w:w="810" w:type="pct"/>
            <w:tcBorders>
              <w:top w:val="single" w:sz="4" w:space="0" w:color="auto"/>
              <w:bottom w:val="single" w:sz="4" w:space="0" w:color="auto"/>
            </w:tcBorders>
            <w:vAlign w:val="center"/>
          </w:tcPr>
          <w:p w14:paraId="4D93F6EB" w14:textId="2B2ADB8F" w:rsidR="00F1456D" w:rsidRPr="00EC2B8E" w:rsidRDefault="00F1456D" w:rsidP="00D22B13">
            <w:pPr>
              <w:pStyle w:val="TableText0"/>
              <w:keepLines/>
              <w:jc w:val="center"/>
            </w:pPr>
            <w:r w:rsidRPr="00EC2B8E">
              <w:rPr>
                <w:bCs w:val="0"/>
                <w:lang w:val="en-US"/>
              </w:rPr>
              <w:t>67.7</w:t>
            </w:r>
          </w:p>
        </w:tc>
        <w:tc>
          <w:tcPr>
            <w:tcW w:w="1155" w:type="pct"/>
            <w:tcBorders>
              <w:top w:val="single" w:sz="4" w:space="0" w:color="auto"/>
              <w:bottom w:val="single" w:sz="4" w:space="0" w:color="auto"/>
              <w:right w:val="single" w:sz="4" w:space="0" w:color="auto"/>
            </w:tcBorders>
            <w:vAlign w:val="center"/>
          </w:tcPr>
          <w:p w14:paraId="40746DB6" w14:textId="392F5E23" w:rsidR="00F1456D" w:rsidRPr="00EC2B8E" w:rsidRDefault="00F1456D" w:rsidP="00D22B13">
            <w:pPr>
              <w:pStyle w:val="TableText0"/>
              <w:keepLines/>
              <w:jc w:val="center"/>
              <w:rPr>
                <w:rFonts w:cs="Times New Roman"/>
                <w:szCs w:val="20"/>
              </w:rPr>
            </w:pPr>
            <w:r w:rsidRPr="00EC2B8E">
              <w:rPr>
                <w:rFonts w:cs="Arial"/>
              </w:rPr>
              <w:t>4</w:t>
            </w:r>
            <w:r w:rsidRPr="00EC2B8E">
              <w:rPr>
                <w:rFonts w:cs="Arial"/>
                <w:vertAlign w:val="superscript"/>
              </w:rPr>
              <w:t>a</w:t>
            </w:r>
          </w:p>
        </w:tc>
        <w:tc>
          <w:tcPr>
            <w:tcW w:w="837" w:type="pct"/>
            <w:vMerge/>
            <w:tcBorders>
              <w:left w:val="single" w:sz="4" w:space="0" w:color="auto"/>
              <w:bottom w:val="single" w:sz="4" w:space="0" w:color="auto"/>
            </w:tcBorders>
            <w:vAlign w:val="center"/>
          </w:tcPr>
          <w:p w14:paraId="4DA1BEE0" w14:textId="591205C1" w:rsidR="00F1456D" w:rsidRPr="00EC2B8E" w:rsidRDefault="00F1456D" w:rsidP="00D22B13">
            <w:pPr>
              <w:pStyle w:val="TableText0"/>
              <w:keepLines/>
              <w:jc w:val="center"/>
            </w:pPr>
          </w:p>
        </w:tc>
      </w:tr>
    </w:tbl>
    <w:tbl>
      <w:tblPr>
        <w:tblW w:w="5000" w:type="pct"/>
        <w:tblLayout w:type="fixed"/>
        <w:tblCellMar>
          <w:left w:w="28" w:type="dxa"/>
          <w:right w:w="28" w:type="dxa"/>
        </w:tblCellMar>
        <w:tblLook w:val="04A0" w:firstRow="1" w:lastRow="0" w:firstColumn="1" w:lastColumn="0" w:noHBand="0" w:noVBand="1"/>
      </w:tblPr>
      <w:tblGrid>
        <w:gridCol w:w="1158"/>
        <w:gridCol w:w="1398"/>
        <w:gridCol w:w="1417"/>
        <w:gridCol w:w="1419"/>
        <w:gridCol w:w="1084"/>
        <w:gridCol w:w="1033"/>
        <w:gridCol w:w="1508"/>
      </w:tblGrid>
      <w:tr w:rsidR="00E37ABF" w:rsidRPr="00EC2B8E" w14:paraId="2E7EE488" w14:textId="77777777" w:rsidTr="00180F22">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B47D9E5" w14:textId="77777777" w:rsidR="00E37ABF" w:rsidRPr="00EC2B8E" w:rsidRDefault="00E37ABF" w:rsidP="00D22B13">
            <w:pPr>
              <w:pStyle w:val="In-tableHeading"/>
              <w:keepLines/>
            </w:pPr>
            <w:r w:rsidRPr="00EC2B8E">
              <w:t xml:space="preserve">Harms </w:t>
            </w:r>
          </w:p>
        </w:tc>
      </w:tr>
      <w:tr w:rsidR="00E37ABF" w:rsidRPr="00EC2B8E" w14:paraId="17C9B359" w14:textId="77777777" w:rsidTr="00180F22">
        <w:trPr>
          <w:trHeight w:val="70"/>
        </w:trPr>
        <w:tc>
          <w:tcPr>
            <w:tcW w:w="6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12140A" w14:textId="77777777" w:rsidR="00E37ABF" w:rsidRPr="00EC2B8E" w:rsidRDefault="00E37ABF" w:rsidP="00D22B13">
            <w:pPr>
              <w:pStyle w:val="In-tableHeading"/>
              <w:keepLines/>
            </w:pPr>
            <w:r w:rsidRPr="00EC2B8E">
              <w:t xml:space="preserve">Full ITT </w:t>
            </w:r>
          </w:p>
        </w:tc>
        <w:tc>
          <w:tcPr>
            <w:tcW w:w="775" w:type="pct"/>
            <w:vMerge w:val="restart"/>
            <w:tcBorders>
              <w:top w:val="single" w:sz="4" w:space="0" w:color="auto"/>
              <w:left w:val="single" w:sz="4" w:space="0" w:color="auto"/>
              <w:bottom w:val="single" w:sz="4" w:space="0" w:color="auto"/>
              <w:right w:val="single" w:sz="4" w:space="0" w:color="auto"/>
            </w:tcBorders>
            <w:vAlign w:val="center"/>
          </w:tcPr>
          <w:p w14:paraId="3197AD48" w14:textId="29942B48" w:rsidR="00E37ABF" w:rsidRPr="00EC2B8E" w:rsidRDefault="00E37ABF" w:rsidP="00D22B13">
            <w:pPr>
              <w:pStyle w:val="In-tableHeading"/>
              <w:keepLines/>
              <w:jc w:val="center"/>
            </w:pPr>
            <w:r w:rsidRPr="00EC2B8E">
              <w:t>Cabozantinib</w:t>
            </w:r>
            <w:r w:rsidR="00180F22" w:rsidRPr="00EC2B8E">
              <w:t>,</w:t>
            </w:r>
          </w:p>
          <w:p w14:paraId="22DF8158" w14:textId="77777777" w:rsidR="00E37ABF" w:rsidRPr="00EC2B8E" w:rsidRDefault="00E37ABF" w:rsidP="00D22B13">
            <w:pPr>
              <w:pStyle w:val="In-tableHeading"/>
              <w:keepLines/>
              <w:jc w:val="center"/>
            </w:pPr>
            <w:r w:rsidRPr="00EC2B8E">
              <w:t>n/N</w:t>
            </w:r>
          </w:p>
        </w:tc>
        <w:tc>
          <w:tcPr>
            <w:tcW w:w="786" w:type="pct"/>
            <w:vMerge w:val="restart"/>
            <w:tcBorders>
              <w:top w:val="single" w:sz="4" w:space="0" w:color="auto"/>
              <w:left w:val="single" w:sz="4" w:space="0" w:color="auto"/>
              <w:bottom w:val="single" w:sz="4" w:space="0" w:color="auto"/>
              <w:right w:val="single" w:sz="4" w:space="0" w:color="auto"/>
            </w:tcBorders>
            <w:vAlign w:val="center"/>
          </w:tcPr>
          <w:p w14:paraId="6FCAF1BF" w14:textId="4C4ECE9E" w:rsidR="00E37ABF" w:rsidRPr="00EC2B8E" w:rsidRDefault="007821FA" w:rsidP="00D22B13">
            <w:pPr>
              <w:pStyle w:val="In-tableHeading"/>
              <w:keepLines/>
              <w:jc w:val="center"/>
            </w:pPr>
            <w:r w:rsidRPr="00EC2B8E">
              <w:t>Placebo</w:t>
            </w:r>
            <w:r w:rsidR="00180F22" w:rsidRPr="00EC2B8E">
              <w:t>,</w:t>
            </w:r>
            <w:r w:rsidRPr="00EC2B8E">
              <w:t xml:space="preserve"> </w:t>
            </w:r>
            <w:r w:rsidR="00180F22" w:rsidRPr="00EC2B8E">
              <w:br/>
            </w:r>
            <w:r w:rsidR="00E37ABF" w:rsidRPr="00EC2B8E">
              <w:t>n/N</w:t>
            </w:r>
          </w:p>
        </w:tc>
        <w:tc>
          <w:tcPr>
            <w:tcW w:w="787" w:type="pct"/>
            <w:vMerge w:val="restart"/>
            <w:tcBorders>
              <w:top w:val="single" w:sz="4" w:space="0" w:color="auto"/>
              <w:left w:val="single" w:sz="4" w:space="0" w:color="auto"/>
              <w:bottom w:val="single" w:sz="4" w:space="0" w:color="auto"/>
              <w:right w:val="single" w:sz="4" w:space="0" w:color="auto"/>
            </w:tcBorders>
            <w:vAlign w:val="center"/>
          </w:tcPr>
          <w:p w14:paraId="0BE79F3B" w14:textId="22911B06" w:rsidR="00E37ABF" w:rsidRPr="00EC2B8E" w:rsidRDefault="00E37ABF" w:rsidP="00D22B13">
            <w:pPr>
              <w:pStyle w:val="In-tableHeading"/>
              <w:keepLines/>
              <w:jc w:val="center"/>
            </w:pPr>
            <w:r w:rsidRPr="00EC2B8E">
              <w:t>RR</w:t>
            </w:r>
            <w:r w:rsidR="00180F22" w:rsidRPr="00EC2B8E">
              <w:t xml:space="preserve"> </w:t>
            </w:r>
            <w:r w:rsidRPr="00EC2B8E">
              <w:t>(95% CI)</w:t>
            </w:r>
          </w:p>
        </w:tc>
        <w:tc>
          <w:tcPr>
            <w:tcW w:w="1174" w:type="pct"/>
            <w:gridSpan w:val="2"/>
            <w:tcBorders>
              <w:top w:val="single" w:sz="4" w:space="0" w:color="auto"/>
              <w:left w:val="single" w:sz="4" w:space="0" w:color="auto"/>
              <w:bottom w:val="single" w:sz="4" w:space="0" w:color="auto"/>
              <w:right w:val="single" w:sz="4" w:space="0" w:color="auto"/>
            </w:tcBorders>
            <w:vAlign w:val="center"/>
          </w:tcPr>
          <w:p w14:paraId="4FD4636A" w14:textId="77777777" w:rsidR="00E37ABF" w:rsidRPr="00EC2B8E" w:rsidRDefault="00E37ABF" w:rsidP="00D22B13">
            <w:pPr>
              <w:pStyle w:val="In-tableHeading"/>
              <w:keepLines/>
              <w:jc w:val="center"/>
            </w:pPr>
            <w:r w:rsidRPr="00EC2B8E">
              <w:t>Event rate/100 patients*</w:t>
            </w:r>
          </w:p>
        </w:tc>
        <w:tc>
          <w:tcPr>
            <w:tcW w:w="836" w:type="pct"/>
            <w:vMerge w:val="restart"/>
            <w:tcBorders>
              <w:top w:val="single" w:sz="4" w:space="0" w:color="auto"/>
              <w:left w:val="single" w:sz="4" w:space="0" w:color="auto"/>
              <w:bottom w:val="single" w:sz="4" w:space="0" w:color="auto"/>
              <w:right w:val="single" w:sz="4" w:space="0" w:color="auto"/>
            </w:tcBorders>
            <w:vAlign w:val="center"/>
          </w:tcPr>
          <w:p w14:paraId="0FD27470" w14:textId="0AE123FB" w:rsidR="00E37ABF" w:rsidRPr="00EC2B8E" w:rsidRDefault="00E37ABF" w:rsidP="00D22B13">
            <w:pPr>
              <w:pStyle w:val="In-tableHeading"/>
              <w:keepLines/>
              <w:jc w:val="center"/>
            </w:pPr>
            <w:r w:rsidRPr="00EC2B8E">
              <w:t>RD</w:t>
            </w:r>
            <w:r w:rsidR="00180F22" w:rsidRPr="00EC2B8E">
              <w:t xml:space="preserve"> </w:t>
            </w:r>
            <w:r w:rsidRPr="00EC2B8E">
              <w:t>(95% CI)</w:t>
            </w:r>
          </w:p>
        </w:tc>
      </w:tr>
      <w:tr w:rsidR="00E37ABF" w:rsidRPr="00EC2B8E" w14:paraId="247BBB16" w14:textId="77777777" w:rsidTr="00180F22">
        <w:trPr>
          <w:trHeight w:val="110"/>
        </w:trPr>
        <w:tc>
          <w:tcPr>
            <w:tcW w:w="6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FF21BD3" w14:textId="77777777" w:rsidR="00E37ABF" w:rsidRPr="00EC2B8E" w:rsidRDefault="00E37ABF" w:rsidP="00D22B13">
            <w:pPr>
              <w:pStyle w:val="In-tableHeading"/>
              <w:keepLines/>
            </w:pPr>
          </w:p>
        </w:tc>
        <w:tc>
          <w:tcPr>
            <w:tcW w:w="775" w:type="pct"/>
            <w:vMerge/>
            <w:tcBorders>
              <w:top w:val="single" w:sz="4" w:space="0" w:color="auto"/>
              <w:left w:val="single" w:sz="4" w:space="0" w:color="auto"/>
              <w:bottom w:val="single" w:sz="4" w:space="0" w:color="auto"/>
              <w:right w:val="single" w:sz="4" w:space="0" w:color="auto"/>
            </w:tcBorders>
            <w:vAlign w:val="center"/>
          </w:tcPr>
          <w:p w14:paraId="762233DB" w14:textId="77777777" w:rsidR="00E37ABF" w:rsidRPr="00EC2B8E" w:rsidRDefault="00E37ABF" w:rsidP="00D22B13">
            <w:pPr>
              <w:pStyle w:val="In-tableHeading"/>
              <w:keepLines/>
            </w:pPr>
          </w:p>
        </w:tc>
        <w:tc>
          <w:tcPr>
            <w:tcW w:w="786" w:type="pct"/>
            <w:vMerge/>
            <w:tcBorders>
              <w:top w:val="single" w:sz="4" w:space="0" w:color="auto"/>
              <w:left w:val="single" w:sz="4" w:space="0" w:color="auto"/>
              <w:bottom w:val="single" w:sz="4" w:space="0" w:color="auto"/>
              <w:right w:val="single" w:sz="4" w:space="0" w:color="auto"/>
            </w:tcBorders>
            <w:vAlign w:val="center"/>
          </w:tcPr>
          <w:p w14:paraId="192C6055" w14:textId="77777777" w:rsidR="00E37ABF" w:rsidRPr="00EC2B8E" w:rsidRDefault="00E37ABF" w:rsidP="00D22B13">
            <w:pPr>
              <w:pStyle w:val="In-tableHeading"/>
              <w:keepLines/>
            </w:pPr>
          </w:p>
        </w:tc>
        <w:tc>
          <w:tcPr>
            <w:tcW w:w="787" w:type="pct"/>
            <w:vMerge/>
            <w:tcBorders>
              <w:top w:val="single" w:sz="4" w:space="0" w:color="auto"/>
              <w:left w:val="single" w:sz="4" w:space="0" w:color="auto"/>
              <w:bottom w:val="single" w:sz="4" w:space="0" w:color="auto"/>
              <w:right w:val="single" w:sz="4" w:space="0" w:color="auto"/>
            </w:tcBorders>
            <w:vAlign w:val="center"/>
          </w:tcPr>
          <w:p w14:paraId="56785573" w14:textId="77777777" w:rsidR="00E37ABF" w:rsidRPr="00EC2B8E" w:rsidRDefault="00E37ABF" w:rsidP="00D22B13">
            <w:pPr>
              <w:pStyle w:val="In-tableHeading"/>
              <w:keepLines/>
            </w:pPr>
          </w:p>
        </w:tc>
        <w:tc>
          <w:tcPr>
            <w:tcW w:w="601"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172FBEF" w14:textId="77777777" w:rsidR="00E37ABF" w:rsidRPr="00EC2B8E" w:rsidRDefault="00E37ABF" w:rsidP="00D22B13">
            <w:pPr>
              <w:pStyle w:val="In-tableHeading"/>
              <w:keepLines/>
              <w:jc w:val="center"/>
            </w:pPr>
            <w:r w:rsidRPr="00EC2B8E">
              <w:t>Cabozantinib</w:t>
            </w:r>
          </w:p>
        </w:tc>
        <w:tc>
          <w:tcPr>
            <w:tcW w:w="573" w:type="pct"/>
            <w:tcBorders>
              <w:top w:val="single" w:sz="4" w:space="0" w:color="auto"/>
              <w:left w:val="single" w:sz="4" w:space="0" w:color="auto"/>
              <w:bottom w:val="single" w:sz="4" w:space="0" w:color="auto"/>
              <w:right w:val="single" w:sz="4" w:space="0" w:color="auto"/>
            </w:tcBorders>
            <w:tcMar>
              <w:left w:w="0" w:type="dxa"/>
              <w:right w:w="0" w:type="dxa"/>
            </w:tcMar>
            <w:vAlign w:val="center"/>
          </w:tcPr>
          <w:p w14:paraId="1337F3E4" w14:textId="4B06A422" w:rsidR="00E37ABF" w:rsidRPr="00EC2B8E" w:rsidRDefault="003E2EF0" w:rsidP="00D22B13">
            <w:pPr>
              <w:pStyle w:val="In-tableHeading"/>
              <w:keepLines/>
              <w:jc w:val="center"/>
            </w:pPr>
            <w:r w:rsidRPr="00EC2B8E">
              <w:t>Placebo</w:t>
            </w:r>
          </w:p>
        </w:tc>
        <w:tc>
          <w:tcPr>
            <w:tcW w:w="836" w:type="pct"/>
            <w:vMerge/>
            <w:tcBorders>
              <w:top w:val="single" w:sz="4" w:space="0" w:color="auto"/>
              <w:left w:val="single" w:sz="4" w:space="0" w:color="auto"/>
              <w:bottom w:val="single" w:sz="4" w:space="0" w:color="auto"/>
              <w:right w:val="single" w:sz="4" w:space="0" w:color="auto"/>
            </w:tcBorders>
            <w:vAlign w:val="center"/>
          </w:tcPr>
          <w:p w14:paraId="6494332A" w14:textId="77777777" w:rsidR="00E37ABF" w:rsidRPr="00EC2B8E" w:rsidRDefault="00E37ABF" w:rsidP="00D22B13">
            <w:pPr>
              <w:pStyle w:val="In-tableHeading"/>
              <w:keepLines/>
            </w:pPr>
          </w:p>
        </w:tc>
      </w:tr>
      <w:tr w:rsidR="00E37ABF" w:rsidRPr="00EC2B8E" w14:paraId="53A6DBA2" w14:textId="77777777" w:rsidTr="002770A3">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C4F2E4" w14:textId="77777777" w:rsidR="00E37ABF" w:rsidRPr="00EC2B8E" w:rsidRDefault="00E37ABF" w:rsidP="00D22B13">
            <w:pPr>
              <w:pStyle w:val="In-tableHeading"/>
              <w:keepLines/>
              <w:jc w:val="both"/>
            </w:pPr>
            <w:r w:rsidRPr="00EC2B8E">
              <w:t xml:space="preserve">At least one SAE </w:t>
            </w:r>
          </w:p>
        </w:tc>
      </w:tr>
      <w:tr w:rsidR="00E37ABF" w:rsidRPr="00EC2B8E" w14:paraId="64DA857E" w14:textId="77777777" w:rsidTr="00180F22">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4344C8A4" w14:textId="77777777" w:rsidR="00E37ABF" w:rsidRPr="00EC2B8E" w:rsidRDefault="00E37ABF" w:rsidP="00D22B13">
            <w:pPr>
              <w:pStyle w:val="TableText0"/>
              <w:keepLines/>
            </w:pPr>
            <w:r w:rsidRPr="00EC2B8E">
              <w:t>COSMIC-311</w:t>
            </w:r>
          </w:p>
        </w:tc>
        <w:tc>
          <w:tcPr>
            <w:tcW w:w="775" w:type="pct"/>
            <w:tcBorders>
              <w:top w:val="single" w:sz="4" w:space="0" w:color="auto"/>
              <w:left w:val="single" w:sz="4" w:space="0" w:color="auto"/>
              <w:bottom w:val="single" w:sz="4" w:space="0" w:color="auto"/>
              <w:right w:val="single" w:sz="4" w:space="0" w:color="auto"/>
            </w:tcBorders>
            <w:vAlign w:val="center"/>
          </w:tcPr>
          <w:p w14:paraId="40D21FE8" w14:textId="1C065A4F" w:rsidR="00E37ABF" w:rsidRPr="00EC2B8E" w:rsidRDefault="00E37ABF" w:rsidP="00D22B13">
            <w:pPr>
              <w:pStyle w:val="TableText0"/>
              <w:keepLines/>
              <w:jc w:val="center"/>
            </w:pPr>
            <w:r w:rsidRPr="00EC2B8E">
              <w:t>166/170</w:t>
            </w:r>
            <w:r w:rsidR="00505631" w:rsidRPr="00EC2B8E">
              <w:t xml:space="preserve"> </w:t>
            </w:r>
            <w:r w:rsidRPr="00EC2B8E">
              <w:t xml:space="preserve"> (98) </w:t>
            </w:r>
          </w:p>
        </w:tc>
        <w:tc>
          <w:tcPr>
            <w:tcW w:w="786" w:type="pct"/>
            <w:tcBorders>
              <w:top w:val="single" w:sz="4" w:space="0" w:color="auto"/>
              <w:left w:val="single" w:sz="4" w:space="0" w:color="auto"/>
              <w:bottom w:val="single" w:sz="4" w:space="0" w:color="auto"/>
              <w:right w:val="single" w:sz="4" w:space="0" w:color="auto"/>
            </w:tcBorders>
            <w:vAlign w:val="center"/>
          </w:tcPr>
          <w:p w14:paraId="581EE970" w14:textId="3AC34DC9" w:rsidR="00E37ABF" w:rsidRPr="00EC2B8E" w:rsidRDefault="00E37ABF" w:rsidP="00D22B13">
            <w:pPr>
              <w:pStyle w:val="TableText0"/>
              <w:keepLines/>
              <w:jc w:val="center"/>
            </w:pPr>
            <w:r w:rsidRPr="00EC2B8E">
              <w:t>75/88</w:t>
            </w:r>
            <w:r w:rsidR="00505631" w:rsidRPr="00EC2B8E">
              <w:t xml:space="preserve"> </w:t>
            </w:r>
            <w:r w:rsidRPr="00EC2B8E">
              <w:t xml:space="preserve"> (85)</w:t>
            </w:r>
          </w:p>
        </w:tc>
        <w:tc>
          <w:tcPr>
            <w:tcW w:w="787" w:type="pct"/>
            <w:tcBorders>
              <w:top w:val="single" w:sz="4" w:space="0" w:color="auto"/>
              <w:left w:val="single" w:sz="4" w:space="0" w:color="auto"/>
              <w:bottom w:val="single" w:sz="4" w:space="0" w:color="auto"/>
              <w:right w:val="single" w:sz="4" w:space="0" w:color="auto"/>
            </w:tcBorders>
            <w:vAlign w:val="center"/>
          </w:tcPr>
          <w:p w14:paraId="33F01B14" w14:textId="1DC23984" w:rsidR="00E37ABF" w:rsidRPr="00EC2B8E" w:rsidRDefault="00E37ABF" w:rsidP="00D22B13">
            <w:pPr>
              <w:pStyle w:val="TableText0"/>
              <w:keepLines/>
              <w:jc w:val="center"/>
            </w:pPr>
            <w:r w:rsidRPr="00EC2B8E">
              <w:t>1.15</w:t>
            </w:r>
            <w:r w:rsidR="00505631" w:rsidRPr="00EC2B8E">
              <w:t xml:space="preserve"> </w:t>
            </w:r>
            <w:r w:rsidR="00180F22" w:rsidRPr="00EC2B8E">
              <w:t xml:space="preserve"> </w:t>
            </w:r>
            <w:r w:rsidRPr="00EC2B8E">
              <w:t>(1.05, 1.25)</w:t>
            </w:r>
          </w:p>
        </w:tc>
        <w:tc>
          <w:tcPr>
            <w:tcW w:w="601" w:type="pct"/>
            <w:tcBorders>
              <w:top w:val="single" w:sz="4" w:space="0" w:color="auto"/>
              <w:left w:val="single" w:sz="4" w:space="0" w:color="auto"/>
              <w:bottom w:val="single" w:sz="4" w:space="0" w:color="auto"/>
              <w:right w:val="single" w:sz="4" w:space="0" w:color="auto"/>
            </w:tcBorders>
            <w:vAlign w:val="center"/>
          </w:tcPr>
          <w:p w14:paraId="1D4B9FB7" w14:textId="10B43E27" w:rsidR="00E37ABF" w:rsidRPr="00EC2B8E" w:rsidRDefault="00E37ABF" w:rsidP="00D22B13">
            <w:pPr>
              <w:pStyle w:val="TableText0"/>
              <w:keepLines/>
              <w:jc w:val="center"/>
            </w:pPr>
            <w:r w:rsidRPr="00EC2B8E">
              <w:t>97.65</w:t>
            </w:r>
          </w:p>
        </w:tc>
        <w:tc>
          <w:tcPr>
            <w:tcW w:w="573" w:type="pct"/>
            <w:tcBorders>
              <w:top w:val="single" w:sz="4" w:space="0" w:color="auto"/>
              <w:left w:val="single" w:sz="4" w:space="0" w:color="auto"/>
              <w:bottom w:val="single" w:sz="4" w:space="0" w:color="auto"/>
              <w:right w:val="single" w:sz="4" w:space="0" w:color="auto"/>
            </w:tcBorders>
            <w:vAlign w:val="center"/>
          </w:tcPr>
          <w:p w14:paraId="793AF3F6" w14:textId="2535DCF1" w:rsidR="00E37ABF" w:rsidRPr="00EC2B8E" w:rsidRDefault="00E37ABF" w:rsidP="00D22B13">
            <w:pPr>
              <w:pStyle w:val="TableText0"/>
              <w:keepLines/>
              <w:jc w:val="center"/>
            </w:pPr>
            <w:r w:rsidRPr="00EC2B8E">
              <w:t>85.23</w:t>
            </w:r>
          </w:p>
        </w:tc>
        <w:tc>
          <w:tcPr>
            <w:tcW w:w="836" w:type="pct"/>
            <w:tcBorders>
              <w:top w:val="single" w:sz="4" w:space="0" w:color="auto"/>
              <w:left w:val="single" w:sz="4" w:space="0" w:color="auto"/>
              <w:bottom w:val="single" w:sz="4" w:space="0" w:color="auto"/>
              <w:right w:val="single" w:sz="4" w:space="0" w:color="auto"/>
            </w:tcBorders>
            <w:vAlign w:val="center"/>
          </w:tcPr>
          <w:p w14:paraId="65AE2551" w14:textId="59858737" w:rsidR="00E37ABF" w:rsidRPr="00EC2B8E" w:rsidRDefault="00E37ABF" w:rsidP="00D22B13">
            <w:pPr>
              <w:pStyle w:val="TableText0"/>
              <w:keepLines/>
              <w:jc w:val="center"/>
            </w:pPr>
            <w:r w:rsidRPr="00EC2B8E">
              <w:t>0.12</w:t>
            </w:r>
            <w:r w:rsidR="00505631" w:rsidRPr="00EC2B8E">
              <w:t xml:space="preserve"> </w:t>
            </w:r>
            <w:r w:rsidRPr="00EC2B8E">
              <w:t xml:space="preserve"> (0.05, 0.20)</w:t>
            </w:r>
          </w:p>
        </w:tc>
      </w:tr>
      <w:tr w:rsidR="005E4323" w:rsidRPr="00EC2B8E" w14:paraId="120391FD" w14:textId="77777777" w:rsidTr="002770A3">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7A43B1A9" w14:textId="31041452" w:rsidR="005E4323" w:rsidRPr="00EC2B8E" w:rsidRDefault="005E4323" w:rsidP="00D22B13">
            <w:pPr>
              <w:pStyle w:val="TableText0"/>
              <w:keepLines/>
              <w:rPr>
                <w:b/>
                <w:bCs w:val="0"/>
              </w:rPr>
            </w:pPr>
            <w:r w:rsidRPr="00EC2B8E">
              <w:rPr>
                <w:b/>
                <w:bCs w:val="0"/>
              </w:rPr>
              <w:t>Hypertension, Grade 3 or 4</w:t>
            </w:r>
          </w:p>
        </w:tc>
      </w:tr>
      <w:tr w:rsidR="005E4323" w:rsidRPr="00EC2B8E" w14:paraId="0A61588D" w14:textId="77777777" w:rsidTr="00180F22">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E045879" w14:textId="77777777" w:rsidR="005E4323" w:rsidRPr="00EC2B8E" w:rsidRDefault="005E4323" w:rsidP="00D22B13">
            <w:pPr>
              <w:pStyle w:val="TableText0"/>
              <w:keepLines/>
            </w:pPr>
            <w:r w:rsidRPr="00EC2B8E">
              <w:t>COSMIC-311</w:t>
            </w:r>
          </w:p>
        </w:tc>
        <w:tc>
          <w:tcPr>
            <w:tcW w:w="775" w:type="pct"/>
            <w:tcBorders>
              <w:top w:val="single" w:sz="4" w:space="0" w:color="auto"/>
              <w:left w:val="single" w:sz="4" w:space="0" w:color="auto"/>
              <w:bottom w:val="single" w:sz="4" w:space="0" w:color="auto"/>
              <w:right w:val="single" w:sz="4" w:space="0" w:color="auto"/>
            </w:tcBorders>
            <w:vAlign w:val="center"/>
          </w:tcPr>
          <w:p w14:paraId="77C2F152" w14:textId="2AB064BD" w:rsidR="005E4323" w:rsidRPr="00EC2B8E" w:rsidRDefault="005E4323" w:rsidP="00D22B13">
            <w:pPr>
              <w:pStyle w:val="TableText0"/>
              <w:keepLines/>
              <w:jc w:val="center"/>
            </w:pPr>
            <w:r w:rsidRPr="00EC2B8E">
              <w:t xml:space="preserve">20/170 </w:t>
            </w:r>
            <w:r w:rsidR="00505631" w:rsidRPr="00EC2B8E">
              <w:t xml:space="preserve"> </w:t>
            </w:r>
            <w:r w:rsidRPr="00EC2B8E">
              <w:t>(12)</w:t>
            </w:r>
          </w:p>
        </w:tc>
        <w:tc>
          <w:tcPr>
            <w:tcW w:w="786" w:type="pct"/>
            <w:tcBorders>
              <w:top w:val="single" w:sz="4" w:space="0" w:color="auto"/>
              <w:left w:val="single" w:sz="4" w:space="0" w:color="auto"/>
              <w:bottom w:val="single" w:sz="4" w:space="0" w:color="auto"/>
              <w:right w:val="single" w:sz="4" w:space="0" w:color="auto"/>
            </w:tcBorders>
            <w:vAlign w:val="center"/>
          </w:tcPr>
          <w:p w14:paraId="0CB0CF0D" w14:textId="565F2DEE" w:rsidR="005E4323" w:rsidRPr="00EC2B8E" w:rsidRDefault="005E4323" w:rsidP="00D22B13">
            <w:pPr>
              <w:pStyle w:val="TableText0"/>
              <w:keepLines/>
              <w:jc w:val="center"/>
            </w:pPr>
            <w:r w:rsidRPr="00EC2B8E">
              <w:t>2/88</w:t>
            </w:r>
            <w:r w:rsidR="00505631" w:rsidRPr="00EC2B8E">
              <w:t xml:space="preserve"> </w:t>
            </w:r>
            <w:r w:rsidRPr="00EC2B8E">
              <w:t>(2.3)</w:t>
            </w:r>
          </w:p>
        </w:tc>
        <w:tc>
          <w:tcPr>
            <w:tcW w:w="787" w:type="pct"/>
            <w:tcBorders>
              <w:top w:val="single" w:sz="4" w:space="0" w:color="auto"/>
              <w:left w:val="single" w:sz="4" w:space="0" w:color="auto"/>
              <w:bottom w:val="single" w:sz="4" w:space="0" w:color="auto"/>
              <w:right w:val="single" w:sz="4" w:space="0" w:color="auto"/>
            </w:tcBorders>
            <w:vAlign w:val="center"/>
          </w:tcPr>
          <w:p w14:paraId="0FC3E7C4" w14:textId="1C71D80F" w:rsidR="005E4323" w:rsidRPr="00EC2B8E" w:rsidRDefault="005E4323" w:rsidP="00D22B13">
            <w:pPr>
              <w:pStyle w:val="TableText0"/>
              <w:keepLines/>
              <w:jc w:val="center"/>
            </w:pPr>
            <w:r w:rsidRPr="00EC2B8E">
              <w:t xml:space="preserve">5.18 </w:t>
            </w:r>
            <w:r w:rsidR="00505631" w:rsidRPr="00EC2B8E">
              <w:t xml:space="preserve">  </w:t>
            </w:r>
            <w:r w:rsidRPr="00EC2B8E">
              <w:t>(1.24, 21.64)</w:t>
            </w:r>
          </w:p>
        </w:tc>
        <w:tc>
          <w:tcPr>
            <w:tcW w:w="601" w:type="pct"/>
            <w:tcBorders>
              <w:top w:val="single" w:sz="4" w:space="0" w:color="auto"/>
              <w:left w:val="single" w:sz="4" w:space="0" w:color="auto"/>
              <w:bottom w:val="single" w:sz="4" w:space="0" w:color="auto"/>
              <w:right w:val="single" w:sz="4" w:space="0" w:color="auto"/>
            </w:tcBorders>
            <w:vAlign w:val="center"/>
          </w:tcPr>
          <w:p w14:paraId="699F12F5" w14:textId="567A6DB2" w:rsidR="005E4323" w:rsidRPr="00EC2B8E" w:rsidRDefault="005E4323" w:rsidP="00D22B13">
            <w:pPr>
              <w:pStyle w:val="TableText0"/>
              <w:keepLines/>
              <w:jc w:val="center"/>
            </w:pPr>
            <w:r w:rsidRPr="00EC2B8E">
              <w:t>11.75</w:t>
            </w:r>
            <w:r w:rsidR="00505631" w:rsidRPr="00EC2B8E">
              <w:t xml:space="preserve"> </w:t>
            </w:r>
          </w:p>
        </w:tc>
        <w:tc>
          <w:tcPr>
            <w:tcW w:w="573" w:type="pct"/>
            <w:tcBorders>
              <w:top w:val="single" w:sz="4" w:space="0" w:color="auto"/>
              <w:left w:val="single" w:sz="4" w:space="0" w:color="auto"/>
              <w:bottom w:val="single" w:sz="4" w:space="0" w:color="auto"/>
              <w:right w:val="single" w:sz="4" w:space="0" w:color="auto"/>
            </w:tcBorders>
            <w:vAlign w:val="center"/>
          </w:tcPr>
          <w:p w14:paraId="16A72928" w14:textId="31CF32FC" w:rsidR="005E4323" w:rsidRPr="00EC2B8E" w:rsidRDefault="005E4323" w:rsidP="00D22B13">
            <w:pPr>
              <w:pStyle w:val="TableText0"/>
              <w:keepLines/>
              <w:jc w:val="center"/>
            </w:pPr>
            <w:r w:rsidRPr="00EC2B8E">
              <w:t>2.28</w:t>
            </w:r>
            <w:r w:rsidR="00505631" w:rsidRPr="00EC2B8E">
              <w:t xml:space="preserve"> </w:t>
            </w:r>
          </w:p>
        </w:tc>
        <w:tc>
          <w:tcPr>
            <w:tcW w:w="836" w:type="pct"/>
            <w:tcBorders>
              <w:top w:val="single" w:sz="4" w:space="0" w:color="auto"/>
              <w:left w:val="single" w:sz="4" w:space="0" w:color="auto"/>
              <w:bottom w:val="single" w:sz="4" w:space="0" w:color="auto"/>
              <w:right w:val="single" w:sz="4" w:space="0" w:color="auto"/>
            </w:tcBorders>
            <w:vAlign w:val="center"/>
          </w:tcPr>
          <w:p w14:paraId="038B1997" w14:textId="617911BB" w:rsidR="005E4323" w:rsidRPr="00EC2B8E" w:rsidRDefault="005E4323" w:rsidP="00D22B13">
            <w:pPr>
              <w:pStyle w:val="TableText0"/>
              <w:keepLines/>
              <w:jc w:val="center"/>
            </w:pPr>
            <w:r w:rsidRPr="00EC2B8E">
              <w:t>0.09</w:t>
            </w:r>
            <w:r w:rsidR="00180F22" w:rsidRPr="00EC2B8E">
              <w:t xml:space="preserve"> </w:t>
            </w:r>
            <w:r w:rsidR="00505631" w:rsidRPr="00EC2B8E">
              <w:t xml:space="preserve"> </w:t>
            </w:r>
            <w:r w:rsidRPr="00EC2B8E">
              <w:t>(0.04, 0.15)</w:t>
            </w:r>
          </w:p>
        </w:tc>
      </w:tr>
      <w:tr w:rsidR="006A18F1" w:rsidRPr="00EC2B8E" w14:paraId="59536D4D" w14:textId="77777777" w:rsidTr="006A18F1">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117890B0" w14:textId="0D3E02A8" w:rsidR="006A18F1" w:rsidRPr="00EC2B8E" w:rsidRDefault="006A18F1" w:rsidP="00D22B13">
            <w:pPr>
              <w:pStyle w:val="TableText0"/>
              <w:keepLines/>
              <w:rPr>
                <w:b/>
                <w:bCs w:val="0"/>
              </w:rPr>
            </w:pPr>
            <w:r w:rsidRPr="00EC2B8E">
              <w:rPr>
                <w:b/>
                <w:bCs w:val="0"/>
              </w:rPr>
              <w:t xml:space="preserve">Hand-foot skin </w:t>
            </w:r>
            <w:proofErr w:type="spellStart"/>
            <w:r w:rsidRPr="00EC2B8E">
              <w:rPr>
                <w:b/>
                <w:bCs w:val="0"/>
              </w:rPr>
              <w:t>reaction</w:t>
            </w:r>
            <w:r w:rsidRPr="00EC2B8E">
              <w:rPr>
                <w:b/>
                <w:bCs w:val="0"/>
                <w:vertAlign w:val="superscript"/>
              </w:rPr>
              <w:t>c</w:t>
            </w:r>
            <w:proofErr w:type="spellEnd"/>
            <w:r w:rsidRPr="00EC2B8E">
              <w:rPr>
                <w:b/>
                <w:bCs w:val="0"/>
                <w:vertAlign w:val="superscript"/>
              </w:rPr>
              <w:t>,</w:t>
            </w:r>
            <w:r w:rsidRPr="00EC2B8E">
              <w:rPr>
                <w:b/>
                <w:bCs w:val="0"/>
              </w:rPr>
              <w:t xml:space="preserve"> Grade 3 or 4</w:t>
            </w:r>
          </w:p>
        </w:tc>
      </w:tr>
      <w:tr w:rsidR="006A18F1" w:rsidRPr="00EC2B8E" w14:paraId="27160D8D" w14:textId="77777777" w:rsidTr="00180F22">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60C90519" w14:textId="5C294882" w:rsidR="006A18F1" w:rsidRPr="00EC2B8E" w:rsidRDefault="006A18F1" w:rsidP="00D22B13">
            <w:pPr>
              <w:pStyle w:val="TableText0"/>
              <w:keepLines/>
            </w:pPr>
            <w:r w:rsidRPr="00EC2B8E">
              <w:t>COSMIC-311</w:t>
            </w:r>
          </w:p>
        </w:tc>
        <w:tc>
          <w:tcPr>
            <w:tcW w:w="775" w:type="pct"/>
            <w:tcBorders>
              <w:top w:val="single" w:sz="4" w:space="0" w:color="auto"/>
              <w:left w:val="single" w:sz="4" w:space="0" w:color="auto"/>
              <w:bottom w:val="single" w:sz="4" w:space="0" w:color="auto"/>
              <w:right w:val="single" w:sz="4" w:space="0" w:color="auto"/>
            </w:tcBorders>
            <w:vAlign w:val="center"/>
          </w:tcPr>
          <w:p w14:paraId="1AD57FE1" w14:textId="010A6436" w:rsidR="006A18F1" w:rsidRPr="00EC2B8E" w:rsidRDefault="006A18F1" w:rsidP="00D22B13">
            <w:pPr>
              <w:pStyle w:val="TableText0"/>
              <w:keepLines/>
              <w:jc w:val="center"/>
            </w:pPr>
            <w:r w:rsidRPr="00EC2B8E">
              <w:t>17/170(10)</w:t>
            </w:r>
          </w:p>
        </w:tc>
        <w:tc>
          <w:tcPr>
            <w:tcW w:w="786" w:type="pct"/>
            <w:tcBorders>
              <w:top w:val="single" w:sz="4" w:space="0" w:color="auto"/>
              <w:left w:val="single" w:sz="4" w:space="0" w:color="auto"/>
              <w:bottom w:val="single" w:sz="4" w:space="0" w:color="auto"/>
              <w:right w:val="single" w:sz="4" w:space="0" w:color="auto"/>
            </w:tcBorders>
            <w:vAlign w:val="center"/>
          </w:tcPr>
          <w:p w14:paraId="0B978E84" w14:textId="1D7B12E6" w:rsidR="006A18F1" w:rsidRPr="00EC2B8E" w:rsidRDefault="006A18F1" w:rsidP="00D22B13">
            <w:pPr>
              <w:pStyle w:val="TableText0"/>
              <w:keepLines/>
              <w:jc w:val="center"/>
            </w:pPr>
            <w:r w:rsidRPr="00EC2B8E">
              <w:t>0/88</w:t>
            </w:r>
          </w:p>
        </w:tc>
        <w:tc>
          <w:tcPr>
            <w:tcW w:w="787" w:type="pct"/>
            <w:tcBorders>
              <w:top w:val="single" w:sz="4" w:space="0" w:color="auto"/>
              <w:left w:val="single" w:sz="4" w:space="0" w:color="auto"/>
              <w:bottom w:val="single" w:sz="4" w:space="0" w:color="auto"/>
              <w:right w:val="single" w:sz="4" w:space="0" w:color="auto"/>
            </w:tcBorders>
            <w:vAlign w:val="center"/>
          </w:tcPr>
          <w:p w14:paraId="50432522" w14:textId="6E05F86A" w:rsidR="006A18F1" w:rsidRPr="00EC2B8E" w:rsidRDefault="006A18F1" w:rsidP="00D22B13">
            <w:pPr>
              <w:pStyle w:val="TableText0"/>
              <w:keepLines/>
              <w:jc w:val="center"/>
            </w:pPr>
            <w:r w:rsidRPr="00EC2B8E">
              <w:t>18.22</w:t>
            </w:r>
            <w:r w:rsidR="00180F22" w:rsidRPr="00EC2B8E">
              <w:br/>
            </w:r>
            <w:r w:rsidRPr="00EC2B8E">
              <w:t>(1.11, 299.39)</w:t>
            </w:r>
          </w:p>
        </w:tc>
        <w:tc>
          <w:tcPr>
            <w:tcW w:w="601" w:type="pct"/>
            <w:tcBorders>
              <w:top w:val="single" w:sz="4" w:space="0" w:color="auto"/>
              <w:left w:val="single" w:sz="4" w:space="0" w:color="auto"/>
              <w:bottom w:val="single" w:sz="4" w:space="0" w:color="auto"/>
              <w:right w:val="single" w:sz="4" w:space="0" w:color="auto"/>
            </w:tcBorders>
            <w:vAlign w:val="center"/>
          </w:tcPr>
          <w:p w14:paraId="3AF4789F" w14:textId="0CBFAA99" w:rsidR="006A18F1" w:rsidRPr="00EC2B8E" w:rsidRDefault="006A18F1" w:rsidP="00D22B13">
            <w:pPr>
              <w:pStyle w:val="TableText0"/>
              <w:keepLines/>
              <w:jc w:val="center"/>
            </w:pPr>
            <w:r w:rsidRPr="00EC2B8E">
              <w:t>10</w:t>
            </w:r>
          </w:p>
        </w:tc>
        <w:tc>
          <w:tcPr>
            <w:tcW w:w="573" w:type="pct"/>
            <w:tcBorders>
              <w:top w:val="single" w:sz="4" w:space="0" w:color="auto"/>
              <w:left w:val="single" w:sz="4" w:space="0" w:color="auto"/>
              <w:bottom w:val="single" w:sz="4" w:space="0" w:color="auto"/>
              <w:right w:val="single" w:sz="4" w:space="0" w:color="auto"/>
            </w:tcBorders>
            <w:vAlign w:val="center"/>
          </w:tcPr>
          <w:p w14:paraId="4FC43B7C" w14:textId="1835DB86" w:rsidR="006A18F1" w:rsidRPr="00EC2B8E" w:rsidRDefault="006A18F1" w:rsidP="00D22B13">
            <w:pPr>
              <w:pStyle w:val="TableText0"/>
              <w:keepLines/>
              <w:jc w:val="center"/>
            </w:pPr>
            <w:r w:rsidRPr="00EC2B8E">
              <w:t>0</w:t>
            </w:r>
          </w:p>
        </w:tc>
        <w:tc>
          <w:tcPr>
            <w:tcW w:w="836" w:type="pct"/>
            <w:tcBorders>
              <w:top w:val="single" w:sz="4" w:space="0" w:color="auto"/>
              <w:left w:val="single" w:sz="4" w:space="0" w:color="auto"/>
              <w:bottom w:val="single" w:sz="4" w:space="0" w:color="auto"/>
              <w:right w:val="single" w:sz="4" w:space="0" w:color="auto"/>
            </w:tcBorders>
            <w:vAlign w:val="center"/>
          </w:tcPr>
          <w:p w14:paraId="362AE814" w14:textId="7E38E47A" w:rsidR="006A18F1" w:rsidRPr="00EC2B8E" w:rsidRDefault="006A18F1" w:rsidP="00D22B13">
            <w:pPr>
              <w:pStyle w:val="TableText0"/>
              <w:keepLines/>
              <w:jc w:val="center"/>
            </w:pPr>
            <w:r w:rsidRPr="00EC2B8E">
              <w:t>0.10</w:t>
            </w:r>
            <w:r w:rsidR="00505631" w:rsidRPr="00EC2B8E">
              <w:t xml:space="preserve"> </w:t>
            </w:r>
            <w:r w:rsidRPr="00EC2B8E">
              <w:t xml:space="preserve"> (0.05, 0.15)</w:t>
            </w:r>
          </w:p>
        </w:tc>
      </w:tr>
      <w:tr w:rsidR="006A18F1" w:rsidRPr="00EC2B8E" w14:paraId="0D4B357E" w14:textId="77777777" w:rsidTr="006A18F1">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3658F211" w14:textId="2346F9C7" w:rsidR="006A18F1" w:rsidRPr="00EC2B8E" w:rsidRDefault="006A18F1" w:rsidP="00D22B13">
            <w:pPr>
              <w:pStyle w:val="TableText0"/>
              <w:keepLines/>
              <w:rPr>
                <w:b/>
                <w:bCs w:val="0"/>
              </w:rPr>
            </w:pPr>
            <w:r w:rsidRPr="00EC2B8E">
              <w:rPr>
                <w:b/>
                <w:bCs w:val="0"/>
              </w:rPr>
              <w:t>Fatigue, Grade 3 or 4</w:t>
            </w:r>
          </w:p>
        </w:tc>
      </w:tr>
      <w:tr w:rsidR="006A18F1" w:rsidRPr="00EC2B8E" w14:paraId="54A7A66E" w14:textId="77777777" w:rsidTr="00180F22">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73D56AE4" w14:textId="6D7CEE38" w:rsidR="006A18F1" w:rsidRPr="00EC2B8E" w:rsidRDefault="006A18F1" w:rsidP="00D22B13">
            <w:pPr>
              <w:pStyle w:val="TableText0"/>
              <w:keepLines/>
            </w:pPr>
            <w:r w:rsidRPr="00EC2B8E">
              <w:t xml:space="preserve">COSMIC-311 </w:t>
            </w:r>
          </w:p>
        </w:tc>
        <w:tc>
          <w:tcPr>
            <w:tcW w:w="775" w:type="pct"/>
            <w:tcBorders>
              <w:top w:val="single" w:sz="4" w:space="0" w:color="auto"/>
              <w:left w:val="single" w:sz="4" w:space="0" w:color="auto"/>
              <w:bottom w:val="single" w:sz="4" w:space="0" w:color="auto"/>
              <w:right w:val="single" w:sz="4" w:space="0" w:color="auto"/>
            </w:tcBorders>
            <w:vAlign w:val="center"/>
          </w:tcPr>
          <w:p w14:paraId="5D72A7EF" w14:textId="4DBD7A00" w:rsidR="006A18F1" w:rsidRPr="00EC2B8E" w:rsidRDefault="006A18F1" w:rsidP="00D22B13">
            <w:pPr>
              <w:pStyle w:val="TableText0"/>
              <w:keepLines/>
              <w:jc w:val="center"/>
            </w:pPr>
            <w:r w:rsidRPr="00EC2B8E">
              <w:t>15/170</w:t>
            </w:r>
            <w:r w:rsidR="00505631" w:rsidRPr="00EC2B8E">
              <w:t xml:space="preserve"> </w:t>
            </w:r>
            <w:r w:rsidRPr="00EC2B8E">
              <w:t xml:space="preserve"> (8.8)</w:t>
            </w:r>
          </w:p>
        </w:tc>
        <w:tc>
          <w:tcPr>
            <w:tcW w:w="786" w:type="pct"/>
            <w:tcBorders>
              <w:top w:val="single" w:sz="4" w:space="0" w:color="auto"/>
              <w:left w:val="single" w:sz="4" w:space="0" w:color="auto"/>
              <w:bottom w:val="single" w:sz="4" w:space="0" w:color="auto"/>
              <w:right w:val="single" w:sz="4" w:space="0" w:color="auto"/>
            </w:tcBorders>
            <w:vAlign w:val="center"/>
          </w:tcPr>
          <w:p w14:paraId="12A16673" w14:textId="78FE2D69" w:rsidR="006A18F1" w:rsidRPr="00EC2B8E" w:rsidRDefault="00A83D00" w:rsidP="00D22B13">
            <w:pPr>
              <w:pStyle w:val="TableText0"/>
              <w:keepLines/>
              <w:jc w:val="center"/>
            </w:pPr>
            <w:r w:rsidRPr="00EC2B8E">
              <w:t xml:space="preserve">0/88 </w:t>
            </w:r>
          </w:p>
        </w:tc>
        <w:tc>
          <w:tcPr>
            <w:tcW w:w="787" w:type="pct"/>
            <w:tcBorders>
              <w:top w:val="single" w:sz="4" w:space="0" w:color="auto"/>
              <w:left w:val="single" w:sz="4" w:space="0" w:color="auto"/>
              <w:bottom w:val="single" w:sz="4" w:space="0" w:color="auto"/>
              <w:right w:val="single" w:sz="4" w:space="0" w:color="auto"/>
            </w:tcBorders>
            <w:vAlign w:val="center"/>
          </w:tcPr>
          <w:p w14:paraId="333DAF1A" w14:textId="4A210610" w:rsidR="00A83D00" w:rsidRPr="00EC2B8E" w:rsidRDefault="00A83D00" w:rsidP="00D22B13">
            <w:pPr>
              <w:pStyle w:val="TableText0"/>
              <w:keepLines/>
              <w:jc w:val="center"/>
            </w:pPr>
            <w:r w:rsidRPr="00EC2B8E">
              <w:t xml:space="preserve">16.13 </w:t>
            </w:r>
          </w:p>
          <w:p w14:paraId="54E40F76" w14:textId="2630A52E" w:rsidR="006A18F1" w:rsidRPr="00EC2B8E" w:rsidRDefault="00A83D00" w:rsidP="00D22B13">
            <w:pPr>
              <w:pStyle w:val="TableText0"/>
              <w:keepLines/>
              <w:jc w:val="center"/>
            </w:pPr>
            <w:r w:rsidRPr="00EC2B8E">
              <w:t>(0.98, 266.52)</w:t>
            </w:r>
          </w:p>
        </w:tc>
        <w:tc>
          <w:tcPr>
            <w:tcW w:w="601" w:type="pct"/>
            <w:tcBorders>
              <w:top w:val="single" w:sz="4" w:space="0" w:color="auto"/>
              <w:left w:val="single" w:sz="4" w:space="0" w:color="auto"/>
              <w:bottom w:val="single" w:sz="4" w:space="0" w:color="auto"/>
              <w:right w:val="single" w:sz="4" w:space="0" w:color="auto"/>
            </w:tcBorders>
            <w:vAlign w:val="center"/>
          </w:tcPr>
          <w:p w14:paraId="4C31F8DC" w14:textId="40DE82EE" w:rsidR="006A18F1" w:rsidRPr="00EC2B8E" w:rsidRDefault="00A83D00" w:rsidP="00D22B13">
            <w:pPr>
              <w:pStyle w:val="TableText0"/>
              <w:keepLines/>
              <w:jc w:val="center"/>
            </w:pPr>
            <w:r w:rsidRPr="00EC2B8E">
              <w:t>8.82</w:t>
            </w:r>
          </w:p>
        </w:tc>
        <w:tc>
          <w:tcPr>
            <w:tcW w:w="573" w:type="pct"/>
            <w:tcBorders>
              <w:top w:val="single" w:sz="4" w:space="0" w:color="auto"/>
              <w:left w:val="single" w:sz="4" w:space="0" w:color="auto"/>
              <w:bottom w:val="single" w:sz="4" w:space="0" w:color="auto"/>
              <w:right w:val="single" w:sz="4" w:space="0" w:color="auto"/>
            </w:tcBorders>
            <w:vAlign w:val="center"/>
          </w:tcPr>
          <w:p w14:paraId="3424E557" w14:textId="5FB3FC06" w:rsidR="006A18F1" w:rsidRPr="00EC2B8E" w:rsidRDefault="00A83D00" w:rsidP="00D22B13">
            <w:pPr>
              <w:pStyle w:val="TableText0"/>
              <w:keepLines/>
              <w:jc w:val="center"/>
            </w:pPr>
            <w:r w:rsidRPr="00EC2B8E">
              <w:t>0</w:t>
            </w:r>
          </w:p>
        </w:tc>
        <w:tc>
          <w:tcPr>
            <w:tcW w:w="836" w:type="pct"/>
            <w:tcBorders>
              <w:top w:val="single" w:sz="4" w:space="0" w:color="auto"/>
              <w:left w:val="single" w:sz="4" w:space="0" w:color="auto"/>
              <w:bottom w:val="single" w:sz="4" w:space="0" w:color="auto"/>
              <w:right w:val="single" w:sz="4" w:space="0" w:color="auto"/>
            </w:tcBorders>
            <w:vAlign w:val="center"/>
          </w:tcPr>
          <w:p w14:paraId="067F1725" w14:textId="081931BE" w:rsidR="006A18F1" w:rsidRPr="00EC2B8E" w:rsidRDefault="00A83D00" w:rsidP="00D22B13">
            <w:pPr>
              <w:pStyle w:val="TableText0"/>
              <w:keepLines/>
              <w:jc w:val="center"/>
            </w:pPr>
            <w:r w:rsidRPr="00EC2B8E">
              <w:t>0.09</w:t>
            </w:r>
            <w:r w:rsidR="00505631" w:rsidRPr="00EC2B8E">
              <w:t xml:space="preserve"> </w:t>
            </w:r>
            <w:r w:rsidR="00180F22" w:rsidRPr="00EC2B8E">
              <w:t xml:space="preserve"> </w:t>
            </w:r>
            <w:r w:rsidRPr="00EC2B8E">
              <w:t>(0.04, 0.13)</w:t>
            </w:r>
          </w:p>
        </w:tc>
      </w:tr>
      <w:tr w:rsidR="006A18F1" w:rsidRPr="00EC2B8E" w14:paraId="56C38ABB" w14:textId="77777777" w:rsidTr="006A18F1">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55DB3B1" w14:textId="19D97509" w:rsidR="006A18F1" w:rsidRPr="00EC2B8E" w:rsidRDefault="006A18F1" w:rsidP="00D22B13">
            <w:pPr>
              <w:pStyle w:val="TableText0"/>
              <w:keepLines/>
              <w:rPr>
                <w:b/>
                <w:bCs w:val="0"/>
              </w:rPr>
            </w:pPr>
            <w:r w:rsidRPr="00EC2B8E">
              <w:rPr>
                <w:b/>
                <w:bCs w:val="0"/>
              </w:rPr>
              <w:t>Diarrhoea, Grade 3 or 4</w:t>
            </w:r>
          </w:p>
        </w:tc>
      </w:tr>
      <w:tr w:rsidR="006A18F1" w:rsidRPr="00AF1E6C" w14:paraId="79F79F69" w14:textId="77777777" w:rsidTr="00180F22">
        <w:tc>
          <w:tcPr>
            <w:tcW w:w="642" w:type="pct"/>
            <w:tcBorders>
              <w:top w:val="single" w:sz="4" w:space="0" w:color="auto"/>
              <w:left w:val="single" w:sz="4" w:space="0" w:color="auto"/>
              <w:bottom w:val="single" w:sz="4" w:space="0" w:color="auto"/>
              <w:right w:val="single" w:sz="4" w:space="0" w:color="auto"/>
            </w:tcBorders>
            <w:shd w:val="clear" w:color="auto" w:fill="auto"/>
            <w:vAlign w:val="center"/>
          </w:tcPr>
          <w:p w14:paraId="2AB96101" w14:textId="62C165E8" w:rsidR="006A18F1" w:rsidRPr="00EC2B8E" w:rsidRDefault="006A18F1" w:rsidP="00D22B13">
            <w:pPr>
              <w:pStyle w:val="TableText0"/>
              <w:keepLines/>
            </w:pPr>
            <w:r w:rsidRPr="00EC2B8E">
              <w:t>COSMIC-311</w:t>
            </w:r>
          </w:p>
        </w:tc>
        <w:tc>
          <w:tcPr>
            <w:tcW w:w="775" w:type="pct"/>
            <w:tcBorders>
              <w:top w:val="single" w:sz="4" w:space="0" w:color="auto"/>
              <w:bottom w:val="single" w:sz="4" w:space="0" w:color="auto"/>
              <w:right w:val="single" w:sz="4" w:space="0" w:color="auto"/>
            </w:tcBorders>
            <w:shd w:val="clear" w:color="auto" w:fill="FFFFFF"/>
            <w:vAlign w:val="center"/>
          </w:tcPr>
          <w:p w14:paraId="24CB3BDB" w14:textId="49960749" w:rsidR="006A18F1" w:rsidRPr="00EC2B8E" w:rsidRDefault="006A18F1" w:rsidP="00D22B13">
            <w:pPr>
              <w:pStyle w:val="TableText0"/>
              <w:keepLines/>
              <w:jc w:val="center"/>
            </w:pPr>
            <w:r w:rsidRPr="00EC2B8E">
              <w:t>13/170</w:t>
            </w:r>
            <w:r w:rsidR="00505631" w:rsidRPr="00EC2B8E">
              <w:t xml:space="preserve">  </w:t>
            </w:r>
            <w:r w:rsidRPr="00EC2B8E">
              <w:t xml:space="preserve"> (7.6)</w:t>
            </w:r>
          </w:p>
        </w:tc>
        <w:tc>
          <w:tcPr>
            <w:tcW w:w="786" w:type="pct"/>
            <w:tcBorders>
              <w:top w:val="single" w:sz="4" w:space="0" w:color="auto"/>
              <w:left w:val="single" w:sz="4" w:space="0" w:color="auto"/>
              <w:bottom w:val="single" w:sz="4" w:space="0" w:color="auto"/>
            </w:tcBorders>
            <w:shd w:val="clear" w:color="auto" w:fill="FFFFFF"/>
            <w:vAlign w:val="center"/>
          </w:tcPr>
          <w:p w14:paraId="23C407E4" w14:textId="3EE50E42" w:rsidR="006A18F1" w:rsidRPr="00EC2B8E" w:rsidRDefault="006A18F1" w:rsidP="00D22B13">
            <w:pPr>
              <w:pStyle w:val="TableText0"/>
              <w:keepLines/>
              <w:jc w:val="center"/>
            </w:pPr>
            <w:r w:rsidRPr="00EC2B8E">
              <w:t xml:space="preserve">0/88 </w:t>
            </w:r>
          </w:p>
        </w:tc>
        <w:tc>
          <w:tcPr>
            <w:tcW w:w="787" w:type="pct"/>
            <w:tcBorders>
              <w:top w:val="single" w:sz="4" w:space="0" w:color="auto"/>
              <w:left w:val="single" w:sz="4" w:space="0" w:color="auto"/>
              <w:bottom w:val="single" w:sz="4" w:space="0" w:color="auto"/>
              <w:right w:val="single" w:sz="4" w:space="0" w:color="auto"/>
            </w:tcBorders>
            <w:vAlign w:val="center"/>
          </w:tcPr>
          <w:p w14:paraId="6A2F8A79" w14:textId="7460C068" w:rsidR="006A18F1" w:rsidRPr="00EC2B8E" w:rsidRDefault="006A18F1" w:rsidP="00D22B13">
            <w:pPr>
              <w:pStyle w:val="TableText0"/>
              <w:keepLines/>
              <w:jc w:val="center"/>
            </w:pPr>
            <w:r w:rsidRPr="00EC2B8E">
              <w:t xml:space="preserve">14.05 </w:t>
            </w:r>
            <w:r w:rsidR="00505631" w:rsidRPr="00EC2B8E">
              <w:t xml:space="preserve"> </w:t>
            </w:r>
          </w:p>
          <w:p w14:paraId="326F8CAC" w14:textId="3CE04356" w:rsidR="006A18F1" w:rsidRPr="00EC2B8E" w:rsidRDefault="006A18F1" w:rsidP="00D22B13">
            <w:pPr>
              <w:pStyle w:val="TableText0"/>
              <w:keepLines/>
              <w:jc w:val="center"/>
            </w:pPr>
            <w:r w:rsidRPr="00EC2B8E">
              <w:t>(0.85, 233.65)</w:t>
            </w:r>
          </w:p>
        </w:tc>
        <w:tc>
          <w:tcPr>
            <w:tcW w:w="601" w:type="pct"/>
            <w:tcBorders>
              <w:top w:val="single" w:sz="4" w:space="0" w:color="auto"/>
              <w:left w:val="single" w:sz="4" w:space="0" w:color="auto"/>
              <w:bottom w:val="single" w:sz="4" w:space="0" w:color="auto"/>
              <w:right w:val="single" w:sz="4" w:space="0" w:color="auto"/>
            </w:tcBorders>
            <w:vAlign w:val="center"/>
          </w:tcPr>
          <w:p w14:paraId="7C7469F6" w14:textId="3EC24C18" w:rsidR="006A18F1" w:rsidRPr="00EC2B8E" w:rsidRDefault="006A18F1" w:rsidP="00D22B13">
            <w:pPr>
              <w:pStyle w:val="TableText0"/>
              <w:keepLines/>
              <w:jc w:val="center"/>
            </w:pPr>
            <w:r w:rsidRPr="00EC2B8E">
              <w:t>7.65</w:t>
            </w:r>
            <w:r w:rsidR="00505631" w:rsidRPr="00EC2B8E">
              <w:t xml:space="preserve"> </w:t>
            </w:r>
          </w:p>
        </w:tc>
        <w:tc>
          <w:tcPr>
            <w:tcW w:w="573" w:type="pct"/>
            <w:tcBorders>
              <w:top w:val="single" w:sz="4" w:space="0" w:color="auto"/>
              <w:left w:val="single" w:sz="4" w:space="0" w:color="auto"/>
              <w:bottom w:val="single" w:sz="4" w:space="0" w:color="auto"/>
              <w:right w:val="single" w:sz="4" w:space="0" w:color="auto"/>
            </w:tcBorders>
            <w:vAlign w:val="center"/>
          </w:tcPr>
          <w:p w14:paraId="19120D83" w14:textId="3EEE075D" w:rsidR="006A18F1" w:rsidRPr="00EC2B8E" w:rsidRDefault="006A18F1" w:rsidP="00D22B13">
            <w:pPr>
              <w:pStyle w:val="TableText0"/>
              <w:keepLines/>
              <w:jc w:val="center"/>
            </w:pPr>
            <w:r w:rsidRPr="00EC2B8E">
              <w:t>0</w:t>
            </w:r>
            <w:r w:rsidR="00505631" w:rsidRPr="00EC2B8E">
              <w:t xml:space="preserve"> </w:t>
            </w:r>
          </w:p>
        </w:tc>
        <w:tc>
          <w:tcPr>
            <w:tcW w:w="836" w:type="pct"/>
            <w:tcBorders>
              <w:top w:val="single" w:sz="4" w:space="0" w:color="auto"/>
              <w:left w:val="single" w:sz="4" w:space="0" w:color="auto"/>
              <w:bottom w:val="single" w:sz="4" w:space="0" w:color="auto"/>
              <w:right w:val="single" w:sz="4" w:space="0" w:color="auto"/>
            </w:tcBorders>
            <w:vAlign w:val="center"/>
          </w:tcPr>
          <w:p w14:paraId="649D19E7" w14:textId="4CC6D8A6" w:rsidR="006A18F1" w:rsidRPr="00E120DC" w:rsidRDefault="006A18F1" w:rsidP="00D22B13">
            <w:pPr>
              <w:pStyle w:val="TableText0"/>
              <w:keepLines/>
              <w:jc w:val="center"/>
            </w:pPr>
            <w:r w:rsidRPr="00EC2B8E">
              <w:t>0.08</w:t>
            </w:r>
            <w:r w:rsidR="00505631" w:rsidRPr="00EC2B8E">
              <w:t xml:space="preserve"> </w:t>
            </w:r>
            <w:r w:rsidRPr="00EC2B8E">
              <w:t xml:space="preserve"> (0.03, 0.12)</w:t>
            </w:r>
          </w:p>
        </w:tc>
      </w:tr>
    </w:tbl>
    <w:p w14:paraId="1BEC90B1" w14:textId="77777777" w:rsidR="00E37ABF" w:rsidRDefault="00E37ABF" w:rsidP="00D22B13">
      <w:pPr>
        <w:pStyle w:val="FooterTableFigure"/>
        <w:keepNext/>
        <w:keepLines/>
      </w:pPr>
      <w:r w:rsidRPr="006F4763">
        <w:t xml:space="preserve">Source: Table 2-15, p62; Table 2-17, p70; </w:t>
      </w:r>
      <w:r w:rsidRPr="003E3EEF">
        <w:t>Table 2</w:t>
      </w:r>
      <w:r>
        <w:t>-</w:t>
      </w:r>
      <w:r w:rsidRPr="003E3EEF">
        <w:t>22</w:t>
      </w:r>
      <w:r>
        <w:t xml:space="preserve">, p79; </w:t>
      </w:r>
      <w:r w:rsidRPr="006F4763">
        <w:t>p105 of the submission; CSR Table 28, p123.</w:t>
      </w:r>
    </w:p>
    <w:p w14:paraId="5D77A3C6" w14:textId="28DD6965" w:rsidR="00E37ABF" w:rsidRPr="0072416F" w:rsidRDefault="00E37ABF" w:rsidP="00D22B13">
      <w:pPr>
        <w:pStyle w:val="FooterTableFigure"/>
        <w:keepNext/>
        <w:keepLines/>
      </w:pPr>
      <w:r>
        <w:t xml:space="preserve">BSC = Best supportive care; </w:t>
      </w:r>
      <w:r w:rsidRPr="006F4763">
        <w:t xml:space="preserve">CI = confidence interval; </w:t>
      </w:r>
      <w:r>
        <w:t xml:space="preserve">HR = hazard ratio; </w:t>
      </w:r>
      <w:r w:rsidRPr="0072416F">
        <w:t>PBO = placebo; RD = risk difference; RR = risk ratio</w:t>
      </w:r>
      <w:r>
        <w:t xml:space="preserve">; </w:t>
      </w:r>
      <w:r w:rsidRPr="006F4763">
        <w:t>K-M = Kaplan-Meier; NE = not estimable; OS = overall survival;</w:t>
      </w:r>
    </w:p>
    <w:p w14:paraId="51D2DC17" w14:textId="752ED751" w:rsidR="00E37ABF" w:rsidRDefault="00E37ABF" w:rsidP="00D22B13">
      <w:pPr>
        <w:pStyle w:val="FooterTableFigure"/>
        <w:keepNext/>
        <w:keepLines/>
      </w:pPr>
      <w:r w:rsidRPr="0072416F">
        <w:t xml:space="preserve">*Median duration of follow-up: </w:t>
      </w:r>
      <w:r w:rsidR="006C46F2">
        <w:t xml:space="preserve">OITT = 6 months; </w:t>
      </w:r>
      <w:r>
        <w:t>Full ITT</w:t>
      </w:r>
      <w:r w:rsidRPr="0072416F">
        <w:t xml:space="preserve">= </w:t>
      </w:r>
      <w:r w:rsidR="006C46F2">
        <w:t>10.1</w:t>
      </w:r>
      <w:r w:rsidRPr="0072416F">
        <w:t xml:space="preserve"> months</w:t>
      </w:r>
    </w:p>
    <w:p w14:paraId="21522D2F" w14:textId="246CFCCC" w:rsidR="00E37ABF" w:rsidRDefault="00E37ABF" w:rsidP="00D22B13">
      <w:pPr>
        <w:pStyle w:val="FooterTableFigure"/>
        <w:keepNext/>
        <w:keepLines/>
      </w:pPr>
      <w:r w:rsidRPr="00B83739">
        <w:rPr>
          <w:b/>
          <w:bCs/>
        </w:rPr>
        <w:t>Bold</w:t>
      </w:r>
      <w:r w:rsidRPr="00B83739">
        <w:t xml:space="preserve"> indicates statistically significant results.</w:t>
      </w:r>
    </w:p>
    <w:p w14:paraId="689C1AD8" w14:textId="12322997" w:rsidR="00E37ABF" w:rsidRPr="00E120DC" w:rsidRDefault="008A55F0" w:rsidP="00D22B13">
      <w:pPr>
        <w:pStyle w:val="FooterTableFigure"/>
        <w:keepNext/>
        <w:keepLines/>
      </w:pPr>
      <w:r w:rsidRPr="00E120DC">
        <w:t xml:space="preserve">a </w:t>
      </w:r>
      <w:r w:rsidR="00B375B9" w:rsidRPr="00E120DC">
        <w:t>C</w:t>
      </w:r>
      <w:r w:rsidR="00E37ABF" w:rsidRPr="00E120DC">
        <w:t>alculated during evaluation</w:t>
      </w:r>
    </w:p>
    <w:p w14:paraId="47BEC834" w14:textId="77777777" w:rsidR="00E37ABF" w:rsidRDefault="00E37ABF" w:rsidP="00D22B13">
      <w:pPr>
        <w:pStyle w:val="FooterTableFigure"/>
        <w:keepNext/>
        <w:keepLines/>
      </w:pPr>
      <w:r>
        <w:t>b Stratification factors based on IxRS were receipt of prior lenvatinib (yes vs no) and age at informed consent (≤ 65 years vs ≥ 65 years); Estimated using the Cox proportional-hazard model (adjusted for stratification factors if applicable). HR &lt; 1 indicated OS in favour of cabozantinib</w:t>
      </w:r>
    </w:p>
    <w:p w14:paraId="7D1356C4" w14:textId="73DCB982" w:rsidR="00E37ABF" w:rsidRDefault="00E37ABF" w:rsidP="00D22B13">
      <w:pPr>
        <w:pStyle w:val="FooterTableFigure"/>
        <w:keepNext/>
        <w:keepLines/>
      </w:pPr>
      <w:r>
        <w:t xml:space="preserve">c </w:t>
      </w:r>
      <w:r w:rsidR="00B375B9">
        <w:t>P</w:t>
      </w:r>
      <w:r w:rsidR="00B375B9" w:rsidRPr="00A91045">
        <w:t>almar</w:t>
      </w:r>
      <w:r w:rsidRPr="00A91045">
        <w:t>-plantar erythrodysesthesia syndrome</w:t>
      </w:r>
      <w:r>
        <w:t xml:space="preserve"> also known as hand-foot skin reaction</w:t>
      </w:r>
    </w:p>
    <w:p w14:paraId="1C715DFE" w14:textId="6122061F" w:rsidR="00002B7E" w:rsidRPr="00404F94" w:rsidRDefault="00404F94" w:rsidP="00E37ABF">
      <w:pPr>
        <w:pStyle w:val="FooterTableFigure"/>
        <w:rPr>
          <w:i/>
          <w:iCs/>
        </w:rPr>
      </w:pPr>
      <w:r w:rsidRPr="005E3A4C">
        <w:t>d T</w:t>
      </w:r>
      <w:r w:rsidRPr="00404F94">
        <w:t>he primary end point of PFS used the 96% CI for inferential purposes because the 1% α was spent in the analysis of ORR and could not be reallocated to PFS. Because the primary end point of PFS was met at the interim analysis, this was also the final α</w:t>
      </w:r>
      <w:r w:rsidRPr="00404F94">
        <w:rPr>
          <w:rFonts w:ascii="Cambria Math" w:hAnsi="Cambria Math" w:cs="Cambria Math"/>
        </w:rPr>
        <w:t>‐</w:t>
      </w:r>
      <w:r w:rsidRPr="00404F94">
        <w:t>controlled analysis of PFS. For the extended follow</w:t>
      </w:r>
      <w:r w:rsidRPr="00404F94">
        <w:rPr>
          <w:rFonts w:ascii="Cambria Math" w:hAnsi="Cambria Math" w:cs="Cambria Math"/>
        </w:rPr>
        <w:t>‐</w:t>
      </w:r>
      <w:r w:rsidRPr="00404F94">
        <w:t xml:space="preserve">up analysis, efficacy end points were assessed in all randomized patients (the ITT population) per the data </w:t>
      </w:r>
      <w:r w:rsidR="005F1914" w:rsidRPr="00404F94">
        <w:t>cut-off</w:t>
      </w:r>
      <w:r w:rsidRPr="00404F94">
        <w:t xml:space="preserve"> of February 8, 2021. All extended analyses were descriptive and supportive to show that significance was maintained at the same α level per the interim analysis. All p values were retained to support the overarching quality of the results from this extended analysis and </w:t>
      </w:r>
      <w:r w:rsidRPr="00404F94">
        <w:lastRenderedPageBreak/>
        <w:t>their consistency with the primary analysis; p values were estimated by a stratified log</w:t>
      </w:r>
      <w:r w:rsidRPr="00404F94">
        <w:rPr>
          <w:rFonts w:ascii="Cambria Math" w:hAnsi="Cambria Math" w:cs="Cambria Math"/>
        </w:rPr>
        <w:t>‐</w:t>
      </w:r>
      <w:r w:rsidRPr="00404F94">
        <w:t>rank test for PFS and by an unstratified Fisher exact test for ORR</w:t>
      </w:r>
      <w:r w:rsidR="001C566A">
        <w:t>.</w:t>
      </w:r>
      <w:r w:rsidR="001C566A">
        <w:rPr>
          <w:rStyle w:val="FootnoteReference"/>
        </w:rPr>
        <w:footnoteReference w:id="19"/>
      </w:r>
      <w:r w:rsidRPr="00404F94">
        <w:t xml:space="preserve"> </w:t>
      </w:r>
    </w:p>
    <w:p w14:paraId="2720AC53" w14:textId="659FCDED" w:rsidR="00FC1884" w:rsidRPr="00B50DB8" w:rsidRDefault="306F62D5" w:rsidP="00E9094A">
      <w:pPr>
        <w:pStyle w:val="3-BodyText"/>
      </w:pPr>
      <w:r>
        <w:t>On the basis of direct</w:t>
      </w:r>
      <w:r w:rsidR="28BAA7C2">
        <w:t xml:space="preserve"> </w:t>
      </w:r>
      <w:r>
        <w:t>evidence presented by the submission, for every 100 patients treated with</w:t>
      </w:r>
      <w:r w:rsidR="28BAA7C2">
        <w:t xml:space="preserve"> cabozantinib</w:t>
      </w:r>
      <w:r>
        <w:t xml:space="preserve"> in comparison </w:t>
      </w:r>
      <w:r w:rsidR="75BE8187">
        <w:t xml:space="preserve">with </w:t>
      </w:r>
      <w:r w:rsidR="3B6DBC27">
        <w:t>placebo</w:t>
      </w:r>
      <w:r w:rsidR="28BAA7C2">
        <w:t xml:space="preserve"> </w:t>
      </w:r>
      <w:r w:rsidR="0BD28FAF">
        <w:t>over a median</w:t>
      </w:r>
      <w:r w:rsidR="28BAA7C2">
        <w:t xml:space="preserve"> </w:t>
      </w:r>
      <w:r w:rsidR="0BD28FAF">
        <w:t xml:space="preserve">duration </w:t>
      </w:r>
      <w:r w:rsidR="557EBCD8">
        <w:t xml:space="preserve">of </w:t>
      </w:r>
      <w:r w:rsidR="28BAA7C2">
        <w:t>6</w:t>
      </w:r>
      <w:r w:rsidR="5684E30F">
        <w:t xml:space="preserve"> </w:t>
      </w:r>
      <w:r w:rsidR="557EBCD8">
        <w:t>months:</w:t>
      </w:r>
    </w:p>
    <w:p w14:paraId="386DAA93" w14:textId="1F24774C" w:rsidR="00800917" w:rsidRDefault="00FC1884" w:rsidP="00427986">
      <w:pPr>
        <w:pStyle w:val="ListParagraph"/>
        <w:numPr>
          <w:ilvl w:val="0"/>
          <w:numId w:val="10"/>
        </w:numPr>
      </w:pPr>
      <w:r w:rsidRPr="00CF6EE4">
        <w:t xml:space="preserve">Approximately </w:t>
      </w:r>
      <w:r w:rsidR="00800917">
        <w:t>15</w:t>
      </w:r>
      <w:r w:rsidRPr="00CF6EE4">
        <w:t xml:space="preserve"> additional patients would </w:t>
      </w:r>
      <w:r w:rsidR="003E23F9">
        <w:t>experience</w:t>
      </w:r>
      <w:r w:rsidRPr="00CF6EE4">
        <w:t xml:space="preserve"> </w:t>
      </w:r>
      <w:r w:rsidR="00180F22">
        <w:t xml:space="preserve">an </w:t>
      </w:r>
      <w:r w:rsidR="00E37ABF">
        <w:t>overall response</w:t>
      </w:r>
      <w:r w:rsidR="003E23F9" w:rsidRPr="00673C87">
        <w:t>.</w:t>
      </w:r>
    </w:p>
    <w:p w14:paraId="097965DF" w14:textId="53A66DE9" w:rsidR="008F39BE" w:rsidRDefault="008F39BE" w:rsidP="008F39BE">
      <w:pPr>
        <w:pStyle w:val="3-BodyText"/>
      </w:pPr>
      <w:r>
        <w:t xml:space="preserve">On the basis of direct evidence presented in the submission, </w:t>
      </w:r>
      <w:r w:rsidR="00673C87">
        <w:t>for every 100 patients treated with cabozantinib in comparison with placebo at 12 months</w:t>
      </w:r>
      <w:r>
        <w:t xml:space="preserve">: </w:t>
      </w:r>
    </w:p>
    <w:p w14:paraId="227DBA30" w14:textId="128EC17E" w:rsidR="00673C87" w:rsidRDefault="00673C87" w:rsidP="00427986">
      <w:pPr>
        <w:pStyle w:val="ListParagraph"/>
        <w:numPr>
          <w:ilvl w:val="0"/>
          <w:numId w:val="10"/>
        </w:numPr>
      </w:pPr>
      <w:r>
        <w:t xml:space="preserve">Approximately </w:t>
      </w:r>
      <w:r w:rsidR="00985104">
        <w:t xml:space="preserve">44 </w:t>
      </w:r>
      <w:r>
        <w:t>additional patients would be progression-free; and</w:t>
      </w:r>
    </w:p>
    <w:p w14:paraId="5CBA8957" w14:textId="2DB65AA1" w:rsidR="00673C87" w:rsidRDefault="00180F22" w:rsidP="00427986">
      <w:pPr>
        <w:pStyle w:val="ListParagraph"/>
        <w:numPr>
          <w:ilvl w:val="0"/>
          <w:numId w:val="10"/>
        </w:numPr>
      </w:pPr>
      <w:r>
        <w:t>There would be no</w:t>
      </w:r>
      <w:r w:rsidR="00673C87">
        <w:t xml:space="preserve"> difference in </w:t>
      </w:r>
      <w:r>
        <w:t>the number of patients alive</w:t>
      </w:r>
      <w:r w:rsidR="00673C87">
        <w:t>.</w:t>
      </w:r>
    </w:p>
    <w:p w14:paraId="621ED488" w14:textId="6F1B99FA" w:rsidR="00800917" w:rsidRPr="00800917" w:rsidRDefault="5684E30F" w:rsidP="005E4323">
      <w:pPr>
        <w:pStyle w:val="3-BodyText"/>
      </w:pPr>
      <w:r>
        <w:t xml:space="preserve">On the basis of direct evidence presented by the submission, for every 100 patients treated with cabozantinib in comparison with </w:t>
      </w:r>
      <w:r w:rsidR="3B6DBC27">
        <w:t>placebo</w:t>
      </w:r>
      <w:r>
        <w:t xml:space="preserve"> over a median duration of </w:t>
      </w:r>
      <w:r w:rsidR="7D030317">
        <w:t>10.1</w:t>
      </w:r>
      <w:r>
        <w:t xml:space="preserve"> months:</w:t>
      </w:r>
    </w:p>
    <w:p w14:paraId="7CD528D0" w14:textId="07059BC7" w:rsidR="00A83D00" w:rsidRDefault="005E4323" w:rsidP="00427986">
      <w:pPr>
        <w:pStyle w:val="ListParagraph"/>
        <w:numPr>
          <w:ilvl w:val="0"/>
          <w:numId w:val="10"/>
        </w:numPr>
      </w:pPr>
      <w:r w:rsidRPr="00CF6EE4">
        <w:t>Approximately</w:t>
      </w:r>
      <w:r>
        <w:t xml:space="preserve"> </w:t>
      </w:r>
      <w:r w:rsidR="00180F22">
        <w:t>9</w:t>
      </w:r>
      <w:r>
        <w:t xml:space="preserve"> additional patients would experience</w:t>
      </w:r>
      <w:r w:rsidR="006164F5">
        <w:t xml:space="preserve"> grade 3</w:t>
      </w:r>
      <w:r w:rsidR="003E7C79">
        <w:t>/</w:t>
      </w:r>
      <w:r w:rsidR="006164F5">
        <w:t>4</w:t>
      </w:r>
      <w:r>
        <w:t xml:space="preserve"> hypertension (high blood pressure).</w:t>
      </w:r>
    </w:p>
    <w:p w14:paraId="6691EA00" w14:textId="3D8DF6BD" w:rsidR="00A83D00" w:rsidRPr="00A83D00" w:rsidRDefault="00A83D00" w:rsidP="00427986">
      <w:pPr>
        <w:pStyle w:val="ListParagraph"/>
        <w:numPr>
          <w:ilvl w:val="0"/>
          <w:numId w:val="10"/>
        </w:numPr>
      </w:pPr>
      <w:r w:rsidRPr="00A83D00">
        <w:t xml:space="preserve">Approximately </w:t>
      </w:r>
      <w:r>
        <w:t>9</w:t>
      </w:r>
      <w:r w:rsidRPr="00A83D00">
        <w:t xml:space="preserve"> additional patients would experience </w:t>
      </w:r>
      <w:r w:rsidR="006164F5">
        <w:t>grade 3</w:t>
      </w:r>
      <w:r w:rsidR="003E7C79">
        <w:t>/</w:t>
      </w:r>
      <w:r w:rsidR="006164F5">
        <w:t>4 fatigue</w:t>
      </w:r>
      <w:r w:rsidRPr="00A83D00">
        <w:t xml:space="preserve">.  </w:t>
      </w:r>
    </w:p>
    <w:p w14:paraId="150E3701" w14:textId="43C7B51E" w:rsidR="005E4323" w:rsidRDefault="005E4323" w:rsidP="00427986">
      <w:pPr>
        <w:pStyle w:val="ListParagraph"/>
        <w:numPr>
          <w:ilvl w:val="0"/>
          <w:numId w:val="10"/>
        </w:numPr>
      </w:pPr>
      <w:r w:rsidRPr="005E4323">
        <w:t xml:space="preserve">Approximately 10 additional patients would experience </w:t>
      </w:r>
      <w:r w:rsidR="006164F5">
        <w:t>grade 3</w:t>
      </w:r>
      <w:r w:rsidR="003E7C79">
        <w:t>/</w:t>
      </w:r>
      <w:r w:rsidR="006164F5">
        <w:t xml:space="preserve">4 </w:t>
      </w:r>
      <w:r w:rsidRPr="005E4323">
        <w:t>palmar-plantar erythrodysesthesia syndrome (hand-foot skin reaction).</w:t>
      </w:r>
    </w:p>
    <w:p w14:paraId="0D1791FC" w14:textId="3E2BC7D3" w:rsidR="00800917" w:rsidRDefault="00FC1884" w:rsidP="00427986">
      <w:pPr>
        <w:pStyle w:val="ListParagraph"/>
        <w:numPr>
          <w:ilvl w:val="0"/>
          <w:numId w:val="10"/>
        </w:numPr>
      </w:pPr>
      <w:bookmarkStart w:id="54" w:name="_Hlk142472195"/>
      <w:r w:rsidRPr="00CF6EE4">
        <w:t xml:space="preserve">Approximately </w:t>
      </w:r>
      <w:r w:rsidR="005E4323">
        <w:t>8</w:t>
      </w:r>
      <w:r w:rsidRPr="00CF6EE4">
        <w:t xml:space="preserve"> additional </w:t>
      </w:r>
      <w:r w:rsidR="00C41768">
        <w:t xml:space="preserve">patients would experience </w:t>
      </w:r>
      <w:r w:rsidR="006164F5">
        <w:t>grade 3</w:t>
      </w:r>
      <w:r w:rsidR="003E7C79">
        <w:t>/</w:t>
      </w:r>
      <w:r w:rsidR="006164F5">
        <w:t xml:space="preserve">4 </w:t>
      </w:r>
      <w:r w:rsidR="00800917" w:rsidRPr="00800917">
        <w:t>diarrhoea</w:t>
      </w:r>
      <w:r w:rsidR="00800917">
        <w:t>.</w:t>
      </w:r>
      <w:r w:rsidR="00800917" w:rsidRPr="00800917">
        <w:t xml:space="preserve"> </w:t>
      </w:r>
    </w:p>
    <w:p w14:paraId="7A1772B6" w14:textId="7A2AB084" w:rsidR="00B60939" w:rsidRPr="00C9624D" w:rsidRDefault="00B60939" w:rsidP="00E9094A">
      <w:pPr>
        <w:pStyle w:val="4-SubsectionHeading"/>
      </w:pPr>
      <w:bookmarkStart w:id="55" w:name="_Toc22897644"/>
      <w:bookmarkStart w:id="56" w:name="_Toc145504687"/>
      <w:bookmarkEnd w:id="54"/>
      <w:r w:rsidRPr="00C9624D">
        <w:t>Clinical claim</w:t>
      </w:r>
      <w:bookmarkEnd w:id="55"/>
      <w:bookmarkEnd w:id="56"/>
    </w:p>
    <w:p w14:paraId="0A1D45BE" w14:textId="1139CF53" w:rsidR="00084748" w:rsidRDefault="3C18B05D" w:rsidP="00084748">
      <w:pPr>
        <w:pStyle w:val="3-BodyText"/>
      </w:pPr>
      <w:r>
        <w:t xml:space="preserve">The submission described cabozantinib as superior in terms of </w:t>
      </w:r>
      <w:r w:rsidR="00701154">
        <w:t>PFS and ORR</w:t>
      </w:r>
      <w:r>
        <w:t xml:space="preserve"> and inferior in terms of safety compared to placebo.</w:t>
      </w:r>
    </w:p>
    <w:p w14:paraId="1DABA79F" w14:textId="7E3D2971" w:rsidR="00084748" w:rsidRPr="0023484B" w:rsidRDefault="3C18B05D" w:rsidP="00084748">
      <w:pPr>
        <w:pStyle w:val="3-BodyText"/>
      </w:pPr>
      <w:r w:rsidRPr="0023484B">
        <w:t xml:space="preserve">The therapeutic conclusion regarding </w:t>
      </w:r>
      <w:r w:rsidR="00701154">
        <w:t xml:space="preserve">improved PFS was </w:t>
      </w:r>
      <w:r w:rsidR="00701154" w:rsidRPr="00427986">
        <w:t>supported</w:t>
      </w:r>
      <w:r w:rsidR="00AF1E6C" w:rsidRPr="00427986">
        <w:t xml:space="preserve"> by ESC</w:t>
      </w:r>
      <w:r w:rsidR="00701154" w:rsidRPr="00427986">
        <w:t xml:space="preserve">. However, </w:t>
      </w:r>
      <w:r w:rsidR="00AF1E6C" w:rsidRPr="00427986">
        <w:t xml:space="preserve">whether cabozantinib was more </w:t>
      </w:r>
      <w:r w:rsidRPr="00427986">
        <w:t>effective</w:t>
      </w:r>
      <w:r w:rsidR="00AF1E6C" w:rsidRPr="00427986">
        <w:t xml:space="preserve"> than placebo </w:t>
      </w:r>
      <w:r w:rsidR="00E120DC" w:rsidRPr="00427986">
        <w:t>in</w:t>
      </w:r>
      <w:r w:rsidR="00E120DC">
        <w:t xml:space="preserve"> terms of overall survival </w:t>
      </w:r>
      <w:r w:rsidR="00E678F7">
        <w:t>was unknown</w:t>
      </w:r>
      <w:r w:rsidRPr="0023484B">
        <w:t xml:space="preserve"> </w:t>
      </w:r>
      <w:r w:rsidR="00AF1E6C">
        <w:t>as</w:t>
      </w:r>
      <w:r w:rsidRPr="0023484B">
        <w:t>:</w:t>
      </w:r>
    </w:p>
    <w:p w14:paraId="1968D3FD" w14:textId="6C72F403" w:rsidR="00084748" w:rsidRPr="00985104" w:rsidRDefault="00FF102A" w:rsidP="00985104">
      <w:pPr>
        <w:pStyle w:val="ListParagraph"/>
        <w:numPr>
          <w:ilvl w:val="0"/>
          <w:numId w:val="4"/>
        </w:numPr>
        <w:ind w:left="1080"/>
      </w:pPr>
      <w:bookmarkStart w:id="57" w:name="_Hlk142039149"/>
      <w:r w:rsidRPr="0023484B">
        <w:t>O</w:t>
      </w:r>
      <w:r w:rsidR="00084748" w:rsidRPr="0023484B">
        <w:t xml:space="preserve">verall survival </w:t>
      </w:r>
      <w:r w:rsidRPr="0023484B">
        <w:t xml:space="preserve">in the placebo arm was </w:t>
      </w:r>
      <w:r w:rsidR="00084748" w:rsidRPr="0023484B">
        <w:t xml:space="preserve">confounded by </w:t>
      </w:r>
      <w:r w:rsidR="00180F22" w:rsidRPr="0023484B">
        <w:t>patients</w:t>
      </w:r>
      <w:r w:rsidRPr="0023484B">
        <w:t xml:space="preserve"> </w:t>
      </w:r>
      <w:r w:rsidR="00180F22" w:rsidRPr="0023484B">
        <w:t xml:space="preserve">(40/88, 45%) </w:t>
      </w:r>
      <w:r w:rsidRPr="0023484B">
        <w:t xml:space="preserve">crossing-over </w:t>
      </w:r>
      <w:r w:rsidR="00084748" w:rsidRPr="0023484B">
        <w:t>to treatment with open-label cabozantinib</w:t>
      </w:r>
      <w:bookmarkEnd w:id="57"/>
      <w:r w:rsidRPr="0023484B">
        <w:t xml:space="preserve"> following progression</w:t>
      </w:r>
      <w:r w:rsidR="00084748" w:rsidRPr="0023484B">
        <w:t xml:space="preserve">. The TGA Delegates Overview </w:t>
      </w:r>
      <w:r w:rsidR="00E678F7">
        <w:t>stated</w:t>
      </w:r>
      <w:r w:rsidR="00E678F7" w:rsidRPr="0023484B">
        <w:t xml:space="preserve"> </w:t>
      </w:r>
      <w:r w:rsidR="00084748" w:rsidRPr="0023484B">
        <w:t xml:space="preserve">that the relatively short follow-up and the crossover design of the </w:t>
      </w:r>
      <w:r w:rsidR="001063EC" w:rsidRPr="0023484B">
        <w:t xml:space="preserve">trial </w:t>
      </w:r>
      <w:r w:rsidR="00084748" w:rsidRPr="0023484B">
        <w:t xml:space="preserve">would have contributed to the smaller difference in overall survival than was seen with PFS. A recent published meeting abstract (2023 ASCO Annual meeting) of a systematic review and meta-analysis </w:t>
      </w:r>
      <w:r w:rsidR="00822919" w:rsidRPr="0023484B">
        <w:t xml:space="preserve">in RAI-refractory DTC </w:t>
      </w:r>
      <w:r w:rsidR="00084748" w:rsidRPr="0023484B">
        <w:t xml:space="preserve">found there was no significant correlation between ORR and PFS or </w:t>
      </w:r>
      <w:r w:rsidR="008114D0" w:rsidRPr="0023484B">
        <w:t>overall survival</w:t>
      </w:r>
      <w:r w:rsidR="00084748" w:rsidRPr="0023484B">
        <w:t xml:space="preserve">, </w:t>
      </w:r>
      <w:r w:rsidR="00180F22" w:rsidRPr="0023484B">
        <w:t xml:space="preserve">or </w:t>
      </w:r>
      <w:r w:rsidR="00084748" w:rsidRPr="0023484B">
        <w:t xml:space="preserve">between PFS and </w:t>
      </w:r>
      <w:r w:rsidR="008114D0" w:rsidRPr="0023484B">
        <w:t>overall survival</w:t>
      </w:r>
      <w:r w:rsidR="008114D0" w:rsidRPr="0023484B" w:rsidDel="008114D0">
        <w:t xml:space="preserve"> </w:t>
      </w:r>
      <w:r w:rsidR="00084748" w:rsidRPr="0023484B">
        <w:t xml:space="preserve">(N= 24 studies, 6 RCTs and 18 </w:t>
      </w:r>
      <w:r w:rsidR="00084748" w:rsidRPr="0023484B">
        <w:lastRenderedPageBreak/>
        <w:t xml:space="preserve">observational). However, a sub-analysis of the </w:t>
      </w:r>
      <w:r w:rsidR="008114D0" w:rsidRPr="0023484B">
        <w:t xml:space="preserve">six </w:t>
      </w:r>
      <w:r w:rsidR="00084748" w:rsidRPr="0023484B">
        <w:t>RCTs found a significantly strong positive correlation between ORR and PFS (</w:t>
      </w:r>
      <w:proofErr w:type="spellStart"/>
      <w:r w:rsidR="00084748" w:rsidRPr="0023484B">
        <w:t>r</w:t>
      </w:r>
      <w:r w:rsidR="00084748" w:rsidRPr="00985104">
        <w:rPr>
          <w:vertAlign w:val="subscript"/>
        </w:rPr>
        <w:t>s</w:t>
      </w:r>
      <w:proofErr w:type="spellEnd"/>
      <w:r w:rsidR="00084748" w:rsidRPr="0023484B">
        <w:t xml:space="preserve"> = 0.92, p = 0.003)</w:t>
      </w:r>
      <w:r w:rsidR="00084748" w:rsidRPr="0023484B">
        <w:rPr>
          <w:vertAlign w:val="superscript"/>
        </w:rPr>
        <w:footnoteReference w:id="20"/>
      </w:r>
      <w:r w:rsidR="00084748" w:rsidRPr="0023484B">
        <w:t xml:space="preserve">. Similarly, significant improvements in PFS did not lead to significant improvements in </w:t>
      </w:r>
      <w:r w:rsidR="008114D0" w:rsidRPr="0023484B">
        <w:t>overall survival</w:t>
      </w:r>
      <w:r w:rsidR="008114D0" w:rsidRPr="0023484B" w:rsidDel="008114D0">
        <w:t xml:space="preserve"> </w:t>
      </w:r>
      <w:r w:rsidR="00084748" w:rsidRPr="0023484B">
        <w:t xml:space="preserve">in trials for </w:t>
      </w:r>
      <w:r w:rsidR="00084748" w:rsidRPr="00985104">
        <w:rPr>
          <w:rFonts w:eastAsia="MS Gothic" w:cs="Times New Roman"/>
          <w:color w:val="000000"/>
          <w:lang w:eastAsia="en-US" w:bidi="en-US"/>
        </w:rPr>
        <w:t xml:space="preserve">the treatment of RAI-refractory DTC </w:t>
      </w:r>
      <w:r w:rsidR="00BE64DE" w:rsidRPr="00985104">
        <w:rPr>
          <w:rFonts w:eastAsia="MS Gothic" w:cs="Times New Roman"/>
          <w:color w:val="000000"/>
          <w:lang w:eastAsia="en-US" w:bidi="en-US"/>
        </w:rPr>
        <w:t xml:space="preserve">that have previously been considered by the PBAC </w:t>
      </w:r>
      <w:r w:rsidR="00084748" w:rsidRPr="00985104">
        <w:rPr>
          <w:rFonts w:eastAsia="MS Gothic" w:cs="Times New Roman"/>
          <w:color w:val="000000"/>
          <w:lang w:eastAsia="en-US" w:bidi="en-US"/>
        </w:rPr>
        <w:t>(the SELECT trial comparing lenvatinib to placebo</w:t>
      </w:r>
      <w:r w:rsidR="00084748" w:rsidRPr="0023484B">
        <w:rPr>
          <w:rFonts w:eastAsia="MS Gothic" w:cs="Times New Roman"/>
          <w:color w:val="000000"/>
          <w:vertAlign w:val="superscript"/>
          <w:lang w:eastAsia="en-US" w:bidi="en-US"/>
        </w:rPr>
        <w:footnoteReference w:id="21"/>
      </w:r>
      <w:r w:rsidR="00084748" w:rsidRPr="00985104">
        <w:rPr>
          <w:rFonts w:eastAsia="MS Gothic" w:cs="Times New Roman"/>
          <w:color w:val="000000"/>
          <w:lang w:eastAsia="en-US" w:bidi="en-US"/>
        </w:rPr>
        <w:t xml:space="preserve"> and the DECISION trial comparing sorafenib</w:t>
      </w:r>
      <w:r w:rsidR="00084748" w:rsidRPr="00985104">
        <w:t xml:space="preserve"> </w:t>
      </w:r>
      <w:r w:rsidR="00084748" w:rsidRPr="00985104">
        <w:rPr>
          <w:rFonts w:eastAsia="MS Gothic" w:cs="Times New Roman"/>
          <w:color w:val="000000"/>
          <w:lang w:eastAsia="en-US" w:bidi="en-US"/>
        </w:rPr>
        <w:t>to placebo</w:t>
      </w:r>
      <w:r w:rsidR="00084748" w:rsidRPr="00985104">
        <w:rPr>
          <w:rFonts w:eastAsia="MS Gothic" w:cs="Times New Roman"/>
          <w:color w:val="000000"/>
          <w:vertAlign w:val="superscript"/>
          <w:lang w:eastAsia="en-US" w:bidi="en-US"/>
        </w:rPr>
        <w:footnoteReference w:id="22"/>
      </w:r>
      <w:r w:rsidR="00084748" w:rsidRPr="00985104">
        <w:rPr>
          <w:rFonts w:eastAsia="MS Gothic" w:cs="Times New Roman"/>
          <w:color w:val="000000"/>
          <w:lang w:eastAsia="en-US" w:bidi="en-US"/>
        </w:rPr>
        <w:t>)</w:t>
      </w:r>
      <w:r w:rsidR="00BE64DE" w:rsidRPr="00985104">
        <w:rPr>
          <w:rFonts w:eastAsia="MS Gothic" w:cs="Times New Roman"/>
          <w:color w:val="000000"/>
          <w:lang w:eastAsia="en-US" w:bidi="en-US"/>
        </w:rPr>
        <w:t>;</w:t>
      </w:r>
      <w:r w:rsidR="00084748" w:rsidRPr="00985104">
        <w:rPr>
          <w:rFonts w:eastAsia="MS Gothic" w:cs="Times New Roman"/>
          <w:color w:val="000000"/>
          <w:lang w:eastAsia="en-US" w:bidi="en-US"/>
        </w:rPr>
        <w:t xml:space="preserve"> however</w:t>
      </w:r>
      <w:r w:rsidR="00BE64DE" w:rsidRPr="00985104">
        <w:rPr>
          <w:rFonts w:eastAsia="MS Gothic" w:cs="Times New Roman"/>
          <w:color w:val="000000"/>
          <w:lang w:eastAsia="en-US" w:bidi="en-US"/>
        </w:rPr>
        <w:t>,</w:t>
      </w:r>
      <w:r w:rsidR="00084748" w:rsidRPr="00985104">
        <w:rPr>
          <w:rFonts w:eastAsia="MS Gothic" w:cs="Times New Roman"/>
          <w:color w:val="000000"/>
          <w:lang w:eastAsia="en-US" w:bidi="en-US"/>
        </w:rPr>
        <w:t xml:space="preserve"> these were also confounded by cross-over. </w:t>
      </w:r>
      <w:r w:rsidR="005308A7" w:rsidRPr="00985104">
        <w:rPr>
          <w:rFonts w:eastAsia="MS Gothic" w:cs="Times New Roman"/>
          <w:color w:val="000000"/>
          <w:lang w:eastAsia="en-US" w:bidi="en-US"/>
        </w:rPr>
        <w:t xml:space="preserve">Consequently, there is no external evidence that suggests that PFS </w:t>
      </w:r>
      <w:r w:rsidR="00E678F7" w:rsidRPr="00985104">
        <w:rPr>
          <w:rFonts w:eastAsia="MS Gothic" w:cs="Times New Roman"/>
          <w:color w:val="000000"/>
          <w:lang w:eastAsia="en-US" w:bidi="en-US"/>
        </w:rPr>
        <w:t>is</w:t>
      </w:r>
      <w:r w:rsidR="005308A7" w:rsidRPr="00985104">
        <w:rPr>
          <w:rFonts w:eastAsia="MS Gothic" w:cs="Times New Roman"/>
          <w:color w:val="000000"/>
          <w:lang w:eastAsia="en-US" w:bidi="en-US"/>
        </w:rPr>
        <w:t xml:space="preserve"> a good surrogate for overall survival. </w:t>
      </w:r>
      <w:r w:rsidR="00882449" w:rsidRPr="00985104">
        <w:t> </w:t>
      </w:r>
      <w:r w:rsidR="00084748" w:rsidRPr="00985104">
        <w:t xml:space="preserve"> </w:t>
      </w:r>
    </w:p>
    <w:p w14:paraId="5192E525" w14:textId="77777777" w:rsidR="00985104" w:rsidRPr="00985104" w:rsidRDefault="00985104" w:rsidP="00B54FFE">
      <w:pPr>
        <w:widowControl w:val="0"/>
        <w:numPr>
          <w:ilvl w:val="1"/>
          <w:numId w:val="1"/>
        </w:numPr>
        <w:spacing w:after="120"/>
        <w:ind w:left="720"/>
        <w:rPr>
          <w:rFonts w:asciiTheme="minorHAnsi" w:hAnsiTheme="minorHAnsi"/>
          <w:snapToGrid w:val="0"/>
          <w:szCs w:val="20"/>
        </w:rPr>
      </w:pPr>
      <w:r w:rsidRPr="00985104">
        <w:t>No difference in quality of life with cabozantinib compared with placebo was found, using the EQ-5D-5L instrument.</w:t>
      </w:r>
    </w:p>
    <w:p w14:paraId="7F8C2632" w14:textId="52A6BB56" w:rsidR="00B54FFE" w:rsidRPr="00985104" w:rsidRDefault="00B54FFE" w:rsidP="00B54FFE">
      <w:pPr>
        <w:widowControl w:val="0"/>
        <w:numPr>
          <w:ilvl w:val="1"/>
          <w:numId w:val="1"/>
        </w:numPr>
        <w:spacing w:after="120"/>
        <w:ind w:left="720"/>
        <w:rPr>
          <w:rFonts w:asciiTheme="minorHAnsi" w:hAnsiTheme="minorHAnsi"/>
          <w:snapToGrid w:val="0"/>
          <w:szCs w:val="20"/>
        </w:rPr>
      </w:pPr>
      <w:r w:rsidRPr="00985104">
        <w:rPr>
          <w:rFonts w:asciiTheme="minorHAnsi" w:hAnsiTheme="minorHAnsi"/>
          <w:iCs/>
          <w:snapToGrid w:val="0"/>
        </w:rPr>
        <w:t xml:space="preserve">Overall, the </w:t>
      </w:r>
      <w:r w:rsidRPr="00985104">
        <w:rPr>
          <w:rFonts w:asciiTheme="minorHAnsi" w:hAnsiTheme="minorHAnsi"/>
          <w:snapToGrid w:val="0"/>
          <w:szCs w:val="20"/>
        </w:rPr>
        <w:t>PBAC considered that the claim that cabozantinib was superior compared to placebo was reasonable in terms of ORR and PFS but was un</w:t>
      </w:r>
      <w:r w:rsidR="00985104" w:rsidRPr="00985104">
        <w:rPr>
          <w:rFonts w:asciiTheme="minorHAnsi" w:hAnsiTheme="minorHAnsi"/>
          <w:snapToGrid w:val="0"/>
          <w:szCs w:val="20"/>
        </w:rPr>
        <w:t>known</w:t>
      </w:r>
      <w:r w:rsidRPr="00985104">
        <w:rPr>
          <w:rFonts w:asciiTheme="minorHAnsi" w:hAnsiTheme="minorHAnsi"/>
          <w:snapToGrid w:val="0"/>
          <w:szCs w:val="20"/>
        </w:rPr>
        <w:t xml:space="preserve"> in terms of OS.</w:t>
      </w:r>
    </w:p>
    <w:p w14:paraId="43AC2E08" w14:textId="768097FE" w:rsidR="00084748" w:rsidRPr="00985104" w:rsidRDefault="3C18B05D" w:rsidP="00012F01">
      <w:pPr>
        <w:pStyle w:val="3-BodyText"/>
      </w:pPr>
      <w:r w:rsidRPr="00985104">
        <w:t xml:space="preserve">The </w:t>
      </w:r>
      <w:r w:rsidR="00B54FFE" w:rsidRPr="00985104">
        <w:t xml:space="preserve">PBAC agreed with </w:t>
      </w:r>
      <w:r w:rsidR="00AF1E6C" w:rsidRPr="00985104">
        <w:t xml:space="preserve">ESC </w:t>
      </w:r>
      <w:r w:rsidR="00B54FFE" w:rsidRPr="00985104">
        <w:t xml:space="preserve">and </w:t>
      </w:r>
      <w:r w:rsidR="00AF1E6C" w:rsidRPr="00985104">
        <w:t xml:space="preserve">considered that the </w:t>
      </w:r>
      <w:r w:rsidRPr="00985104">
        <w:t xml:space="preserve">therapeutic conclusion </w:t>
      </w:r>
      <w:r w:rsidR="00AF1E6C" w:rsidRPr="00985104">
        <w:t xml:space="preserve">that cabozantinib was inferior compared to placebo in terms of </w:t>
      </w:r>
      <w:r w:rsidRPr="00985104">
        <w:t>safety was adequately supported by the evidence presented.</w:t>
      </w:r>
    </w:p>
    <w:p w14:paraId="0BFE9EB1" w14:textId="77777777" w:rsidR="003B5F84" w:rsidRPr="00985104" w:rsidRDefault="003B5F84" w:rsidP="00415E51">
      <w:pPr>
        <w:pStyle w:val="4-SubsectionHeading"/>
      </w:pPr>
      <w:bookmarkStart w:id="58" w:name="_Toc22897645"/>
      <w:bookmarkStart w:id="59" w:name="_Toc142198809"/>
      <w:bookmarkStart w:id="60" w:name="_Toc145504688"/>
      <w:r w:rsidRPr="00985104">
        <w:t>Economic analysis</w:t>
      </w:r>
      <w:bookmarkEnd w:id="58"/>
      <w:bookmarkEnd w:id="59"/>
      <w:bookmarkEnd w:id="60"/>
      <w:r w:rsidRPr="00985104">
        <w:t xml:space="preserve"> </w:t>
      </w:r>
    </w:p>
    <w:p w14:paraId="317563A6" w14:textId="51E0DE84" w:rsidR="00763EF2" w:rsidRPr="0023484B" w:rsidRDefault="00E678F7" w:rsidP="004A52A9">
      <w:pPr>
        <w:numPr>
          <w:ilvl w:val="1"/>
          <w:numId w:val="1"/>
        </w:numPr>
        <w:spacing w:after="120"/>
        <w:ind w:left="720"/>
        <w:rPr>
          <w:rFonts w:asciiTheme="minorHAnsi" w:hAnsiTheme="minorHAnsi"/>
          <w:snapToGrid w:val="0"/>
          <w:lang w:val="en-US"/>
        </w:rPr>
      </w:pPr>
      <w:r>
        <w:rPr>
          <w:rFonts w:asciiTheme="minorHAnsi" w:hAnsiTheme="minorHAnsi"/>
          <w:snapToGrid w:val="0"/>
        </w:rPr>
        <w:t>A</w:t>
      </w:r>
      <w:r w:rsidR="00763EF2" w:rsidRPr="0023484B">
        <w:rPr>
          <w:rFonts w:asciiTheme="minorHAnsi" w:hAnsiTheme="minorHAnsi"/>
          <w:snapToGrid w:val="0"/>
        </w:rPr>
        <w:t xml:space="preserve"> cost-effectiveness </w:t>
      </w:r>
      <w:r>
        <w:rPr>
          <w:rFonts w:asciiTheme="minorHAnsi" w:hAnsiTheme="minorHAnsi"/>
          <w:snapToGrid w:val="0"/>
        </w:rPr>
        <w:t xml:space="preserve">analysis </w:t>
      </w:r>
      <w:r w:rsidR="00763EF2" w:rsidRPr="0023484B">
        <w:rPr>
          <w:rFonts w:asciiTheme="minorHAnsi" w:hAnsiTheme="minorHAnsi"/>
          <w:snapToGrid w:val="0"/>
        </w:rPr>
        <w:t>and a cost-utility analysis</w:t>
      </w:r>
      <w:r>
        <w:rPr>
          <w:rFonts w:asciiTheme="minorHAnsi" w:hAnsiTheme="minorHAnsi"/>
          <w:snapToGrid w:val="0"/>
        </w:rPr>
        <w:t xml:space="preserve"> were presented</w:t>
      </w:r>
      <w:r w:rsidR="00763EF2" w:rsidRPr="0023484B">
        <w:rPr>
          <w:rFonts w:asciiTheme="minorHAnsi" w:hAnsiTheme="minorHAnsi"/>
          <w:snapToGrid w:val="0"/>
        </w:rPr>
        <w:t xml:space="preserve">. </w:t>
      </w:r>
    </w:p>
    <w:p w14:paraId="6E51225A" w14:textId="78658D4C" w:rsidR="00763EF2" w:rsidRPr="003B5F84" w:rsidRDefault="00763EF2" w:rsidP="004A52A9">
      <w:pPr>
        <w:numPr>
          <w:ilvl w:val="1"/>
          <w:numId w:val="1"/>
        </w:numPr>
        <w:spacing w:after="120"/>
        <w:ind w:left="720"/>
        <w:rPr>
          <w:rFonts w:asciiTheme="minorHAnsi" w:hAnsiTheme="minorHAnsi"/>
        </w:rPr>
      </w:pPr>
      <w:r w:rsidRPr="0564460C">
        <w:rPr>
          <w:rFonts w:asciiTheme="minorHAnsi" w:hAnsiTheme="minorHAnsi" w:cstheme="minorBidi"/>
          <w:snapToGrid w:val="0"/>
        </w:rPr>
        <w:fldChar w:fldCharType="begin" w:fldLock="1"/>
      </w:r>
      <w:r w:rsidRPr="0564460C">
        <w:rPr>
          <w:rFonts w:asciiTheme="minorHAnsi" w:hAnsiTheme="minorHAnsi" w:cstheme="minorBidi"/>
          <w:snapToGrid w:val="0"/>
        </w:rPr>
        <w:instrText xml:space="preserve"> REF _Ref141099282 \h  \* MERGEFORMAT </w:instrText>
      </w:r>
      <w:r w:rsidRPr="0564460C">
        <w:rPr>
          <w:rFonts w:asciiTheme="minorHAnsi" w:hAnsiTheme="minorHAnsi" w:cstheme="minorBidi"/>
          <w:snapToGrid w:val="0"/>
        </w:rPr>
      </w:r>
      <w:r w:rsidRPr="0564460C">
        <w:rPr>
          <w:rFonts w:asciiTheme="minorHAnsi" w:hAnsiTheme="minorHAnsi" w:cstheme="minorBidi"/>
          <w:snapToGrid w:val="0"/>
        </w:rPr>
        <w:fldChar w:fldCharType="separate"/>
      </w:r>
      <w:r w:rsidR="008760F8" w:rsidRPr="008760F8">
        <w:rPr>
          <w:rFonts w:asciiTheme="minorHAnsi" w:hAnsiTheme="minorHAnsi" w:cstheme="minorBidi"/>
        </w:rPr>
        <w:t>Table 12</w:t>
      </w:r>
      <w:r w:rsidRPr="0564460C">
        <w:rPr>
          <w:rFonts w:asciiTheme="minorHAnsi" w:hAnsiTheme="minorHAnsi" w:cstheme="minorBidi"/>
          <w:snapToGrid w:val="0"/>
        </w:rPr>
        <w:fldChar w:fldCharType="end"/>
      </w:r>
      <w:r w:rsidRPr="0564460C">
        <w:rPr>
          <w:rFonts w:asciiTheme="minorHAnsi" w:hAnsiTheme="minorHAnsi" w:cstheme="minorBidi"/>
          <w:snapToGrid w:val="0"/>
        </w:rPr>
        <w:t xml:space="preserve"> presen</w:t>
      </w:r>
      <w:r w:rsidRPr="0564460C">
        <w:rPr>
          <w:rFonts w:asciiTheme="minorHAnsi" w:hAnsiTheme="minorHAnsi"/>
          <w:snapToGrid w:val="0"/>
        </w:rPr>
        <w:t xml:space="preserve">ts the key components of </w:t>
      </w:r>
      <w:r w:rsidRPr="0564460C">
        <w:rPr>
          <w:rFonts w:asciiTheme="minorHAnsi" w:hAnsiTheme="minorHAnsi"/>
        </w:rPr>
        <w:t xml:space="preserve">the model. </w:t>
      </w:r>
    </w:p>
    <w:p w14:paraId="399FC584" w14:textId="00A872B0" w:rsidR="00763EF2" w:rsidRPr="003B5F84" w:rsidRDefault="00763EF2" w:rsidP="005F1914">
      <w:pPr>
        <w:keepNext/>
        <w:keepLines/>
        <w:rPr>
          <w:rFonts w:ascii="Arial Narrow" w:hAnsi="Arial Narrow"/>
          <w:b/>
          <w:bCs/>
          <w:sz w:val="20"/>
        </w:rPr>
      </w:pPr>
      <w:bookmarkStart w:id="61" w:name="_Ref141099282"/>
      <w:r w:rsidRPr="003B5F84">
        <w:rPr>
          <w:rFonts w:ascii="Arial Narrow" w:hAnsi="Arial Narrow"/>
          <w:b/>
          <w:bCs/>
          <w:sz w:val="20"/>
          <w:szCs w:val="18"/>
        </w:rPr>
        <w:lastRenderedPageBreak/>
        <w:t xml:space="preserve">Table </w:t>
      </w:r>
      <w:r w:rsidRPr="003B5F84">
        <w:rPr>
          <w:rFonts w:ascii="Arial Narrow" w:hAnsi="Arial Narrow"/>
          <w:b/>
          <w:bCs/>
          <w:sz w:val="20"/>
          <w:szCs w:val="18"/>
        </w:rPr>
        <w:fldChar w:fldCharType="begin" w:fldLock="1"/>
      </w:r>
      <w:r w:rsidRPr="003B5F84">
        <w:rPr>
          <w:rFonts w:ascii="Arial Narrow" w:hAnsi="Arial Narrow"/>
          <w:b/>
          <w:bCs/>
          <w:sz w:val="20"/>
          <w:szCs w:val="18"/>
        </w:rPr>
        <w:instrText xml:space="preserve"> SEQ Table \* ARABIC </w:instrText>
      </w:r>
      <w:r w:rsidRPr="003B5F84">
        <w:rPr>
          <w:rFonts w:ascii="Arial Narrow" w:hAnsi="Arial Narrow"/>
          <w:b/>
          <w:bCs/>
          <w:sz w:val="20"/>
          <w:szCs w:val="18"/>
        </w:rPr>
        <w:fldChar w:fldCharType="separate"/>
      </w:r>
      <w:r w:rsidR="008760F8">
        <w:rPr>
          <w:rFonts w:ascii="Arial Narrow" w:hAnsi="Arial Narrow"/>
          <w:b/>
          <w:bCs/>
          <w:noProof/>
          <w:sz w:val="20"/>
          <w:szCs w:val="18"/>
        </w:rPr>
        <w:t>12</w:t>
      </w:r>
      <w:r w:rsidRPr="003B5F84">
        <w:rPr>
          <w:rFonts w:ascii="Arial Narrow" w:hAnsi="Arial Narrow"/>
          <w:b/>
          <w:bCs/>
          <w:noProof/>
          <w:sz w:val="20"/>
          <w:szCs w:val="18"/>
        </w:rPr>
        <w:fldChar w:fldCharType="end"/>
      </w:r>
      <w:bookmarkEnd w:id="61"/>
      <w:r w:rsidRPr="003B5F84">
        <w:rPr>
          <w:rFonts w:ascii="Arial Narrow" w:hAnsi="Arial Narrow"/>
          <w:b/>
          <w:bCs/>
          <w:sz w:val="20"/>
          <w:szCs w:val="18"/>
        </w:rPr>
        <w:t>:</w:t>
      </w:r>
      <w:r w:rsidRPr="003B5F84">
        <w:rPr>
          <w:rFonts w:ascii="Arial Narrow" w:hAnsi="Arial Narrow"/>
          <w:b/>
          <w:bCs/>
          <w:sz w:val="20"/>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555"/>
        <w:gridCol w:w="7462"/>
      </w:tblGrid>
      <w:tr w:rsidR="00763EF2" w:rsidRPr="00427986" w14:paraId="2EDFD8F1" w14:textId="77777777" w:rsidTr="005F1914">
        <w:trPr>
          <w:cantSplit/>
          <w:tblHeader/>
        </w:trPr>
        <w:tc>
          <w:tcPr>
            <w:tcW w:w="862" w:type="pct"/>
            <w:shd w:val="clear" w:color="auto" w:fill="auto"/>
            <w:vAlign w:val="center"/>
          </w:tcPr>
          <w:p w14:paraId="4169254E" w14:textId="77777777" w:rsidR="00763EF2" w:rsidRPr="00427986" w:rsidRDefault="00763EF2" w:rsidP="005F1914">
            <w:pPr>
              <w:keepNext/>
              <w:spacing w:before="20" w:after="20"/>
              <w:jc w:val="center"/>
              <w:rPr>
                <w:rFonts w:ascii="Arial Narrow" w:eastAsiaTheme="majorEastAsia" w:hAnsi="Arial Narrow" w:cs="Times New Roman"/>
                <w:b/>
                <w:sz w:val="20"/>
                <w:lang w:val="en-US"/>
              </w:rPr>
            </w:pPr>
            <w:r w:rsidRPr="00427986">
              <w:rPr>
                <w:rFonts w:ascii="Arial Narrow" w:eastAsiaTheme="majorEastAsia" w:hAnsi="Arial Narrow" w:cs="Times New Roman"/>
                <w:b/>
                <w:sz w:val="20"/>
                <w:lang w:val="en-US"/>
              </w:rPr>
              <w:t>Component</w:t>
            </w:r>
          </w:p>
        </w:tc>
        <w:tc>
          <w:tcPr>
            <w:tcW w:w="4138" w:type="pct"/>
            <w:shd w:val="clear" w:color="auto" w:fill="auto"/>
            <w:vAlign w:val="center"/>
          </w:tcPr>
          <w:p w14:paraId="79C8FEB2" w14:textId="77777777" w:rsidR="00763EF2" w:rsidRPr="00427986" w:rsidRDefault="00763EF2" w:rsidP="005F1914">
            <w:pPr>
              <w:keepNext/>
              <w:spacing w:before="20" w:after="20"/>
              <w:jc w:val="center"/>
              <w:rPr>
                <w:rFonts w:ascii="Arial Narrow" w:eastAsiaTheme="majorEastAsia" w:hAnsi="Arial Narrow" w:cs="Times New Roman"/>
                <w:b/>
                <w:sz w:val="20"/>
                <w:lang w:val="en-US"/>
              </w:rPr>
            </w:pPr>
            <w:r w:rsidRPr="00427986">
              <w:rPr>
                <w:rFonts w:ascii="Arial Narrow" w:eastAsiaTheme="majorEastAsia" w:hAnsi="Arial Narrow" w:cs="Times New Roman"/>
                <w:b/>
                <w:sz w:val="20"/>
                <w:lang w:val="en-US"/>
              </w:rPr>
              <w:t>Summary</w:t>
            </w:r>
          </w:p>
        </w:tc>
      </w:tr>
      <w:tr w:rsidR="00763EF2" w:rsidRPr="00427986" w14:paraId="288A228C" w14:textId="77777777" w:rsidTr="005F1914">
        <w:trPr>
          <w:cantSplit/>
        </w:trPr>
        <w:tc>
          <w:tcPr>
            <w:tcW w:w="862" w:type="pct"/>
            <w:shd w:val="clear" w:color="auto" w:fill="auto"/>
            <w:vAlign w:val="center"/>
          </w:tcPr>
          <w:p w14:paraId="5C926D24" w14:textId="77777777" w:rsidR="00763EF2" w:rsidRPr="00427986" w:rsidRDefault="00763EF2" w:rsidP="005F1914">
            <w:pPr>
              <w:keepNext/>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Type of analysis</w:t>
            </w:r>
          </w:p>
        </w:tc>
        <w:tc>
          <w:tcPr>
            <w:tcW w:w="4138" w:type="pct"/>
            <w:shd w:val="clear" w:color="auto" w:fill="auto"/>
            <w:vAlign w:val="center"/>
          </w:tcPr>
          <w:p w14:paraId="44666DAB" w14:textId="6624D962" w:rsidR="00763EF2" w:rsidRPr="00427986" w:rsidRDefault="00763EF2" w:rsidP="005F1914">
            <w:pPr>
              <w:keepNext/>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Cost-effectiveness analysis, cost-utility analysis.</w:t>
            </w:r>
          </w:p>
        </w:tc>
      </w:tr>
      <w:tr w:rsidR="00763EF2" w:rsidRPr="00427986" w14:paraId="131DC04A" w14:textId="77777777" w:rsidTr="005F1914">
        <w:trPr>
          <w:cantSplit/>
        </w:trPr>
        <w:tc>
          <w:tcPr>
            <w:tcW w:w="862" w:type="pct"/>
            <w:shd w:val="clear" w:color="auto" w:fill="auto"/>
            <w:vAlign w:val="center"/>
          </w:tcPr>
          <w:p w14:paraId="565C1E23" w14:textId="77777777" w:rsidR="00763EF2" w:rsidRPr="00427986" w:rsidRDefault="00763EF2" w:rsidP="005F1914">
            <w:pPr>
              <w:keepNext/>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Population</w:t>
            </w:r>
          </w:p>
        </w:tc>
        <w:tc>
          <w:tcPr>
            <w:tcW w:w="4138" w:type="pct"/>
            <w:shd w:val="clear" w:color="auto" w:fill="auto"/>
            <w:vAlign w:val="center"/>
          </w:tcPr>
          <w:p w14:paraId="26FD1748" w14:textId="4DE2DA08" w:rsidR="00763EF2" w:rsidRPr="00427986" w:rsidRDefault="00763EF2" w:rsidP="005F1914">
            <w:pPr>
              <w:keepNext/>
              <w:spacing w:before="20" w:after="20"/>
              <w:jc w:val="left"/>
              <w:rPr>
                <w:rFonts w:ascii="Arial Narrow" w:eastAsiaTheme="majorEastAsia" w:hAnsi="Arial Narrow" w:cstheme="majorBidi"/>
                <w:bCs/>
                <w:sz w:val="20"/>
                <w:szCs w:val="20"/>
              </w:rPr>
            </w:pPr>
            <w:r w:rsidRPr="00427986">
              <w:rPr>
                <w:rFonts w:ascii="Arial Narrow" w:eastAsiaTheme="majorEastAsia" w:hAnsi="Arial Narrow" w:cstheme="majorBidi"/>
                <w:bCs/>
                <w:sz w:val="20"/>
              </w:rPr>
              <w:t xml:space="preserve">Base case population: pre-specified </w:t>
            </w:r>
            <w:r w:rsidR="004F7B9A" w:rsidRPr="00427986">
              <w:rPr>
                <w:rFonts w:ascii="Arial Narrow" w:eastAsiaTheme="majorEastAsia" w:hAnsi="Arial Narrow" w:cstheme="majorBidi"/>
                <w:bCs/>
                <w:sz w:val="20"/>
              </w:rPr>
              <w:t>subgroup</w:t>
            </w:r>
            <w:r w:rsidRPr="00427986">
              <w:rPr>
                <w:rFonts w:ascii="Arial Narrow" w:eastAsiaTheme="majorEastAsia" w:hAnsi="Arial Narrow" w:cstheme="majorBidi"/>
                <w:bCs/>
                <w:sz w:val="20"/>
              </w:rPr>
              <w:t xml:space="preserve"> previously treated with lenvatinib only (did not receive sorafenib)</w:t>
            </w:r>
            <w:r w:rsidRPr="00427986">
              <w:rPr>
                <w:rFonts w:ascii="Arial Narrow" w:eastAsiaTheme="majorEastAsia" w:hAnsi="Arial Narrow" w:cstheme="majorBidi"/>
                <w:bCs/>
                <w:sz w:val="20"/>
                <w:vertAlign w:val="superscript"/>
              </w:rPr>
              <w:footnoteReference w:id="23"/>
            </w:r>
            <w:r w:rsidRPr="00427986">
              <w:rPr>
                <w:rFonts w:ascii="Arial Narrow" w:eastAsiaTheme="majorEastAsia" w:hAnsi="Arial Narrow" w:cstheme="majorBidi"/>
                <w:bCs/>
                <w:sz w:val="20"/>
              </w:rPr>
              <w:t xml:space="preserve"> in the pivotal COSMIC-311 trial, consistent with the proposed PBS population of “adult patients with RAI-R DTC…with progressive disease…or have developed intolerance necessitating permanent treatment withdrawal, after first-line treatment with lenvatinib”. Th</w:t>
            </w:r>
            <w:r w:rsidR="004221D8" w:rsidRPr="00427986">
              <w:rPr>
                <w:rFonts w:ascii="Arial Narrow" w:eastAsiaTheme="majorEastAsia" w:hAnsi="Arial Narrow" w:cstheme="majorBidi"/>
                <w:bCs/>
                <w:sz w:val="20"/>
              </w:rPr>
              <w:t xml:space="preserve">e use of the subgroup </w:t>
            </w:r>
            <w:r w:rsidRPr="00427986">
              <w:rPr>
                <w:rFonts w:ascii="Arial Narrow" w:eastAsiaTheme="majorEastAsia" w:hAnsi="Arial Narrow" w:cstheme="majorBidi"/>
                <w:bCs/>
                <w:sz w:val="20"/>
              </w:rPr>
              <w:t xml:space="preserve">decreased the sample size </w:t>
            </w:r>
            <w:r w:rsidR="00B17422" w:rsidRPr="00427986">
              <w:rPr>
                <w:rFonts w:ascii="Arial Narrow" w:eastAsiaTheme="majorEastAsia" w:hAnsi="Arial Narrow" w:cstheme="majorBidi"/>
                <w:bCs/>
                <w:sz w:val="20"/>
              </w:rPr>
              <w:t>(the subgroup consisted of 102/258 = 40% of the Full ITT population)</w:t>
            </w:r>
            <w:r w:rsidR="00E120DC" w:rsidRPr="00427986">
              <w:rPr>
                <w:rFonts w:ascii="Arial Narrow" w:eastAsiaTheme="majorEastAsia" w:hAnsi="Arial Narrow" w:cstheme="majorBidi"/>
                <w:bCs/>
                <w:sz w:val="20"/>
              </w:rPr>
              <w:t xml:space="preserve">, </w:t>
            </w:r>
            <w:r w:rsidRPr="00427986">
              <w:rPr>
                <w:rFonts w:ascii="Arial Narrow" w:eastAsiaTheme="majorEastAsia" w:hAnsi="Arial Narrow" w:cstheme="majorBidi"/>
                <w:bCs/>
                <w:sz w:val="20"/>
              </w:rPr>
              <w:t>increas</w:t>
            </w:r>
            <w:r w:rsidR="00E120DC" w:rsidRPr="00427986">
              <w:rPr>
                <w:rFonts w:ascii="Arial Narrow" w:eastAsiaTheme="majorEastAsia" w:hAnsi="Arial Narrow" w:cstheme="majorBidi"/>
                <w:bCs/>
                <w:sz w:val="20"/>
              </w:rPr>
              <w:t xml:space="preserve">ing the </w:t>
            </w:r>
            <w:r w:rsidRPr="00427986">
              <w:rPr>
                <w:rFonts w:ascii="Arial Narrow" w:eastAsiaTheme="majorEastAsia" w:hAnsi="Arial Narrow" w:cstheme="majorBidi"/>
                <w:bCs/>
                <w:sz w:val="20"/>
              </w:rPr>
              <w:t>uncertainty in the results</w:t>
            </w:r>
            <w:bookmarkStart w:id="62" w:name="_Hlk144809370"/>
            <w:r w:rsidR="00E120DC" w:rsidRPr="00427986">
              <w:rPr>
                <w:rFonts w:ascii="Arial Narrow" w:eastAsiaTheme="majorEastAsia" w:hAnsi="Arial Narrow" w:cstheme="majorBidi"/>
                <w:bCs/>
                <w:sz w:val="20"/>
              </w:rPr>
              <w:t>.</w:t>
            </w:r>
          </w:p>
          <w:bookmarkEnd w:id="62"/>
          <w:p w14:paraId="5672F494" w14:textId="7E8B8C3A" w:rsidR="00763EF2" w:rsidRPr="00427986" w:rsidRDefault="00763EF2" w:rsidP="005F1914">
            <w:pPr>
              <w:keepNext/>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 xml:space="preserve">Additional population: </w:t>
            </w:r>
            <w:r w:rsidR="00B17422" w:rsidRPr="00427986">
              <w:rPr>
                <w:rFonts w:ascii="Arial Narrow" w:eastAsiaTheme="majorEastAsia" w:hAnsi="Arial Narrow" w:cstheme="majorBidi"/>
                <w:bCs/>
                <w:sz w:val="20"/>
              </w:rPr>
              <w:t>o</w:t>
            </w:r>
            <w:r w:rsidRPr="00427986">
              <w:rPr>
                <w:rFonts w:ascii="Arial Narrow" w:eastAsiaTheme="majorEastAsia" w:hAnsi="Arial Narrow" w:cstheme="majorBidi"/>
                <w:bCs/>
                <w:sz w:val="20"/>
              </w:rPr>
              <w:t xml:space="preserve">verall patient population in the COSMIC-311 trial, to “provide further confidence around the conservative nature of the assumptions applied”. The ICER was sensitive to the population used to estimate efficacy. </w:t>
            </w:r>
          </w:p>
        </w:tc>
      </w:tr>
      <w:tr w:rsidR="00763EF2" w:rsidRPr="00427986" w14:paraId="26DA25AB" w14:textId="77777777" w:rsidTr="005F1914">
        <w:trPr>
          <w:cantSplit/>
        </w:trPr>
        <w:tc>
          <w:tcPr>
            <w:tcW w:w="862" w:type="pct"/>
            <w:shd w:val="clear" w:color="auto" w:fill="auto"/>
            <w:vAlign w:val="center"/>
          </w:tcPr>
          <w:p w14:paraId="77668749" w14:textId="77777777" w:rsidR="00763EF2" w:rsidRPr="00427986" w:rsidRDefault="00763EF2" w:rsidP="005F1914">
            <w:pPr>
              <w:keepNext/>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Treatments</w:t>
            </w:r>
          </w:p>
        </w:tc>
        <w:tc>
          <w:tcPr>
            <w:tcW w:w="4138" w:type="pct"/>
            <w:shd w:val="clear" w:color="auto" w:fill="auto"/>
            <w:vAlign w:val="center"/>
          </w:tcPr>
          <w:p w14:paraId="3360E266" w14:textId="7AB13F64" w:rsidR="00763EF2" w:rsidRPr="00427986" w:rsidRDefault="00763EF2" w:rsidP="005F1914">
            <w:pPr>
              <w:keepNext/>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 xml:space="preserve">Cabozantinib as an adjunct to BSC versus BSC alone (matched placebo). This </w:t>
            </w:r>
            <w:r w:rsidR="00B17422" w:rsidRPr="00427986">
              <w:rPr>
                <w:rFonts w:ascii="Arial Narrow" w:eastAsiaTheme="majorEastAsia" w:hAnsi="Arial Narrow" w:cstheme="majorBidi"/>
                <w:bCs/>
                <w:sz w:val="20"/>
              </w:rPr>
              <w:t xml:space="preserve">was </w:t>
            </w:r>
            <w:r w:rsidRPr="00427986">
              <w:rPr>
                <w:rFonts w:ascii="Arial Narrow" w:eastAsiaTheme="majorEastAsia" w:hAnsi="Arial Narrow" w:cstheme="majorBidi"/>
                <w:bCs/>
                <w:sz w:val="20"/>
              </w:rPr>
              <w:t>consistent with the proposed listing.</w:t>
            </w:r>
          </w:p>
        </w:tc>
      </w:tr>
      <w:tr w:rsidR="00763EF2" w:rsidRPr="00427986" w14:paraId="06593538" w14:textId="77777777" w:rsidTr="005F1914">
        <w:trPr>
          <w:cantSplit/>
        </w:trPr>
        <w:tc>
          <w:tcPr>
            <w:tcW w:w="862" w:type="pct"/>
            <w:shd w:val="clear" w:color="auto" w:fill="auto"/>
            <w:vAlign w:val="center"/>
          </w:tcPr>
          <w:p w14:paraId="19E3D6F5" w14:textId="77777777" w:rsidR="00763EF2" w:rsidRPr="00427986" w:rsidRDefault="00763EF2" w:rsidP="005F1914">
            <w:pPr>
              <w:keepNext/>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Time horizon</w:t>
            </w:r>
          </w:p>
        </w:tc>
        <w:tc>
          <w:tcPr>
            <w:tcW w:w="4138" w:type="pct"/>
            <w:shd w:val="clear" w:color="auto" w:fill="auto"/>
            <w:vAlign w:val="center"/>
          </w:tcPr>
          <w:p w14:paraId="54BA3391" w14:textId="43E2D89D" w:rsidR="00763EF2" w:rsidRPr="00427986" w:rsidRDefault="00763EF2" w:rsidP="005F1914">
            <w:pPr>
              <w:keepNext/>
              <w:spacing w:before="20" w:after="20"/>
              <w:jc w:val="left"/>
              <w:rPr>
                <w:rFonts w:ascii="Arial Narrow" w:eastAsiaTheme="majorEastAsia" w:hAnsi="Arial Narrow" w:cstheme="majorBidi"/>
                <w:sz w:val="20"/>
                <w:szCs w:val="20"/>
              </w:rPr>
            </w:pPr>
            <w:r w:rsidRPr="00427986">
              <w:rPr>
                <w:rFonts w:ascii="Arial Narrow" w:eastAsiaTheme="majorEastAsia" w:hAnsi="Arial Narrow" w:cstheme="majorBidi"/>
                <w:sz w:val="20"/>
                <w:szCs w:val="20"/>
              </w:rPr>
              <w:t xml:space="preserve">Five years in the model base case versus 10.1 months of median follow-up in the pivotal COSMIC-311 trial. The submission considered the 5-year time horizon reasonable as the median survival of patients with RAI-refractory DTC was 2.5 to 3.5 years. The time horizon in the model was long compared to the follow-up duration (median 10.1 months) in the COSMIC-311 trial. </w:t>
            </w:r>
            <w:r w:rsidR="00180F22" w:rsidRPr="00427986">
              <w:rPr>
                <w:rFonts w:ascii="Arial Narrow" w:eastAsiaTheme="majorEastAsia" w:hAnsi="Arial Narrow" w:cstheme="majorBidi"/>
                <w:sz w:val="20"/>
                <w:szCs w:val="20"/>
              </w:rPr>
              <w:t xml:space="preserve">However, </w:t>
            </w:r>
            <w:r w:rsidRPr="00427986">
              <w:rPr>
                <w:rFonts w:ascii="Arial Narrow" w:eastAsiaTheme="majorEastAsia" w:hAnsi="Arial Narrow" w:cstheme="majorBidi"/>
                <w:sz w:val="20"/>
                <w:szCs w:val="20"/>
              </w:rPr>
              <w:t xml:space="preserve">sensitivity analyses </w:t>
            </w:r>
            <w:r w:rsidR="00180F22" w:rsidRPr="00427986">
              <w:rPr>
                <w:rFonts w:ascii="Arial Narrow" w:eastAsiaTheme="majorEastAsia" w:hAnsi="Arial Narrow" w:cstheme="majorBidi"/>
                <w:sz w:val="20"/>
                <w:szCs w:val="20"/>
              </w:rPr>
              <w:t>demonstrated</w:t>
            </w:r>
            <w:r w:rsidRPr="00427986">
              <w:rPr>
                <w:rFonts w:ascii="Arial Narrow" w:eastAsiaTheme="majorEastAsia" w:hAnsi="Arial Narrow" w:cstheme="majorBidi"/>
                <w:sz w:val="20"/>
                <w:szCs w:val="20"/>
              </w:rPr>
              <w:t xml:space="preserve"> that the ICER stabilised after three years as most patients had died by this time. </w:t>
            </w:r>
          </w:p>
        </w:tc>
      </w:tr>
      <w:tr w:rsidR="00763EF2" w:rsidRPr="00427986" w14:paraId="5C755ABA" w14:textId="77777777" w:rsidTr="005F1914">
        <w:trPr>
          <w:cantSplit/>
        </w:trPr>
        <w:tc>
          <w:tcPr>
            <w:tcW w:w="862" w:type="pct"/>
            <w:shd w:val="clear" w:color="auto" w:fill="auto"/>
            <w:vAlign w:val="center"/>
          </w:tcPr>
          <w:p w14:paraId="275B5C45" w14:textId="77777777" w:rsidR="00763EF2" w:rsidRPr="00427986" w:rsidRDefault="00763EF2" w:rsidP="005F1914">
            <w:pPr>
              <w:keepNext/>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Outcomes</w:t>
            </w:r>
          </w:p>
        </w:tc>
        <w:tc>
          <w:tcPr>
            <w:tcW w:w="4138" w:type="pct"/>
            <w:shd w:val="clear" w:color="auto" w:fill="auto"/>
            <w:vAlign w:val="center"/>
          </w:tcPr>
          <w:p w14:paraId="76EF7C02" w14:textId="1E6C530C" w:rsidR="00763EF2" w:rsidRPr="00427986" w:rsidRDefault="00763EF2" w:rsidP="005F1914">
            <w:pPr>
              <w:keepNext/>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Cost per LY gained, cost per QALY gained.</w:t>
            </w:r>
          </w:p>
        </w:tc>
      </w:tr>
      <w:tr w:rsidR="00763EF2" w:rsidRPr="00427986" w14:paraId="0389D702" w14:textId="77777777" w:rsidTr="005F1914">
        <w:trPr>
          <w:cantSplit/>
        </w:trPr>
        <w:tc>
          <w:tcPr>
            <w:tcW w:w="862" w:type="pct"/>
            <w:shd w:val="clear" w:color="auto" w:fill="auto"/>
            <w:vAlign w:val="center"/>
          </w:tcPr>
          <w:p w14:paraId="1D26711B" w14:textId="77777777" w:rsidR="00763EF2" w:rsidRPr="00427986" w:rsidRDefault="00763EF2" w:rsidP="005F1914">
            <w:pPr>
              <w:keepNext/>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Methods used to generate results</w:t>
            </w:r>
          </w:p>
        </w:tc>
        <w:tc>
          <w:tcPr>
            <w:tcW w:w="4138" w:type="pct"/>
            <w:shd w:val="clear" w:color="auto" w:fill="auto"/>
            <w:vAlign w:val="center"/>
          </w:tcPr>
          <w:p w14:paraId="66CDE2FC" w14:textId="68E2D122" w:rsidR="00763EF2" w:rsidRPr="00427986" w:rsidRDefault="00763EF2" w:rsidP="005F1914">
            <w:pPr>
              <w:keepNext/>
              <w:spacing w:before="20" w:after="20"/>
              <w:jc w:val="left"/>
              <w:rPr>
                <w:rFonts w:ascii="Arial Narrow" w:eastAsiaTheme="majorEastAsia" w:hAnsi="Arial Narrow" w:cstheme="majorBidi"/>
                <w:sz w:val="20"/>
                <w:szCs w:val="20"/>
              </w:rPr>
            </w:pPr>
            <w:r w:rsidRPr="00427986">
              <w:rPr>
                <w:rFonts w:ascii="Arial Narrow" w:eastAsiaTheme="majorEastAsia" w:hAnsi="Arial Narrow" w:cstheme="majorBidi"/>
                <w:sz w:val="20"/>
                <w:szCs w:val="20"/>
              </w:rPr>
              <w:t xml:space="preserve">Partitioned survival analysis. </w:t>
            </w:r>
          </w:p>
        </w:tc>
      </w:tr>
      <w:tr w:rsidR="00763EF2" w:rsidRPr="00427986" w14:paraId="6C2AD313" w14:textId="77777777" w:rsidTr="005F1914">
        <w:trPr>
          <w:cantSplit/>
        </w:trPr>
        <w:tc>
          <w:tcPr>
            <w:tcW w:w="862" w:type="pct"/>
            <w:shd w:val="clear" w:color="auto" w:fill="auto"/>
            <w:vAlign w:val="center"/>
          </w:tcPr>
          <w:p w14:paraId="5A0A2C0F" w14:textId="77777777" w:rsidR="00763EF2" w:rsidRPr="00427986" w:rsidRDefault="00763EF2" w:rsidP="005F1914">
            <w:pPr>
              <w:keepNext/>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Health states</w:t>
            </w:r>
          </w:p>
        </w:tc>
        <w:tc>
          <w:tcPr>
            <w:tcW w:w="4138" w:type="pct"/>
            <w:shd w:val="clear" w:color="auto" w:fill="auto"/>
            <w:vAlign w:val="center"/>
          </w:tcPr>
          <w:p w14:paraId="53492E77" w14:textId="77777777" w:rsidR="00763EF2" w:rsidRPr="00427986" w:rsidRDefault="00763EF2" w:rsidP="005F1914">
            <w:pPr>
              <w:keepNext/>
              <w:jc w:val="left"/>
              <w:rPr>
                <w:rFonts w:ascii="Arial Narrow" w:eastAsiaTheme="majorEastAsia" w:hAnsi="Arial Narrow" w:cstheme="majorBidi"/>
                <w:bCs/>
                <w:sz w:val="20"/>
              </w:rPr>
            </w:pPr>
            <w:r w:rsidRPr="00427986">
              <w:rPr>
                <w:rFonts w:ascii="Arial Narrow" w:eastAsiaTheme="majorEastAsia" w:hAnsi="Arial Narrow" w:cstheme="majorBidi"/>
                <w:bCs/>
                <w:sz w:val="20"/>
              </w:rPr>
              <w:t xml:space="preserve">Three health states: </w:t>
            </w:r>
          </w:p>
          <w:p w14:paraId="39885E1A" w14:textId="562846BC" w:rsidR="00763EF2" w:rsidRPr="00427986" w:rsidRDefault="00763EF2" w:rsidP="00427986">
            <w:pPr>
              <w:keepNext/>
              <w:numPr>
                <w:ilvl w:val="0"/>
                <w:numId w:val="11"/>
              </w:numPr>
              <w:jc w:val="left"/>
              <w:rPr>
                <w:rFonts w:ascii="Arial Narrow" w:eastAsiaTheme="majorEastAsia" w:hAnsi="Arial Narrow" w:cstheme="majorBidi"/>
                <w:bCs/>
                <w:sz w:val="20"/>
              </w:rPr>
            </w:pPr>
            <w:r w:rsidRPr="00427986">
              <w:rPr>
                <w:rFonts w:ascii="Arial Narrow" w:eastAsiaTheme="majorEastAsia" w:hAnsi="Arial Narrow" w:cstheme="majorBidi"/>
                <w:bCs/>
                <w:sz w:val="20"/>
              </w:rPr>
              <w:t>Pre-progression (also referred to as stable disease or progression-free),</w:t>
            </w:r>
          </w:p>
          <w:p w14:paraId="3F8EE13D" w14:textId="2BE50BFB" w:rsidR="00763EF2" w:rsidRPr="00427986" w:rsidRDefault="00763EF2" w:rsidP="00427986">
            <w:pPr>
              <w:keepNext/>
              <w:numPr>
                <w:ilvl w:val="0"/>
                <w:numId w:val="11"/>
              </w:numPr>
              <w:jc w:val="left"/>
              <w:rPr>
                <w:rFonts w:ascii="Arial Narrow" w:eastAsiaTheme="majorEastAsia" w:hAnsi="Arial Narrow" w:cstheme="majorBidi"/>
                <w:bCs/>
                <w:sz w:val="20"/>
              </w:rPr>
            </w:pPr>
            <w:r w:rsidRPr="00427986">
              <w:rPr>
                <w:rFonts w:ascii="Arial Narrow" w:eastAsiaTheme="majorEastAsia" w:hAnsi="Arial Narrow" w:cstheme="majorBidi"/>
                <w:bCs/>
                <w:sz w:val="20"/>
              </w:rPr>
              <w:t>Post-progression (also referred to as progressive or progressed disease),</w:t>
            </w:r>
          </w:p>
          <w:p w14:paraId="77EA2217" w14:textId="040E1D79" w:rsidR="00763EF2" w:rsidRPr="00427986" w:rsidRDefault="00763EF2" w:rsidP="00427986">
            <w:pPr>
              <w:keepNext/>
              <w:numPr>
                <w:ilvl w:val="0"/>
                <w:numId w:val="11"/>
              </w:numPr>
              <w:jc w:val="left"/>
              <w:rPr>
                <w:rFonts w:ascii="Arial Narrow" w:eastAsiaTheme="majorEastAsia" w:hAnsi="Arial Narrow" w:cstheme="majorBidi"/>
                <w:bCs/>
                <w:sz w:val="20"/>
              </w:rPr>
            </w:pPr>
            <w:r w:rsidRPr="00427986">
              <w:rPr>
                <w:rFonts w:ascii="Arial Narrow" w:eastAsiaTheme="majorEastAsia" w:hAnsi="Arial Narrow" w:cstheme="majorBidi"/>
                <w:bCs/>
                <w:sz w:val="20"/>
              </w:rPr>
              <w:t>Death.</w:t>
            </w:r>
          </w:p>
        </w:tc>
      </w:tr>
      <w:tr w:rsidR="00763EF2" w:rsidRPr="00427986" w14:paraId="1E7B13D8" w14:textId="77777777" w:rsidTr="005F1914">
        <w:trPr>
          <w:cantSplit/>
        </w:trPr>
        <w:tc>
          <w:tcPr>
            <w:tcW w:w="862" w:type="pct"/>
            <w:shd w:val="clear" w:color="auto" w:fill="auto"/>
            <w:vAlign w:val="center"/>
          </w:tcPr>
          <w:p w14:paraId="41F07085" w14:textId="77777777" w:rsidR="00763EF2" w:rsidRPr="00427986" w:rsidRDefault="00763EF2" w:rsidP="005F1914">
            <w:pPr>
              <w:keepNext/>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Cycle length</w:t>
            </w:r>
          </w:p>
        </w:tc>
        <w:tc>
          <w:tcPr>
            <w:tcW w:w="4138" w:type="pct"/>
            <w:shd w:val="clear" w:color="auto" w:fill="auto"/>
            <w:vAlign w:val="center"/>
          </w:tcPr>
          <w:p w14:paraId="2C2EE7B0" w14:textId="1AF8961F" w:rsidR="00763EF2" w:rsidRPr="00427986" w:rsidRDefault="00763EF2" w:rsidP="005F1914">
            <w:pPr>
              <w:keepNext/>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Four weeks (28 days) (with half-cycle correction).</w:t>
            </w:r>
            <w:r w:rsidR="00B17422" w:rsidRPr="00427986">
              <w:rPr>
                <w:rFonts w:ascii="Arial Narrow" w:eastAsiaTheme="majorEastAsia" w:hAnsi="Arial Narrow" w:cstheme="majorBidi"/>
                <w:bCs/>
                <w:sz w:val="20"/>
              </w:rPr>
              <w:t xml:space="preserve"> </w:t>
            </w:r>
            <w:r w:rsidRPr="00427986">
              <w:rPr>
                <w:rFonts w:ascii="Arial Narrow" w:eastAsiaTheme="majorEastAsia" w:hAnsi="Arial Narrow" w:cstheme="majorBidi"/>
                <w:bCs/>
                <w:sz w:val="20"/>
              </w:rPr>
              <w:t xml:space="preserve">Using a 28-day model cycle rather than a 30-day cycle (30 tablets per script, a 30-day supply per script) increased the number of cycles per year and slightly overestimated the monitoring costs for cabozantinib treatment as these were incurred every cycle for those on treatment. </w:t>
            </w:r>
          </w:p>
        </w:tc>
      </w:tr>
      <w:tr w:rsidR="00763EF2" w:rsidRPr="00427986" w14:paraId="3E18FCFA" w14:textId="77777777" w:rsidTr="005F1914">
        <w:trPr>
          <w:cantSplit/>
        </w:trPr>
        <w:tc>
          <w:tcPr>
            <w:tcW w:w="862" w:type="pct"/>
            <w:shd w:val="clear" w:color="auto" w:fill="auto"/>
            <w:vAlign w:val="center"/>
          </w:tcPr>
          <w:p w14:paraId="72B51531" w14:textId="77777777" w:rsidR="00763EF2" w:rsidRPr="00427986" w:rsidRDefault="00763EF2" w:rsidP="00CB4A1F">
            <w:pPr>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 xml:space="preserve">Allocation to health states </w:t>
            </w:r>
          </w:p>
        </w:tc>
        <w:tc>
          <w:tcPr>
            <w:tcW w:w="4138" w:type="pct"/>
            <w:shd w:val="clear" w:color="auto" w:fill="auto"/>
            <w:vAlign w:val="center"/>
          </w:tcPr>
          <w:p w14:paraId="27FADCD5" w14:textId="39DC1891" w:rsidR="00763EF2" w:rsidRPr="00427986" w:rsidRDefault="00763EF2" w:rsidP="00CB4A1F">
            <w:pPr>
              <w:spacing w:before="20" w:after="20"/>
              <w:jc w:val="left"/>
              <w:rPr>
                <w:rFonts w:ascii="Arial Narrow" w:eastAsiaTheme="majorEastAsia" w:hAnsi="Arial Narrow" w:cstheme="majorBidi"/>
                <w:sz w:val="20"/>
                <w:szCs w:val="20"/>
              </w:rPr>
            </w:pPr>
            <w:r w:rsidRPr="00427986">
              <w:rPr>
                <w:rFonts w:ascii="Arial Narrow" w:eastAsiaTheme="majorEastAsia" w:hAnsi="Arial Narrow" w:cstheme="majorBidi"/>
                <w:sz w:val="20"/>
                <w:szCs w:val="20"/>
              </w:rPr>
              <w:t>Kaplan-Meier curves for PFS, TTD, and OS (adjusted using RPSFT) for the sub-group previously treated with lenvatinib only from the COSMIC-311 trial and applied up to 10.1</w:t>
            </w:r>
            <w:r w:rsidRPr="00427986">
              <w:rPr>
                <w:rFonts w:ascii="Arial Narrow" w:eastAsiaTheme="majorEastAsia" w:hAnsi="Arial Narrow" w:cstheme="majorBidi"/>
                <w:sz w:val="20"/>
                <w:szCs w:val="20"/>
                <w:vertAlign w:val="superscript"/>
              </w:rPr>
              <w:t>a</w:t>
            </w:r>
            <w:r w:rsidRPr="00427986">
              <w:rPr>
                <w:rFonts w:ascii="Arial Narrow" w:eastAsiaTheme="majorEastAsia" w:hAnsi="Arial Narrow" w:cstheme="majorBidi"/>
                <w:sz w:val="20"/>
                <w:szCs w:val="20"/>
              </w:rPr>
              <w:t xml:space="preserve"> months, the median follow-up of the COSMIC-311 trial). The submission did not present the RPSFT analysis for the </w:t>
            </w:r>
            <w:r w:rsidR="004F7B9A" w:rsidRPr="00427986">
              <w:rPr>
                <w:rFonts w:ascii="Arial Narrow" w:eastAsiaTheme="majorEastAsia" w:hAnsi="Arial Narrow" w:cstheme="majorBidi"/>
                <w:sz w:val="20"/>
                <w:szCs w:val="20"/>
              </w:rPr>
              <w:t>subgroup</w:t>
            </w:r>
            <w:r w:rsidRPr="00427986">
              <w:rPr>
                <w:rFonts w:ascii="Arial Narrow" w:eastAsiaTheme="majorEastAsia" w:hAnsi="Arial Narrow" w:cstheme="majorBidi"/>
                <w:sz w:val="20"/>
                <w:szCs w:val="20"/>
              </w:rPr>
              <w:t xml:space="preserve"> of patients who were previously treated with lenvatinib only</w:t>
            </w:r>
            <w:r w:rsidR="00B17422" w:rsidRPr="00427986">
              <w:rPr>
                <w:rFonts w:ascii="Arial Narrow" w:eastAsiaTheme="majorEastAsia" w:hAnsi="Arial Narrow" w:cstheme="majorBidi"/>
                <w:sz w:val="20"/>
                <w:szCs w:val="20"/>
              </w:rPr>
              <w:t>, therefore the effect of the adjustment on overall survival could not be assessed</w:t>
            </w:r>
            <w:r w:rsidRPr="00427986">
              <w:rPr>
                <w:rFonts w:ascii="Arial Narrow" w:eastAsiaTheme="majorEastAsia" w:hAnsi="Arial Narrow" w:cstheme="majorBidi"/>
                <w:sz w:val="20"/>
                <w:szCs w:val="20"/>
              </w:rPr>
              <w:t>.</w:t>
            </w:r>
            <w:r w:rsidR="004221D8" w:rsidRPr="00427986">
              <w:rPr>
                <w:rFonts w:ascii="Arial Narrow" w:eastAsiaTheme="majorEastAsia" w:hAnsi="Arial Narrow" w:cstheme="majorBidi"/>
                <w:sz w:val="20"/>
                <w:szCs w:val="20"/>
              </w:rPr>
              <w:t xml:space="preserve"> The results were presented in the PSCR (see paragraph </w:t>
            </w:r>
            <w:r w:rsidR="00985104">
              <w:rPr>
                <w:rFonts w:ascii="Arial Narrow" w:eastAsiaTheme="majorEastAsia" w:hAnsi="Arial Narrow" w:cstheme="majorBidi"/>
                <w:sz w:val="20"/>
                <w:szCs w:val="20"/>
              </w:rPr>
              <w:fldChar w:fldCharType="begin" w:fldLock="1"/>
            </w:r>
            <w:r w:rsidR="00985104">
              <w:rPr>
                <w:rFonts w:ascii="Arial Narrow" w:eastAsiaTheme="majorEastAsia" w:hAnsi="Arial Narrow" w:cstheme="majorBidi"/>
                <w:sz w:val="20"/>
                <w:szCs w:val="20"/>
              </w:rPr>
              <w:instrText xml:space="preserve"> REF _Ref147750694 \r \h </w:instrText>
            </w:r>
            <w:r w:rsidR="00985104">
              <w:rPr>
                <w:rFonts w:ascii="Arial Narrow" w:eastAsiaTheme="majorEastAsia" w:hAnsi="Arial Narrow" w:cstheme="majorBidi"/>
                <w:sz w:val="20"/>
                <w:szCs w:val="20"/>
              </w:rPr>
            </w:r>
            <w:r w:rsidR="00985104">
              <w:rPr>
                <w:rFonts w:ascii="Arial Narrow" w:eastAsiaTheme="majorEastAsia" w:hAnsi="Arial Narrow" w:cstheme="majorBidi"/>
                <w:sz w:val="20"/>
                <w:szCs w:val="20"/>
              </w:rPr>
              <w:fldChar w:fldCharType="separate"/>
            </w:r>
            <w:r w:rsidR="00993AD9">
              <w:rPr>
                <w:rFonts w:ascii="Arial Narrow" w:eastAsiaTheme="majorEastAsia" w:hAnsi="Arial Narrow" w:cstheme="majorBidi"/>
                <w:sz w:val="20"/>
                <w:szCs w:val="20"/>
              </w:rPr>
              <w:t>6.35</w:t>
            </w:r>
            <w:r w:rsidR="00985104">
              <w:rPr>
                <w:rFonts w:ascii="Arial Narrow" w:eastAsiaTheme="majorEastAsia" w:hAnsi="Arial Narrow" w:cstheme="majorBidi"/>
                <w:sz w:val="20"/>
                <w:szCs w:val="20"/>
              </w:rPr>
              <w:fldChar w:fldCharType="end"/>
            </w:r>
            <w:r w:rsidR="00985104">
              <w:rPr>
                <w:rFonts w:ascii="Arial Narrow" w:eastAsiaTheme="majorEastAsia" w:hAnsi="Arial Narrow" w:cstheme="majorBidi"/>
                <w:sz w:val="20"/>
                <w:szCs w:val="20"/>
              </w:rPr>
              <w:t>)</w:t>
            </w:r>
            <w:r w:rsidR="004221D8" w:rsidRPr="00427986">
              <w:rPr>
                <w:rFonts w:ascii="Arial Narrow" w:eastAsiaTheme="majorEastAsia" w:hAnsi="Arial Narrow" w:cstheme="majorBidi"/>
                <w:sz w:val="20"/>
                <w:szCs w:val="20"/>
              </w:rPr>
              <w:t>.</w:t>
            </w:r>
          </w:p>
          <w:p w14:paraId="0EA07E46" w14:textId="1304F275" w:rsidR="00763EF2" w:rsidRPr="00427986" w:rsidRDefault="00763EF2" w:rsidP="00180F22">
            <w:pPr>
              <w:spacing w:before="20" w:after="20"/>
              <w:jc w:val="left"/>
              <w:rPr>
                <w:rFonts w:ascii="Arial Narrow" w:eastAsiaTheme="majorEastAsia" w:hAnsi="Arial Narrow" w:cstheme="majorBidi"/>
                <w:sz w:val="20"/>
                <w:szCs w:val="20"/>
              </w:rPr>
            </w:pPr>
            <w:r w:rsidRPr="00427986">
              <w:rPr>
                <w:rFonts w:ascii="Arial Narrow" w:eastAsiaTheme="majorEastAsia" w:hAnsi="Arial Narrow" w:cstheme="majorBidi"/>
                <w:sz w:val="20"/>
                <w:szCs w:val="20"/>
              </w:rPr>
              <w:t xml:space="preserve">Beyond 10.1 months, parametric survival functions were used for extrapolation. </w:t>
            </w:r>
            <w:r w:rsidR="00180F22" w:rsidRPr="00427986">
              <w:rPr>
                <w:rFonts w:ascii="Arial Narrow" w:eastAsiaTheme="majorEastAsia" w:hAnsi="Arial Narrow" w:cstheme="majorBidi"/>
                <w:sz w:val="20"/>
                <w:szCs w:val="20"/>
              </w:rPr>
              <w:t>S</w:t>
            </w:r>
            <w:r w:rsidRPr="00427986">
              <w:rPr>
                <w:rFonts w:ascii="Arial Narrow" w:eastAsiaTheme="majorEastAsia" w:hAnsi="Arial Narrow" w:cstheme="majorBidi"/>
                <w:sz w:val="20"/>
                <w:szCs w:val="20"/>
              </w:rPr>
              <w:t xml:space="preserve">ensitivity analyses </w:t>
            </w:r>
            <w:r w:rsidR="00180F22" w:rsidRPr="00427986">
              <w:rPr>
                <w:rFonts w:ascii="Arial Narrow" w:eastAsiaTheme="majorEastAsia" w:hAnsi="Arial Narrow" w:cstheme="majorBidi"/>
                <w:sz w:val="20"/>
                <w:szCs w:val="20"/>
              </w:rPr>
              <w:t>applying</w:t>
            </w:r>
            <w:r w:rsidRPr="00427986">
              <w:rPr>
                <w:rFonts w:ascii="Arial Narrow" w:eastAsiaTheme="majorEastAsia" w:hAnsi="Arial Narrow" w:cstheme="majorBidi"/>
                <w:sz w:val="20"/>
                <w:szCs w:val="20"/>
              </w:rPr>
              <w:t xml:space="preserve"> extrapolation from 9 and 12 months </w:t>
            </w:r>
            <w:r w:rsidR="00180F22" w:rsidRPr="00427986">
              <w:rPr>
                <w:rFonts w:ascii="Arial Narrow" w:eastAsiaTheme="majorEastAsia" w:hAnsi="Arial Narrow" w:cstheme="majorBidi"/>
                <w:sz w:val="20"/>
                <w:szCs w:val="20"/>
              </w:rPr>
              <w:t xml:space="preserve">resulted in </w:t>
            </w:r>
            <w:r w:rsidRPr="00427986">
              <w:rPr>
                <w:rFonts w:ascii="Arial Narrow" w:eastAsiaTheme="majorEastAsia" w:hAnsi="Arial Narrow" w:cstheme="majorBidi"/>
                <w:sz w:val="20"/>
                <w:szCs w:val="20"/>
              </w:rPr>
              <w:t xml:space="preserve">broadly similar </w:t>
            </w:r>
            <w:r w:rsidR="00180F22" w:rsidRPr="00427986">
              <w:rPr>
                <w:rFonts w:ascii="Arial Narrow" w:eastAsiaTheme="majorEastAsia" w:hAnsi="Arial Narrow" w:cstheme="majorBidi"/>
                <w:sz w:val="20"/>
                <w:szCs w:val="20"/>
              </w:rPr>
              <w:t xml:space="preserve">ICERs compared </w:t>
            </w:r>
            <w:r w:rsidRPr="00427986">
              <w:rPr>
                <w:rFonts w:ascii="Arial Narrow" w:eastAsiaTheme="majorEastAsia" w:hAnsi="Arial Narrow" w:cstheme="majorBidi"/>
                <w:sz w:val="20"/>
                <w:szCs w:val="20"/>
              </w:rPr>
              <w:t>to the base case</w:t>
            </w:r>
            <w:r w:rsidR="00BA636C" w:rsidRPr="00427986">
              <w:rPr>
                <w:rFonts w:ascii="Arial Narrow" w:eastAsiaTheme="majorEastAsia" w:hAnsi="Arial Narrow" w:cstheme="majorBidi"/>
                <w:sz w:val="20"/>
                <w:szCs w:val="20"/>
              </w:rPr>
              <w:t xml:space="preserve">. </w:t>
            </w:r>
          </w:p>
        </w:tc>
      </w:tr>
      <w:tr w:rsidR="00763EF2" w:rsidRPr="00427986" w14:paraId="79ECAE8D" w14:textId="77777777" w:rsidTr="005F1914">
        <w:trPr>
          <w:cantSplit/>
        </w:trPr>
        <w:tc>
          <w:tcPr>
            <w:tcW w:w="862" w:type="pct"/>
            <w:shd w:val="clear" w:color="auto" w:fill="auto"/>
            <w:vAlign w:val="center"/>
          </w:tcPr>
          <w:p w14:paraId="5FADC97A" w14:textId="77777777" w:rsidR="00763EF2" w:rsidRPr="00427986" w:rsidRDefault="00763EF2" w:rsidP="00CB4A1F">
            <w:pPr>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lastRenderedPageBreak/>
              <w:t>Extrapolation method</w:t>
            </w:r>
          </w:p>
        </w:tc>
        <w:tc>
          <w:tcPr>
            <w:tcW w:w="4138" w:type="pct"/>
            <w:shd w:val="clear" w:color="auto" w:fill="auto"/>
            <w:vAlign w:val="center"/>
          </w:tcPr>
          <w:p w14:paraId="2917322D" w14:textId="192186AF" w:rsidR="00763EF2" w:rsidRPr="00427986" w:rsidRDefault="00763EF2" w:rsidP="00CB4A1F">
            <w:pPr>
              <w:spacing w:before="20" w:after="20"/>
              <w:jc w:val="left"/>
              <w:rPr>
                <w:rFonts w:ascii="Arial Narrow" w:eastAsiaTheme="majorEastAsia" w:hAnsi="Arial Narrow" w:cstheme="majorBidi"/>
                <w:sz w:val="20"/>
                <w:szCs w:val="20"/>
              </w:rPr>
            </w:pPr>
            <w:r w:rsidRPr="00427986">
              <w:rPr>
                <w:rFonts w:ascii="Arial Narrow" w:eastAsiaTheme="majorEastAsia" w:hAnsi="Arial Narrow" w:cstheme="majorBidi"/>
                <w:sz w:val="20"/>
                <w:szCs w:val="20"/>
                <w:lang w:val="en-US"/>
              </w:rPr>
              <w:t>Outcomes beyond 10.1 months were extrapolated using different parametric survival functions for the cabozantinib (+BSC) and BSC arms (</w:t>
            </w:r>
            <w:r w:rsidRPr="00427986">
              <w:rPr>
                <w:rFonts w:ascii="Arial Narrow" w:eastAsiaTheme="majorEastAsia" w:hAnsi="Arial Narrow" w:cstheme="majorBidi"/>
                <w:sz w:val="20"/>
                <w:szCs w:val="20"/>
                <w:lang w:val="en-US"/>
              </w:rPr>
              <w:fldChar w:fldCharType="begin" w:fldLock="1"/>
            </w:r>
            <w:r w:rsidRPr="00427986">
              <w:rPr>
                <w:rFonts w:ascii="Arial Narrow" w:eastAsiaTheme="majorEastAsia" w:hAnsi="Arial Narrow" w:cstheme="majorBidi"/>
                <w:sz w:val="20"/>
                <w:szCs w:val="20"/>
                <w:lang w:val="en-US"/>
              </w:rPr>
              <w:instrText xml:space="preserve"> REF _Ref141559182 \h  \* MERGEFORMAT </w:instrText>
            </w:r>
            <w:r w:rsidRPr="00427986">
              <w:rPr>
                <w:rFonts w:ascii="Arial Narrow" w:eastAsiaTheme="majorEastAsia" w:hAnsi="Arial Narrow" w:cstheme="majorBidi"/>
                <w:sz w:val="20"/>
                <w:szCs w:val="20"/>
                <w:lang w:val="en-US"/>
              </w:rPr>
            </w:r>
            <w:r w:rsidRPr="00427986">
              <w:rPr>
                <w:rFonts w:ascii="Arial Narrow" w:eastAsiaTheme="majorEastAsia" w:hAnsi="Arial Narrow" w:cstheme="majorBidi"/>
                <w:sz w:val="20"/>
                <w:szCs w:val="20"/>
                <w:lang w:val="en-US"/>
              </w:rPr>
              <w:fldChar w:fldCharType="separate"/>
            </w:r>
            <w:r w:rsidR="008760F8" w:rsidRPr="008760F8">
              <w:rPr>
                <w:rFonts w:ascii="Arial Narrow" w:hAnsi="Arial Narrow"/>
                <w:sz w:val="20"/>
                <w:szCs w:val="18"/>
              </w:rPr>
              <w:t xml:space="preserve">Table </w:t>
            </w:r>
            <w:r w:rsidR="008760F8" w:rsidRPr="008760F8">
              <w:rPr>
                <w:rFonts w:ascii="Arial Narrow" w:hAnsi="Arial Narrow"/>
                <w:noProof/>
                <w:sz w:val="20"/>
                <w:szCs w:val="18"/>
              </w:rPr>
              <w:t>13</w:t>
            </w:r>
            <w:r w:rsidRPr="00427986">
              <w:rPr>
                <w:rFonts w:ascii="Arial Narrow" w:eastAsiaTheme="majorEastAsia" w:hAnsi="Arial Narrow" w:cstheme="majorBidi"/>
                <w:sz w:val="20"/>
                <w:szCs w:val="20"/>
                <w:lang w:val="en-US"/>
              </w:rPr>
              <w:fldChar w:fldCharType="end"/>
            </w:r>
            <w:r w:rsidRPr="00427986">
              <w:rPr>
                <w:rFonts w:ascii="Arial Narrow" w:eastAsiaTheme="majorEastAsia" w:hAnsi="Arial Narrow" w:cstheme="majorBidi"/>
                <w:sz w:val="20"/>
                <w:szCs w:val="20"/>
                <w:lang w:val="en-US"/>
              </w:rPr>
              <w:t>). The parametric survival functions were selected based on consideration of both the AIC and BIC.</w:t>
            </w:r>
            <w:r w:rsidRPr="00427986">
              <w:rPr>
                <w:rFonts w:ascii="Arial Narrow" w:eastAsiaTheme="majorEastAsia" w:hAnsi="Arial Narrow" w:cstheme="majorBidi"/>
                <w:sz w:val="20"/>
                <w:szCs w:val="20"/>
              </w:rPr>
              <w:t xml:space="preserve"> </w:t>
            </w:r>
            <w:r w:rsidRPr="00427986">
              <w:rPr>
                <w:rFonts w:ascii="Arial Narrow" w:eastAsiaTheme="majorEastAsia" w:hAnsi="Arial Narrow" w:cstheme="majorBidi"/>
                <w:sz w:val="20"/>
                <w:szCs w:val="20"/>
                <w:lang w:val="en-US"/>
              </w:rPr>
              <w:t xml:space="preserve">Other factors considered included the plausibility of the extrapolated curves (i.e., avoiding combinations of PFS and OS curves whereby the PFS extrapolation crosses the OS extrapolation), clinical plausibility and visual fit. The submission did not provide log-cumulative hazard plots to justify the rejection of the proportional hazard assumption. </w:t>
            </w:r>
            <w:r w:rsidR="004221D8" w:rsidRPr="00427986">
              <w:rPr>
                <w:rFonts w:ascii="Arial Narrow" w:eastAsiaTheme="majorEastAsia" w:hAnsi="Arial Narrow" w:cstheme="majorBidi"/>
                <w:sz w:val="20"/>
                <w:szCs w:val="20"/>
                <w:lang w:val="en-US"/>
              </w:rPr>
              <w:t xml:space="preserve">These were presented in the </w:t>
            </w:r>
            <w:proofErr w:type="gramStart"/>
            <w:r w:rsidR="004221D8" w:rsidRPr="00427986">
              <w:rPr>
                <w:rFonts w:ascii="Arial Narrow" w:eastAsiaTheme="majorEastAsia" w:hAnsi="Arial Narrow" w:cstheme="majorBidi"/>
                <w:sz w:val="20"/>
                <w:szCs w:val="20"/>
                <w:lang w:val="en-US"/>
              </w:rPr>
              <w:t>PSCR</w:t>
            </w:r>
            <w:proofErr w:type="gramEnd"/>
            <w:r w:rsidR="004221D8" w:rsidRPr="00427986">
              <w:rPr>
                <w:rFonts w:ascii="Arial Narrow" w:eastAsiaTheme="majorEastAsia" w:hAnsi="Arial Narrow" w:cstheme="majorBidi"/>
                <w:sz w:val="20"/>
                <w:szCs w:val="20"/>
                <w:lang w:val="en-US"/>
              </w:rPr>
              <w:t xml:space="preserve"> and it appeared that the proportional hazards assumption was violated, thus it may have been </w:t>
            </w:r>
            <w:r w:rsidRPr="00427986">
              <w:rPr>
                <w:rFonts w:ascii="Arial Narrow" w:eastAsiaTheme="majorEastAsia" w:hAnsi="Arial Narrow" w:cstheme="majorBidi"/>
                <w:sz w:val="20"/>
                <w:szCs w:val="20"/>
                <w:lang w:val="en-US"/>
              </w:rPr>
              <w:t xml:space="preserve">appropriate </w:t>
            </w:r>
            <w:r w:rsidR="004221D8" w:rsidRPr="00427986">
              <w:rPr>
                <w:rFonts w:ascii="Arial Narrow" w:eastAsiaTheme="majorEastAsia" w:hAnsi="Arial Narrow" w:cstheme="majorBidi"/>
                <w:sz w:val="20"/>
                <w:szCs w:val="20"/>
                <w:lang w:val="en-US"/>
              </w:rPr>
              <w:t>to</w:t>
            </w:r>
            <w:r w:rsidRPr="00427986">
              <w:rPr>
                <w:rFonts w:ascii="Arial Narrow" w:eastAsiaTheme="majorEastAsia" w:hAnsi="Arial Narrow" w:cstheme="majorBidi"/>
                <w:sz w:val="20"/>
                <w:szCs w:val="20"/>
                <w:lang w:val="en-US"/>
              </w:rPr>
              <w:t xml:space="preserve"> us</w:t>
            </w:r>
            <w:r w:rsidR="004221D8" w:rsidRPr="00427986">
              <w:rPr>
                <w:rFonts w:ascii="Arial Narrow" w:eastAsiaTheme="majorEastAsia" w:hAnsi="Arial Narrow" w:cstheme="majorBidi"/>
                <w:sz w:val="20"/>
                <w:szCs w:val="20"/>
                <w:lang w:val="en-US"/>
              </w:rPr>
              <w:t>e</w:t>
            </w:r>
            <w:r w:rsidRPr="00427986">
              <w:rPr>
                <w:rFonts w:ascii="Arial Narrow" w:eastAsiaTheme="majorEastAsia" w:hAnsi="Arial Narrow" w:cstheme="majorBidi"/>
                <w:sz w:val="20"/>
                <w:szCs w:val="20"/>
                <w:lang w:val="en-US"/>
              </w:rPr>
              <w:t xml:space="preserve"> different parametric survival functions for the comparison arms.</w:t>
            </w:r>
            <w:r w:rsidRPr="00427986">
              <w:rPr>
                <w:rFonts w:ascii="Arial Narrow" w:eastAsia="Arial Narrow" w:hAnsi="Arial Narrow" w:cs="Arial Narrow"/>
                <w:sz w:val="20"/>
                <w:szCs w:val="20"/>
                <w:lang w:val="en-US"/>
              </w:rPr>
              <w:t xml:space="preserve"> However, </w:t>
            </w:r>
            <w:r w:rsidRPr="00427986">
              <w:rPr>
                <w:rFonts w:ascii="Arial Narrow" w:eastAsiaTheme="majorEastAsia" w:hAnsi="Arial Narrow" w:cstheme="majorBidi"/>
                <w:sz w:val="20"/>
                <w:szCs w:val="20"/>
                <w:lang w:val="en-US"/>
              </w:rPr>
              <w:t>the ICER was insensitive to the choice of parametric functions for PFS and TTD in the placebo arm, as most patients had progressed</w:t>
            </w:r>
            <w:r w:rsidR="00180F22" w:rsidRPr="00427986">
              <w:rPr>
                <w:rFonts w:ascii="Arial Narrow" w:eastAsiaTheme="majorEastAsia" w:hAnsi="Arial Narrow" w:cstheme="majorBidi"/>
                <w:sz w:val="20"/>
                <w:szCs w:val="20"/>
                <w:lang w:val="en-US"/>
              </w:rPr>
              <w:t xml:space="preserve"> at the point of extrapolation</w:t>
            </w:r>
            <w:r w:rsidRPr="00427986">
              <w:rPr>
                <w:rFonts w:ascii="Arial Narrow" w:eastAsiaTheme="majorEastAsia" w:hAnsi="Arial Narrow" w:cstheme="majorBidi"/>
                <w:sz w:val="20"/>
                <w:szCs w:val="20"/>
                <w:lang w:val="en-US"/>
              </w:rPr>
              <w:t xml:space="preserve">, and the choice of parametric functions for OS were conservative. The </w:t>
            </w:r>
            <w:r w:rsidRPr="00427986">
              <w:rPr>
                <w:rFonts w:ascii="Arial Narrow" w:eastAsiaTheme="majorEastAsia" w:hAnsi="Arial Narrow" w:cstheme="majorBidi"/>
                <w:sz w:val="20"/>
                <w:szCs w:val="20"/>
              </w:rPr>
              <w:t>ICER was most sensitive to the choice of parametric function for TTD in the cabozantinib arm.</w:t>
            </w:r>
          </w:p>
        </w:tc>
      </w:tr>
      <w:tr w:rsidR="00763EF2" w:rsidRPr="00427986" w14:paraId="1D6C5678" w14:textId="77777777" w:rsidTr="005F1914">
        <w:trPr>
          <w:cantSplit/>
        </w:trPr>
        <w:tc>
          <w:tcPr>
            <w:tcW w:w="862" w:type="pct"/>
            <w:shd w:val="clear" w:color="auto" w:fill="auto"/>
            <w:vAlign w:val="center"/>
          </w:tcPr>
          <w:p w14:paraId="07F15EFF" w14:textId="77777777" w:rsidR="00763EF2" w:rsidRPr="00427986" w:rsidRDefault="00763EF2" w:rsidP="00CB4A1F">
            <w:pPr>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Health-related quality of life</w:t>
            </w:r>
          </w:p>
        </w:tc>
        <w:tc>
          <w:tcPr>
            <w:tcW w:w="4138" w:type="pct"/>
            <w:shd w:val="clear" w:color="auto" w:fill="auto"/>
            <w:vAlign w:val="center"/>
          </w:tcPr>
          <w:p w14:paraId="51D61535" w14:textId="378BA108" w:rsidR="00763EF2" w:rsidRPr="00427986" w:rsidRDefault="00763EF2" w:rsidP="00180F22">
            <w:pPr>
              <w:jc w:val="left"/>
              <w:rPr>
                <w:rFonts w:ascii="Arial Narrow" w:eastAsiaTheme="majorEastAsia" w:hAnsi="Arial Narrow" w:cstheme="majorBidi"/>
                <w:bCs/>
                <w:sz w:val="20"/>
              </w:rPr>
            </w:pPr>
            <w:r w:rsidRPr="00427986">
              <w:rPr>
                <w:rFonts w:ascii="Arial Narrow" w:eastAsiaTheme="majorEastAsia" w:hAnsi="Arial Narrow" w:cstheme="majorBidi"/>
                <w:bCs/>
                <w:sz w:val="20"/>
              </w:rPr>
              <w:t>Base case (literature-based utilities): Pre-progression = 0.870, Post-progression = 0.520 (Fordham 2015)</w:t>
            </w:r>
            <w:r w:rsidR="00180F22" w:rsidRPr="00427986">
              <w:rPr>
                <w:rFonts w:ascii="Arial Narrow" w:eastAsiaTheme="majorEastAsia" w:hAnsi="Arial Narrow" w:cstheme="majorBidi"/>
                <w:bCs/>
                <w:sz w:val="20"/>
              </w:rPr>
              <w:t xml:space="preserve">, </w:t>
            </w:r>
            <w:r w:rsidR="00B17422" w:rsidRPr="00427986">
              <w:rPr>
                <w:rFonts w:ascii="Arial Narrow" w:eastAsiaTheme="majorEastAsia" w:hAnsi="Arial Narrow" w:cstheme="majorBidi"/>
                <w:bCs/>
                <w:sz w:val="20"/>
              </w:rPr>
              <w:t>D</w:t>
            </w:r>
            <w:r w:rsidR="00180F22" w:rsidRPr="00427986">
              <w:rPr>
                <w:rFonts w:ascii="Arial Narrow" w:eastAsiaTheme="majorEastAsia" w:hAnsi="Arial Narrow" w:cstheme="majorBidi"/>
                <w:bCs/>
                <w:sz w:val="20"/>
              </w:rPr>
              <w:t>eath = 0</w:t>
            </w:r>
          </w:p>
          <w:p w14:paraId="1CF8716A" w14:textId="082378E9" w:rsidR="00763EF2" w:rsidRPr="00427986" w:rsidRDefault="00763EF2" w:rsidP="00180F22">
            <w:pPr>
              <w:jc w:val="left"/>
              <w:rPr>
                <w:rFonts w:ascii="Arial Narrow" w:eastAsiaTheme="majorEastAsia" w:hAnsi="Arial Narrow" w:cstheme="majorBidi"/>
                <w:sz w:val="20"/>
                <w:szCs w:val="20"/>
              </w:rPr>
            </w:pPr>
            <w:r w:rsidRPr="00427986">
              <w:rPr>
                <w:rFonts w:ascii="Arial Narrow" w:eastAsiaTheme="majorEastAsia" w:hAnsi="Arial Narrow" w:cstheme="majorBidi"/>
                <w:sz w:val="20"/>
                <w:szCs w:val="20"/>
              </w:rPr>
              <w:t>Sensitivity analysis (trial-based): Pre-progression = 0.692, Post-progression = 0.674 (from the COSMIC-311 trial)</w:t>
            </w:r>
          </w:p>
          <w:p w14:paraId="301E81F5" w14:textId="53E231EC" w:rsidR="00763EF2" w:rsidRPr="00427986" w:rsidRDefault="00763EF2" w:rsidP="00180F22">
            <w:pPr>
              <w:jc w:val="left"/>
              <w:rPr>
                <w:rFonts w:ascii="Arial Narrow" w:eastAsiaTheme="majorEastAsia" w:hAnsi="Arial Narrow" w:cstheme="majorBidi"/>
                <w:bCs/>
                <w:sz w:val="20"/>
              </w:rPr>
            </w:pPr>
            <w:r w:rsidRPr="00427986">
              <w:rPr>
                <w:rFonts w:ascii="Arial Narrow" w:eastAsiaTheme="majorEastAsia" w:hAnsi="Arial Narrow" w:cstheme="majorBidi"/>
                <w:sz w:val="20"/>
                <w:szCs w:val="20"/>
              </w:rPr>
              <w:t>Disutility for Grade 3/4 adverse event (referred to as “SAE” in the submission) = 0.04 (the METEOR trial)</w:t>
            </w:r>
          </w:p>
        </w:tc>
      </w:tr>
      <w:tr w:rsidR="00763EF2" w:rsidRPr="00427986" w14:paraId="72790172" w14:textId="77777777" w:rsidTr="005F1914">
        <w:trPr>
          <w:cantSplit/>
        </w:trPr>
        <w:tc>
          <w:tcPr>
            <w:tcW w:w="862" w:type="pct"/>
            <w:shd w:val="clear" w:color="auto" w:fill="auto"/>
            <w:vAlign w:val="center"/>
          </w:tcPr>
          <w:p w14:paraId="603E087E" w14:textId="77777777" w:rsidR="00763EF2" w:rsidRPr="00427986" w:rsidRDefault="00763EF2" w:rsidP="00CB4A1F">
            <w:pPr>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Treatment interruptions</w:t>
            </w:r>
          </w:p>
        </w:tc>
        <w:tc>
          <w:tcPr>
            <w:tcW w:w="4138" w:type="pct"/>
            <w:shd w:val="clear" w:color="auto" w:fill="auto"/>
            <w:vAlign w:val="center"/>
          </w:tcPr>
          <w:p w14:paraId="46D8ADE1" w14:textId="17DFB066" w:rsidR="00763EF2" w:rsidRPr="00427986" w:rsidRDefault="00763EF2" w:rsidP="00CB4A1F">
            <w:pPr>
              <w:keepNext/>
              <w:jc w:val="left"/>
              <w:rPr>
                <w:rFonts w:ascii="Arial Narrow" w:eastAsia="Arial Narrow" w:hAnsi="Arial Narrow" w:cs="Arial Narrow"/>
                <w:sz w:val="20"/>
                <w:szCs w:val="20"/>
              </w:rPr>
            </w:pPr>
            <w:r w:rsidRPr="00427986">
              <w:rPr>
                <w:rFonts w:ascii="Arial Narrow" w:eastAsia="Arial Narrow" w:hAnsi="Arial Narrow" w:cs="Arial Narrow"/>
                <w:sz w:val="20"/>
                <w:szCs w:val="20"/>
              </w:rPr>
              <w:t>Cabozantinib (+BSC) arm: 14.63% (from the COSMIC-311 trial, based on the difference in the mean duration of exposure including (7.04 months) and excluding (6.01 months) dose holds in the cabozantinib arm (N=170, Safety Population).</w:t>
            </w:r>
          </w:p>
          <w:p w14:paraId="01935DFE" w14:textId="7B7EEC27" w:rsidR="00763EF2" w:rsidRPr="00427986" w:rsidRDefault="00763EF2" w:rsidP="00CB4A1F">
            <w:pPr>
              <w:keepNext/>
              <w:jc w:val="left"/>
              <w:rPr>
                <w:rFonts w:ascii="Arial Narrow" w:eastAsia="Arial Narrow" w:hAnsi="Arial Narrow" w:cs="Arial Narrow"/>
                <w:sz w:val="20"/>
                <w:szCs w:val="20"/>
              </w:rPr>
            </w:pPr>
            <w:r w:rsidRPr="00427986">
              <w:rPr>
                <w:rFonts w:ascii="Arial Narrow" w:eastAsia="Arial Narrow" w:hAnsi="Arial Narrow" w:cs="Arial Narrow"/>
                <w:sz w:val="20"/>
                <w:szCs w:val="20"/>
              </w:rPr>
              <w:t>BSC arm: 6.62% (from the COSMIC-311 trial, based on the difference in the mean duration of exposure including (4.23 months) and excluding (3.95 months) dose holds in the placebo arm (N=88, Safety Population).</w:t>
            </w:r>
          </w:p>
          <w:p w14:paraId="0D89972B" w14:textId="43F606CD" w:rsidR="00763EF2" w:rsidRPr="00427986" w:rsidRDefault="00985104" w:rsidP="00CB4A1F">
            <w:pPr>
              <w:keepNext/>
              <w:jc w:val="left"/>
              <w:rPr>
                <w:rFonts w:ascii="Arial Narrow" w:eastAsiaTheme="majorEastAsia" w:hAnsi="Arial Narrow" w:cstheme="majorBidi"/>
                <w:sz w:val="20"/>
                <w:szCs w:val="20"/>
              </w:rPr>
            </w:pPr>
            <w:r>
              <w:rPr>
                <w:rFonts w:ascii="Arial Narrow" w:eastAsiaTheme="majorEastAsia" w:hAnsi="Arial Narrow" w:cstheme="majorBidi"/>
                <w:sz w:val="20"/>
                <w:szCs w:val="20"/>
              </w:rPr>
              <w:t>T</w:t>
            </w:r>
            <w:r w:rsidR="00763EF2" w:rsidRPr="00427986">
              <w:rPr>
                <w:rFonts w:ascii="Arial Narrow" w:eastAsiaTheme="majorEastAsia" w:hAnsi="Arial Narrow" w:cstheme="majorBidi"/>
                <w:sz w:val="20"/>
                <w:szCs w:val="20"/>
              </w:rPr>
              <w:t xml:space="preserve">he Safety Population included patients treated with both sorafenib and lenvatinib (any sequence) (23% in the cabozantinib + BSC treatment arm) and were likely to be sicker than those previously treated with lenvatinib only. Treatment interruptions in the subgroup previously treated with lenvatinib only was therefore uncertain. </w:t>
            </w:r>
          </w:p>
        </w:tc>
      </w:tr>
      <w:tr w:rsidR="00763EF2" w:rsidRPr="00427986" w14:paraId="35D055E4" w14:textId="77777777" w:rsidTr="005F1914">
        <w:trPr>
          <w:cantSplit/>
        </w:trPr>
        <w:tc>
          <w:tcPr>
            <w:tcW w:w="862" w:type="pct"/>
            <w:shd w:val="clear" w:color="auto" w:fill="auto"/>
            <w:vAlign w:val="center"/>
          </w:tcPr>
          <w:p w14:paraId="273959EE" w14:textId="77777777" w:rsidR="00763EF2" w:rsidRPr="00427986" w:rsidRDefault="00763EF2" w:rsidP="00CB4A1F">
            <w:pPr>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Costs of management of Grade 3/4 adverse events</w:t>
            </w:r>
          </w:p>
        </w:tc>
        <w:tc>
          <w:tcPr>
            <w:tcW w:w="4138" w:type="pct"/>
            <w:shd w:val="clear" w:color="auto" w:fill="auto"/>
            <w:vAlign w:val="center"/>
          </w:tcPr>
          <w:p w14:paraId="5E3BC3B8" w14:textId="24107EA2" w:rsidR="00763EF2" w:rsidRPr="00427986" w:rsidRDefault="00763EF2" w:rsidP="00CB4A1F">
            <w:pPr>
              <w:spacing w:before="20" w:after="20"/>
              <w:jc w:val="left"/>
              <w:rPr>
                <w:rFonts w:ascii="Arial Narrow" w:eastAsiaTheme="majorEastAsia" w:hAnsi="Arial Narrow" w:cstheme="majorBidi"/>
                <w:sz w:val="20"/>
                <w:szCs w:val="20"/>
              </w:rPr>
            </w:pPr>
            <w:r w:rsidRPr="00427986">
              <w:rPr>
                <w:rFonts w:ascii="Arial Narrow" w:eastAsiaTheme="majorEastAsia" w:hAnsi="Arial Narrow" w:cstheme="majorBidi"/>
                <w:sz w:val="20"/>
                <w:szCs w:val="20"/>
              </w:rPr>
              <w:t xml:space="preserve">National Hospital Cost Data Collection, Australian Refined Diagnosis-Related Group (AR-DRG) cost weight tables v6.0x, Round 17 (FY 2012-13) were applied to of the incidence of Grade 3/4 adverse events (referred to as “SAEs” in the submission). </w:t>
            </w:r>
          </w:p>
        </w:tc>
      </w:tr>
      <w:tr w:rsidR="00763EF2" w:rsidRPr="00427986" w14:paraId="36CC674B" w14:textId="77777777" w:rsidTr="005F1914">
        <w:trPr>
          <w:cantSplit/>
        </w:trPr>
        <w:tc>
          <w:tcPr>
            <w:tcW w:w="862" w:type="pct"/>
            <w:shd w:val="clear" w:color="auto" w:fill="auto"/>
            <w:vAlign w:val="center"/>
          </w:tcPr>
          <w:p w14:paraId="147BE2D3" w14:textId="77777777" w:rsidR="00763EF2" w:rsidRPr="00427986" w:rsidRDefault="00763EF2" w:rsidP="00CB4A1F">
            <w:pPr>
              <w:spacing w:before="20" w:after="20"/>
              <w:jc w:val="left"/>
              <w:rPr>
                <w:rFonts w:ascii="Arial Narrow" w:eastAsiaTheme="majorEastAsia" w:hAnsi="Arial Narrow" w:cstheme="majorBidi"/>
                <w:bCs/>
                <w:sz w:val="20"/>
              </w:rPr>
            </w:pPr>
            <w:r w:rsidRPr="00427986">
              <w:rPr>
                <w:rFonts w:ascii="Arial Narrow" w:eastAsiaTheme="majorEastAsia" w:hAnsi="Arial Narrow" w:cstheme="majorBidi"/>
                <w:bCs/>
                <w:sz w:val="20"/>
              </w:rPr>
              <w:t>Post-progression costs</w:t>
            </w:r>
          </w:p>
        </w:tc>
        <w:tc>
          <w:tcPr>
            <w:tcW w:w="4138" w:type="pct"/>
            <w:shd w:val="clear" w:color="auto" w:fill="auto"/>
            <w:vAlign w:val="center"/>
          </w:tcPr>
          <w:p w14:paraId="6FB967B4" w14:textId="77777777" w:rsidR="00763EF2" w:rsidRPr="00427986" w:rsidRDefault="00763EF2" w:rsidP="00CB4A1F">
            <w:pPr>
              <w:spacing w:before="20" w:after="20"/>
              <w:jc w:val="left"/>
              <w:rPr>
                <w:rFonts w:ascii="Arial Narrow" w:eastAsiaTheme="majorEastAsia" w:hAnsi="Arial Narrow" w:cstheme="majorBidi"/>
                <w:sz w:val="20"/>
                <w:szCs w:val="20"/>
              </w:rPr>
            </w:pPr>
            <w:r w:rsidRPr="00427986">
              <w:rPr>
                <w:rFonts w:ascii="Arial Narrow" w:eastAsiaTheme="majorEastAsia" w:hAnsi="Arial Narrow" w:cstheme="majorBidi"/>
                <w:sz w:val="20"/>
                <w:szCs w:val="20"/>
              </w:rPr>
              <w:t xml:space="preserve">Subsequent therapies based on therapies reported in the COSMIC-311 trial. </w:t>
            </w:r>
          </w:p>
        </w:tc>
      </w:tr>
    </w:tbl>
    <w:p w14:paraId="5AA3684F" w14:textId="77777777" w:rsidR="00763EF2" w:rsidRPr="00026F5E" w:rsidRDefault="00763EF2" w:rsidP="00763EF2">
      <w:pPr>
        <w:pStyle w:val="TableFigureFooter"/>
        <w:rPr>
          <w:szCs w:val="18"/>
        </w:rPr>
      </w:pPr>
      <w:r w:rsidRPr="00026F5E">
        <w:rPr>
          <w:szCs w:val="18"/>
        </w:rPr>
        <w:t>Source: Table 3-2, p110 of the submission; Excel workbook titled ‘Attachment 10 – DTC economic evaluation – Section 3 – FINAL’ of the submission.</w:t>
      </w:r>
      <w:r w:rsidRPr="00026F5E">
        <w:rPr>
          <w:rFonts w:eastAsiaTheme="majorEastAsia" w:cstheme="majorBidi"/>
          <w:szCs w:val="18"/>
          <w:lang w:val="en-US"/>
        </w:rPr>
        <w:t>AIC = Akaike Information Criterion; BIC = Bayesian Information Criterion;</w:t>
      </w:r>
      <w:r w:rsidRPr="00026F5E">
        <w:rPr>
          <w:szCs w:val="18"/>
        </w:rPr>
        <w:t xml:space="preserve"> BSC = best supportive care; DTC = differentiated thyroid cancer; FY = financial year; ICER = incremental cost-effectiveness ratio; IPD = individual patient data; LY = life year; NICE = National Institute for Health and Care Excellence; OS = overall survival; PBS = Pharmaceutical Benefits Scheme; PFS = progression-free survival; QALY = quality-adjusted life year; RAI-R = radioactive iodine refractory; SAE = serious adverse event; TTD = time to treatment discontinuation.</w:t>
      </w:r>
    </w:p>
    <w:p w14:paraId="49E58427" w14:textId="575E2AD1" w:rsidR="00763EF2" w:rsidRPr="00AF1E6C" w:rsidRDefault="00180F22" w:rsidP="00763EF2">
      <w:pPr>
        <w:pStyle w:val="TableFigureFooter"/>
        <w:rPr>
          <w:szCs w:val="18"/>
        </w:rPr>
      </w:pPr>
      <w:r>
        <w:rPr>
          <w:szCs w:val="18"/>
          <w:vertAlign w:val="superscript"/>
        </w:rPr>
        <w:t>a</w:t>
      </w:r>
      <w:r w:rsidR="00763EF2" w:rsidRPr="00026F5E">
        <w:rPr>
          <w:szCs w:val="18"/>
        </w:rPr>
        <w:t xml:space="preserve"> </w:t>
      </w:r>
      <w:bookmarkStart w:id="63" w:name="_Hlk142593456"/>
      <w:r>
        <w:rPr>
          <w:szCs w:val="18"/>
        </w:rPr>
        <w:t>T</w:t>
      </w:r>
      <w:r w:rsidR="00763EF2" w:rsidRPr="00026F5E">
        <w:rPr>
          <w:szCs w:val="18"/>
        </w:rPr>
        <w:t xml:space="preserve">he submission reported that the economic model utilised the Kaplan Meier curves up to the point of median follow-up of 10.2 months (p123 of the submission). However, the median follow-up for PFS and OS in the COSMIC-311 trial (Full ITT Population) was 10.1 months (Table 6, p19 of CSR Addendum 1). The economic model used the K-M model when the time in model was &lt;10.2 months. </w:t>
      </w:r>
      <w:r w:rsidR="00763EF2" w:rsidRPr="00E120DC">
        <w:rPr>
          <w:szCs w:val="18"/>
        </w:rPr>
        <w:t>The impact on the ICER was likely minimal.</w:t>
      </w:r>
      <w:bookmarkEnd w:id="63"/>
    </w:p>
    <w:p w14:paraId="050BA3C3" w14:textId="77F7EDC5" w:rsidR="00763EF2" w:rsidRPr="0023484B" w:rsidRDefault="00763EF2" w:rsidP="004A52A9">
      <w:pPr>
        <w:numPr>
          <w:ilvl w:val="1"/>
          <w:numId w:val="1"/>
        </w:numPr>
        <w:spacing w:after="120"/>
        <w:ind w:left="720"/>
        <w:rPr>
          <w:rFonts w:asciiTheme="minorHAnsi" w:hAnsiTheme="minorHAnsi"/>
          <w:snapToGrid w:val="0"/>
        </w:rPr>
      </w:pPr>
      <w:r w:rsidRPr="007D67FF">
        <w:rPr>
          <w:rFonts w:asciiTheme="minorHAnsi" w:hAnsiTheme="minorHAnsi"/>
          <w:snapToGrid w:val="0"/>
        </w:rPr>
        <w:t xml:space="preserve">The submission presented a modelled economic evaluation of cabozantinib as an adjunct to BSC versus BSC alone in patients with DTC who had progressed on previous treatment with a TKI over a time horizon of 5 years. Base case results were </w:t>
      </w:r>
      <w:r w:rsidRPr="007D67FF">
        <w:rPr>
          <w:rFonts w:asciiTheme="minorHAnsi" w:hAnsiTheme="minorHAnsi"/>
          <w:snapToGrid w:val="0"/>
          <w:lang w:val="en-US"/>
        </w:rPr>
        <w:t xml:space="preserve">based on inputs from a </w:t>
      </w:r>
      <w:r>
        <w:rPr>
          <w:rFonts w:asciiTheme="minorHAnsi" w:hAnsiTheme="minorHAnsi"/>
          <w:snapToGrid w:val="0"/>
          <w:lang w:val="en-US"/>
        </w:rPr>
        <w:t xml:space="preserve">pre-specified </w:t>
      </w:r>
      <w:r w:rsidRPr="007D67FF">
        <w:rPr>
          <w:rFonts w:asciiTheme="minorHAnsi" w:hAnsiTheme="minorHAnsi"/>
          <w:snapToGrid w:val="0"/>
          <w:lang w:val="en-US"/>
        </w:rPr>
        <w:t>sub-</w:t>
      </w:r>
      <w:r>
        <w:rPr>
          <w:rFonts w:asciiTheme="minorHAnsi" w:hAnsiTheme="minorHAnsi"/>
          <w:snapToGrid w:val="0"/>
          <w:lang w:val="en-US"/>
        </w:rPr>
        <w:t>group</w:t>
      </w:r>
      <w:r w:rsidRPr="007D67FF">
        <w:rPr>
          <w:rFonts w:asciiTheme="minorHAnsi" w:hAnsiTheme="minorHAnsi"/>
          <w:snapToGrid w:val="0"/>
          <w:lang w:val="en-US"/>
        </w:rPr>
        <w:t xml:space="preserve"> of the pivotal COSMIC</w:t>
      </w:r>
      <w:r w:rsidRPr="007D67FF">
        <w:rPr>
          <w:rFonts w:asciiTheme="minorHAnsi" w:hAnsiTheme="minorHAnsi"/>
          <w:snapToGrid w:val="0"/>
          <w:lang w:val="en-US"/>
        </w:rPr>
        <w:noBreakHyphen/>
        <w:t xml:space="preserve">311 trial </w:t>
      </w:r>
      <w:r w:rsidRPr="007D67FF">
        <w:rPr>
          <w:rFonts w:asciiTheme="minorHAnsi" w:hAnsiTheme="minorHAnsi"/>
          <w:lang w:val="en-US"/>
        </w:rPr>
        <w:t>(</w:t>
      </w:r>
      <w:r w:rsidR="004F7B9A">
        <w:rPr>
          <w:rFonts w:asciiTheme="minorHAnsi" w:hAnsiTheme="minorHAnsi"/>
          <w:snapToGrid w:val="0"/>
          <w:lang w:val="en-US"/>
        </w:rPr>
        <w:t>subgroup</w:t>
      </w:r>
      <w:r w:rsidRPr="007D67FF">
        <w:rPr>
          <w:rFonts w:asciiTheme="minorHAnsi" w:hAnsiTheme="minorHAnsi"/>
          <w:snapToGrid w:val="0"/>
          <w:lang w:val="en-US"/>
        </w:rPr>
        <w:t xml:space="preserve"> previously treated with lenvatinib only</w:t>
      </w:r>
      <w:r w:rsidRPr="007D67FF">
        <w:rPr>
          <w:rFonts w:asciiTheme="minorHAnsi" w:hAnsiTheme="minorHAnsi"/>
          <w:lang w:val="en-US"/>
        </w:rPr>
        <w:t>), using RPSFT-adjusted OS</w:t>
      </w:r>
      <w:r w:rsidRPr="007D67FF">
        <w:rPr>
          <w:rFonts w:asciiTheme="minorHAnsi" w:hAnsiTheme="minorHAnsi"/>
          <w:snapToGrid w:val="0"/>
          <w:lang w:val="en-US"/>
        </w:rPr>
        <w:t>.</w:t>
      </w:r>
      <w:r>
        <w:rPr>
          <w:rStyle w:val="FootnoteReference"/>
          <w:rFonts w:asciiTheme="minorHAnsi" w:hAnsiTheme="minorHAnsi"/>
          <w:snapToGrid w:val="0"/>
          <w:lang w:val="en-US"/>
        </w:rPr>
        <w:footnoteReference w:id="24"/>
      </w:r>
      <w:r w:rsidRPr="007D67FF">
        <w:rPr>
          <w:rFonts w:asciiTheme="minorHAnsi" w:hAnsiTheme="minorHAnsi"/>
          <w:snapToGrid w:val="0"/>
          <w:lang w:val="en-US"/>
        </w:rPr>
        <w:t xml:space="preserve"> </w:t>
      </w:r>
      <w:r w:rsidR="002F5973" w:rsidRPr="0023484B">
        <w:rPr>
          <w:rFonts w:asciiTheme="minorHAnsi" w:hAnsiTheme="minorHAnsi"/>
          <w:snapToGrid w:val="0"/>
          <w:lang w:val="en-US"/>
        </w:rPr>
        <w:t>Although t</w:t>
      </w:r>
      <w:r w:rsidRPr="0023484B">
        <w:rPr>
          <w:rFonts w:asciiTheme="minorHAnsi" w:hAnsiTheme="minorHAnsi"/>
          <w:snapToGrid w:val="0"/>
          <w:lang w:val="en-US"/>
        </w:rPr>
        <w:t xml:space="preserve">his was </w:t>
      </w:r>
      <w:r w:rsidRPr="0023484B">
        <w:rPr>
          <w:rFonts w:asciiTheme="minorHAnsi" w:hAnsiTheme="minorHAnsi"/>
          <w:snapToGrid w:val="0"/>
          <w:lang w:val="en-US"/>
        </w:rPr>
        <w:lastRenderedPageBreak/>
        <w:t>consistent with the proposed PBS population</w:t>
      </w:r>
      <w:r w:rsidR="002F5973" w:rsidRPr="0023484B">
        <w:rPr>
          <w:rFonts w:asciiTheme="minorHAnsi" w:hAnsiTheme="minorHAnsi"/>
          <w:snapToGrid w:val="0"/>
          <w:lang w:val="en-US"/>
        </w:rPr>
        <w:t>, the use of the subgroup</w:t>
      </w:r>
      <w:r w:rsidR="00025216" w:rsidRPr="0023484B">
        <w:rPr>
          <w:rFonts w:asciiTheme="minorHAnsi" w:hAnsiTheme="minorHAnsi"/>
          <w:snapToGrid w:val="0"/>
          <w:lang w:val="en-US"/>
        </w:rPr>
        <w:t xml:space="preserve"> was</w:t>
      </w:r>
      <w:r w:rsidRPr="0023484B">
        <w:rPr>
          <w:rFonts w:asciiTheme="minorHAnsi" w:hAnsiTheme="minorHAnsi"/>
          <w:snapToGrid w:val="0"/>
          <w:lang w:val="en-US"/>
        </w:rPr>
        <w:t xml:space="preserve"> not adequately supported with clinical evidence, in terms of the pharmacological, biological or clinical rationale for a variation of in the treatment effect or tests for interaction. The use of a subgroup also decreased the sample size</w:t>
      </w:r>
      <w:r w:rsidR="00B17422" w:rsidRPr="0023484B">
        <w:rPr>
          <w:rFonts w:asciiTheme="minorHAnsi" w:hAnsiTheme="minorHAnsi"/>
          <w:snapToGrid w:val="0"/>
          <w:lang w:val="en-US"/>
        </w:rPr>
        <w:t xml:space="preserve"> (the subgroup consisted of 102/258 = 40% of the Full ITT population)</w:t>
      </w:r>
      <w:r w:rsidR="00025216" w:rsidRPr="0023484B">
        <w:rPr>
          <w:rFonts w:asciiTheme="minorHAnsi" w:hAnsiTheme="minorHAnsi"/>
          <w:snapToGrid w:val="0"/>
          <w:lang w:val="en-US"/>
        </w:rPr>
        <w:t xml:space="preserve">, </w:t>
      </w:r>
      <w:r w:rsidRPr="0023484B">
        <w:rPr>
          <w:rFonts w:asciiTheme="minorHAnsi" w:hAnsiTheme="minorHAnsi"/>
          <w:snapToGrid w:val="0"/>
          <w:lang w:val="en-US"/>
        </w:rPr>
        <w:t>increas</w:t>
      </w:r>
      <w:r w:rsidR="00025216" w:rsidRPr="0023484B">
        <w:rPr>
          <w:rFonts w:asciiTheme="minorHAnsi" w:hAnsiTheme="minorHAnsi"/>
          <w:snapToGrid w:val="0"/>
          <w:lang w:val="en-US"/>
        </w:rPr>
        <w:t>ing</w:t>
      </w:r>
      <w:r w:rsidRPr="0023484B">
        <w:rPr>
          <w:rFonts w:asciiTheme="minorHAnsi" w:hAnsiTheme="minorHAnsi"/>
          <w:snapToGrid w:val="0"/>
          <w:lang w:val="en-US"/>
        </w:rPr>
        <w:t xml:space="preserve"> uncertainty in the results. The same </w:t>
      </w:r>
      <w:r w:rsidR="004F7B9A" w:rsidRPr="0023484B">
        <w:rPr>
          <w:rFonts w:asciiTheme="minorHAnsi" w:hAnsiTheme="minorHAnsi"/>
          <w:snapToGrid w:val="0"/>
          <w:lang w:val="en-US"/>
        </w:rPr>
        <w:t>subgroup</w:t>
      </w:r>
      <w:r w:rsidRPr="0023484B">
        <w:rPr>
          <w:rFonts w:asciiTheme="minorHAnsi" w:hAnsiTheme="minorHAnsi"/>
          <w:snapToGrid w:val="0"/>
          <w:lang w:val="en-US"/>
        </w:rPr>
        <w:t xml:space="preserve"> was used to inform the base-case analysis of a cabozantinib submission considered by the NICE for the same indication.</w:t>
      </w:r>
      <w:r w:rsidRPr="0023484B">
        <w:rPr>
          <w:rFonts w:asciiTheme="minorHAnsi" w:hAnsiTheme="minorHAnsi"/>
          <w:snapToGrid w:val="0"/>
          <w:vertAlign w:val="superscript"/>
          <w:lang w:val="en-US"/>
        </w:rPr>
        <w:footnoteReference w:id="25"/>
      </w:r>
      <w:r w:rsidRPr="0023484B">
        <w:rPr>
          <w:rFonts w:asciiTheme="minorHAnsi" w:hAnsiTheme="minorHAnsi"/>
          <w:snapToGrid w:val="0"/>
          <w:lang w:val="en-US"/>
        </w:rPr>
        <w:t xml:space="preserve"> A</w:t>
      </w:r>
      <w:r w:rsidR="00E44323">
        <w:rPr>
          <w:rFonts w:asciiTheme="minorHAnsi" w:hAnsiTheme="minorHAnsi"/>
          <w:snapToGrid w:val="0"/>
          <w:lang w:val="en-US"/>
        </w:rPr>
        <w:t>n a</w:t>
      </w:r>
      <w:r w:rsidRPr="0023484B">
        <w:rPr>
          <w:rFonts w:asciiTheme="minorHAnsi" w:hAnsiTheme="minorHAnsi"/>
          <w:snapToGrid w:val="0"/>
          <w:lang w:val="en-US"/>
        </w:rPr>
        <w:t>dditional analysis was also presented based on inputs from the whole COSMIC-311 ITT population</w:t>
      </w:r>
      <w:r w:rsidR="00B46C37" w:rsidRPr="0023484B">
        <w:rPr>
          <w:rFonts w:asciiTheme="minorHAnsi" w:hAnsiTheme="minorHAnsi"/>
          <w:snapToGrid w:val="0"/>
          <w:lang w:val="en-US"/>
        </w:rPr>
        <w:t>, which resulted in a lower ICER</w:t>
      </w:r>
      <w:r w:rsidRPr="0023484B">
        <w:rPr>
          <w:rFonts w:asciiTheme="minorHAnsi" w:hAnsiTheme="minorHAnsi"/>
          <w:snapToGrid w:val="0"/>
          <w:lang w:val="en-US"/>
        </w:rPr>
        <w:t xml:space="preserve">. </w:t>
      </w:r>
    </w:p>
    <w:p w14:paraId="11CDA38F" w14:textId="17FBD81F" w:rsidR="00763EF2" w:rsidRPr="0097725A" w:rsidRDefault="00763EF2" w:rsidP="00763EF2">
      <w:pPr>
        <w:pStyle w:val="3-BodyText"/>
        <w:rPr>
          <w:rFonts w:eastAsia="Calibri"/>
        </w:rPr>
      </w:pPr>
      <w:r w:rsidRPr="0564460C">
        <w:rPr>
          <w:lang w:val="en-US"/>
        </w:rPr>
        <w:t xml:space="preserve">All patients, </w:t>
      </w:r>
      <w:bookmarkStart w:id="64" w:name="_Hlk141641018"/>
      <w:r w:rsidRPr="0564460C">
        <w:rPr>
          <w:lang w:val="en-US"/>
        </w:rPr>
        <w:t xml:space="preserve">having previously </w:t>
      </w:r>
      <w:r w:rsidR="00B7050E">
        <w:rPr>
          <w:lang w:val="en-US"/>
        </w:rPr>
        <w:t>been treated with</w:t>
      </w:r>
      <w:r w:rsidRPr="0564460C">
        <w:rPr>
          <w:lang w:val="en-US"/>
        </w:rPr>
        <w:t xml:space="preserve"> lenvatinib, entered the model in the progression-free health state and remained there until progression or death. Allocation to the health states was informed by Kaplan-Meier curves for PFS</w:t>
      </w:r>
      <w:r>
        <w:rPr>
          <w:lang w:val="en-US"/>
        </w:rPr>
        <w:t xml:space="preserve"> and</w:t>
      </w:r>
      <w:r w:rsidRPr="0564460C">
        <w:rPr>
          <w:lang w:val="en-US"/>
        </w:rPr>
        <w:t xml:space="preserve"> </w:t>
      </w:r>
      <w:r>
        <w:rPr>
          <w:lang w:val="en-US"/>
        </w:rPr>
        <w:t>overall survival</w:t>
      </w:r>
      <w:r w:rsidRPr="0564460C">
        <w:rPr>
          <w:lang w:val="en-US"/>
        </w:rPr>
        <w:t xml:space="preserve">, estimated based on individual patient data </w:t>
      </w:r>
      <w:r>
        <w:rPr>
          <w:lang w:val="en-US"/>
        </w:rPr>
        <w:t xml:space="preserve">(IPD) </w:t>
      </w:r>
      <w:r w:rsidRPr="0564460C">
        <w:rPr>
          <w:lang w:val="en-US"/>
        </w:rPr>
        <w:t xml:space="preserve">from the COSMIC-311 trial and applied up to </w:t>
      </w:r>
      <w:r w:rsidRPr="00E120DC">
        <w:rPr>
          <w:lang w:val="en-US"/>
        </w:rPr>
        <w:t>10.1</w:t>
      </w:r>
      <w:r w:rsidRPr="00AF1E6C">
        <w:rPr>
          <w:lang w:val="en-US"/>
        </w:rPr>
        <w:t xml:space="preserve"> months</w:t>
      </w:r>
      <w:r w:rsidRPr="00AF1E6C">
        <w:rPr>
          <w:vertAlign w:val="superscript"/>
          <w:lang w:val="en-US"/>
        </w:rPr>
        <w:footnoteReference w:id="26"/>
      </w:r>
      <w:r w:rsidR="00FC479C">
        <w:rPr>
          <w:lang w:val="en-US"/>
        </w:rPr>
        <w:t>,</w:t>
      </w:r>
      <w:r w:rsidRPr="00AF1E6C">
        <w:rPr>
          <w:lang w:val="en-US"/>
        </w:rPr>
        <w:t xml:space="preserve"> the median follow-up of the COSMIC-311 trial. Outcomes beyond </w:t>
      </w:r>
      <w:r w:rsidRPr="00E120DC">
        <w:rPr>
          <w:lang w:val="en-US"/>
        </w:rPr>
        <w:t>10</w:t>
      </w:r>
      <w:r w:rsidRPr="00AF1E6C">
        <w:rPr>
          <w:lang w:val="en-US"/>
        </w:rPr>
        <w:t>.</w:t>
      </w:r>
      <w:r w:rsidRPr="00E120DC">
        <w:rPr>
          <w:lang w:val="en-US"/>
        </w:rPr>
        <w:t>1</w:t>
      </w:r>
      <w:r w:rsidRPr="00AF1E6C">
        <w:rPr>
          <w:lang w:val="en-US"/>
        </w:rPr>
        <w:t xml:space="preserve"> months</w:t>
      </w:r>
      <w:r w:rsidRPr="0564460C">
        <w:rPr>
          <w:lang w:val="en-US"/>
        </w:rPr>
        <w:t xml:space="preserve"> were extrapolated using parametric survival functions</w:t>
      </w:r>
      <w:r>
        <w:rPr>
          <w:lang w:val="en-US"/>
        </w:rPr>
        <w:t>, based on the consideration of both the AIC and the BIC</w:t>
      </w:r>
      <w:r w:rsidRPr="0564460C">
        <w:rPr>
          <w:rFonts w:cstheme="minorBidi"/>
          <w:lang w:val="en-US"/>
        </w:rPr>
        <w:t>.</w:t>
      </w:r>
      <w:r>
        <w:rPr>
          <w:rFonts w:cstheme="minorBidi"/>
          <w:lang w:val="en-US"/>
        </w:rPr>
        <w:t xml:space="preserve"> Similarly, time on treatment, used to calculate drug costs in the pre-progression state, was estimated based on </w:t>
      </w:r>
      <w:r w:rsidR="000812D6">
        <w:rPr>
          <w:rFonts w:cstheme="minorBidi"/>
          <w:lang w:val="en-US"/>
        </w:rPr>
        <w:t xml:space="preserve">time to treatment discontinuation (TTD) </w:t>
      </w:r>
      <w:r>
        <w:rPr>
          <w:rFonts w:cstheme="minorBidi"/>
          <w:lang w:val="en-US"/>
        </w:rPr>
        <w:t xml:space="preserve">IPD data from the COSMIC-311 trial and extrapolation beyond </w:t>
      </w:r>
      <w:r w:rsidRPr="00E120DC">
        <w:rPr>
          <w:rFonts w:cstheme="minorBidi"/>
          <w:lang w:val="en-US"/>
        </w:rPr>
        <w:t>10</w:t>
      </w:r>
      <w:r w:rsidRPr="00AF1E6C">
        <w:rPr>
          <w:rFonts w:cstheme="minorBidi"/>
          <w:lang w:val="en-US"/>
        </w:rPr>
        <w:t>.</w:t>
      </w:r>
      <w:r w:rsidRPr="00E120DC">
        <w:rPr>
          <w:rFonts w:cstheme="minorBidi"/>
          <w:lang w:val="en-US"/>
        </w:rPr>
        <w:t xml:space="preserve">1 </w:t>
      </w:r>
      <w:r w:rsidRPr="00AF1E6C">
        <w:rPr>
          <w:rFonts w:cstheme="minorBidi"/>
          <w:lang w:val="en-US"/>
        </w:rPr>
        <w:t>months</w:t>
      </w:r>
      <w:r>
        <w:rPr>
          <w:rFonts w:cstheme="minorBidi"/>
          <w:lang w:val="en-US"/>
        </w:rPr>
        <w:t>.</w:t>
      </w:r>
      <w:r w:rsidRPr="0564460C">
        <w:rPr>
          <w:rFonts w:cstheme="minorBidi"/>
          <w:lang w:val="en-US"/>
        </w:rPr>
        <w:t xml:space="preserve"> </w:t>
      </w:r>
      <w:r w:rsidRPr="0564460C">
        <w:rPr>
          <w:rFonts w:cstheme="minorBidi"/>
          <w:lang w:val="en-US"/>
        </w:rPr>
        <w:fldChar w:fldCharType="begin" w:fldLock="1"/>
      </w:r>
      <w:r w:rsidRPr="0564460C">
        <w:rPr>
          <w:rFonts w:cstheme="minorBidi"/>
          <w:lang w:val="en-US"/>
        </w:rPr>
        <w:instrText xml:space="preserve"> REF _Ref141559182 \h  \* MERGEFORMAT </w:instrText>
      </w:r>
      <w:r w:rsidRPr="0564460C">
        <w:rPr>
          <w:rFonts w:cstheme="minorBidi"/>
          <w:lang w:val="en-US"/>
        </w:rPr>
      </w:r>
      <w:r w:rsidRPr="0564460C">
        <w:rPr>
          <w:rFonts w:cstheme="minorBidi"/>
          <w:lang w:val="en-US"/>
        </w:rPr>
        <w:fldChar w:fldCharType="separate"/>
      </w:r>
      <w:r w:rsidR="008760F8" w:rsidRPr="008760F8">
        <w:rPr>
          <w:rFonts w:cstheme="minorBidi"/>
        </w:rPr>
        <w:t>Table 13</w:t>
      </w:r>
      <w:r w:rsidRPr="0564460C">
        <w:rPr>
          <w:rFonts w:cstheme="minorBidi"/>
          <w:lang w:val="en-US"/>
        </w:rPr>
        <w:fldChar w:fldCharType="end"/>
      </w:r>
      <w:r w:rsidRPr="0564460C">
        <w:rPr>
          <w:rFonts w:cstheme="minorBidi"/>
          <w:lang w:val="en-US"/>
        </w:rPr>
        <w:t xml:space="preserve"> provides</w:t>
      </w:r>
      <w:r w:rsidRPr="0564460C">
        <w:rPr>
          <w:lang w:val="en-US"/>
        </w:rPr>
        <w:t xml:space="preserve"> the parametric models the submission selected for extrapolation of the survival outcomes. </w:t>
      </w:r>
      <w:r w:rsidR="00605146">
        <w:fldChar w:fldCharType="begin" w:fldLock="1"/>
      </w:r>
      <w:r w:rsidR="00605146">
        <w:instrText xml:space="preserve"> REF _Ref142907096 \h  \* MERGEFORMAT </w:instrText>
      </w:r>
      <w:r w:rsidR="00737A69">
        <w:fldChar w:fldCharType="separate"/>
      </w:r>
      <w:r w:rsidR="00605146">
        <w:fldChar w:fldCharType="end"/>
      </w:r>
      <w:r w:rsidR="005F1914">
        <w:fldChar w:fldCharType="begin" w:fldLock="1"/>
      </w:r>
      <w:r w:rsidR="005F1914">
        <w:instrText xml:space="preserve"> REF _Ref145064874 \h </w:instrText>
      </w:r>
      <w:r w:rsidR="005F1914">
        <w:fldChar w:fldCharType="separate"/>
      </w:r>
      <w:r w:rsidR="00647249">
        <w:t xml:space="preserve">Figure </w:t>
      </w:r>
      <w:r w:rsidR="00647249">
        <w:rPr>
          <w:noProof/>
        </w:rPr>
        <w:t>4</w:t>
      </w:r>
      <w:r w:rsidR="005F1914">
        <w:fldChar w:fldCharType="end"/>
      </w:r>
      <w:r w:rsidR="005F1914">
        <w:t xml:space="preserve">, </w:t>
      </w:r>
      <w:r w:rsidR="005F1914">
        <w:fldChar w:fldCharType="begin" w:fldLock="1"/>
      </w:r>
      <w:r w:rsidR="005F1914">
        <w:instrText xml:space="preserve"> REF _Ref145064880 \h </w:instrText>
      </w:r>
      <w:r w:rsidR="005F1914">
        <w:fldChar w:fldCharType="separate"/>
      </w:r>
      <w:r w:rsidR="00647249">
        <w:t xml:space="preserve">Figure </w:t>
      </w:r>
      <w:r w:rsidR="00647249">
        <w:rPr>
          <w:noProof/>
        </w:rPr>
        <w:t>5</w:t>
      </w:r>
      <w:r w:rsidR="005F1914">
        <w:fldChar w:fldCharType="end"/>
      </w:r>
      <w:r w:rsidR="005F1914">
        <w:t xml:space="preserve"> and </w:t>
      </w:r>
      <w:r w:rsidR="005F1914">
        <w:fldChar w:fldCharType="begin" w:fldLock="1"/>
      </w:r>
      <w:r w:rsidR="005F1914">
        <w:instrText xml:space="preserve"> REF _Ref145064890 \h </w:instrText>
      </w:r>
      <w:r w:rsidR="005F1914">
        <w:fldChar w:fldCharType="separate"/>
      </w:r>
      <w:r w:rsidR="00647249">
        <w:t xml:space="preserve">Figure </w:t>
      </w:r>
      <w:r w:rsidR="00647249">
        <w:rPr>
          <w:noProof/>
        </w:rPr>
        <w:t>6</w:t>
      </w:r>
      <w:r w:rsidR="005F1914">
        <w:fldChar w:fldCharType="end"/>
      </w:r>
      <w:r w:rsidRPr="00C21161">
        <w:t xml:space="preserve"> provide the Kaplan-Meier curves and extrapolations for PFS, overall survival and </w:t>
      </w:r>
      <w:r>
        <w:t>TTD</w:t>
      </w:r>
      <w:r w:rsidRPr="00C21161">
        <w:t xml:space="preserve"> in the base case</w:t>
      </w:r>
      <w:r>
        <w:t>, respectively</w:t>
      </w:r>
      <w:r w:rsidRPr="00C21161">
        <w:t xml:space="preserve">. </w:t>
      </w:r>
    </w:p>
    <w:p w14:paraId="19086743" w14:textId="0F6940FA" w:rsidR="00763EF2" w:rsidRPr="00427986" w:rsidRDefault="00763EF2" w:rsidP="004A52A9">
      <w:pPr>
        <w:numPr>
          <w:ilvl w:val="1"/>
          <w:numId w:val="1"/>
        </w:numPr>
        <w:spacing w:after="120"/>
        <w:ind w:left="720"/>
        <w:rPr>
          <w:rFonts w:asciiTheme="minorHAnsi" w:hAnsiTheme="minorHAnsi"/>
          <w:snapToGrid w:val="0"/>
        </w:rPr>
      </w:pPr>
      <w:r w:rsidRPr="00427986">
        <w:rPr>
          <w:rFonts w:asciiTheme="minorHAnsi" w:hAnsiTheme="minorHAnsi"/>
          <w:snapToGrid w:val="0"/>
          <w:lang w:val="en-US"/>
        </w:rPr>
        <w:t xml:space="preserve">The submission did not test the proportional hazard assumption and used different parametric functions for </w:t>
      </w:r>
      <w:r w:rsidR="00B74066" w:rsidRPr="00427986">
        <w:rPr>
          <w:rFonts w:asciiTheme="minorHAnsi" w:hAnsiTheme="minorHAnsi"/>
          <w:snapToGrid w:val="0"/>
          <w:lang w:val="en-US"/>
        </w:rPr>
        <w:t xml:space="preserve">the </w:t>
      </w:r>
      <w:r w:rsidRPr="00427986">
        <w:rPr>
          <w:rFonts w:asciiTheme="minorHAnsi" w:hAnsiTheme="minorHAnsi"/>
          <w:snapToGrid w:val="0"/>
          <w:lang w:val="en-US"/>
        </w:rPr>
        <w:t xml:space="preserve">cabozantinib (+BSC) and BSC treatment arms. </w:t>
      </w:r>
      <w:r w:rsidR="004221D8" w:rsidRPr="00427986">
        <w:rPr>
          <w:rFonts w:asciiTheme="minorHAnsi" w:hAnsiTheme="minorHAnsi"/>
          <w:snapToGrid w:val="0"/>
          <w:lang w:val="en-US"/>
        </w:rPr>
        <w:t>The PSCR presented the log-cumulative hazard plots</w:t>
      </w:r>
      <w:r w:rsidR="00E120DC" w:rsidRPr="00427986">
        <w:rPr>
          <w:rFonts w:asciiTheme="minorHAnsi" w:hAnsiTheme="minorHAnsi"/>
          <w:snapToGrid w:val="0"/>
          <w:lang w:val="en-US"/>
        </w:rPr>
        <w:t>,</w:t>
      </w:r>
      <w:r w:rsidR="004221D8" w:rsidRPr="00427986">
        <w:rPr>
          <w:rFonts w:asciiTheme="minorHAnsi" w:hAnsiTheme="minorHAnsi"/>
          <w:snapToGrid w:val="0"/>
          <w:lang w:val="en-US"/>
        </w:rPr>
        <w:t xml:space="preserve"> and it appeared that the assumption of proportional hazards had been violated, meaning that the use of different parametric functions was reasonable.</w:t>
      </w:r>
    </w:p>
    <w:p w14:paraId="726E45A9" w14:textId="1A7EE9F4" w:rsidR="00763EF2" w:rsidRPr="003B5F84" w:rsidRDefault="00763EF2" w:rsidP="00763EF2">
      <w:pPr>
        <w:keepNext/>
        <w:keepLines/>
        <w:rPr>
          <w:rFonts w:ascii="Arial Narrow" w:hAnsi="Arial Narrow"/>
          <w:b/>
          <w:bCs/>
          <w:sz w:val="20"/>
          <w:szCs w:val="18"/>
        </w:rPr>
      </w:pPr>
      <w:bookmarkStart w:id="65" w:name="_Ref141559182"/>
      <w:bookmarkStart w:id="66" w:name="_Hlk141172052"/>
      <w:bookmarkEnd w:id="64"/>
      <w:r w:rsidRPr="003B5F84">
        <w:rPr>
          <w:rFonts w:ascii="Arial Narrow" w:hAnsi="Arial Narrow"/>
          <w:b/>
          <w:bCs/>
          <w:sz w:val="20"/>
          <w:szCs w:val="18"/>
        </w:rPr>
        <w:lastRenderedPageBreak/>
        <w:t xml:space="preserve">Table </w:t>
      </w:r>
      <w:r w:rsidRPr="003B5F84">
        <w:rPr>
          <w:rFonts w:ascii="Arial Narrow" w:hAnsi="Arial Narrow"/>
          <w:b/>
          <w:bCs/>
          <w:sz w:val="20"/>
          <w:szCs w:val="18"/>
        </w:rPr>
        <w:fldChar w:fldCharType="begin" w:fldLock="1"/>
      </w:r>
      <w:r w:rsidRPr="003B5F84">
        <w:rPr>
          <w:rFonts w:ascii="Arial Narrow" w:hAnsi="Arial Narrow"/>
          <w:b/>
          <w:bCs/>
          <w:sz w:val="20"/>
          <w:szCs w:val="18"/>
        </w:rPr>
        <w:instrText xml:space="preserve"> SEQ Table \* ARABIC </w:instrText>
      </w:r>
      <w:r w:rsidRPr="003B5F84">
        <w:rPr>
          <w:rFonts w:ascii="Arial Narrow" w:hAnsi="Arial Narrow"/>
          <w:b/>
          <w:bCs/>
          <w:sz w:val="20"/>
          <w:szCs w:val="18"/>
        </w:rPr>
        <w:fldChar w:fldCharType="separate"/>
      </w:r>
      <w:r w:rsidR="008760F8">
        <w:rPr>
          <w:rFonts w:ascii="Arial Narrow" w:hAnsi="Arial Narrow"/>
          <w:b/>
          <w:bCs/>
          <w:noProof/>
          <w:sz w:val="20"/>
          <w:szCs w:val="18"/>
        </w:rPr>
        <w:t>13</w:t>
      </w:r>
      <w:r w:rsidRPr="003B5F84">
        <w:rPr>
          <w:rFonts w:ascii="Arial Narrow" w:hAnsi="Arial Narrow"/>
          <w:b/>
          <w:bCs/>
          <w:noProof/>
          <w:sz w:val="20"/>
          <w:szCs w:val="18"/>
        </w:rPr>
        <w:fldChar w:fldCharType="end"/>
      </w:r>
      <w:bookmarkEnd w:id="65"/>
      <w:r>
        <w:rPr>
          <w:rFonts w:ascii="Arial Narrow" w:hAnsi="Arial Narrow"/>
          <w:b/>
          <w:bCs/>
          <w:noProof/>
          <w:sz w:val="20"/>
          <w:szCs w:val="18"/>
        </w:rPr>
        <w:t>:</w:t>
      </w:r>
      <w:r w:rsidRPr="003B5F84">
        <w:rPr>
          <w:rFonts w:ascii="Arial Narrow" w:hAnsi="Arial Narrow"/>
          <w:b/>
          <w:bCs/>
          <w:sz w:val="20"/>
          <w:szCs w:val="18"/>
        </w:rPr>
        <w:t xml:space="preserve"> Parametric models selected for extrapolation of PFS, OS and TTD outcomes beyond 10.2 months in the </w:t>
      </w:r>
      <w:bookmarkEnd w:id="66"/>
      <w:r w:rsidRPr="003B5F84">
        <w:rPr>
          <w:rFonts w:ascii="Arial Narrow" w:hAnsi="Arial Narrow"/>
          <w:b/>
          <w:bCs/>
          <w:sz w:val="20"/>
          <w:szCs w:val="18"/>
        </w:rPr>
        <w:t>submission</w:t>
      </w:r>
    </w:p>
    <w:tbl>
      <w:tblPr>
        <w:tblStyle w:val="TableGrid"/>
        <w:tblW w:w="5000" w:type="pct"/>
        <w:tblLayout w:type="fixed"/>
        <w:tblLook w:val="04A0" w:firstRow="1" w:lastRow="0" w:firstColumn="1" w:lastColumn="0" w:noHBand="0" w:noVBand="1"/>
      </w:tblPr>
      <w:tblGrid>
        <w:gridCol w:w="1271"/>
        <w:gridCol w:w="2126"/>
        <w:gridCol w:w="1843"/>
        <w:gridCol w:w="1986"/>
        <w:gridCol w:w="1791"/>
      </w:tblGrid>
      <w:tr w:rsidR="00763EF2" w:rsidRPr="003B5F84" w14:paraId="3B29A77E" w14:textId="77777777" w:rsidTr="00CB4A1F">
        <w:trPr>
          <w:trHeight w:val="290"/>
          <w:tblHeader/>
        </w:trPr>
        <w:tc>
          <w:tcPr>
            <w:tcW w:w="705" w:type="pct"/>
            <w:tcBorders>
              <w:bottom w:val="nil"/>
            </w:tcBorders>
            <w:noWrap/>
            <w:vAlign w:val="center"/>
            <w:hideMark/>
          </w:tcPr>
          <w:p w14:paraId="0B7359D0" w14:textId="77777777" w:rsidR="00763EF2" w:rsidRPr="003B5F84" w:rsidRDefault="00763EF2" w:rsidP="00CB4A1F">
            <w:pPr>
              <w:keepNext/>
              <w:jc w:val="left"/>
              <w:rPr>
                <w:rFonts w:ascii="Arial Narrow" w:hAnsi="Arial Narrow"/>
                <w:sz w:val="20"/>
                <w:szCs w:val="20"/>
              </w:rPr>
            </w:pPr>
          </w:p>
        </w:tc>
        <w:tc>
          <w:tcPr>
            <w:tcW w:w="2201" w:type="pct"/>
            <w:gridSpan w:val="2"/>
            <w:noWrap/>
            <w:vAlign w:val="center"/>
            <w:hideMark/>
          </w:tcPr>
          <w:p w14:paraId="634925F3" w14:textId="77777777" w:rsidR="00763EF2" w:rsidRPr="003B5F84" w:rsidRDefault="00763EF2" w:rsidP="00CB4A1F">
            <w:pPr>
              <w:keepNext/>
              <w:jc w:val="center"/>
              <w:rPr>
                <w:rFonts w:ascii="Arial Narrow" w:hAnsi="Arial Narrow"/>
                <w:b/>
                <w:bCs/>
                <w:sz w:val="20"/>
                <w:szCs w:val="20"/>
              </w:rPr>
            </w:pPr>
            <w:r w:rsidRPr="003B5F84">
              <w:rPr>
                <w:rFonts w:ascii="Arial Narrow" w:hAnsi="Arial Narrow"/>
                <w:b/>
                <w:bCs/>
                <w:sz w:val="20"/>
                <w:szCs w:val="20"/>
              </w:rPr>
              <w:t xml:space="preserve">Base case </w:t>
            </w:r>
          </w:p>
          <w:p w14:paraId="0841CD9F" w14:textId="22ED265D" w:rsidR="00763EF2" w:rsidRPr="003B5F84" w:rsidRDefault="00763EF2" w:rsidP="00CB4A1F">
            <w:pPr>
              <w:keepNext/>
              <w:jc w:val="center"/>
              <w:rPr>
                <w:rFonts w:ascii="Arial Narrow" w:hAnsi="Arial Narrow"/>
                <w:b/>
                <w:bCs/>
                <w:sz w:val="20"/>
                <w:szCs w:val="20"/>
              </w:rPr>
            </w:pPr>
            <w:r w:rsidRPr="003B5F84">
              <w:rPr>
                <w:rFonts w:ascii="Arial Narrow" w:hAnsi="Arial Narrow"/>
                <w:b/>
                <w:bCs/>
                <w:sz w:val="20"/>
                <w:szCs w:val="20"/>
              </w:rPr>
              <w:t>Sub-</w:t>
            </w:r>
            <w:r>
              <w:rPr>
                <w:rFonts w:ascii="Arial Narrow" w:hAnsi="Arial Narrow"/>
                <w:b/>
                <w:bCs/>
                <w:sz w:val="20"/>
                <w:szCs w:val="20"/>
              </w:rPr>
              <w:t>group</w:t>
            </w:r>
            <w:r w:rsidRPr="003B5F84">
              <w:rPr>
                <w:rFonts w:ascii="Arial Narrow" w:hAnsi="Arial Narrow"/>
                <w:b/>
                <w:bCs/>
                <w:sz w:val="20"/>
                <w:szCs w:val="20"/>
              </w:rPr>
              <w:t xml:space="preserve"> previously treated with lenvatinib only</w:t>
            </w:r>
          </w:p>
        </w:tc>
        <w:tc>
          <w:tcPr>
            <w:tcW w:w="2094" w:type="pct"/>
            <w:gridSpan w:val="2"/>
            <w:vAlign w:val="center"/>
          </w:tcPr>
          <w:p w14:paraId="5F7A0747" w14:textId="77777777" w:rsidR="00763EF2" w:rsidRPr="003B5F84" w:rsidRDefault="00763EF2" w:rsidP="00CB4A1F">
            <w:pPr>
              <w:keepNext/>
              <w:jc w:val="center"/>
              <w:rPr>
                <w:rFonts w:ascii="Arial Narrow" w:hAnsi="Arial Narrow"/>
                <w:b/>
                <w:bCs/>
                <w:sz w:val="20"/>
                <w:szCs w:val="20"/>
              </w:rPr>
            </w:pPr>
            <w:r w:rsidRPr="003B5F84">
              <w:rPr>
                <w:rFonts w:ascii="Arial Narrow" w:hAnsi="Arial Narrow"/>
                <w:b/>
                <w:bCs/>
                <w:sz w:val="20"/>
                <w:szCs w:val="20"/>
              </w:rPr>
              <w:t xml:space="preserve">Additional analysis </w:t>
            </w:r>
          </w:p>
          <w:p w14:paraId="677629AC" w14:textId="77777777" w:rsidR="00763EF2" w:rsidRPr="003B5F84" w:rsidRDefault="00763EF2" w:rsidP="00CB4A1F">
            <w:pPr>
              <w:keepNext/>
              <w:jc w:val="center"/>
              <w:rPr>
                <w:rFonts w:ascii="Arial Narrow" w:hAnsi="Arial Narrow"/>
                <w:b/>
                <w:bCs/>
                <w:sz w:val="20"/>
                <w:szCs w:val="20"/>
              </w:rPr>
            </w:pPr>
            <w:r w:rsidRPr="003B5F84">
              <w:rPr>
                <w:rFonts w:ascii="Arial Narrow" w:hAnsi="Arial Narrow"/>
                <w:b/>
                <w:bCs/>
                <w:sz w:val="20"/>
                <w:szCs w:val="20"/>
              </w:rPr>
              <w:t>Full COSMIC-311 population</w:t>
            </w:r>
          </w:p>
        </w:tc>
      </w:tr>
      <w:tr w:rsidR="00763EF2" w:rsidRPr="003B5F84" w14:paraId="5449C3C8" w14:textId="77777777" w:rsidTr="00CB4A1F">
        <w:trPr>
          <w:trHeight w:val="70"/>
        </w:trPr>
        <w:tc>
          <w:tcPr>
            <w:tcW w:w="705" w:type="pct"/>
            <w:tcBorders>
              <w:top w:val="nil"/>
            </w:tcBorders>
            <w:noWrap/>
            <w:vAlign w:val="center"/>
            <w:hideMark/>
          </w:tcPr>
          <w:p w14:paraId="480B57DA" w14:textId="77777777" w:rsidR="00763EF2" w:rsidRPr="003B5F84" w:rsidRDefault="00763EF2" w:rsidP="00CB4A1F">
            <w:pPr>
              <w:keepNext/>
              <w:jc w:val="left"/>
              <w:rPr>
                <w:rFonts w:ascii="Arial Narrow" w:hAnsi="Arial Narrow"/>
                <w:b/>
                <w:bCs/>
                <w:sz w:val="20"/>
                <w:szCs w:val="20"/>
              </w:rPr>
            </w:pPr>
          </w:p>
        </w:tc>
        <w:tc>
          <w:tcPr>
            <w:tcW w:w="1179" w:type="pct"/>
            <w:noWrap/>
            <w:vAlign w:val="center"/>
            <w:hideMark/>
          </w:tcPr>
          <w:p w14:paraId="7636202E" w14:textId="77777777" w:rsidR="00763EF2" w:rsidRPr="003B5F84" w:rsidRDefault="00763EF2" w:rsidP="00CB4A1F">
            <w:pPr>
              <w:keepNext/>
              <w:jc w:val="center"/>
              <w:rPr>
                <w:rFonts w:ascii="Arial Narrow" w:hAnsi="Arial Narrow"/>
                <w:b/>
                <w:bCs/>
                <w:sz w:val="20"/>
                <w:szCs w:val="20"/>
              </w:rPr>
            </w:pPr>
            <w:r w:rsidRPr="003B5F84">
              <w:rPr>
                <w:rFonts w:ascii="Arial Narrow" w:hAnsi="Arial Narrow"/>
                <w:b/>
                <w:bCs/>
                <w:sz w:val="20"/>
                <w:szCs w:val="20"/>
              </w:rPr>
              <w:t>Cabozantinib (+ BSC)</w:t>
            </w:r>
          </w:p>
        </w:tc>
        <w:tc>
          <w:tcPr>
            <w:tcW w:w="1022" w:type="pct"/>
            <w:noWrap/>
            <w:vAlign w:val="center"/>
            <w:hideMark/>
          </w:tcPr>
          <w:p w14:paraId="157D8AB0" w14:textId="77777777" w:rsidR="00763EF2" w:rsidRPr="003B5F84" w:rsidRDefault="00763EF2" w:rsidP="00CB4A1F">
            <w:pPr>
              <w:keepNext/>
              <w:jc w:val="center"/>
              <w:rPr>
                <w:rFonts w:ascii="Arial Narrow" w:hAnsi="Arial Narrow"/>
                <w:b/>
                <w:bCs/>
                <w:sz w:val="20"/>
                <w:szCs w:val="20"/>
              </w:rPr>
            </w:pPr>
            <w:r w:rsidRPr="003B5F84">
              <w:rPr>
                <w:rFonts w:ascii="Arial Narrow" w:hAnsi="Arial Narrow"/>
                <w:b/>
                <w:bCs/>
                <w:sz w:val="20"/>
                <w:szCs w:val="20"/>
              </w:rPr>
              <w:t>BSC</w:t>
            </w:r>
          </w:p>
        </w:tc>
        <w:tc>
          <w:tcPr>
            <w:tcW w:w="1101" w:type="pct"/>
            <w:vAlign w:val="center"/>
          </w:tcPr>
          <w:p w14:paraId="0C3E2CBA" w14:textId="77777777" w:rsidR="00763EF2" w:rsidRPr="003B5F84" w:rsidRDefault="00763EF2" w:rsidP="00CB4A1F">
            <w:pPr>
              <w:keepNext/>
              <w:jc w:val="center"/>
              <w:rPr>
                <w:rFonts w:ascii="Arial Narrow" w:hAnsi="Arial Narrow"/>
                <w:b/>
                <w:bCs/>
                <w:sz w:val="20"/>
                <w:szCs w:val="20"/>
              </w:rPr>
            </w:pPr>
            <w:r w:rsidRPr="003B5F84">
              <w:rPr>
                <w:rFonts w:ascii="Arial Narrow" w:hAnsi="Arial Narrow"/>
                <w:b/>
                <w:bCs/>
                <w:sz w:val="20"/>
                <w:szCs w:val="20"/>
              </w:rPr>
              <w:t>Cabozantinib (+ BSC)</w:t>
            </w:r>
          </w:p>
        </w:tc>
        <w:tc>
          <w:tcPr>
            <w:tcW w:w="993" w:type="pct"/>
            <w:vAlign w:val="center"/>
          </w:tcPr>
          <w:p w14:paraId="4846842E" w14:textId="77777777" w:rsidR="00763EF2" w:rsidRPr="003B5F84" w:rsidRDefault="00763EF2" w:rsidP="00CB4A1F">
            <w:pPr>
              <w:keepNext/>
              <w:jc w:val="center"/>
              <w:rPr>
                <w:rFonts w:ascii="Arial Narrow" w:hAnsi="Arial Narrow"/>
                <w:b/>
                <w:bCs/>
                <w:sz w:val="20"/>
                <w:szCs w:val="20"/>
              </w:rPr>
            </w:pPr>
            <w:r w:rsidRPr="003B5F84">
              <w:rPr>
                <w:rFonts w:ascii="Arial Narrow" w:hAnsi="Arial Narrow"/>
                <w:b/>
                <w:bCs/>
                <w:sz w:val="20"/>
                <w:szCs w:val="20"/>
              </w:rPr>
              <w:t>BSC</w:t>
            </w:r>
          </w:p>
        </w:tc>
      </w:tr>
      <w:tr w:rsidR="00763EF2" w:rsidRPr="003B5F84" w14:paraId="588A7F52" w14:textId="77777777" w:rsidTr="00CB4A1F">
        <w:trPr>
          <w:trHeight w:val="98"/>
        </w:trPr>
        <w:tc>
          <w:tcPr>
            <w:tcW w:w="705" w:type="pct"/>
            <w:noWrap/>
            <w:vAlign w:val="center"/>
            <w:hideMark/>
          </w:tcPr>
          <w:p w14:paraId="2CE8BF27" w14:textId="77777777" w:rsidR="00763EF2" w:rsidRPr="003B5F84" w:rsidRDefault="00763EF2" w:rsidP="00CB4A1F">
            <w:pPr>
              <w:keepNext/>
              <w:jc w:val="left"/>
              <w:rPr>
                <w:rFonts w:ascii="Arial Narrow" w:hAnsi="Arial Narrow"/>
                <w:sz w:val="20"/>
                <w:szCs w:val="20"/>
              </w:rPr>
            </w:pPr>
            <w:r w:rsidRPr="003B5F84">
              <w:rPr>
                <w:rFonts w:ascii="Arial Narrow" w:hAnsi="Arial Narrow"/>
                <w:sz w:val="20"/>
                <w:szCs w:val="20"/>
              </w:rPr>
              <w:t>PFS</w:t>
            </w:r>
          </w:p>
        </w:tc>
        <w:tc>
          <w:tcPr>
            <w:tcW w:w="1179" w:type="pct"/>
            <w:noWrap/>
            <w:vAlign w:val="center"/>
            <w:hideMark/>
          </w:tcPr>
          <w:p w14:paraId="77F9F96E" w14:textId="77777777" w:rsidR="00763EF2" w:rsidRPr="003B5F84" w:rsidRDefault="00763EF2" w:rsidP="00CB4A1F">
            <w:pPr>
              <w:keepNext/>
              <w:jc w:val="center"/>
              <w:rPr>
                <w:rFonts w:ascii="Arial Narrow" w:hAnsi="Arial Narrow"/>
                <w:sz w:val="20"/>
                <w:szCs w:val="20"/>
              </w:rPr>
            </w:pPr>
            <w:r w:rsidRPr="003B5F84">
              <w:rPr>
                <w:rFonts w:ascii="Arial Narrow" w:hAnsi="Arial Narrow"/>
                <w:sz w:val="20"/>
                <w:szCs w:val="20"/>
              </w:rPr>
              <w:t>Weibull</w:t>
            </w:r>
          </w:p>
        </w:tc>
        <w:tc>
          <w:tcPr>
            <w:tcW w:w="1022" w:type="pct"/>
            <w:noWrap/>
            <w:vAlign w:val="center"/>
            <w:hideMark/>
          </w:tcPr>
          <w:p w14:paraId="4BE2EEFD" w14:textId="77777777" w:rsidR="00763EF2" w:rsidRPr="003B5F84" w:rsidRDefault="00763EF2" w:rsidP="00CB4A1F">
            <w:pPr>
              <w:keepNext/>
              <w:jc w:val="center"/>
              <w:rPr>
                <w:rFonts w:ascii="Arial Narrow" w:hAnsi="Arial Narrow"/>
                <w:sz w:val="20"/>
                <w:szCs w:val="20"/>
              </w:rPr>
            </w:pPr>
            <w:r w:rsidRPr="003B5F84">
              <w:rPr>
                <w:rFonts w:ascii="Arial Narrow" w:hAnsi="Arial Narrow"/>
                <w:sz w:val="20"/>
                <w:szCs w:val="20"/>
              </w:rPr>
              <w:t>Gompertz</w:t>
            </w:r>
          </w:p>
        </w:tc>
        <w:tc>
          <w:tcPr>
            <w:tcW w:w="1101" w:type="pct"/>
            <w:vAlign w:val="center"/>
          </w:tcPr>
          <w:p w14:paraId="5BF74DD4" w14:textId="77777777" w:rsidR="00763EF2" w:rsidRPr="003B5F84" w:rsidRDefault="00763EF2" w:rsidP="00CB4A1F">
            <w:pPr>
              <w:keepNext/>
              <w:jc w:val="center"/>
              <w:rPr>
                <w:rFonts w:ascii="Arial Narrow" w:hAnsi="Arial Narrow"/>
                <w:sz w:val="20"/>
                <w:szCs w:val="20"/>
              </w:rPr>
            </w:pPr>
            <w:r w:rsidRPr="003B5F84">
              <w:rPr>
                <w:rFonts w:ascii="Arial Narrow" w:hAnsi="Arial Narrow"/>
                <w:sz w:val="20"/>
                <w:szCs w:val="20"/>
              </w:rPr>
              <w:t>Log-Logistic</w:t>
            </w:r>
          </w:p>
        </w:tc>
        <w:tc>
          <w:tcPr>
            <w:tcW w:w="993" w:type="pct"/>
            <w:vAlign w:val="center"/>
          </w:tcPr>
          <w:p w14:paraId="3971A9C3" w14:textId="77777777" w:rsidR="00763EF2" w:rsidRPr="003B5F84" w:rsidRDefault="00763EF2" w:rsidP="00CB4A1F">
            <w:pPr>
              <w:keepNext/>
              <w:jc w:val="center"/>
              <w:rPr>
                <w:rFonts w:ascii="Arial Narrow" w:hAnsi="Arial Narrow"/>
                <w:sz w:val="20"/>
                <w:szCs w:val="20"/>
              </w:rPr>
            </w:pPr>
            <w:r w:rsidRPr="003B5F84">
              <w:rPr>
                <w:rFonts w:ascii="Arial Narrow" w:hAnsi="Arial Narrow"/>
                <w:sz w:val="20"/>
                <w:szCs w:val="20"/>
              </w:rPr>
              <w:t>Log-Normal</w:t>
            </w:r>
          </w:p>
        </w:tc>
      </w:tr>
      <w:tr w:rsidR="00763EF2" w:rsidRPr="003B5F84" w14:paraId="3240A7FE" w14:textId="77777777" w:rsidTr="00CB4A1F">
        <w:trPr>
          <w:trHeight w:val="143"/>
        </w:trPr>
        <w:tc>
          <w:tcPr>
            <w:tcW w:w="705" w:type="pct"/>
            <w:noWrap/>
            <w:vAlign w:val="center"/>
            <w:hideMark/>
          </w:tcPr>
          <w:p w14:paraId="544352B1" w14:textId="77777777" w:rsidR="00763EF2" w:rsidRPr="003B5F84" w:rsidRDefault="00763EF2" w:rsidP="00CB4A1F">
            <w:pPr>
              <w:keepNext/>
              <w:jc w:val="left"/>
              <w:rPr>
                <w:rFonts w:ascii="Arial Narrow" w:hAnsi="Arial Narrow"/>
                <w:sz w:val="20"/>
                <w:szCs w:val="20"/>
              </w:rPr>
            </w:pPr>
            <w:r w:rsidRPr="003B5F84">
              <w:rPr>
                <w:rFonts w:ascii="Arial Narrow" w:hAnsi="Arial Narrow"/>
                <w:sz w:val="20"/>
                <w:szCs w:val="20"/>
              </w:rPr>
              <w:t>TTD</w:t>
            </w:r>
          </w:p>
        </w:tc>
        <w:tc>
          <w:tcPr>
            <w:tcW w:w="1179" w:type="pct"/>
            <w:noWrap/>
            <w:vAlign w:val="center"/>
            <w:hideMark/>
          </w:tcPr>
          <w:p w14:paraId="35C82B57" w14:textId="77777777" w:rsidR="00763EF2" w:rsidRPr="003B5F84" w:rsidRDefault="00763EF2" w:rsidP="00CB4A1F">
            <w:pPr>
              <w:keepNext/>
              <w:jc w:val="center"/>
              <w:rPr>
                <w:rFonts w:ascii="Arial Narrow" w:hAnsi="Arial Narrow"/>
                <w:sz w:val="20"/>
                <w:szCs w:val="20"/>
              </w:rPr>
            </w:pPr>
            <w:r w:rsidRPr="003B5F84">
              <w:rPr>
                <w:rFonts w:ascii="Arial Narrow" w:hAnsi="Arial Narrow"/>
                <w:sz w:val="20"/>
                <w:szCs w:val="20"/>
              </w:rPr>
              <w:t>Gompertz</w:t>
            </w:r>
          </w:p>
        </w:tc>
        <w:tc>
          <w:tcPr>
            <w:tcW w:w="1022" w:type="pct"/>
            <w:noWrap/>
            <w:vAlign w:val="center"/>
            <w:hideMark/>
          </w:tcPr>
          <w:p w14:paraId="5B3376AE" w14:textId="77777777" w:rsidR="00763EF2" w:rsidRPr="003B5F84" w:rsidRDefault="00763EF2" w:rsidP="00CB4A1F">
            <w:pPr>
              <w:keepNext/>
              <w:jc w:val="center"/>
              <w:rPr>
                <w:rFonts w:ascii="Arial Narrow" w:hAnsi="Arial Narrow"/>
                <w:sz w:val="20"/>
                <w:szCs w:val="20"/>
              </w:rPr>
            </w:pPr>
            <w:r w:rsidRPr="003B5F84">
              <w:rPr>
                <w:rFonts w:ascii="Arial Narrow" w:hAnsi="Arial Narrow"/>
                <w:sz w:val="20"/>
                <w:szCs w:val="20"/>
              </w:rPr>
              <w:t>Gompertz</w:t>
            </w:r>
          </w:p>
        </w:tc>
        <w:tc>
          <w:tcPr>
            <w:tcW w:w="1101" w:type="pct"/>
            <w:vAlign w:val="center"/>
          </w:tcPr>
          <w:p w14:paraId="605CD563" w14:textId="77777777" w:rsidR="00763EF2" w:rsidRPr="003B5F84" w:rsidRDefault="00763EF2" w:rsidP="00CB4A1F">
            <w:pPr>
              <w:keepNext/>
              <w:jc w:val="center"/>
              <w:rPr>
                <w:rFonts w:ascii="Arial Narrow" w:hAnsi="Arial Narrow"/>
                <w:sz w:val="20"/>
                <w:szCs w:val="20"/>
              </w:rPr>
            </w:pPr>
            <w:r w:rsidRPr="003B5F84">
              <w:rPr>
                <w:rFonts w:ascii="Arial Narrow" w:hAnsi="Arial Narrow"/>
                <w:sz w:val="20"/>
                <w:szCs w:val="20"/>
              </w:rPr>
              <w:t>Exponential</w:t>
            </w:r>
          </w:p>
        </w:tc>
        <w:tc>
          <w:tcPr>
            <w:tcW w:w="993" w:type="pct"/>
            <w:vAlign w:val="center"/>
          </w:tcPr>
          <w:p w14:paraId="6473318C" w14:textId="77777777" w:rsidR="00763EF2" w:rsidRPr="003B5F84" w:rsidRDefault="00763EF2" w:rsidP="00CB4A1F">
            <w:pPr>
              <w:keepNext/>
              <w:jc w:val="center"/>
              <w:rPr>
                <w:rFonts w:ascii="Arial Narrow" w:hAnsi="Arial Narrow"/>
                <w:sz w:val="20"/>
                <w:szCs w:val="20"/>
              </w:rPr>
            </w:pPr>
            <w:r w:rsidRPr="003B5F84">
              <w:rPr>
                <w:rFonts w:ascii="Arial Narrow" w:hAnsi="Arial Narrow"/>
                <w:sz w:val="20"/>
                <w:szCs w:val="20"/>
              </w:rPr>
              <w:t>Log-Normal</w:t>
            </w:r>
          </w:p>
        </w:tc>
      </w:tr>
      <w:tr w:rsidR="00763EF2" w:rsidRPr="003B5F84" w14:paraId="239E9FE8" w14:textId="77777777" w:rsidTr="00CB4A1F">
        <w:trPr>
          <w:trHeight w:val="70"/>
        </w:trPr>
        <w:tc>
          <w:tcPr>
            <w:tcW w:w="705" w:type="pct"/>
            <w:noWrap/>
            <w:vAlign w:val="center"/>
            <w:hideMark/>
          </w:tcPr>
          <w:p w14:paraId="757996D5" w14:textId="77777777" w:rsidR="00763EF2" w:rsidRPr="003B5F84" w:rsidRDefault="00763EF2" w:rsidP="00CB4A1F">
            <w:pPr>
              <w:keepNext/>
              <w:jc w:val="left"/>
              <w:rPr>
                <w:rFonts w:ascii="Arial Narrow" w:hAnsi="Arial Narrow"/>
                <w:sz w:val="20"/>
                <w:szCs w:val="20"/>
              </w:rPr>
            </w:pPr>
            <w:r w:rsidRPr="003B5F84">
              <w:rPr>
                <w:rFonts w:ascii="Arial Narrow" w:hAnsi="Arial Narrow"/>
                <w:sz w:val="20"/>
                <w:szCs w:val="20"/>
              </w:rPr>
              <w:t>OS</w:t>
            </w:r>
          </w:p>
        </w:tc>
        <w:tc>
          <w:tcPr>
            <w:tcW w:w="1179" w:type="pct"/>
            <w:noWrap/>
            <w:vAlign w:val="center"/>
            <w:hideMark/>
          </w:tcPr>
          <w:p w14:paraId="549C683B" w14:textId="77777777" w:rsidR="00763EF2" w:rsidRPr="003B5F84" w:rsidRDefault="00763EF2" w:rsidP="00CB4A1F">
            <w:pPr>
              <w:keepNext/>
              <w:jc w:val="center"/>
              <w:rPr>
                <w:rFonts w:ascii="Arial Narrow" w:hAnsi="Arial Narrow"/>
                <w:sz w:val="20"/>
                <w:szCs w:val="20"/>
              </w:rPr>
            </w:pPr>
            <w:r w:rsidRPr="003B5F84">
              <w:rPr>
                <w:rFonts w:ascii="Arial Narrow" w:hAnsi="Arial Narrow"/>
                <w:sz w:val="20"/>
                <w:szCs w:val="20"/>
              </w:rPr>
              <w:t>Gompertz</w:t>
            </w:r>
          </w:p>
        </w:tc>
        <w:tc>
          <w:tcPr>
            <w:tcW w:w="1022" w:type="pct"/>
            <w:noWrap/>
            <w:vAlign w:val="center"/>
            <w:hideMark/>
          </w:tcPr>
          <w:p w14:paraId="0F578D35" w14:textId="77777777" w:rsidR="00763EF2" w:rsidRPr="003B5F84" w:rsidRDefault="00763EF2" w:rsidP="00CB4A1F">
            <w:pPr>
              <w:keepNext/>
              <w:jc w:val="center"/>
              <w:rPr>
                <w:rFonts w:ascii="Arial Narrow" w:hAnsi="Arial Narrow"/>
                <w:sz w:val="20"/>
                <w:szCs w:val="20"/>
              </w:rPr>
            </w:pPr>
            <w:proofErr w:type="spellStart"/>
            <w:r w:rsidRPr="003B5F84">
              <w:rPr>
                <w:rFonts w:ascii="Arial Narrow" w:hAnsi="Arial Narrow"/>
                <w:sz w:val="20"/>
                <w:szCs w:val="20"/>
              </w:rPr>
              <w:t>Exponential</w:t>
            </w:r>
            <w:r w:rsidRPr="006B181E">
              <w:rPr>
                <w:rFonts w:ascii="Arial Narrow" w:hAnsi="Arial Narrow"/>
                <w:sz w:val="20"/>
                <w:szCs w:val="20"/>
                <w:vertAlign w:val="superscript"/>
              </w:rPr>
              <w:t>a</w:t>
            </w:r>
            <w:proofErr w:type="spellEnd"/>
          </w:p>
        </w:tc>
        <w:tc>
          <w:tcPr>
            <w:tcW w:w="1101" w:type="pct"/>
            <w:vAlign w:val="center"/>
          </w:tcPr>
          <w:p w14:paraId="2CD0E1B4" w14:textId="7EE595AC" w:rsidR="00763EF2" w:rsidRPr="003B5F84" w:rsidRDefault="00763EF2" w:rsidP="00CB4A1F">
            <w:pPr>
              <w:keepNext/>
              <w:jc w:val="center"/>
              <w:rPr>
                <w:rFonts w:ascii="Arial Narrow" w:hAnsi="Arial Narrow"/>
                <w:sz w:val="20"/>
                <w:szCs w:val="20"/>
              </w:rPr>
            </w:pPr>
            <w:r>
              <w:rPr>
                <w:rFonts w:ascii="Arial Narrow" w:hAnsi="Arial Narrow"/>
                <w:sz w:val="20"/>
                <w:szCs w:val="20"/>
              </w:rPr>
              <w:t>Weibull</w:t>
            </w:r>
          </w:p>
        </w:tc>
        <w:tc>
          <w:tcPr>
            <w:tcW w:w="993" w:type="pct"/>
            <w:vAlign w:val="center"/>
          </w:tcPr>
          <w:p w14:paraId="646F79C0" w14:textId="77777777" w:rsidR="00763EF2" w:rsidRPr="003B5F84" w:rsidRDefault="00763EF2" w:rsidP="00CB4A1F">
            <w:pPr>
              <w:keepNext/>
              <w:jc w:val="center"/>
              <w:rPr>
                <w:rFonts w:ascii="Arial Narrow" w:hAnsi="Arial Narrow"/>
                <w:sz w:val="20"/>
                <w:szCs w:val="20"/>
              </w:rPr>
            </w:pPr>
            <w:r w:rsidRPr="003B5F84">
              <w:rPr>
                <w:rFonts w:ascii="Arial Narrow" w:hAnsi="Arial Narrow"/>
                <w:sz w:val="20"/>
                <w:szCs w:val="20"/>
              </w:rPr>
              <w:t xml:space="preserve">Generalised </w:t>
            </w:r>
            <w:proofErr w:type="spellStart"/>
            <w:r w:rsidRPr="003B5F84">
              <w:rPr>
                <w:rFonts w:ascii="Arial Narrow" w:hAnsi="Arial Narrow"/>
                <w:sz w:val="20"/>
                <w:szCs w:val="20"/>
              </w:rPr>
              <w:t>Gamma</w:t>
            </w:r>
            <w:r w:rsidRPr="006B181E">
              <w:rPr>
                <w:rFonts w:ascii="Arial Narrow" w:hAnsi="Arial Narrow"/>
                <w:sz w:val="20"/>
                <w:szCs w:val="20"/>
                <w:vertAlign w:val="superscript"/>
              </w:rPr>
              <w:t>a</w:t>
            </w:r>
            <w:proofErr w:type="spellEnd"/>
          </w:p>
        </w:tc>
      </w:tr>
    </w:tbl>
    <w:p w14:paraId="17694300" w14:textId="77777777" w:rsidR="00763EF2" w:rsidRPr="003B5F84" w:rsidRDefault="00763EF2" w:rsidP="00763EF2">
      <w:pPr>
        <w:spacing w:after="120"/>
        <w:contextualSpacing/>
        <w:rPr>
          <w:rFonts w:ascii="Arial Narrow" w:hAnsi="Arial Narrow"/>
          <w:snapToGrid w:val="0"/>
          <w:sz w:val="18"/>
          <w:szCs w:val="22"/>
        </w:rPr>
      </w:pPr>
      <w:bookmarkStart w:id="67" w:name="_Hlk141171976"/>
      <w:r w:rsidRPr="003B5F84">
        <w:rPr>
          <w:rFonts w:ascii="Arial Narrow" w:hAnsi="Arial Narrow"/>
          <w:snapToGrid w:val="0"/>
          <w:sz w:val="18"/>
          <w:szCs w:val="22"/>
        </w:rPr>
        <w:t>Source: pp132 and 134 of the submission</w:t>
      </w:r>
      <w:r>
        <w:rPr>
          <w:rFonts w:ascii="Arial Narrow" w:hAnsi="Arial Narrow"/>
          <w:snapToGrid w:val="0"/>
          <w:sz w:val="18"/>
          <w:szCs w:val="22"/>
        </w:rPr>
        <w:t xml:space="preserve">; </w:t>
      </w:r>
      <w:r w:rsidRPr="004F4731">
        <w:rPr>
          <w:rFonts w:ascii="Arial Narrow" w:hAnsi="Arial Narrow"/>
          <w:snapToGrid w:val="0"/>
          <w:sz w:val="18"/>
          <w:szCs w:val="22"/>
        </w:rPr>
        <w:t>Tab titled ‘3A. Control Panel’ in Excel workbook titled ‘Attachment 10 – DTC economic evaluation – Section 3 – FINAL’ of the submission</w:t>
      </w:r>
      <w:r w:rsidRPr="003B5F84">
        <w:rPr>
          <w:rFonts w:ascii="Arial Narrow" w:hAnsi="Arial Narrow"/>
          <w:snapToGrid w:val="0"/>
          <w:sz w:val="18"/>
          <w:szCs w:val="22"/>
        </w:rPr>
        <w:t>.</w:t>
      </w:r>
    </w:p>
    <w:p w14:paraId="3C3C27EC" w14:textId="77777777" w:rsidR="00763EF2" w:rsidRDefault="00763EF2" w:rsidP="00763EF2">
      <w:pPr>
        <w:spacing w:after="120"/>
        <w:contextualSpacing/>
        <w:rPr>
          <w:rFonts w:ascii="Arial Narrow" w:hAnsi="Arial Narrow"/>
          <w:snapToGrid w:val="0"/>
          <w:sz w:val="18"/>
          <w:szCs w:val="22"/>
        </w:rPr>
      </w:pPr>
      <w:r w:rsidRPr="003B5F84">
        <w:rPr>
          <w:rFonts w:ascii="Arial Narrow" w:hAnsi="Arial Narrow"/>
          <w:snapToGrid w:val="0"/>
          <w:sz w:val="18"/>
          <w:szCs w:val="22"/>
        </w:rPr>
        <w:t>BSC = best supportive care; OS = overall survival; PFS = progression-free survival; TTD = time to treatment discontinuation.</w:t>
      </w:r>
    </w:p>
    <w:p w14:paraId="71D367B1" w14:textId="5EC7F304" w:rsidR="00763EF2" w:rsidRDefault="00664486" w:rsidP="00763EF2">
      <w:pPr>
        <w:spacing w:after="120"/>
        <w:rPr>
          <w:rFonts w:ascii="Arial Narrow" w:hAnsi="Arial Narrow"/>
          <w:snapToGrid w:val="0"/>
          <w:sz w:val="18"/>
          <w:szCs w:val="22"/>
        </w:rPr>
      </w:pPr>
      <w:r w:rsidRPr="00424933">
        <w:rPr>
          <w:rFonts w:ascii="Arial Narrow" w:hAnsi="Arial Narrow"/>
          <w:snapToGrid w:val="0"/>
          <w:sz w:val="18"/>
          <w:szCs w:val="22"/>
          <w:vertAlign w:val="superscript"/>
        </w:rPr>
        <w:t>a</w:t>
      </w:r>
      <w:r>
        <w:rPr>
          <w:rFonts w:ascii="Arial Narrow" w:hAnsi="Arial Narrow"/>
          <w:snapToGrid w:val="0"/>
          <w:sz w:val="18"/>
          <w:szCs w:val="22"/>
        </w:rPr>
        <w:t xml:space="preserve"> </w:t>
      </w:r>
      <w:r w:rsidR="00763EF2">
        <w:rPr>
          <w:rFonts w:ascii="Arial Narrow" w:hAnsi="Arial Narrow"/>
          <w:snapToGrid w:val="0"/>
          <w:sz w:val="18"/>
          <w:szCs w:val="22"/>
        </w:rPr>
        <w:t>This is incorrect. The submission later assumed that overall survival with best supportive care is extrapolated “</w:t>
      </w:r>
      <w:r w:rsidR="00763EF2" w:rsidRPr="006B181E">
        <w:rPr>
          <w:rFonts w:ascii="Arial Narrow" w:hAnsi="Arial Narrow"/>
          <w:snapToGrid w:val="0"/>
          <w:sz w:val="18"/>
          <w:szCs w:val="22"/>
        </w:rPr>
        <w:t>modelling the same probability of transitioning using the cabozantinib curve" (</w:t>
      </w:r>
      <w:r w:rsidR="00763EF2">
        <w:rPr>
          <w:rFonts w:ascii="Arial Narrow" w:hAnsi="Arial Narrow"/>
          <w:snapToGrid w:val="0"/>
          <w:sz w:val="18"/>
          <w:szCs w:val="22"/>
        </w:rPr>
        <w:t>p</w:t>
      </w:r>
      <w:r w:rsidR="00763EF2" w:rsidRPr="006B181E">
        <w:rPr>
          <w:rFonts w:ascii="Arial Narrow" w:hAnsi="Arial Narrow"/>
          <w:snapToGrid w:val="0"/>
          <w:sz w:val="18"/>
          <w:szCs w:val="22"/>
        </w:rPr>
        <w:t>147</w:t>
      </w:r>
      <w:r w:rsidR="00763EF2">
        <w:rPr>
          <w:rFonts w:ascii="Arial Narrow" w:hAnsi="Arial Narrow"/>
          <w:snapToGrid w:val="0"/>
          <w:sz w:val="18"/>
          <w:szCs w:val="22"/>
        </w:rPr>
        <w:t xml:space="preserve"> of the submission</w:t>
      </w:r>
      <w:r w:rsidR="00763EF2" w:rsidRPr="006B181E">
        <w:rPr>
          <w:rFonts w:ascii="Arial Narrow" w:hAnsi="Arial Narrow"/>
          <w:snapToGrid w:val="0"/>
          <w:sz w:val="18"/>
          <w:szCs w:val="22"/>
        </w:rPr>
        <w:t>).</w:t>
      </w:r>
    </w:p>
    <w:p w14:paraId="6D6C2ED2" w14:textId="77777777" w:rsidR="00996619" w:rsidRPr="00996619" w:rsidRDefault="00763EF2" w:rsidP="00993AD9">
      <w:pPr>
        <w:numPr>
          <w:ilvl w:val="1"/>
          <w:numId w:val="1"/>
        </w:numPr>
        <w:spacing w:after="120"/>
        <w:ind w:left="720"/>
        <w:rPr>
          <w:rFonts w:eastAsia="Calibri"/>
        </w:rPr>
      </w:pPr>
      <w:r w:rsidRPr="00993AD9">
        <w:rPr>
          <w:rFonts w:asciiTheme="minorHAnsi" w:hAnsiTheme="minorHAnsi" w:cstheme="minorBidi"/>
        </w:rPr>
        <w:t>In general, the choice of parametric function</w:t>
      </w:r>
      <w:r w:rsidR="0077160B" w:rsidRPr="00993AD9">
        <w:rPr>
          <w:rFonts w:asciiTheme="minorHAnsi" w:hAnsiTheme="minorHAnsi" w:cstheme="minorBidi"/>
        </w:rPr>
        <w:t>s</w:t>
      </w:r>
      <w:r w:rsidRPr="00993AD9">
        <w:rPr>
          <w:rFonts w:asciiTheme="minorHAnsi" w:hAnsiTheme="minorHAnsi" w:cstheme="minorBidi"/>
        </w:rPr>
        <w:t xml:space="preserve"> </w:t>
      </w:r>
      <w:r w:rsidR="0077160B" w:rsidRPr="00993AD9">
        <w:rPr>
          <w:rFonts w:asciiTheme="minorHAnsi" w:hAnsiTheme="minorHAnsi" w:cstheme="minorBidi"/>
        </w:rPr>
        <w:t>applied to the cabozantinib (+BSC) arm</w:t>
      </w:r>
      <w:r w:rsidR="00A31305" w:rsidRPr="00993AD9">
        <w:rPr>
          <w:rFonts w:asciiTheme="minorHAnsi" w:hAnsiTheme="minorHAnsi" w:cstheme="minorBidi"/>
        </w:rPr>
        <w:t xml:space="preserve"> </w:t>
      </w:r>
      <w:r w:rsidRPr="00993AD9">
        <w:rPr>
          <w:rFonts w:asciiTheme="minorHAnsi" w:hAnsiTheme="minorHAnsi" w:cstheme="minorBidi"/>
        </w:rPr>
        <w:t xml:space="preserve">to extrapolate PFS, TTD </w:t>
      </w:r>
      <w:r w:rsidR="0077160B" w:rsidRPr="00993AD9">
        <w:rPr>
          <w:rFonts w:asciiTheme="minorHAnsi" w:hAnsiTheme="minorHAnsi" w:cstheme="minorBidi"/>
        </w:rPr>
        <w:t>and</w:t>
      </w:r>
      <w:r w:rsidRPr="00993AD9">
        <w:rPr>
          <w:rFonts w:asciiTheme="minorHAnsi" w:hAnsiTheme="minorHAnsi" w:cstheme="minorBidi"/>
        </w:rPr>
        <w:t xml:space="preserve"> overall survival </w:t>
      </w:r>
      <w:r w:rsidR="00A31305" w:rsidRPr="00993AD9">
        <w:rPr>
          <w:rFonts w:asciiTheme="minorHAnsi" w:hAnsiTheme="minorHAnsi" w:cstheme="minorBidi"/>
        </w:rPr>
        <w:t>were</w:t>
      </w:r>
      <w:r w:rsidRPr="00993AD9">
        <w:rPr>
          <w:rFonts w:asciiTheme="minorHAnsi" w:hAnsiTheme="minorHAnsi" w:cstheme="minorBidi"/>
        </w:rPr>
        <w:t xml:space="preserve"> conservative in the base case (</w:t>
      </w:r>
      <w:r w:rsidR="004F7B9A" w:rsidRPr="00993AD9">
        <w:rPr>
          <w:rFonts w:asciiTheme="minorHAnsi" w:hAnsiTheme="minorHAnsi" w:cstheme="minorBidi"/>
        </w:rPr>
        <w:t>subgroup</w:t>
      </w:r>
      <w:r w:rsidRPr="00993AD9">
        <w:rPr>
          <w:rFonts w:asciiTheme="minorHAnsi" w:hAnsiTheme="minorHAnsi" w:cstheme="minorBidi"/>
        </w:rPr>
        <w:t xml:space="preserve"> previously treated with lenvatinib), but less conservative for the full COSMIC-311 population. There was minimal extrapolation of PFS with placebo. Modelling and extrapolating TTD (rather than assuming TTD equals PFS) may slightly underestimate costs.</w:t>
      </w:r>
      <w:r w:rsidR="00313BA5" w:rsidRPr="00993AD9">
        <w:rPr>
          <w:rFonts w:asciiTheme="minorHAnsi" w:hAnsiTheme="minorHAnsi" w:cstheme="minorBidi"/>
        </w:rPr>
        <w:t xml:space="preserve"> The PBAC noted the parametric models selected for extrapolation differed depending on if the subgroup or ITT population was used</w:t>
      </w:r>
      <w:r w:rsidR="00985104" w:rsidRPr="00993AD9">
        <w:rPr>
          <w:rFonts w:asciiTheme="minorHAnsi" w:hAnsiTheme="minorHAnsi" w:cstheme="minorBidi"/>
        </w:rPr>
        <w:t>;</w:t>
      </w:r>
      <w:r w:rsidR="00313BA5" w:rsidRPr="00993AD9">
        <w:rPr>
          <w:rFonts w:asciiTheme="minorHAnsi" w:hAnsiTheme="minorHAnsi" w:cstheme="minorBidi"/>
        </w:rPr>
        <w:t xml:space="preserve"> however</w:t>
      </w:r>
      <w:r w:rsidR="00985104" w:rsidRPr="00993AD9">
        <w:rPr>
          <w:rFonts w:asciiTheme="minorHAnsi" w:hAnsiTheme="minorHAnsi" w:cstheme="minorBidi"/>
        </w:rPr>
        <w:t>,</w:t>
      </w:r>
      <w:r w:rsidR="00313BA5" w:rsidRPr="00993AD9">
        <w:rPr>
          <w:rFonts w:asciiTheme="minorHAnsi" w:hAnsiTheme="minorHAnsi" w:cstheme="minorBidi"/>
        </w:rPr>
        <w:t xml:space="preserve"> there was no clinical rationale for why a different functional form would be appropriate.</w:t>
      </w:r>
    </w:p>
    <w:p w14:paraId="531BA9D5" w14:textId="45190F49" w:rsidR="00763EF2" w:rsidRPr="00993AD9" w:rsidRDefault="00DC0DC5" w:rsidP="00FC479C">
      <w:pPr>
        <w:pStyle w:val="TableFigureHeading"/>
        <w:rPr>
          <w:rFonts w:eastAsia="Calibri"/>
        </w:rPr>
      </w:pPr>
      <w:r w:rsidRPr="00993AD9">
        <w:rPr>
          <w:rFonts w:asciiTheme="minorHAnsi" w:hAnsiTheme="minorHAnsi" w:cstheme="minorBidi"/>
        </w:rPr>
        <w:t xml:space="preserve"> </w:t>
      </w:r>
      <w:bookmarkStart w:id="68" w:name="_Ref145064874"/>
      <w:r w:rsidR="00763EF2">
        <w:t xml:space="preserve">Figure </w:t>
      </w:r>
      <w:r w:rsidR="00737A69">
        <w:fldChar w:fldCharType="begin" w:fldLock="1"/>
      </w:r>
      <w:r w:rsidR="00737A69">
        <w:instrText xml:space="preserve"> SEQ Figure \* ARABIC </w:instrText>
      </w:r>
      <w:r w:rsidR="00737A69">
        <w:fldChar w:fldCharType="separate"/>
      </w:r>
      <w:r w:rsidR="00647249">
        <w:rPr>
          <w:noProof/>
        </w:rPr>
        <w:t>4</w:t>
      </w:r>
      <w:r w:rsidR="00737A69">
        <w:rPr>
          <w:noProof/>
        </w:rPr>
        <w:fldChar w:fldCharType="end"/>
      </w:r>
      <w:bookmarkEnd w:id="68"/>
      <w:r w:rsidR="00763EF2">
        <w:t>:</w:t>
      </w:r>
      <w:r w:rsidR="00763EF2" w:rsidRPr="003B5F84">
        <w:t xml:space="preserve"> Kaplan Meier and extrapolations, PFS (base case)</w:t>
      </w:r>
    </w:p>
    <w:p w14:paraId="674F3528" w14:textId="77777777" w:rsidR="00763EF2" w:rsidRPr="003B5F84" w:rsidRDefault="00763EF2" w:rsidP="00763EF2">
      <w:r w:rsidRPr="003B5F84">
        <w:rPr>
          <w:noProof/>
        </w:rPr>
        <w:drawing>
          <wp:inline distT="0" distB="0" distL="0" distR="0" wp14:anchorId="7EE467F2" wp14:editId="1B74AA40">
            <wp:extent cx="2800350" cy="1942355"/>
            <wp:effectExtent l="19050" t="19050" r="19050" b="20320"/>
            <wp:docPr id="1787233809" name="Picture 1787233809"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233809" name="Picture 1787233809" descr="A graph of different colored line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26258" cy="1960325"/>
                    </a:xfrm>
                    <a:prstGeom prst="rect">
                      <a:avLst/>
                    </a:prstGeom>
                    <a:noFill/>
                    <a:ln w="3175">
                      <a:solidFill>
                        <a:sysClr val="windowText" lastClr="000000"/>
                      </a:solidFill>
                    </a:ln>
                  </pic:spPr>
                </pic:pic>
              </a:graphicData>
            </a:graphic>
          </wp:inline>
        </w:drawing>
      </w:r>
      <w:r w:rsidRPr="003B5F84">
        <w:rPr>
          <w:noProof/>
        </w:rPr>
        <w:drawing>
          <wp:inline distT="0" distB="0" distL="0" distR="0" wp14:anchorId="65B40C20" wp14:editId="47420E47">
            <wp:extent cx="2828925" cy="1934210"/>
            <wp:effectExtent l="19050" t="19050" r="28575" b="27940"/>
            <wp:docPr id="1981719332" name="Picture 1981719332"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0380" name="Picture 2" descr="A graph with different colored lines&#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45287" cy="1945397"/>
                    </a:xfrm>
                    <a:prstGeom prst="rect">
                      <a:avLst/>
                    </a:prstGeom>
                    <a:noFill/>
                    <a:ln w="3175">
                      <a:solidFill>
                        <a:sysClr val="windowText" lastClr="000000"/>
                      </a:solidFill>
                    </a:ln>
                  </pic:spPr>
                </pic:pic>
              </a:graphicData>
            </a:graphic>
          </wp:inline>
        </w:drawing>
      </w:r>
    </w:p>
    <w:p w14:paraId="64B72522" w14:textId="77777777" w:rsidR="00763EF2" w:rsidRPr="003B5F84" w:rsidRDefault="00763EF2" w:rsidP="00763EF2">
      <w:pPr>
        <w:pStyle w:val="TableFigureFooter"/>
        <w:rPr>
          <w:rFonts w:eastAsia="Calibri"/>
        </w:rPr>
      </w:pPr>
      <w:r w:rsidRPr="003B5F84">
        <w:rPr>
          <w:rFonts w:eastAsia="Calibri"/>
        </w:rPr>
        <w:t>Source: Tab titled ‘3A. Control Panel’ in the Excel workbook titled ‘Attachment 10 – DTC economic evaluation – Section 3 – FINAL’ of the submission</w:t>
      </w:r>
    </w:p>
    <w:p w14:paraId="61186EE1" w14:textId="77777777" w:rsidR="00763EF2" w:rsidRPr="003B5F84" w:rsidRDefault="00763EF2" w:rsidP="00763EF2">
      <w:pPr>
        <w:pStyle w:val="TableFigureFooter"/>
        <w:rPr>
          <w:rFonts w:eastAsia="Calibri"/>
        </w:rPr>
      </w:pPr>
      <w:r w:rsidRPr="003B5F84">
        <w:rPr>
          <w:rFonts w:eastAsia="Calibri"/>
        </w:rPr>
        <w:t>PFS = progression-free survival.</w:t>
      </w:r>
    </w:p>
    <w:p w14:paraId="01628C4D" w14:textId="5216619C" w:rsidR="00763EF2" w:rsidRPr="00D44877" w:rsidRDefault="00763EF2" w:rsidP="00763EF2">
      <w:pPr>
        <w:pStyle w:val="Caption"/>
        <w:rPr>
          <w:rFonts w:eastAsia="Calibri"/>
          <w:b w:val="0"/>
        </w:rPr>
      </w:pPr>
      <w:bookmarkStart w:id="69" w:name="_Ref145064880"/>
      <w:r>
        <w:lastRenderedPageBreak/>
        <w:t xml:space="preserve">Figure </w:t>
      </w:r>
      <w:r w:rsidR="00737A69">
        <w:fldChar w:fldCharType="begin" w:fldLock="1"/>
      </w:r>
      <w:r w:rsidR="00737A69">
        <w:instrText xml:space="preserve"> SEQ Figure \* ARABIC </w:instrText>
      </w:r>
      <w:r w:rsidR="00737A69">
        <w:fldChar w:fldCharType="separate"/>
      </w:r>
      <w:r w:rsidR="00647249">
        <w:rPr>
          <w:noProof/>
        </w:rPr>
        <w:t>5</w:t>
      </w:r>
      <w:r w:rsidR="00737A69">
        <w:rPr>
          <w:noProof/>
        </w:rPr>
        <w:fldChar w:fldCharType="end"/>
      </w:r>
      <w:bookmarkEnd w:id="69"/>
      <w:r>
        <w:t>:</w:t>
      </w:r>
      <w:r w:rsidRPr="003B5F84">
        <w:t xml:space="preserve"> Kaplan-Meier and extrapolations, OS (base case)</w:t>
      </w:r>
    </w:p>
    <w:p w14:paraId="3CAD224A" w14:textId="77777777" w:rsidR="00763EF2" w:rsidRPr="003B5F84" w:rsidRDefault="00763EF2" w:rsidP="00763EF2">
      <w:pPr>
        <w:rPr>
          <w:rFonts w:eastAsia="Calibri"/>
        </w:rPr>
      </w:pPr>
      <w:r w:rsidRPr="003B5F84">
        <w:rPr>
          <w:rFonts w:eastAsia="Calibri"/>
          <w:noProof/>
        </w:rPr>
        <w:drawing>
          <wp:inline distT="0" distB="0" distL="0" distR="0" wp14:anchorId="4C2A8DCA" wp14:editId="178E499D">
            <wp:extent cx="2887980" cy="1921876"/>
            <wp:effectExtent l="19050" t="19050" r="26670" b="21590"/>
            <wp:docPr id="1601762909" name="Picture 1601762909"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1762909" name="Picture 1601762909" descr="A graph of different colored line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17132" cy="1941276"/>
                    </a:xfrm>
                    <a:prstGeom prst="rect">
                      <a:avLst/>
                    </a:prstGeom>
                    <a:noFill/>
                    <a:ln w="3175">
                      <a:solidFill>
                        <a:sysClr val="windowText" lastClr="000000"/>
                      </a:solidFill>
                    </a:ln>
                  </pic:spPr>
                </pic:pic>
              </a:graphicData>
            </a:graphic>
          </wp:inline>
        </w:drawing>
      </w:r>
      <w:r w:rsidRPr="003B5F84">
        <w:rPr>
          <w:rFonts w:eastAsia="Calibri"/>
          <w:noProof/>
        </w:rPr>
        <w:drawing>
          <wp:inline distT="0" distB="0" distL="0" distR="0" wp14:anchorId="48AACD99" wp14:editId="5B9E3DF2">
            <wp:extent cx="2657475" cy="1931567"/>
            <wp:effectExtent l="19050" t="19050" r="9525" b="12065"/>
            <wp:docPr id="255618380" name="Picture 255618380"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618380" name="Picture 255618380" descr="A graph of different colored lines&#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0373" cy="1955479"/>
                    </a:xfrm>
                    <a:prstGeom prst="rect">
                      <a:avLst/>
                    </a:prstGeom>
                    <a:noFill/>
                    <a:ln w="3175">
                      <a:solidFill>
                        <a:sysClr val="windowText" lastClr="000000"/>
                      </a:solidFill>
                    </a:ln>
                  </pic:spPr>
                </pic:pic>
              </a:graphicData>
            </a:graphic>
          </wp:inline>
        </w:drawing>
      </w:r>
    </w:p>
    <w:p w14:paraId="59095330" w14:textId="77777777" w:rsidR="00763EF2" w:rsidRPr="003B5F84" w:rsidRDefault="00763EF2" w:rsidP="00763EF2">
      <w:pPr>
        <w:pStyle w:val="TableFigureFooter"/>
        <w:rPr>
          <w:rFonts w:eastAsia="Calibri"/>
        </w:rPr>
      </w:pPr>
      <w:r w:rsidRPr="003B5F84">
        <w:rPr>
          <w:rFonts w:eastAsia="Calibri"/>
        </w:rPr>
        <w:t>Source: Tab titled ‘3A. Control Panel’ in the Excel workbook titled ‘Attachment 10 – DTC economic evaluation – Section 3 – FINAL’ of the submission</w:t>
      </w:r>
    </w:p>
    <w:p w14:paraId="55C949BA" w14:textId="77777777" w:rsidR="00763EF2" w:rsidRDefault="00763EF2" w:rsidP="00763EF2">
      <w:pPr>
        <w:pStyle w:val="TableFigureFooter"/>
        <w:rPr>
          <w:rFonts w:eastAsia="Calibri"/>
        </w:rPr>
      </w:pPr>
      <w:r w:rsidRPr="003B5F84">
        <w:rPr>
          <w:rFonts w:eastAsia="Calibri"/>
        </w:rPr>
        <w:t>OS = overall survival.</w:t>
      </w:r>
    </w:p>
    <w:p w14:paraId="261E56FD" w14:textId="77777777" w:rsidR="00763EF2" w:rsidRPr="00E120DC" w:rsidRDefault="00763EF2" w:rsidP="00763EF2">
      <w:pPr>
        <w:pStyle w:val="TableFigureFooter"/>
        <w:rPr>
          <w:rFonts w:eastAsia="Calibri"/>
        </w:rPr>
      </w:pPr>
      <w:r w:rsidRPr="00E120DC">
        <w:rPr>
          <w:rFonts w:eastAsia="Calibri"/>
        </w:rPr>
        <w:t xml:space="preserve">Note: The Exponential curve for placebo – OS was hardly visible as it overlapped with the Weibull curve (different values from third decimal place). </w:t>
      </w:r>
    </w:p>
    <w:p w14:paraId="74FBE965" w14:textId="46BF8B26" w:rsidR="00763EF2" w:rsidRPr="009102C8" w:rsidRDefault="00763EF2" w:rsidP="00763EF2">
      <w:pPr>
        <w:pStyle w:val="Caption"/>
        <w:rPr>
          <w:rFonts w:eastAsia="Calibri"/>
          <w:b w:val="0"/>
        </w:rPr>
      </w:pPr>
      <w:bookmarkStart w:id="70" w:name="_Ref145064890"/>
      <w:r>
        <w:t xml:space="preserve">Figure </w:t>
      </w:r>
      <w:r w:rsidR="00737A69">
        <w:fldChar w:fldCharType="begin" w:fldLock="1"/>
      </w:r>
      <w:r w:rsidR="00737A69">
        <w:instrText xml:space="preserve"> SEQ Figure \* ARABIC </w:instrText>
      </w:r>
      <w:r w:rsidR="00737A69">
        <w:fldChar w:fldCharType="separate"/>
      </w:r>
      <w:r w:rsidR="00647249">
        <w:rPr>
          <w:noProof/>
        </w:rPr>
        <w:t>6</w:t>
      </w:r>
      <w:r w:rsidR="00737A69">
        <w:rPr>
          <w:noProof/>
        </w:rPr>
        <w:fldChar w:fldCharType="end"/>
      </w:r>
      <w:bookmarkEnd w:id="70"/>
      <w:r>
        <w:t xml:space="preserve">: </w:t>
      </w:r>
      <w:r w:rsidRPr="003B5F84">
        <w:t>Kaplan-Meier and extrapolations, TTD (base case)</w:t>
      </w:r>
    </w:p>
    <w:p w14:paraId="7F35BE73" w14:textId="77777777" w:rsidR="00763EF2" w:rsidRPr="003B5F84" w:rsidRDefault="00763EF2" w:rsidP="00763EF2">
      <w:pPr>
        <w:rPr>
          <w:rFonts w:eastAsia="Calibri"/>
        </w:rPr>
      </w:pPr>
      <w:r w:rsidRPr="003B5F84">
        <w:rPr>
          <w:rFonts w:eastAsia="Calibri"/>
          <w:noProof/>
        </w:rPr>
        <w:drawing>
          <wp:inline distT="0" distB="0" distL="0" distR="0" wp14:anchorId="60BB652C" wp14:editId="10253748">
            <wp:extent cx="2746849" cy="1685290"/>
            <wp:effectExtent l="19050" t="19050" r="15875" b="10160"/>
            <wp:docPr id="948244226" name="Picture 948244226" descr="A graph of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244226" name="Picture 948244226" descr="A graph of different colored line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53841" cy="1689580"/>
                    </a:xfrm>
                    <a:prstGeom prst="rect">
                      <a:avLst/>
                    </a:prstGeom>
                    <a:noFill/>
                    <a:ln w="3175">
                      <a:solidFill>
                        <a:sysClr val="windowText" lastClr="000000"/>
                      </a:solidFill>
                    </a:ln>
                  </pic:spPr>
                </pic:pic>
              </a:graphicData>
            </a:graphic>
          </wp:inline>
        </w:drawing>
      </w:r>
      <w:r w:rsidRPr="003B5F84">
        <w:rPr>
          <w:rFonts w:eastAsia="Calibri"/>
          <w:noProof/>
        </w:rPr>
        <w:drawing>
          <wp:inline distT="0" distB="0" distL="0" distR="0" wp14:anchorId="7EC68704" wp14:editId="213697B2">
            <wp:extent cx="2736282" cy="1688581"/>
            <wp:effectExtent l="19050" t="19050" r="26035" b="26035"/>
            <wp:docPr id="1565407622" name="Picture 1565407622" descr="A graph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31499" name="Picture 7" descr="A graph with numbers and lines&#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1037" cy="1697687"/>
                    </a:xfrm>
                    <a:prstGeom prst="rect">
                      <a:avLst/>
                    </a:prstGeom>
                    <a:noFill/>
                    <a:ln w="3175">
                      <a:solidFill>
                        <a:sysClr val="windowText" lastClr="000000"/>
                      </a:solidFill>
                    </a:ln>
                  </pic:spPr>
                </pic:pic>
              </a:graphicData>
            </a:graphic>
          </wp:inline>
        </w:drawing>
      </w:r>
    </w:p>
    <w:p w14:paraId="4BD83E3C" w14:textId="77777777" w:rsidR="00763EF2" w:rsidRPr="003B5F84" w:rsidRDefault="00763EF2" w:rsidP="00763EF2">
      <w:pPr>
        <w:pStyle w:val="TableFigureFooter"/>
        <w:rPr>
          <w:rFonts w:eastAsia="Calibri"/>
        </w:rPr>
      </w:pPr>
      <w:r w:rsidRPr="003B5F84">
        <w:rPr>
          <w:rFonts w:eastAsia="Calibri"/>
        </w:rPr>
        <w:t>Source: Tab titled ‘3A. Control Panel’ in the Excel workbook titled ‘Attachment 10 – DTC economic evaluation – Section 3 – FINAL’ of the submission</w:t>
      </w:r>
    </w:p>
    <w:p w14:paraId="41D85266" w14:textId="77777777" w:rsidR="00763EF2" w:rsidRPr="003B5F84" w:rsidRDefault="00763EF2" w:rsidP="00763EF2">
      <w:pPr>
        <w:pStyle w:val="TableFigureFooter"/>
        <w:rPr>
          <w:rFonts w:eastAsia="Calibri"/>
        </w:rPr>
      </w:pPr>
      <w:r w:rsidRPr="003B5F84">
        <w:rPr>
          <w:rFonts w:eastAsia="Calibri"/>
        </w:rPr>
        <w:t>TTD = time to treatment discontinuation.</w:t>
      </w:r>
    </w:p>
    <w:bookmarkEnd w:id="67"/>
    <w:p w14:paraId="34325D42" w14:textId="74AC7487" w:rsidR="00763EF2" w:rsidRPr="003B5F84" w:rsidRDefault="00763EF2" w:rsidP="004A52A9">
      <w:pPr>
        <w:numPr>
          <w:ilvl w:val="1"/>
          <w:numId w:val="1"/>
        </w:numPr>
        <w:spacing w:after="120"/>
        <w:ind w:left="720"/>
        <w:rPr>
          <w:rFonts w:asciiTheme="minorHAnsi" w:hAnsiTheme="minorHAnsi"/>
          <w:snapToGrid w:val="0"/>
        </w:rPr>
      </w:pPr>
      <w:r w:rsidRPr="0564460C">
        <w:rPr>
          <w:rFonts w:asciiTheme="minorHAnsi" w:hAnsiTheme="minorHAnsi" w:cstheme="minorBidi"/>
          <w:i/>
          <w:iCs/>
          <w:snapToGrid w:val="0"/>
        </w:rPr>
        <w:fldChar w:fldCharType="begin" w:fldLock="1"/>
      </w:r>
      <w:r w:rsidRPr="0564460C">
        <w:rPr>
          <w:rFonts w:asciiTheme="minorHAnsi" w:hAnsiTheme="minorHAnsi" w:cstheme="minorBidi"/>
          <w:i/>
          <w:iCs/>
          <w:snapToGrid w:val="0"/>
        </w:rPr>
        <w:instrText xml:space="preserve"> REF _Ref141645179 \h  \* MERGEFORMAT </w:instrText>
      </w:r>
      <w:r w:rsidRPr="0564460C">
        <w:rPr>
          <w:rFonts w:asciiTheme="minorHAnsi" w:hAnsiTheme="minorHAnsi" w:cstheme="minorBidi"/>
          <w:i/>
          <w:iCs/>
          <w:snapToGrid w:val="0"/>
        </w:rPr>
      </w:r>
      <w:r w:rsidRPr="0564460C">
        <w:rPr>
          <w:rFonts w:asciiTheme="minorHAnsi" w:hAnsiTheme="minorHAnsi" w:cstheme="minorBidi"/>
          <w:i/>
          <w:iCs/>
          <w:snapToGrid w:val="0"/>
        </w:rPr>
        <w:fldChar w:fldCharType="separate"/>
      </w:r>
      <w:r w:rsidR="008760F8" w:rsidRPr="008760F8">
        <w:rPr>
          <w:rFonts w:asciiTheme="minorHAnsi" w:hAnsiTheme="minorHAnsi" w:cstheme="minorBidi"/>
        </w:rPr>
        <w:t>Table 14</w:t>
      </w:r>
      <w:r w:rsidRPr="0564460C">
        <w:rPr>
          <w:rFonts w:asciiTheme="minorHAnsi" w:hAnsiTheme="minorHAnsi" w:cstheme="minorBidi"/>
          <w:i/>
          <w:iCs/>
          <w:snapToGrid w:val="0"/>
        </w:rPr>
        <w:fldChar w:fldCharType="end"/>
      </w:r>
      <w:r w:rsidRPr="0564460C">
        <w:rPr>
          <w:rFonts w:asciiTheme="minorHAnsi" w:hAnsiTheme="minorHAnsi" w:cstheme="minorBidi"/>
          <w:snapToGrid w:val="0"/>
        </w:rPr>
        <w:t xml:space="preserve"> presents the utilities the submission used in the base c</w:t>
      </w:r>
      <w:r w:rsidRPr="0564460C">
        <w:rPr>
          <w:rFonts w:asciiTheme="minorHAnsi" w:hAnsiTheme="minorHAnsi"/>
          <w:snapToGrid w:val="0"/>
        </w:rPr>
        <w:t xml:space="preserve">ase. </w:t>
      </w:r>
    </w:p>
    <w:p w14:paraId="0B30695F" w14:textId="1146CB48" w:rsidR="00763EF2" w:rsidRPr="003B5F84" w:rsidRDefault="00763EF2" w:rsidP="00763EF2">
      <w:pPr>
        <w:keepNext/>
        <w:keepLines/>
        <w:rPr>
          <w:rFonts w:ascii="Arial Narrow" w:hAnsi="Arial Narrow"/>
          <w:b/>
          <w:bCs/>
          <w:sz w:val="20"/>
          <w:szCs w:val="18"/>
        </w:rPr>
      </w:pPr>
      <w:bookmarkStart w:id="71" w:name="_Ref141645179"/>
      <w:r w:rsidRPr="003B5F84">
        <w:rPr>
          <w:rFonts w:ascii="Arial Narrow" w:hAnsi="Arial Narrow"/>
          <w:b/>
          <w:bCs/>
          <w:sz w:val="20"/>
          <w:szCs w:val="18"/>
        </w:rPr>
        <w:t xml:space="preserve">Table </w:t>
      </w:r>
      <w:r w:rsidRPr="003B5F84">
        <w:rPr>
          <w:rFonts w:ascii="Arial Narrow" w:hAnsi="Arial Narrow"/>
          <w:b/>
          <w:bCs/>
          <w:sz w:val="20"/>
          <w:szCs w:val="18"/>
        </w:rPr>
        <w:fldChar w:fldCharType="begin" w:fldLock="1"/>
      </w:r>
      <w:r w:rsidRPr="003B5F84">
        <w:rPr>
          <w:rFonts w:ascii="Arial Narrow" w:hAnsi="Arial Narrow"/>
          <w:b/>
          <w:bCs/>
          <w:sz w:val="20"/>
          <w:szCs w:val="18"/>
        </w:rPr>
        <w:instrText xml:space="preserve"> SEQ Table \* ARABIC </w:instrText>
      </w:r>
      <w:r w:rsidRPr="003B5F84">
        <w:rPr>
          <w:rFonts w:ascii="Arial Narrow" w:hAnsi="Arial Narrow"/>
          <w:b/>
          <w:bCs/>
          <w:sz w:val="20"/>
          <w:szCs w:val="18"/>
        </w:rPr>
        <w:fldChar w:fldCharType="separate"/>
      </w:r>
      <w:r w:rsidR="008760F8">
        <w:rPr>
          <w:rFonts w:ascii="Arial Narrow" w:hAnsi="Arial Narrow"/>
          <w:b/>
          <w:bCs/>
          <w:noProof/>
          <w:sz w:val="20"/>
          <w:szCs w:val="18"/>
        </w:rPr>
        <w:t>14</w:t>
      </w:r>
      <w:r w:rsidRPr="003B5F84">
        <w:rPr>
          <w:rFonts w:ascii="Arial Narrow" w:hAnsi="Arial Narrow"/>
          <w:b/>
          <w:bCs/>
          <w:noProof/>
          <w:sz w:val="20"/>
          <w:szCs w:val="18"/>
        </w:rPr>
        <w:fldChar w:fldCharType="end"/>
      </w:r>
      <w:bookmarkEnd w:id="71"/>
      <w:r>
        <w:rPr>
          <w:rFonts w:ascii="Arial Narrow" w:hAnsi="Arial Narrow"/>
          <w:b/>
          <w:bCs/>
          <w:noProof/>
          <w:sz w:val="20"/>
          <w:szCs w:val="18"/>
        </w:rPr>
        <w:t>:</w:t>
      </w:r>
      <w:r w:rsidRPr="003B5F84">
        <w:rPr>
          <w:rFonts w:ascii="Arial Narrow" w:hAnsi="Arial Narrow"/>
          <w:b/>
          <w:bCs/>
          <w:sz w:val="20"/>
          <w:szCs w:val="18"/>
        </w:rPr>
        <w:t xml:space="preserve"> Utility values used in the base case of the submission and alternative values in scenario analysis</w:t>
      </w:r>
    </w:p>
    <w:tbl>
      <w:tblPr>
        <w:tblStyle w:val="TableGrid"/>
        <w:tblW w:w="5000" w:type="pct"/>
        <w:tblLook w:val="04A0" w:firstRow="1" w:lastRow="0" w:firstColumn="1" w:lastColumn="0" w:noHBand="0" w:noVBand="1"/>
      </w:tblPr>
      <w:tblGrid>
        <w:gridCol w:w="3114"/>
        <w:gridCol w:w="1800"/>
        <w:gridCol w:w="1681"/>
        <w:gridCol w:w="2422"/>
      </w:tblGrid>
      <w:tr w:rsidR="00763EF2" w:rsidRPr="003B5F84" w14:paraId="76E5D64F" w14:textId="77777777" w:rsidTr="00846727">
        <w:trPr>
          <w:trHeight w:val="20"/>
          <w:tblHeader/>
        </w:trPr>
        <w:tc>
          <w:tcPr>
            <w:tcW w:w="1727" w:type="pct"/>
            <w:tcBorders>
              <w:bottom w:val="nil"/>
            </w:tcBorders>
            <w:vAlign w:val="center"/>
          </w:tcPr>
          <w:p w14:paraId="5B47246C" w14:textId="77777777" w:rsidR="00763EF2" w:rsidRPr="003B5F84" w:rsidRDefault="00763EF2" w:rsidP="00CB4A1F">
            <w:pPr>
              <w:jc w:val="left"/>
              <w:rPr>
                <w:rFonts w:ascii="Arial Narrow" w:hAnsi="Arial Narrow"/>
                <w:b/>
                <w:bCs/>
                <w:sz w:val="20"/>
                <w:szCs w:val="20"/>
              </w:rPr>
            </w:pPr>
          </w:p>
        </w:tc>
        <w:tc>
          <w:tcPr>
            <w:tcW w:w="998" w:type="pct"/>
            <w:vAlign w:val="center"/>
          </w:tcPr>
          <w:p w14:paraId="534D24F1" w14:textId="77777777" w:rsidR="00763EF2" w:rsidRPr="003B5F84" w:rsidRDefault="00763EF2" w:rsidP="00CB4A1F">
            <w:pPr>
              <w:jc w:val="center"/>
              <w:rPr>
                <w:rFonts w:ascii="Arial Narrow" w:hAnsi="Arial Narrow"/>
                <w:b/>
                <w:bCs/>
                <w:sz w:val="20"/>
                <w:szCs w:val="20"/>
              </w:rPr>
            </w:pPr>
            <w:r w:rsidRPr="003B5F84">
              <w:rPr>
                <w:rFonts w:ascii="Arial Narrow" w:hAnsi="Arial Narrow"/>
                <w:b/>
                <w:bCs/>
                <w:sz w:val="20"/>
                <w:szCs w:val="20"/>
              </w:rPr>
              <w:t>Base case</w:t>
            </w:r>
          </w:p>
        </w:tc>
        <w:tc>
          <w:tcPr>
            <w:tcW w:w="2275" w:type="pct"/>
            <w:gridSpan w:val="2"/>
            <w:vAlign w:val="center"/>
          </w:tcPr>
          <w:p w14:paraId="518F05FF" w14:textId="77777777" w:rsidR="00763EF2" w:rsidRPr="003B5F84" w:rsidRDefault="00763EF2" w:rsidP="00CB4A1F">
            <w:pPr>
              <w:jc w:val="center"/>
              <w:rPr>
                <w:rFonts w:ascii="Arial Narrow" w:hAnsi="Arial Narrow"/>
                <w:b/>
                <w:bCs/>
                <w:sz w:val="20"/>
                <w:szCs w:val="20"/>
              </w:rPr>
            </w:pPr>
            <w:r w:rsidRPr="003B5F84">
              <w:rPr>
                <w:rFonts w:ascii="Arial Narrow" w:hAnsi="Arial Narrow"/>
                <w:b/>
                <w:bCs/>
                <w:sz w:val="20"/>
                <w:szCs w:val="20"/>
              </w:rPr>
              <w:t>Scenario analysis</w:t>
            </w:r>
          </w:p>
        </w:tc>
      </w:tr>
      <w:tr w:rsidR="00763EF2" w:rsidRPr="003B5F84" w14:paraId="5C76AA17" w14:textId="77777777" w:rsidTr="00846727">
        <w:trPr>
          <w:trHeight w:val="20"/>
          <w:tblHeader/>
        </w:trPr>
        <w:tc>
          <w:tcPr>
            <w:tcW w:w="1727" w:type="pct"/>
            <w:tcBorders>
              <w:top w:val="nil"/>
            </w:tcBorders>
            <w:vAlign w:val="center"/>
          </w:tcPr>
          <w:p w14:paraId="6A5B8A42" w14:textId="77777777" w:rsidR="00763EF2" w:rsidRPr="003B5F84" w:rsidRDefault="00763EF2" w:rsidP="00CB4A1F">
            <w:pPr>
              <w:jc w:val="left"/>
              <w:rPr>
                <w:rFonts w:ascii="Arial Narrow" w:hAnsi="Arial Narrow"/>
                <w:b/>
                <w:bCs/>
                <w:sz w:val="20"/>
                <w:szCs w:val="20"/>
              </w:rPr>
            </w:pPr>
            <w:r w:rsidRPr="003B5F84">
              <w:rPr>
                <w:rFonts w:ascii="Arial Narrow" w:hAnsi="Arial Narrow"/>
                <w:b/>
                <w:bCs/>
                <w:sz w:val="20"/>
                <w:szCs w:val="20"/>
              </w:rPr>
              <w:t>Health state</w:t>
            </w:r>
          </w:p>
        </w:tc>
        <w:tc>
          <w:tcPr>
            <w:tcW w:w="998" w:type="pct"/>
            <w:vAlign w:val="center"/>
          </w:tcPr>
          <w:p w14:paraId="54D40607" w14:textId="467EF7FE" w:rsidR="00763EF2" w:rsidRPr="003B5F84" w:rsidRDefault="00763EF2" w:rsidP="00CB4A1F">
            <w:pPr>
              <w:jc w:val="center"/>
              <w:rPr>
                <w:rFonts w:ascii="Arial Narrow" w:hAnsi="Arial Narrow"/>
                <w:b/>
                <w:bCs/>
                <w:sz w:val="20"/>
                <w:szCs w:val="20"/>
              </w:rPr>
            </w:pPr>
            <w:r w:rsidRPr="003B5F84">
              <w:rPr>
                <w:rFonts w:ascii="Arial Narrow" w:hAnsi="Arial Narrow"/>
                <w:b/>
                <w:bCs/>
                <w:sz w:val="20"/>
                <w:szCs w:val="20"/>
              </w:rPr>
              <w:t>Fordham 2015</w:t>
            </w:r>
          </w:p>
        </w:tc>
        <w:tc>
          <w:tcPr>
            <w:tcW w:w="932" w:type="pct"/>
            <w:vAlign w:val="center"/>
            <w:hideMark/>
          </w:tcPr>
          <w:p w14:paraId="64F824A4" w14:textId="77777777" w:rsidR="00763EF2" w:rsidRPr="003B5F84" w:rsidRDefault="00763EF2" w:rsidP="00CB4A1F">
            <w:pPr>
              <w:jc w:val="center"/>
              <w:rPr>
                <w:rFonts w:ascii="Arial Narrow" w:hAnsi="Arial Narrow"/>
                <w:b/>
                <w:bCs/>
                <w:sz w:val="20"/>
                <w:szCs w:val="20"/>
              </w:rPr>
            </w:pPr>
            <w:r w:rsidRPr="003B5F84">
              <w:rPr>
                <w:rFonts w:ascii="Arial Narrow" w:hAnsi="Arial Narrow"/>
                <w:b/>
                <w:bCs/>
                <w:sz w:val="20"/>
                <w:szCs w:val="20"/>
              </w:rPr>
              <w:t>Trial based</w:t>
            </w:r>
          </w:p>
        </w:tc>
        <w:tc>
          <w:tcPr>
            <w:tcW w:w="1343" w:type="pct"/>
            <w:vAlign w:val="center"/>
            <w:hideMark/>
          </w:tcPr>
          <w:p w14:paraId="1EA28936" w14:textId="3B40992E" w:rsidR="00763EF2" w:rsidRPr="003B5F84" w:rsidRDefault="00763EF2" w:rsidP="00CB4A1F">
            <w:pPr>
              <w:jc w:val="center"/>
              <w:rPr>
                <w:rFonts w:ascii="Arial Narrow" w:hAnsi="Arial Narrow"/>
                <w:b/>
                <w:bCs/>
                <w:sz w:val="20"/>
                <w:szCs w:val="20"/>
              </w:rPr>
            </w:pPr>
            <w:r w:rsidRPr="00846727">
              <w:rPr>
                <w:rFonts w:ascii="Arial Narrow" w:hAnsi="Arial Narrow"/>
                <w:sz w:val="20"/>
                <w:szCs w:val="20"/>
              </w:rPr>
              <w:t>TA535</w:t>
            </w:r>
            <w:r w:rsidR="00846727" w:rsidRPr="00846727">
              <w:rPr>
                <w:rFonts w:ascii="Arial Narrow" w:hAnsi="Arial Narrow"/>
                <w:sz w:val="20"/>
                <w:szCs w:val="20"/>
              </w:rPr>
              <w:t>*</w:t>
            </w:r>
            <w:r w:rsidRPr="00846727">
              <w:rPr>
                <w:rFonts w:ascii="Arial Narrow" w:hAnsi="Arial Narrow"/>
                <w:sz w:val="20"/>
                <w:szCs w:val="20"/>
              </w:rPr>
              <w:t xml:space="preserve"> (based </w:t>
            </w:r>
            <w:r w:rsidRPr="003B5F84">
              <w:rPr>
                <w:rFonts w:ascii="Arial Narrow" w:hAnsi="Arial Narrow"/>
                <w:b/>
                <w:bCs/>
                <w:sz w:val="20"/>
                <w:szCs w:val="20"/>
              </w:rPr>
              <w:t>on DECISION trial: sorafenib (+ BSC) vs. BSC, 1L setting</w:t>
            </w:r>
          </w:p>
        </w:tc>
      </w:tr>
      <w:tr w:rsidR="00763EF2" w:rsidRPr="003B5F84" w14:paraId="33DDABC2" w14:textId="77777777" w:rsidTr="00846727">
        <w:trPr>
          <w:trHeight w:val="20"/>
        </w:trPr>
        <w:tc>
          <w:tcPr>
            <w:tcW w:w="1727" w:type="pct"/>
            <w:vAlign w:val="center"/>
          </w:tcPr>
          <w:p w14:paraId="4F682D84" w14:textId="6A543B56" w:rsidR="00763EF2" w:rsidRPr="003B5F84" w:rsidRDefault="00763EF2" w:rsidP="00CB4A1F">
            <w:pPr>
              <w:jc w:val="left"/>
              <w:rPr>
                <w:rFonts w:ascii="Arial Narrow" w:hAnsi="Arial Narrow"/>
                <w:sz w:val="20"/>
                <w:szCs w:val="20"/>
              </w:rPr>
            </w:pPr>
            <w:r>
              <w:rPr>
                <w:rFonts w:ascii="Arial Narrow" w:hAnsi="Arial Narrow"/>
                <w:sz w:val="20"/>
                <w:szCs w:val="20"/>
              </w:rPr>
              <w:t>Pre-progression</w:t>
            </w:r>
          </w:p>
        </w:tc>
        <w:tc>
          <w:tcPr>
            <w:tcW w:w="998" w:type="pct"/>
            <w:vAlign w:val="center"/>
          </w:tcPr>
          <w:p w14:paraId="6AA6EFC7" w14:textId="4B469C1D" w:rsidR="00763EF2" w:rsidRPr="00EC2B8E" w:rsidRDefault="00763EF2" w:rsidP="00CB4A1F">
            <w:pPr>
              <w:jc w:val="center"/>
              <w:rPr>
                <w:rFonts w:ascii="Arial Narrow" w:hAnsi="Arial Narrow"/>
                <w:sz w:val="20"/>
                <w:szCs w:val="20"/>
                <w:vertAlign w:val="superscript"/>
              </w:rPr>
            </w:pPr>
            <w:r w:rsidRPr="00EC2B8E">
              <w:rPr>
                <w:rFonts w:ascii="Arial Narrow" w:hAnsi="Arial Narrow"/>
                <w:sz w:val="20"/>
                <w:szCs w:val="20"/>
              </w:rPr>
              <w:t>0.870</w:t>
            </w:r>
            <w:r w:rsidR="00B96FDB" w:rsidRPr="00EC2B8E">
              <w:rPr>
                <w:rFonts w:ascii="Arial Narrow" w:hAnsi="Arial Narrow"/>
                <w:sz w:val="20"/>
                <w:szCs w:val="20"/>
              </w:rPr>
              <w:t xml:space="preserve"> </w:t>
            </w:r>
            <w:r w:rsidRPr="00EC2B8E">
              <w:rPr>
                <w:rFonts w:ascii="Arial Narrow" w:hAnsi="Arial Narrow"/>
                <w:sz w:val="20"/>
                <w:szCs w:val="20"/>
                <w:vertAlign w:val="superscript"/>
              </w:rPr>
              <w:t>a</w:t>
            </w:r>
          </w:p>
        </w:tc>
        <w:tc>
          <w:tcPr>
            <w:tcW w:w="932" w:type="pct"/>
            <w:noWrap/>
            <w:vAlign w:val="center"/>
            <w:hideMark/>
          </w:tcPr>
          <w:p w14:paraId="2149826E" w14:textId="6EDFE33E" w:rsidR="00763EF2" w:rsidRPr="00EC2B8E" w:rsidRDefault="00763EF2" w:rsidP="00CB4A1F">
            <w:pPr>
              <w:jc w:val="center"/>
              <w:rPr>
                <w:rFonts w:ascii="Arial Narrow" w:hAnsi="Arial Narrow"/>
                <w:sz w:val="20"/>
                <w:szCs w:val="20"/>
              </w:rPr>
            </w:pPr>
            <w:r w:rsidRPr="00EC2B8E">
              <w:rPr>
                <w:rFonts w:ascii="Arial Narrow" w:hAnsi="Arial Narrow"/>
                <w:sz w:val="20"/>
                <w:szCs w:val="20"/>
              </w:rPr>
              <w:t>0.692</w:t>
            </w:r>
            <w:r w:rsidR="00B96FDB" w:rsidRPr="00EC2B8E">
              <w:rPr>
                <w:rFonts w:ascii="Arial Narrow" w:hAnsi="Arial Narrow"/>
                <w:sz w:val="20"/>
                <w:szCs w:val="20"/>
              </w:rPr>
              <w:t xml:space="preserve"> </w:t>
            </w:r>
          </w:p>
        </w:tc>
        <w:tc>
          <w:tcPr>
            <w:tcW w:w="1343" w:type="pct"/>
            <w:noWrap/>
            <w:vAlign w:val="center"/>
            <w:hideMark/>
          </w:tcPr>
          <w:p w14:paraId="1C1D8756" w14:textId="1E1DB225" w:rsidR="00763EF2" w:rsidRPr="00EC2B8E" w:rsidRDefault="00763EF2" w:rsidP="00CB4A1F">
            <w:pPr>
              <w:jc w:val="center"/>
              <w:rPr>
                <w:rFonts w:ascii="Arial Narrow" w:hAnsi="Arial Narrow"/>
                <w:sz w:val="20"/>
                <w:szCs w:val="20"/>
              </w:rPr>
            </w:pPr>
            <w:r w:rsidRPr="00EC2B8E">
              <w:rPr>
                <w:rFonts w:ascii="Arial Narrow" w:hAnsi="Arial Narrow"/>
                <w:sz w:val="20"/>
                <w:szCs w:val="20"/>
              </w:rPr>
              <w:t>0.720</w:t>
            </w:r>
            <w:r w:rsidR="00B96FDB" w:rsidRPr="00EC2B8E">
              <w:rPr>
                <w:rFonts w:ascii="Arial Narrow" w:hAnsi="Arial Narrow"/>
                <w:sz w:val="20"/>
                <w:szCs w:val="20"/>
              </w:rPr>
              <w:t xml:space="preserve"> </w:t>
            </w:r>
          </w:p>
        </w:tc>
      </w:tr>
      <w:tr w:rsidR="00763EF2" w:rsidRPr="003B5F84" w14:paraId="2CE4D1D0" w14:textId="77777777" w:rsidTr="00846727">
        <w:trPr>
          <w:trHeight w:val="20"/>
        </w:trPr>
        <w:tc>
          <w:tcPr>
            <w:tcW w:w="1727" w:type="pct"/>
            <w:vAlign w:val="center"/>
          </w:tcPr>
          <w:p w14:paraId="5A13102F" w14:textId="3C752FC1" w:rsidR="00763EF2" w:rsidRPr="003B5F84" w:rsidRDefault="00763EF2" w:rsidP="00CB4A1F">
            <w:pPr>
              <w:jc w:val="left"/>
              <w:rPr>
                <w:rFonts w:ascii="Arial Narrow" w:hAnsi="Arial Narrow"/>
                <w:sz w:val="20"/>
                <w:szCs w:val="20"/>
              </w:rPr>
            </w:pPr>
            <w:r>
              <w:rPr>
                <w:rFonts w:ascii="Arial Narrow" w:hAnsi="Arial Narrow"/>
                <w:sz w:val="20"/>
                <w:szCs w:val="20"/>
              </w:rPr>
              <w:t>Post-progression</w:t>
            </w:r>
          </w:p>
        </w:tc>
        <w:tc>
          <w:tcPr>
            <w:tcW w:w="998" w:type="pct"/>
            <w:vAlign w:val="center"/>
          </w:tcPr>
          <w:p w14:paraId="2860CBB1" w14:textId="7447E937" w:rsidR="00763EF2" w:rsidRPr="00EC2B8E" w:rsidRDefault="00763EF2" w:rsidP="00CB4A1F">
            <w:pPr>
              <w:jc w:val="center"/>
              <w:rPr>
                <w:rFonts w:ascii="Arial Narrow" w:hAnsi="Arial Narrow"/>
                <w:sz w:val="20"/>
                <w:szCs w:val="20"/>
              </w:rPr>
            </w:pPr>
            <w:r w:rsidRPr="00EC2B8E">
              <w:rPr>
                <w:rFonts w:ascii="Arial Narrow" w:hAnsi="Arial Narrow"/>
                <w:sz w:val="20"/>
                <w:szCs w:val="20"/>
              </w:rPr>
              <w:t>0.520</w:t>
            </w:r>
            <w:r w:rsidR="00B96FDB" w:rsidRPr="00EC2B8E">
              <w:rPr>
                <w:rFonts w:ascii="Arial Narrow" w:hAnsi="Arial Narrow"/>
                <w:sz w:val="20"/>
                <w:szCs w:val="20"/>
              </w:rPr>
              <w:t xml:space="preserve"> </w:t>
            </w:r>
          </w:p>
        </w:tc>
        <w:tc>
          <w:tcPr>
            <w:tcW w:w="932" w:type="pct"/>
            <w:noWrap/>
            <w:vAlign w:val="center"/>
            <w:hideMark/>
          </w:tcPr>
          <w:p w14:paraId="24731F5E" w14:textId="05CAD088" w:rsidR="00763EF2" w:rsidRPr="00EC2B8E" w:rsidRDefault="00763EF2" w:rsidP="00CB4A1F">
            <w:pPr>
              <w:jc w:val="center"/>
              <w:rPr>
                <w:rFonts w:ascii="Arial Narrow" w:hAnsi="Arial Narrow"/>
                <w:sz w:val="20"/>
                <w:szCs w:val="20"/>
              </w:rPr>
            </w:pPr>
            <w:r w:rsidRPr="00EC2B8E">
              <w:rPr>
                <w:rFonts w:ascii="Arial Narrow" w:hAnsi="Arial Narrow"/>
                <w:sz w:val="20"/>
                <w:szCs w:val="20"/>
              </w:rPr>
              <w:t>0.674</w:t>
            </w:r>
            <w:r w:rsidR="00B96FDB" w:rsidRPr="00EC2B8E">
              <w:rPr>
                <w:rFonts w:ascii="Arial Narrow" w:hAnsi="Arial Narrow"/>
                <w:sz w:val="20"/>
                <w:szCs w:val="20"/>
              </w:rPr>
              <w:t xml:space="preserve"> </w:t>
            </w:r>
          </w:p>
        </w:tc>
        <w:tc>
          <w:tcPr>
            <w:tcW w:w="1343" w:type="pct"/>
            <w:noWrap/>
            <w:vAlign w:val="center"/>
            <w:hideMark/>
          </w:tcPr>
          <w:p w14:paraId="6F87195C" w14:textId="50AE9419" w:rsidR="00763EF2" w:rsidRPr="00EC2B8E" w:rsidRDefault="00763EF2" w:rsidP="00CB4A1F">
            <w:pPr>
              <w:jc w:val="center"/>
              <w:rPr>
                <w:rFonts w:ascii="Arial Narrow" w:hAnsi="Arial Narrow"/>
                <w:sz w:val="20"/>
                <w:szCs w:val="20"/>
              </w:rPr>
            </w:pPr>
            <w:r w:rsidRPr="00EC2B8E">
              <w:rPr>
                <w:rFonts w:ascii="Arial Narrow" w:hAnsi="Arial Narrow"/>
                <w:sz w:val="20"/>
                <w:szCs w:val="20"/>
              </w:rPr>
              <w:t>0.640</w:t>
            </w:r>
            <w:r w:rsidR="00B96FDB" w:rsidRPr="00EC2B8E">
              <w:rPr>
                <w:rFonts w:ascii="Arial Narrow" w:hAnsi="Arial Narrow"/>
                <w:sz w:val="20"/>
                <w:szCs w:val="20"/>
              </w:rPr>
              <w:t xml:space="preserve"> </w:t>
            </w:r>
          </w:p>
        </w:tc>
      </w:tr>
      <w:tr w:rsidR="00763EF2" w:rsidRPr="003B5F84" w14:paraId="152CDE22" w14:textId="77777777" w:rsidTr="00846727">
        <w:trPr>
          <w:trHeight w:val="20"/>
        </w:trPr>
        <w:tc>
          <w:tcPr>
            <w:tcW w:w="1727" w:type="pct"/>
            <w:vAlign w:val="center"/>
          </w:tcPr>
          <w:p w14:paraId="6151E7E9" w14:textId="76B5CCF6" w:rsidR="00763EF2" w:rsidRPr="003B5F84" w:rsidRDefault="00763EF2" w:rsidP="00CB4A1F">
            <w:pPr>
              <w:jc w:val="left"/>
              <w:rPr>
                <w:rFonts w:ascii="Arial Narrow" w:hAnsi="Arial Narrow"/>
                <w:sz w:val="20"/>
                <w:szCs w:val="20"/>
              </w:rPr>
            </w:pPr>
            <w:r w:rsidRPr="003B5F84">
              <w:rPr>
                <w:rFonts w:ascii="Arial Narrow" w:hAnsi="Arial Narrow"/>
                <w:sz w:val="20"/>
                <w:szCs w:val="20"/>
              </w:rPr>
              <w:t>Difference</w:t>
            </w:r>
          </w:p>
        </w:tc>
        <w:tc>
          <w:tcPr>
            <w:tcW w:w="998" w:type="pct"/>
            <w:vAlign w:val="center"/>
          </w:tcPr>
          <w:p w14:paraId="1E3ABD33" w14:textId="547460BE" w:rsidR="00763EF2" w:rsidRPr="00EC2B8E" w:rsidRDefault="00763EF2" w:rsidP="00CB4A1F">
            <w:pPr>
              <w:jc w:val="center"/>
              <w:rPr>
                <w:rFonts w:ascii="Arial Narrow" w:hAnsi="Arial Narrow"/>
                <w:sz w:val="20"/>
                <w:szCs w:val="20"/>
                <w:vertAlign w:val="superscript"/>
              </w:rPr>
            </w:pPr>
            <w:r w:rsidRPr="00EC2B8E">
              <w:rPr>
                <w:rFonts w:ascii="Arial Narrow" w:hAnsi="Arial Narrow"/>
                <w:sz w:val="20"/>
                <w:szCs w:val="20"/>
              </w:rPr>
              <w:t>−0.350</w:t>
            </w:r>
            <w:r w:rsidR="00B96FDB" w:rsidRPr="00EC2B8E">
              <w:rPr>
                <w:rFonts w:ascii="Arial Narrow" w:hAnsi="Arial Narrow"/>
                <w:sz w:val="20"/>
                <w:szCs w:val="20"/>
              </w:rPr>
              <w:t xml:space="preserve"> </w:t>
            </w:r>
            <w:r w:rsidRPr="00EC2B8E">
              <w:rPr>
                <w:rFonts w:ascii="Arial Narrow" w:hAnsi="Arial Narrow"/>
                <w:sz w:val="20"/>
                <w:szCs w:val="20"/>
                <w:vertAlign w:val="superscript"/>
              </w:rPr>
              <w:t>b</w:t>
            </w:r>
          </w:p>
        </w:tc>
        <w:tc>
          <w:tcPr>
            <w:tcW w:w="932" w:type="pct"/>
            <w:noWrap/>
            <w:vAlign w:val="center"/>
          </w:tcPr>
          <w:p w14:paraId="4E79020D" w14:textId="0FB034D0" w:rsidR="00763EF2" w:rsidRPr="00EC2B8E" w:rsidRDefault="00763EF2" w:rsidP="00CB4A1F">
            <w:pPr>
              <w:jc w:val="center"/>
              <w:rPr>
                <w:rFonts w:ascii="Arial Narrow" w:hAnsi="Arial Narrow"/>
                <w:sz w:val="20"/>
                <w:szCs w:val="20"/>
              </w:rPr>
            </w:pPr>
            <w:r w:rsidRPr="00EC2B8E">
              <w:rPr>
                <w:rFonts w:ascii="Arial Narrow" w:hAnsi="Arial Narrow"/>
                <w:sz w:val="20"/>
                <w:szCs w:val="20"/>
              </w:rPr>
              <w:t>−0.018</w:t>
            </w:r>
            <w:r w:rsidR="00B96FDB" w:rsidRPr="00EC2B8E">
              <w:rPr>
                <w:rFonts w:ascii="Arial Narrow" w:hAnsi="Arial Narrow"/>
                <w:sz w:val="20"/>
                <w:szCs w:val="20"/>
              </w:rPr>
              <w:t xml:space="preserve"> </w:t>
            </w:r>
          </w:p>
        </w:tc>
        <w:tc>
          <w:tcPr>
            <w:tcW w:w="1343" w:type="pct"/>
            <w:noWrap/>
            <w:vAlign w:val="center"/>
          </w:tcPr>
          <w:p w14:paraId="1350933A" w14:textId="75E6D697" w:rsidR="00763EF2" w:rsidRPr="00EC2B8E" w:rsidRDefault="00763EF2" w:rsidP="00CB4A1F">
            <w:pPr>
              <w:jc w:val="center"/>
              <w:rPr>
                <w:rFonts w:ascii="Arial Narrow" w:hAnsi="Arial Narrow"/>
                <w:sz w:val="20"/>
                <w:szCs w:val="20"/>
              </w:rPr>
            </w:pPr>
            <w:r w:rsidRPr="00EC2B8E">
              <w:rPr>
                <w:rFonts w:ascii="Arial Narrow" w:hAnsi="Arial Narrow"/>
                <w:sz w:val="20"/>
                <w:szCs w:val="20"/>
              </w:rPr>
              <w:t>−0.080</w:t>
            </w:r>
            <w:r w:rsidR="00B96FDB" w:rsidRPr="00EC2B8E">
              <w:rPr>
                <w:rFonts w:ascii="Arial Narrow" w:hAnsi="Arial Narrow"/>
                <w:sz w:val="20"/>
                <w:szCs w:val="20"/>
              </w:rPr>
              <w:t xml:space="preserve"> </w:t>
            </w:r>
          </w:p>
        </w:tc>
      </w:tr>
    </w:tbl>
    <w:p w14:paraId="75526B75" w14:textId="77777777" w:rsidR="00763EF2" w:rsidRPr="003B5F84" w:rsidRDefault="00763EF2" w:rsidP="00763EF2">
      <w:pPr>
        <w:spacing w:after="120"/>
        <w:contextualSpacing/>
        <w:rPr>
          <w:rFonts w:ascii="Arial Narrow" w:hAnsi="Arial Narrow"/>
          <w:snapToGrid w:val="0"/>
          <w:sz w:val="18"/>
          <w:szCs w:val="22"/>
        </w:rPr>
      </w:pPr>
      <w:r w:rsidRPr="003B5F84">
        <w:rPr>
          <w:rFonts w:ascii="Arial Narrow" w:hAnsi="Arial Narrow"/>
          <w:snapToGrid w:val="0"/>
          <w:sz w:val="18"/>
          <w:szCs w:val="22"/>
        </w:rPr>
        <w:t>Source: Table 3-6, p135 of the submission.</w:t>
      </w:r>
    </w:p>
    <w:p w14:paraId="75F14EAD" w14:textId="77777777" w:rsidR="00763EF2" w:rsidRPr="003B5F84" w:rsidRDefault="00763EF2" w:rsidP="00763EF2">
      <w:pPr>
        <w:spacing w:after="120"/>
        <w:contextualSpacing/>
        <w:rPr>
          <w:rFonts w:ascii="Arial Narrow" w:hAnsi="Arial Narrow"/>
          <w:snapToGrid w:val="0"/>
          <w:sz w:val="18"/>
          <w:szCs w:val="22"/>
        </w:rPr>
      </w:pPr>
      <w:r w:rsidRPr="003B5F84">
        <w:rPr>
          <w:rFonts w:ascii="Arial Narrow" w:hAnsi="Arial Narrow"/>
          <w:snapToGrid w:val="0"/>
          <w:sz w:val="18"/>
          <w:szCs w:val="22"/>
        </w:rPr>
        <w:t>1L = first line; BSC = best supportive care.</w:t>
      </w:r>
    </w:p>
    <w:p w14:paraId="773F37C8" w14:textId="3A4F0451" w:rsidR="00846727" w:rsidRPr="00846727" w:rsidRDefault="00846727" w:rsidP="00763EF2">
      <w:pPr>
        <w:spacing w:after="120"/>
        <w:contextualSpacing/>
        <w:rPr>
          <w:rFonts w:ascii="Arial Narrow" w:hAnsi="Arial Narrow"/>
          <w:snapToGrid w:val="0"/>
          <w:sz w:val="18"/>
          <w:szCs w:val="18"/>
        </w:rPr>
      </w:pPr>
      <w:r>
        <w:rPr>
          <w:rFonts w:ascii="Arial Narrow" w:hAnsi="Arial Narrow"/>
          <w:snapToGrid w:val="0"/>
          <w:sz w:val="18"/>
          <w:szCs w:val="22"/>
        </w:rPr>
        <w:t xml:space="preserve">* </w:t>
      </w:r>
      <w:r w:rsidRPr="00846727">
        <w:rPr>
          <w:rFonts w:ascii="Arial Narrow" w:hAnsi="Arial Narrow"/>
          <w:sz w:val="18"/>
          <w:szCs w:val="18"/>
        </w:rPr>
        <w:t>Lenvatinib and sorafenib for treating differentiated thyroid cancer after radioactive iodine. Technology appraisal guidance, TA535, NICE, 8 August 2018</w:t>
      </w:r>
    </w:p>
    <w:p w14:paraId="456447B2" w14:textId="78C34BC8" w:rsidR="00763EF2" w:rsidRPr="003B5F84" w:rsidRDefault="00763EF2" w:rsidP="00763EF2">
      <w:pPr>
        <w:spacing w:after="120"/>
        <w:contextualSpacing/>
        <w:rPr>
          <w:rFonts w:ascii="Arial Narrow" w:hAnsi="Arial Narrow"/>
          <w:snapToGrid w:val="0"/>
          <w:sz w:val="18"/>
          <w:szCs w:val="22"/>
        </w:rPr>
      </w:pPr>
      <w:r w:rsidRPr="003B5F84">
        <w:rPr>
          <w:rFonts w:ascii="Arial Narrow" w:hAnsi="Arial Narrow"/>
          <w:snapToGrid w:val="0"/>
          <w:sz w:val="18"/>
          <w:szCs w:val="22"/>
          <w:vertAlign w:val="superscript"/>
        </w:rPr>
        <w:t>a</w:t>
      </w:r>
      <w:r w:rsidRPr="003B5F84">
        <w:rPr>
          <w:rFonts w:ascii="Arial Narrow" w:hAnsi="Arial Narrow"/>
          <w:snapToGrid w:val="0"/>
          <w:sz w:val="18"/>
          <w:szCs w:val="22"/>
        </w:rPr>
        <w:t xml:space="preserve"> Mean observed time trade-off (TTO) health state utility, base state (stable/no response), adjusted for educational level and EQ-5D-3L (usual activities and anxiety/depression) ratings using UK norms.</w:t>
      </w:r>
    </w:p>
    <w:p w14:paraId="643399B7" w14:textId="290928BA" w:rsidR="00002B7E" w:rsidRDefault="00763EF2" w:rsidP="00763EF2">
      <w:pPr>
        <w:spacing w:after="120"/>
        <w:rPr>
          <w:rFonts w:ascii="Arial Narrow" w:hAnsi="Arial Narrow"/>
          <w:snapToGrid w:val="0"/>
          <w:sz w:val="18"/>
          <w:szCs w:val="22"/>
        </w:rPr>
      </w:pPr>
      <w:r w:rsidRPr="003B5F84">
        <w:rPr>
          <w:rFonts w:ascii="Arial Narrow" w:hAnsi="Arial Narrow"/>
          <w:snapToGrid w:val="0"/>
          <w:sz w:val="18"/>
          <w:szCs w:val="22"/>
          <w:vertAlign w:val="superscript"/>
        </w:rPr>
        <w:t>b</w:t>
      </w:r>
      <w:r w:rsidRPr="003B5F84">
        <w:rPr>
          <w:rFonts w:ascii="Arial Narrow" w:hAnsi="Arial Narrow"/>
          <w:snapToGrid w:val="0"/>
          <w:sz w:val="18"/>
          <w:szCs w:val="22"/>
        </w:rPr>
        <w:t xml:space="preserve"> Disutility associated with progressive disease</w:t>
      </w:r>
      <w:r>
        <w:rPr>
          <w:rFonts w:ascii="Arial Narrow" w:hAnsi="Arial Narrow"/>
          <w:snapToGrid w:val="0"/>
          <w:sz w:val="18"/>
          <w:szCs w:val="22"/>
        </w:rPr>
        <w:t xml:space="preserve"> [a</w:t>
      </w:r>
      <w:r w:rsidRPr="002B25FF">
        <w:rPr>
          <w:rFonts w:ascii="Arial Narrow" w:hAnsi="Arial Narrow"/>
          <w:snapToGrid w:val="0"/>
          <w:sz w:val="18"/>
          <w:szCs w:val="22"/>
        </w:rPr>
        <w:t>djusted for educational qualification level and EQ-5D-3L (usual activities and anxiety/depression) ratings using UK norms</w:t>
      </w:r>
      <w:r>
        <w:rPr>
          <w:rFonts w:ascii="Arial Narrow" w:hAnsi="Arial Narrow"/>
          <w:snapToGrid w:val="0"/>
          <w:sz w:val="18"/>
          <w:szCs w:val="22"/>
        </w:rPr>
        <w:t>]</w:t>
      </w:r>
      <w:r w:rsidRPr="003B5F84">
        <w:rPr>
          <w:rFonts w:ascii="Arial Narrow" w:hAnsi="Arial Narrow"/>
          <w:snapToGrid w:val="0"/>
          <w:sz w:val="18"/>
          <w:szCs w:val="22"/>
        </w:rPr>
        <w:t>.</w:t>
      </w:r>
    </w:p>
    <w:p w14:paraId="1FFD8952" w14:textId="3FC168E0" w:rsidR="00763EF2" w:rsidRPr="00427986" w:rsidRDefault="00763EF2" w:rsidP="004A52A9">
      <w:pPr>
        <w:numPr>
          <w:ilvl w:val="1"/>
          <w:numId w:val="1"/>
        </w:numPr>
        <w:spacing w:after="120"/>
        <w:ind w:left="720"/>
        <w:rPr>
          <w:rFonts w:asciiTheme="minorHAnsi" w:hAnsiTheme="minorHAnsi"/>
          <w:snapToGrid w:val="0"/>
        </w:rPr>
      </w:pPr>
      <w:bookmarkStart w:id="72" w:name="_Ref147750966"/>
      <w:r w:rsidRPr="0023484B">
        <w:rPr>
          <w:rFonts w:asciiTheme="minorHAnsi" w:hAnsiTheme="minorHAnsi"/>
          <w:snapToGrid w:val="0"/>
        </w:rPr>
        <w:lastRenderedPageBreak/>
        <w:t xml:space="preserve">The submission </w:t>
      </w:r>
      <w:r w:rsidR="00424933" w:rsidRPr="0023484B">
        <w:rPr>
          <w:rFonts w:asciiTheme="minorHAnsi" w:hAnsiTheme="minorHAnsi"/>
          <w:snapToGrid w:val="0"/>
        </w:rPr>
        <w:t>applied</w:t>
      </w:r>
      <w:r w:rsidRPr="0023484B">
        <w:rPr>
          <w:rFonts w:asciiTheme="minorHAnsi" w:hAnsiTheme="minorHAnsi"/>
          <w:snapToGrid w:val="0"/>
        </w:rPr>
        <w:t xml:space="preserve"> literature-based utilities (Fordham 2015) of 0.87 and 0.52 </w:t>
      </w:r>
      <w:r w:rsidR="00424933" w:rsidRPr="0023484B">
        <w:rPr>
          <w:rFonts w:asciiTheme="minorHAnsi" w:hAnsiTheme="minorHAnsi"/>
          <w:snapToGrid w:val="0"/>
        </w:rPr>
        <w:t>to the</w:t>
      </w:r>
      <w:r w:rsidRPr="0023484B">
        <w:rPr>
          <w:rFonts w:asciiTheme="minorHAnsi" w:hAnsiTheme="minorHAnsi"/>
          <w:snapToGrid w:val="0"/>
        </w:rPr>
        <w:t xml:space="preserve"> pre-progression and post-progression</w:t>
      </w:r>
      <w:r w:rsidR="00424933" w:rsidRPr="0023484B">
        <w:rPr>
          <w:rFonts w:asciiTheme="minorHAnsi" w:hAnsiTheme="minorHAnsi"/>
          <w:snapToGrid w:val="0"/>
        </w:rPr>
        <w:t xml:space="preserve"> health states</w:t>
      </w:r>
      <w:r w:rsidRPr="0023484B">
        <w:rPr>
          <w:rFonts w:asciiTheme="minorHAnsi" w:hAnsiTheme="minorHAnsi"/>
          <w:snapToGrid w:val="0"/>
        </w:rPr>
        <w:t xml:space="preserve">, respectively. Fordham 2015 was </w:t>
      </w:r>
      <w:r w:rsidRPr="00427986">
        <w:rPr>
          <w:rFonts w:asciiTheme="minorHAnsi" w:hAnsiTheme="minorHAnsi"/>
          <w:snapToGrid w:val="0"/>
        </w:rPr>
        <w:t xml:space="preserve">a vignette study in 100 members of the UK public to elicit utilities for RAI-R DTC health states and evaluated the impact of treatment response and toxicities on quality of life. While the COSMIC-311 trial collected EQ-5D-5L data until radiographic disease progression as confirmed by the BIRC, the submission did not use the trial-based utilities for any model health state. </w:t>
      </w:r>
      <w:r w:rsidRPr="00427986">
        <w:t xml:space="preserve">This was not appropriate. </w:t>
      </w:r>
      <w:r w:rsidRPr="00427986">
        <w:rPr>
          <w:rFonts w:asciiTheme="minorHAnsi" w:hAnsiTheme="minorHAnsi"/>
        </w:rPr>
        <w:t>The PBAC Guidelines stated that “</w:t>
      </w:r>
      <w:r w:rsidRPr="00427986">
        <w:t>i</w:t>
      </w:r>
      <w:r w:rsidRPr="00427986">
        <w:rPr>
          <w:rFonts w:asciiTheme="minorHAnsi" w:hAnsiTheme="minorHAnsi"/>
        </w:rPr>
        <w:t xml:space="preserve">f available, use quality-of-life or utility data reported in </w:t>
      </w:r>
      <w:r w:rsidR="00AF1E6C" w:rsidRPr="00427986">
        <w:rPr>
          <w:rFonts w:asciiTheme="minorHAnsi" w:hAnsiTheme="minorHAnsi"/>
        </w:rPr>
        <w:t>the trial</w:t>
      </w:r>
      <w:r w:rsidRPr="00427986">
        <w:rPr>
          <w:rFonts w:asciiTheme="minorHAnsi" w:hAnsiTheme="minorHAnsi"/>
        </w:rPr>
        <w:t xml:space="preserve"> to estimate </w:t>
      </w:r>
      <w:r w:rsidRPr="00427986">
        <w:t xml:space="preserve">[quality adjusted life years, </w:t>
      </w:r>
      <w:r w:rsidRPr="00427986">
        <w:rPr>
          <w:rFonts w:asciiTheme="minorHAnsi" w:hAnsiTheme="minorHAnsi"/>
        </w:rPr>
        <w:t>QALYs</w:t>
      </w:r>
      <w:r w:rsidRPr="00427986">
        <w:t>]</w:t>
      </w:r>
      <w:r w:rsidRPr="00427986">
        <w:rPr>
          <w:rFonts w:asciiTheme="minorHAnsi" w:hAnsiTheme="minorHAnsi"/>
        </w:rPr>
        <w:t xml:space="preserve"> in the model”</w:t>
      </w:r>
      <w:r w:rsidRPr="00427986">
        <w:t>.</w:t>
      </w:r>
      <w:r w:rsidRPr="00427986">
        <w:rPr>
          <w:rStyle w:val="FootnoteReference"/>
        </w:rPr>
        <w:footnoteReference w:id="27"/>
      </w:r>
      <w:bookmarkEnd w:id="72"/>
    </w:p>
    <w:p w14:paraId="5C89C064" w14:textId="53015349" w:rsidR="00763EF2" w:rsidRPr="00427986" w:rsidRDefault="00763EF2" w:rsidP="004A52A9">
      <w:pPr>
        <w:numPr>
          <w:ilvl w:val="1"/>
          <w:numId w:val="1"/>
        </w:numPr>
        <w:spacing w:after="120"/>
        <w:ind w:left="720"/>
        <w:rPr>
          <w:rFonts w:asciiTheme="minorHAnsi" w:hAnsiTheme="minorHAnsi"/>
          <w:snapToGrid w:val="0"/>
        </w:rPr>
      </w:pPr>
      <w:r w:rsidRPr="00427986">
        <w:rPr>
          <w:rFonts w:asciiTheme="minorHAnsi" w:hAnsiTheme="minorHAnsi"/>
          <w:snapToGrid w:val="0"/>
        </w:rPr>
        <w:t>An Australian study</w:t>
      </w:r>
      <w:r w:rsidRPr="00427986">
        <w:rPr>
          <w:rFonts w:asciiTheme="minorHAnsi" w:hAnsiTheme="minorHAnsi"/>
          <w:snapToGrid w:val="0"/>
          <w:vertAlign w:val="superscript"/>
        </w:rPr>
        <w:footnoteReference w:id="28"/>
      </w:r>
      <w:r w:rsidRPr="00427986">
        <w:rPr>
          <w:rFonts w:asciiTheme="minorHAnsi" w:hAnsiTheme="minorHAnsi"/>
          <w:snapToGrid w:val="0"/>
        </w:rPr>
        <w:t xml:space="preserve"> that estimated health-related quality of life normative values for the EQ-5D-5L preference-based measure in a large, random, community sample (2,908 adults) reported a mean utility score of 0.87 for those aged 65-74 years. </w:t>
      </w:r>
      <w:r w:rsidR="004221D8" w:rsidRPr="00427986">
        <w:rPr>
          <w:rFonts w:asciiTheme="minorHAnsi" w:hAnsiTheme="minorHAnsi"/>
          <w:snapToGrid w:val="0"/>
        </w:rPr>
        <w:t>The ESC considered that i</w:t>
      </w:r>
      <w:r w:rsidRPr="00427986">
        <w:rPr>
          <w:rFonts w:asciiTheme="minorHAnsi" w:hAnsiTheme="minorHAnsi"/>
          <w:snapToGrid w:val="0"/>
        </w:rPr>
        <w:t xml:space="preserve">t </w:t>
      </w:r>
      <w:r w:rsidR="004221D8" w:rsidRPr="00427986">
        <w:rPr>
          <w:rFonts w:asciiTheme="minorHAnsi" w:hAnsiTheme="minorHAnsi"/>
          <w:snapToGrid w:val="0"/>
        </w:rPr>
        <w:t>wa</w:t>
      </w:r>
      <w:r w:rsidRPr="00427986">
        <w:rPr>
          <w:rFonts w:asciiTheme="minorHAnsi" w:hAnsiTheme="minorHAnsi"/>
          <w:snapToGrid w:val="0"/>
        </w:rPr>
        <w:t>s unlikely that the Australian general population and patients with locally advanced or metastatic DTC, RAI-refractory and progression-free after a first-line treatment would have a similar utility (0.87, from Fordham 2015).</w:t>
      </w:r>
      <w:r w:rsidRPr="00427986">
        <w:rPr>
          <w:rFonts w:asciiTheme="minorHAnsi" w:hAnsiTheme="minorHAnsi"/>
          <w:snapToGrid w:val="0"/>
          <w:vertAlign w:val="superscript"/>
        </w:rPr>
        <w:footnoteReference w:id="29"/>
      </w:r>
    </w:p>
    <w:p w14:paraId="2BA69F9C" w14:textId="6D3A368F" w:rsidR="00763EF2" w:rsidRPr="00427986" w:rsidRDefault="00763EF2" w:rsidP="004A52A9">
      <w:pPr>
        <w:numPr>
          <w:ilvl w:val="1"/>
          <w:numId w:val="1"/>
        </w:numPr>
        <w:spacing w:after="120"/>
        <w:ind w:left="720"/>
        <w:rPr>
          <w:rFonts w:asciiTheme="minorHAnsi" w:hAnsiTheme="minorHAnsi"/>
          <w:snapToGrid w:val="0"/>
        </w:rPr>
      </w:pPr>
      <w:bookmarkStart w:id="73" w:name="_Ref151117814"/>
      <w:r w:rsidRPr="00427986">
        <w:rPr>
          <w:rFonts w:asciiTheme="minorHAnsi" w:hAnsiTheme="minorHAnsi"/>
          <w:snapToGrid w:val="0"/>
        </w:rPr>
        <w:t>The submission argued that (a) the limited reduction of utilities (0.018) after progression observed in the trial-based utilities was inconsistent with the difference observed in other models and NICE appraisals (e.g., TA535, NICE 2018</w:t>
      </w:r>
      <w:r w:rsidRPr="00427986">
        <w:rPr>
          <w:rFonts w:asciiTheme="minorHAnsi" w:hAnsiTheme="minorHAnsi"/>
          <w:snapToGrid w:val="0"/>
          <w:color w:val="000000" w:themeColor="text1"/>
          <w:vertAlign w:val="superscript"/>
        </w:rPr>
        <w:footnoteReference w:id="30"/>
      </w:r>
      <w:r w:rsidRPr="00427986">
        <w:rPr>
          <w:rFonts w:asciiTheme="minorHAnsi" w:hAnsiTheme="minorHAnsi"/>
          <w:snapToGrid w:val="0"/>
        </w:rPr>
        <w:t>) in advanced thyroid cancer, and (b) this inconsistency was validated by UK clinicians in a recent advisory board</w:t>
      </w:r>
      <w:r w:rsidR="004221D8" w:rsidRPr="00427986">
        <w:rPr>
          <w:rFonts w:asciiTheme="minorHAnsi" w:hAnsiTheme="minorHAnsi"/>
          <w:snapToGrid w:val="0"/>
        </w:rPr>
        <w:t xml:space="preserve">; however, </w:t>
      </w:r>
      <w:r w:rsidRPr="00427986">
        <w:rPr>
          <w:rFonts w:asciiTheme="minorHAnsi" w:hAnsiTheme="minorHAnsi"/>
          <w:snapToGrid w:val="0"/>
        </w:rPr>
        <w:t xml:space="preserve">TA535 related to </w:t>
      </w:r>
      <w:r w:rsidRPr="00427986">
        <w:rPr>
          <w:rFonts w:asciiTheme="minorHAnsi" w:hAnsiTheme="minorHAnsi"/>
        </w:rPr>
        <w:t xml:space="preserve">a first-line </w:t>
      </w:r>
      <w:r w:rsidRPr="00427986">
        <w:rPr>
          <w:rFonts w:asciiTheme="minorHAnsi" w:hAnsiTheme="minorHAnsi"/>
          <w:snapToGrid w:val="0"/>
        </w:rPr>
        <w:t xml:space="preserve">treatment whereas </w:t>
      </w:r>
      <w:r w:rsidRPr="00427986">
        <w:rPr>
          <w:rFonts w:asciiTheme="minorHAnsi" w:hAnsiTheme="minorHAnsi"/>
        </w:rPr>
        <w:t xml:space="preserve">the </w:t>
      </w:r>
      <w:r w:rsidRPr="00427986">
        <w:rPr>
          <w:rFonts w:asciiTheme="minorHAnsi" w:hAnsiTheme="minorHAnsi"/>
          <w:snapToGrid w:val="0"/>
        </w:rPr>
        <w:t>COSMIC-311</w:t>
      </w:r>
      <w:r w:rsidRPr="00427986">
        <w:rPr>
          <w:rFonts w:asciiTheme="minorHAnsi" w:hAnsiTheme="minorHAnsi"/>
        </w:rPr>
        <w:t xml:space="preserve"> trial</w:t>
      </w:r>
      <w:r w:rsidRPr="00427986">
        <w:rPr>
          <w:rFonts w:asciiTheme="minorHAnsi" w:hAnsiTheme="minorHAnsi"/>
          <w:snapToGrid w:val="0"/>
        </w:rPr>
        <w:t xml:space="preserve"> related to </w:t>
      </w:r>
      <w:r w:rsidRPr="00427986">
        <w:rPr>
          <w:rFonts w:asciiTheme="minorHAnsi" w:hAnsiTheme="minorHAnsi"/>
        </w:rPr>
        <w:t xml:space="preserve">a second-line </w:t>
      </w:r>
      <w:r w:rsidRPr="00427986">
        <w:rPr>
          <w:rFonts w:asciiTheme="minorHAnsi" w:hAnsiTheme="minorHAnsi"/>
          <w:snapToGrid w:val="0"/>
        </w:rPr>
        <w:t>treatment.</w:t>
      </w:r>
      <w:bookmarkEnd w:id="73"/>
      <w:r w:rsidRPr="00427986">
        <w:rPr>
          <w:rFonts w:asciiTheme="minorHAnsi" w:hAnsiTheme="minorHAnsi"/>
          <w:snapToGrid w:val="0"/>
        </w:rPr>
        <w:t xml:space="preserve"> </w:t>
      </w:r>
    </w:p>
    <w:p w14:paraId="3245F100" w14:textId="50A12CE2" w:rsidR="00763EF2" w:rsidRPr="00427986" w:rsidRDefault="00763EF2" w:rsidP="004A52A9">
      <w:pPr>
        <w:numPr>
          <w:ilvl w:val="1"/>
          <w:numId w:val="1"/>
        </w:numPr>
        <w:spacing w:after="120"/>
        <w:ind w:left="720"/>
        <w:rPr>
          <w:rFonts w:asciiTheme="minorHAnsi" w:hAnsiTheme="minorHAnsi"/>
          <w:snapToGrid w:val="0"/>
        </w:rPr>
      </w:pPr>
      <w:r w:rsidRPr="00427986">
        <w:rPr>
          <w:rFonts w:asciiTheme="minorHAnsi" w:hAnsiTheme="minorHAnsi"/>
          <w:snapToGrid w:val="0"/>
        </w:rPr>
        <w:t>The submission also argued that the limited impact of progression in the COSMIC-311 data was likely a result of little follow-up post-progression and missing data, as the available data suggested that utility decreased over time post-progression. Th</w:t>
      </w:r>
      <w:r w:rsidR="00AF1E6C" w:rsidRPr="00427986">
        <w:rPr>
          <w:rFonts w:asciiTheme="minorHAnsi" w:hAnsiTheme="minorHAnsi"/>
          <w:snapToGrid w:val="0"/>
        </w:rPr>
        <w:t>e ESC considered that th</w:t>
      </w:r>
      <w:r w:rsidRPr="00427986">
        <w:rPr>
          <w:rFonts w:asciiTheme="minorHAnsi" w:hAnsiTheme="minorHAnsi"/>
          <w:snapToGrid w:val="0"/>
        </w:rPr>
        <w:t xml:space="preserve">is was </w:t>
      </w:r>
      <w:r w:rsidR="00E120DC" w:rsidRPr="00427986">
        <w:rPr>
          <w:rFonts w:asciiTheme="minorHAnsi" w:hAnsiTheme="minorHAnsi"/>
          <w:snapToGrid w:val="0"/>
        </w:rPr>
        <w:t>plausible</w:t>
      </w:r>
      <w:r w:rsidRPr="00427986">
        <w:rPr>
          <w:rFonts w:asciiTheme="minorHAnsi" w:hAnsiTheme="minorHAnsi"/>
          <w:snapToGrid w:val="0"/>
        </w:rPr>
        <w:t>.</w:t>
      </w:r>
    </w:p>
    <w:p w14:paraId="403B51DC" w14:textId="0DFBA719" w:rsidR="00763EF2" w:rsidRPr="00427986" w:rsidRDefault="00763EF2" w:rsidP="00763EF2">
      <w:pPr>
        <w:pStyle w:val="3-BodyText"/>
        <w:rPr>
          <w:color w:val="000000" w:themeColor="text1"/>
        </w:rPr>
      </w:pPr>
      <w:r w:rsidRPr="00427986">
        <w:t xml:space="preserve">The NICE Technology appraisal committee considered a submission for cabozantinib as second-line treatment in a similar target population to the proposed PBS population. </w:t>
      </w:r>
      <w:r w:rsidR="004B315B" w:rsidRPr="00427986">
        <w:t xml:space="preserve">In general, </w:t>
      </w:r>
      <w:r w:rsidRPr="00427986">
        <w:t xml:space="preserve">NICE </w:t>
      </w:r>
      <w:r w:rsidRPr="00427986">
        <w:rPr>
          <w:color w:val="000000" w:themeColor="text1"/>
        </w:rPr>
        <w:t xml:space="preserve">prefer using trial-based utilities provided they </w:t>
      </w:r>
      <w:r w:rsidR="004B315B" w:rsidRPr="00427986">
        <w:rPr>
          <w:color w:val="000000" w:themeColor="text1"/>
        </w:rPr>
        <w:t>are</w:t>
      </w:r>
      <w:r w:rsidRPr="00427986">
        <w:rPr>
          <w:color w:val="000000" w:themeColor="text1"/>
        </w:rPr>
        <w:t xml:space="preserve"> robust, free of bias and clinically plausible. However, given the limitations of the trial-based data to inform progressed disease utility values (quality of life data stopped shortly after progression, NICE </w:t>
      </w:r>
      <w:r w:rsidR="00331108" w:rsidRPr="00427986">
        <w:rPr>
          <w:color w:val="000000" w:themeColor="text1"/>
        </w:rPr>
        <w:t>used</w:t>
      </w:r>
      <w:r w:rsidRPr="00427986">
        <w:rPr>
          <w:color w:val="000000" w:themeColor="text1"/>
        </w:rPr>
        <w:t xml:space="preserve"> (a) the trial-based utility for the progression-free state (0.692)</w:t>
      </w:r>
      <w:r w:rsidR="00331108" w:rsidRPr="00427986">
        <w:rPr>
          <w:color w:val="000000" w:themeColor="text1"/>
        </w:rPr>
        <w:t>,</w:t>
      </w:r>
      <w:r w:rsidRPr="00427986">
        <w:rPr>
          <w:color w:val="000000" w:themeColor="text1"/>
        </w:rPr>
        <w:t xml:space="preserve"> as the COSMIC-311 trial included the population under appraisal and was the </w:t>
      </w:r>
      <w:r w:rsidRPr="00427986">
        <w:rPr>
          <w:color w:val="000000" w:themeColor="text1"/>
        </w:rPr>
        <w:lastRenderedPageBreak/>
        <w:t xml:space="preserve">same source as for the model’s clinical efficacy inputs, </w:t>
      </w:r>
      <w:r w:rsidR="00331108" w:rsidRPr="00427986">
        <w:rPr>
          <w:color w:val="000000" w:themeColor="text1"/>
        </w:rPr>
        <w:t>and</w:t>
      </w:r>
      <w:r w:rsidRPr="00427986">
        <w:rPr>
          <w:color w:val="000000" w:themeColor="text1"/>
        </w:rPr>
        <w:t xml:space="preserve"> (b) the unadjusted post-progression utility value (0.520) from Fordham 2015.</w:t>
      </w:r>
      <w:r w:rsidRPr="00427986">
        <w:rPr>
          <w:color w:val="000000" w:themeColor="text1"/>
          <w:vertAlign w:val="superscript"/>
        </w:rPr>
        <w:footnoteReference w:id="31"/>
      </w:r>
    </w:p>
    <w:p w14:paraId="3EC03BFD" w14:textId="73BFE48A" w:rsidR="00763EF2" w:rsidRPr="00427986" w:rsidRDefault="00AF1E6C" w:rsidP="00763EF2">
      <w:pPr>
        <w:pStyle w:val="3-BodyText"/>
        <w:rPr>
          <w:color w:val="000000" w:themeColor="text1"/>
        </w:rPr>
      </w:pPr>
      <w:bookmarkStart w:id="74" w:name="_Ref147750981"/>
      <w:r w:rsidRPr="00427986">
        <w:t>The PSCR accepted that the trial</w:t>
      </w:r>
      <w:r w:rsidR="00E120DC" w:rsidRPr="00427986">
        <w:t>-</w:t>
      </w:r>
      <w:r w:rsidRPr="00427986">
        <w:t xml:space="preserve">based utility value should have been used for the pre-progression health state and proposed that it would provide a relevant anchor for the post-progression utility value. Instead of </w:t>
      </w:r>
      <w:r w:rsidR="002D5B58" w:rsidRPr="00427986">
        <w:t>using</w:t>
      </w:r>
      <w:r w:rsidRPr="00427986">
        <w:t xml:space="preserve"> the </w:t>
      </w:r>
      <w:r w:rsidR="002D5B58" w:rsidRPr="00427986">
        <w:t xml:space="preserve">unadjusted </w:t>
      </w:r>
      <w:r w:rsidRPr="00427986">
        <w:t>Fordham (2015) post-progression utility value</w:t>
      </w:r>
      <w:r w:rsidR="002D5B58" w:rsidRPr="00427986">
        <w:t xml:space="preserve"> which was derived from a general population sample, </w:t>
      </w:r>
      <w:r w:rsidRPr="00427986">
        <w:t xml:space="preserve">the PSCR suggested applying the </w:t>
      </w:r>
      <w:r w:rsidR="00E120DC" w:rsidRPr="00427986">
        <w:t xml:space="preserve">relative </w:t>
      </w:r>
      <w:r w:rsidRPr="00427986">
        <w:t xml:space="preserve">and </w:t>
      </w:r>
      <w:r w:rsidR="00E120DC" w:rsidRPr="00427986">
        <w:t xml:space="preserve">absolute utility </w:t>
      </w:r>
      <w:r w:rsidRPr="00427986">
        <w:t>decrement</w:t>
      </w:r>
      <w:r w:rsidR="00E120DC" w:rsidRPr="00427986">
        <w:t>s</w:t>
      </w:r>
      <w:r w:rsidRPr="00427986">
        <w:t xml:space="preserve"> from Fordham (2015) to the pre-progression anchor. </w:t>
      </w:r>
      <w:r w:rsidRPr="00427986">
        <w:fldChar w:fldCharType="begin" w:fldLock="1"/>
      </w:r>
      <w:r w:rsidRPr="00427986">
        <w:instrText xml:space="preserve"> REF _Ref147741651 \h  \* MERGEFORMAT </w:instrText>
      </w:r>
      <w:r w:rsidRPr="00427986">
        <w:fldChar w:fldCharType="separate"/>
      </w:r>
      <w:r w:rsidR="008760F8">
        <w:t xml:space="preserve">Table </w:t>
      </w:r>
      <w:r w:rsidR="008760F8">
        <w:rPr>
          <w:noProof/>
        </w:rPr>
        <w:t>15</w:t>
      </w:r>
      <w:r w:rsidRPr="00427986">
        <w:fldChar w:fldCharType="end"/>
      </w:r>
      <w:r w:rsidRPr="00427986">
        <w:t xml:space="preserve"> provides a comparison of the various proposed pre- and post-progression utility values. </w:t>
      </w:r>
      <w:r w:rsidR="00E120DC" w:rsidRPr="00427986">
        <w:t xml:space="preserve">The ESC considered that application of the relative utility decrement was more appropriate as, although not the case in this situation, application of absolute decrements can potentially result in negative utility values. </w:t>
      </w:r>
      <w:bookmarkStart w:id="75" w:name="_Hlk141664240"/>
      <w:bookmarkEnd w:id="74"/>
      <w:r w:rsidR="000E709B">
        <w:rPr>
          <w:color w:val="000000" w:themeColor="text1"/>
        </w:rPr>
        <w:t xml:space="preserve"> The pre-PBAC response provided a revised base case which </w:t>
      </w:r>
      <w:r w:rsidR="00B54FFE">
        <w:rPr>
          <w:color w:val="000000" w:themeColor="text1"/>
        </w:rPr>
        <w:t>applied</w:t>
      </w:r>
      <w:r w:rsidR="000E709B">
        <w:rPr>
          <w:color w:val="000000" w:themeColor="text1"/>
        </w:rPr>
        <w:t xml:space="preserve"> the trial-based utility for the pre-progression state</w:t>
      </w:r>
      <w:r w:rsidR="00B54FFE">
        <w:rPr>
          <w:color w:val="000000" w:themeColor="text1"/>
        </w:rPr>
        <w:t xml:space="preserve"> (0.692)</w:t>
      </w:r>
      <w:r w:rsidR="000E709B">
        <w:rPr>
          <w:color w:val="000000" w:themeColor="text1"/>
        </w:rPr>
        <w:t xml:space="preserve"> and Fordham (2015)</w:t>
      </w:r>
      <w:r w:rsidR="00B54FFE">
        <w:rPr>
          <w:color w:val="000000" w:themeColor="text1"/>
        </w:rPr>
        <w:t>,</w:t>
      </w:r>
      <w:r w:rsidR="000E709B">
        <w:rPr>
          <w:color w:val="000000" w:themeColor="text1"/>
        </w:rPr>
        <w:t xml:space="preserve"> adjusted using a relative decrement</w:t>
      </w:r>
      <w:r w:rsidR="00B54FFE">
        <w:rPr>
          <w:color w:val="000000" w:themeColor="text1"/>
        </w:rPr>
        <w:t>,</w:t>
      </w:r>
      <w:r w:rsidR="000E709B">
        <w:rPr>
          <w:color w:val="000000" w:themeColor="text1"/>
        </w:rPr>
        <w:t xml:space="preserve"> for the post-progression state</w:t>
      </w:r>
      <w:r w:rsidR="00B54FFE">
        <w:rPr>
          <w:color w:val="000000" w:themeColor="text1"/>
        </w:rPr>
        <w:t xml:space="preserve"> (0.414)</w:t>
      </w:r>
      <w:r w:rsidR="000E709B">
        <w:rPr>
          <w:color w:val="000000" w:themeColor="text1"/>
        </w:rPr>
        <w:t>.</w:t>
      </w:r>
    </w:p>
    <w:p w14:paraId="3373DFF4" w14:textId="74A985E2" w:rsidR="00AF1E6C" w:rsidRDefault="00AF1E6C" w:rsidP="00E120DC">
      <w:pPr>
        <w:pStyle w:val="Caption"/>
        <w:rPr>
          <w:color w:val="000000" w:themeColor="text1"/>
        </w:rPr>
      </w:pPr>
      <w:bookmarkStart w:id="76" w:name="_Ref147741651"/>
      <w:r>
        <w:t xml:space="preserve">Table </w:t>
      </w:r>
      <w:r w:rsidR="00737A69">
        <w:fldChar w:fldCharType="begin" w:fldLock="1"/>
      </w:r>
      <w:r w:rsidR="00737A69">
        <w:instrText xml:space="preserve"> SEQ Table \* ARABIC </w:instrText>
      </w:r>
      <w:r w:rsidR="00737A69">
        <w:fldChar w:fldCharType="separate"/>
      </w:r>
      <w:r w:rsidR="008760F8">
        <w:rPr>
          <w:noProof/>
        </w:rPr>
        <w:t>15</w:t>
      </w:r>
      <w:r w:rsidR="00737A69">
        <w:rPr>
          <w:noProof/>
        </w:rPr>
        <w:fldChar w:fldCharType="end"/>
      </w:r>
      <w:bookmarkEnd w:id="76"/>
      <w:r>
        <w:t>: Comparison of proposed utility values for the pre- and post-progression health states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1"/>
        <w:gridCol w:w="1164"/>
        <w:gridCol w:w="988"/>
        <w:gridCol w:w="1164"/>
      </w:tblGrid>
      <w:tr w:rsidR="00AF1E6C" w:rsidRPr="00427986" w14:paraId="27922A9B" w14:textId="77777777" w:rsidTr="00E120DC">
        <w:trPr>
          <w:tblHeader/>
        </w:trPr>
        <w:tc>
          <w:tcPr>
            <w:tcW w:w="3161" w:type="pct"/>
            <w:tcBorders>
              <w:top w:val="single" w:sz="4" w:space="0" w:color="auto"/>
            </w:tcBorders>
            <w:shd w:val="clear" w:color="auto" w:fill="auto"/>
            <w:vAlign w:val="center"/>
          </w:tcPr>
          <w:p w14:paraId="5896D5F1" w14:textId="77777777" w:rsidR="00AF1E6C" w:rsidRPr="00427986" w:rsidRDefault="00AF1E6C" w:rsidP="00B973D0">
            <w:pPr>
              <w:pStyle w:val="Subtitle"/>
              <w:jc w:val="left"/>
              <w:rPr>
                <w:rFonts w:ascii="Arial Narrow" w:hAnsi="Arial Narrow"/>
                <w:b/>
                <w:bCs/>
                <w:lang w:val="en-US"/>
              </w:rPr>
            </w:pPr>
          </w:p>
        </w:tc>
        <w:tc>
          <w:tcPr>
            <w:tcW w:w="645" w:type="pct"/>
            <w:shd w:val="clear" w:color="auto" w:fill="auto"/>
            <w:vAlign w:val="center"/>
          </w:tcPr>
          <w:p w14:paraId="2D9A5458" w14:textId="68CA98F3" w:rsidR="00AF1E6C" w:rsidRPr="00427986" w:rsidRDefault="00AF1E6C" w:rsidP="00B973D0">
            <w:pPr>
              <w:pStyle w:val="Subtitle"/>
              <w:jc w:val="center"/>
              <w:rPr>
                <w:rFonts w:ascii="Arial Narrow" w:hAnsi="Arial Narrow"/>
                <w:b/>
                <w:bCs/>
                <w:lang w:val="en-US"/>
              </w:rPr>
            </w:pPr>
            <w:r w:rsidRPr="00427986">
              <w:rPr>
                <w:rFonts w:ascii="Arial Narrow" w:hAnsi="Arial Narrow"/>
                <w:b/>
                <w:bCs/>
                <w:lang w:val="en-US"/>
              </w:rPr>
              <w:t>Pre-progression</w:t>
            </w:r>
          </w:p>
        </w:tc>
        <w:tc>
          <w:tcPr>
            <w:tcW w:w="548" w:type="pct"/>
            <w:shd w:val="clear" w:color="auto" w:fill="auto"/>
            <w:vAlign w:val="center"/>
          </w:tcPr>
          <w:p w14:paraId="14A28CFD" w14:textId="77777777" w:rsidR="00AF1E6C" w:rsidRPr="00427986" w:rsidRDefault="00AF1E6C" w:rsidP="00B973D0">
            <w:pPr>
              <w:pStyle w:val="Subtitle"/>
              <w:jc w:val="center"/>
              <w:rPr>
                <w:rFonts w:ascii="Arial Narrow" w:hAnsi="Arial Narrow"/>
                <w:b/>
                <w:bCs/>
                <w:lang w:val="en-US"/>
              </w:rPr>
            </w:pPr>
            <w:r w:rsidRPr="00427986">
              <w:rPr>
                <w:rFonts w:ascii="Arial Narrow" w:hAnsi="Arial Narrow"/>
                <w:b/>
                <w:bCs/>
                <w:lang w:val="en-US"/>
              </w:rPr>
              <w:t>Change</w:t>
            </w:r>
          </w:p>
        </w:tc>
        <w:tc>
          <w:tcPr>
            <w:tcW w:w="645" w:type="pct"/>
            <w:shd w:val="clear" w:color="auto" w:fill="auto"/>
            <w:vAlign w:val="center"/>
          </w:tcPr>
          <w:p w14:paraId="3B07714B" w14:textId="78050077" w:rsidR="00AF1E6C" w:rsidRPr="00427986" w:rsidRDefault="00AF1E6C" w:rsidP="00B973D0">
            <w:pPr>
              <w:pStyle w:val="Subtitle"/>
              <w:jc w:val="center"/>
              <w:rPr>
                <w:rFonts w:ascii="Arial Narrow" w:hAnsi="Arial Narrow"/>
                <w:b/>
                <w:bCs/>
                <w:lang w:val="en-US"/>
              </w:rPr>
            </w:pPr>
            <w:r w:rsidRPr="00427986">
              <w:rPr>
                <w:rFonts w:ascii="Arial Narrow" w:hAnsi="Arial Narrow"/>
                <w:b/>
                <w:bCs/>
                <w:lang w:val="en-US"/>
              </w:rPr>
              <w:t xml:space="preserve">Post-progression </w:t>
            </w:r>
          </w:p>
        </w:tc>
      </w:tr>
      <w:tr w:rsidR="00AF1E6C" w:rsidRPr="00427986" w14:paraId="61E5BBD4" w14:textId="77777777" w:rsidTr="00E120DC">
        <w:tc>
          <w:tcPr>
            <w:tcW w:w="3161" w:type="pct"/>
            <w:tcBorders>
              <w:bottom w:val="single" w:sz="4" w:space="0" w:color="auto"/>
            </w:tcBorders>
            <w:shd w:val="clear" w:color="auto" w:fill="auto"/>
            <w:vAlign w:val="center"/>
          </w:tcPr>
          <w:p w14:paraId="208F1CA3" w14:textId="7479805B" w:rsidR="00AF1E6C" w:rsidRPr="00427986" w:rsidRDefault="00AF1E6C" w:rsidP="00B973D0">
            <w:pPr>
              <w:pStyle w:val="Subtitle"/>
              <w:jc w:val="left"/>
              <w:rPr>
                <w:rFonts w:ascii="Arial Narrow" w:hAnsi="Arial Narrow"/>
                <w:lang w:val="en-US"/>
              </w:rPr>
            </w:pPr>
            <w:r w:rsidRPr="00427986">
              <w:rPr>
                <w:rFonts w:ascii="Arial Narrow" w:hAnsi="Arial Narrow"/>
                <w:lang w:val="en-US"/>
              </w:rPr>
              <w:t>Base case: Fordham (2015) for both pre-and post-progression health states</w:t>
            </w:r>
          </w:p>
        </w:tc>
        <w:tc>
          <w:tcPr>
            <w:tcW w:w="645" w:type="pct"/>
            <w:tcBorders>
              <w:bottom w:val="single" w:sz="4" w:space="0" w:color="auto"/>
            </w:tcBorders>
            <w:shd w:val="clear" w:color="auto" w:fill="auto"/>
            <w:vAlign w:val="center"/>
          </w:tcPr>
          <w:p w14:paraId="2D4A61AC" w14:textId="2AC279EE" w:rsidR="00AF1E6C" w:rsidRPr="007D0B5C" w:rsidRDefault="00AF1E6C" w:rsidP="00B973D0">
            <w:pPr>
              <w:pStyle w:val="Subtitle"/>
              <w:jc w:val="center"/>
              <w:rPr>
                <w:rFonts w:ascii="Arial Narrow" w:hAnsi="Arial Narrow"/>
                <w:vertAlign w:val="superscript"/>
                <w:lang w:val="en-US"/>
              </w:rPr>
            </w:pPr>
            <w:r w:rsidRPr="007D0B5C">
              <w:rPr>
                <w:rFonts w:ascii="Arial Narrow" w:hAnsi="Arial Narrow"/>
                <w:lang w:val="en-US"/>
              </w:rPr>
              <w:t>0.87</w:t>
            </w:r>
            <w:r w:rsidRPr="007D0B5C">
              <w:rPr>
                <w:rFonts w:ascii="Arial Narrow" w:hAnsi="Arial Narrow"/>
                <w:vertAlign w:val="superscript"/>
                <w:lang w:val="en-US"/>
              </w:rPr>
              <w:t>a</w:t>
            </w:r>
          </w:p>
        </w:tc>
        <w:tc>
          <w:tcPr>
            <w:tcW w:w="548" w:type="pct"/>
            <w:tcBorders>
              <w:bottom w:val="single" w:sz="4" w:space="0" w:color="auto"/>
            </w:tcBorders>
            <w:shd w:val="clear" w:color="auto" w:fill="auto"/>
            <w:vAlign w:val="center"/>
          </w:tcPr>
          <w:p w14:paraId="1991CFC4" w14:textId="77777777" w:rsidR="00AF1E6C" w:rsidRPr="007D0B5C" w:rsidRDefault="00AF1E6C" w:rsidP="00B973D0">
            <w:pPr>
              <w:pStyle w:val="Subtitle"/>
              <w:jc w:val="center"/>
              <w:rPr>
                <w:rFonts w:ascii="Arial Narrow" w:hAnsi="Arial Narrow"/>
                <w:vertAlign w:val="superscript"/>
                <w:lang w:val="en-US"/>
              </w:rPr>
            </w:pPr>
            <w:r w:rsidRPr="007D0B5C">
              <w:rPr>
                <w:rFonts w:ascii="Arial Narrow" w:hAnsi="Arial Narrow"/>
                <w:lang w:val="en-US"/>
              </w:rPr>
              <w:t>−0.35</w:t>
            </w:r>
            <w:r w:rsidRPr="007D0B5C">
              <w:rPr>
                <w:rFonts w:ascii="Arial Narrow" w:hAnsi="Arial Narrow"/>
                <w:vertAlign w:val="superscript"/>
                <w:lang w:val="en-US"/>
              </w:rPr>
              <w:t>b</w:t>
            </w:r>
          </w:p>
        </w:tc>
        <w:tc>
          <w:tcPr>
            <w:tcW w:w="645" w:type="pct"/>
            <w:tcBorders>
              <w:bottom w:val="single" w:sz="4" w:space="0" w:color="auto"/>
            </w:tcBorders>
            <w:shd w:val="clear" w:color="auto" w:fill="auto"/>
            <w:vAlign w:val="center"/>
          </w:tcPr>
          <w:p w14:paraId="09DC423C" w14:textId="4380082C" w:rsidR="00AF1E6C" w:rsidRPr="007D0B5C" w:rsidRDefault="00AF1E6C" w:rsidP="00B973D0">
            <w:pPr>
              <w:pStyle w:val="Subtitle"/>
              <w:jc w:val="center"/>
              <w:rPr>
                <w:rFonts w:ascii="Arial Narrow" w:hAnsi="Arial Narrow"/>
                <w:lang w:val="en-US"/>
              </w:rPr>
            </w:pPr>
            <w:r w:rsidRPr="007D0B5C">
              <w:rPr>
                <w:rFonts w:ascii="Arial Narrow" w:hAnsi="Arial Narrow"/>
                <w:lang w:val="en-US"/>
              </w:rPr>
              <w:t>0.52</w:t>
            </w:r>
            <w:r w:rsidR="005860C6">
              <w:rPr>
                <w:rFonts w:ascii="Arial Narrow" w:hAnsi="Arial Narrow"/>
                <w:lang w:val="en-US"/>
              </w:rPr>
              <w:t xml:space="preserve"> </w:t>
            </w:r>
          </w:p>
        </w:tc>
      </w:tr>
      <w:tr w:rsidR="00AF1E6C" w:rsidRPr="00427986" w14:paraId="184DD2E8" w14:textId="77777777" w:rsidTr="00E120DC">
        <w:tc>
          <w:tcPr>
            <w:tcW w:w="3161" w:type="pct"/>
            <w:shd w:val="clear" w:color="auto" w:fill="auto"/>
            <w:vAlign w:val="center"/>
          </w:tcPr>
          <w:p w14:paraId="5AB18437" w14:textId="0AF3483A" w:rsidR="00AF1E6C" w:rsidRPr="00427986" w:rsidRDefault="00AF1E6C" w:rsidP="00B973D0">
            <w:pPr>
              <w:pStyle w:val="Subtitle"/>
              <w:jc w:val="left"/>
              <w:rPr>
                <w:rFonts w:ascii="Arial Narrow" w:hAnsi="Arial Narrow"/>
                <w:lang w:val="en-US"/>
              </w:rPr>
            </w:pPr>
            <w:r w:rsidRPr="00427986">
              <w:rPr>
                <w:rFonts w:ascii="Arial Narrow" w:hAnsi="Arial Narrow"/>
              </w:rPr>
              <w:t xml:space="preserve">COSMIC-311 trial </w:t>
            </w:r>
          </w:p>
        </w:tc>
        <w:tc>
          <w:tcPr>
            <w:tcW w:w="645" w:type="pct"/>
            <w:shd w:val="clear" w:color="auto" w:fill="auto"/>
            <w:vAlign w:val="center"/>
          </w:tcPr>
          <w:p w14:paraId="672A1C27" w14:textId="4CA854D4" w:rsidR="00AF1E6C" w:rsidRPr="007D0B5C" w:rsidRDefault="00AF1E6C" w:rsidP="00B973D0">
            <w:pPr>
              <w:pStyle w:val="Subtitle"/>
              <w:jc w:val="center"/>
              <w:rPr>
                <w:rFonts w:ascii="Arial Narrow" w:hAnsi="Arial Narrow"/>
                <w:lang w:val="en-US"/>
              </w:rPr>
            </w:pPr>
            <w:r w:rsidRPr="007D0B5C">
              <w:rPr>
                <w:rFonts w:ascii="Arial Narrow" w:hAnsi="Arial Narrow"/>
                <w:lang w:val="en-US"/>
              </w:rPr>
              <w:t>0.692</w:t>
            </w:r>
            <w:r w:rsidR="005860C6">
              <w:rPr>
                <w:rFonts w:ascii="Arial Narrow" w:hAnsi="Arial Narrow"/>
                <w:lang w:val="en-US"/>
              </w:rPr>
              <w:t xml:space="preserve"> </w:t>
            </w:r>
          </w:p>
        </w:tc>
        <w:tc>
          <w:tcPr>
            <w:tcW w:w="548" w:type="pct"/>
            <w:shd w:val="clear" w:color="auto" w:fill="auto"/>
            <w:vAlign w:val="center"/>
          </w:tcPr>
          <w:p w14:paraId="5586ECC4" w14:textId="77777777" w:rsidR="00AF1E6C" w:rsidRPr="007D0B5C" w:rsidRDefault="00AF1E6C" w:rsidP="00B973D0">
            <w:pPr>
              <w:pStyle w:val="Subtitle"/>
              <w:jc w:val="center"/>
              <w:rPr>
                <w:rFonts w:ascii="Arial Narrow" w:hAnsi="Arial Narrow"/>
                <w:lang w:val="en-US"/>
              </w:rPr>
            </w:pPr>
            <w:r w:rsidRPr="007D0B5C">
              <w:rPr>
                <w:rFonts w:ascii="Arial Narrow" w:hAnsi="Arial Narrow"/>
                <w:lang w:val="en-US"/>
              </w:rPr>
              <w:t>−0.018</w:t>
            </w:r>
          </w:p>
        </w:tc>
        <w:tc>
          <w:tcPr>
            <w:tcW w:w="645" w:type="pct"/>
            <w:shd w:val="clear" w:color="auto" w:fill="auto"/>
            <w:vAlign w:val="center"/>
          </w:tcPr>
          <w:p w14:paraId="34360AEC" w14:textId="73CB990F" w:rsidR="00AF1E6C" w:rsidRPr="007D0B5C" w:rsidRDefault="00AF1E6C" w:rsidP="00B973D0">
            <w:pPr>
              <w:pStyle w:val="Subtitle"/>
              <w:jc w:val="center"/>
              <w:rPr>
                <w:rFonts w:ascii="Arial Narrow" w:hAnsi="Arial Narrow"/>
                <w:lang w:val="en-US"/>
              </w:rPr>
            </w:pPr>
            <w:r w:rsidRPr="007D0B5C">
              <w:rPr>
                <w:rFonts w:ascii="Arial Narrow" w:hAnsi="Arial Narrow"/>
                <w:lang w:val="en-US"/>
              </w:rPr>
              <w:t>0.674</w:t>
            </w:r>
          </w:p>
        </w:tc>
      </w:tr>
      <w:tr w:rsidR="00AF1E6C" w:rsidRPr="00427986" w14:paraId="1A844550" w14:textId="77777777" w:rsidTr="00E120DC">
        <w:tc>
          <w:tcPr>
            <w:tcW w:w="3161" w:type="pct"/>
            <w:shd w:val="clear" w:color="auto" w:fill="auto"/>
            <w:vAlign w:val="center"/>
          </w:tcPr>
          <w:p w14:paraId="344E716D" w14:textId="0C8AEF52" w:rsidR="00AF1E6C" w:rsidRPr="00427986" w:rsidRDefault="00AF1E6C" w:rsidP="00AF1E6C">
            <w:pPr>
              <w:pStyle w:val="Subtitle"/>
              <w:jc w:val="left"/>
              <w:rPr>
                <w:rFonts w:ascii="Arial Narrow" w:hAnsi="Arial Narrow"/>
                <w:lang w:val="en-US"/>
              </w:rPr>
            </w:pPr>
            <w:r w:rsidRPr="00427986">
              <w:rPr>
                <w:rFonts w:ascii="Arial Narrow" w:hAnsi="Arial Narrow"/>
                <w:lang w:val="en-US"/>
              </w:rPr>
              <w:t>Pre-progression: COSMIC 311; Post-progression: Fordham, 2015</w:t>
            </w:r>
          </w:p>
        </w:tc>
        <w:tc>
          <w:tcPr>
            <w:tcW w:w="645" w:type="pct"/>
            <w:shd w:val="clear" w:color="auto" w:fill="auto"/>
            <w:vAlign w:val="center"/>
          </w:tcPr>
          <w:p w14:paraId="406234DF" w14:textId="36571E6D" w:rsidR="00AF1E6C" w:rsidRPr="007D0B5C" w:rsidRDefault="00AF1E6C" w:rsidP="00B973D0">
            <w:pPr>
              <w:pStyle w:val="Subtitle"/>
              <w:jc w:val="center"/>
              <w:rPr>
                <w:rFonts w:ascii="Arial Narrow" w:hAnsi="Arial Narrow"/>
                <w:lang w:val="en-US"/>
              </w:rPr>
            </w:pPr>
            <w:r w:rsidRPr="007D0B5C">
              <w:rPr>
                <w:rFonts w:ascii="Arial Narrow" w:hAnsi="Arial Narrow"/>
                <w:lang w:val="en-US"/>
              </w:rPr>
              <w:t>0.692</w:t>
            </w:r>
            <w:r w:rsidR="005860C6">
              <w:rPr>
                <w:rFonts w:ascii="Arial Narrow" w:hAnsi="Arial Narrow"/>
                <w:lang w:val="en-US"/>
              </w:rPr>
              <w:t xml:space="preserve"> </w:t>
            </w:r>
          </w:p>
        </w:tc>
        <w:tc>
          <w:tcPr>
            <w:tcW w:w="548" w:type="pct"/>
            <w:shd w:val="clear" w:color="auto" w:fill="auto"/>
            <w:vAlign w:val="center"/>
          </w:tcPr>
          <w:p w14:paraId="1293136D" w14:textId="77777777" w:rsidR="00AF1E6C" w:rsidRPr="007D0B5C" w:rsidRDefault="00AF1E6C" w:rsidP="00B973D0">
            <w:pPr>
              <w:pStyle w:val="Subtitle"/>
              <w:jc w:val="center"/>
              <w:rPr>
                <w:rFonts w:ascii="Arial Narrow" w:hAnsi="Arial Narrow"/>
                <w:lang w:val="en-US"/>
              </w:rPr>
            </w:pPr>
            <w:r w:rsidRPr="007D0B5C">
              <w:rPr>
                <w:rFonts w:ascii="Arial Narrow" w:hAnsi="Arial Narrow"/>
                <w:lang w:val="en-US"/>
              </w:rPr>
              <w:t>−0.172</w:t>
            </w:r>
          </w:p>
        </w:tc>
        <w:tc>
          <w:tcPr>
            <w:tcW w:w="645" w:type="pct"/>
            <w:shd w:val="clear" w:color="auto" w:fill="auto"/>
            <w:vAlign w:val="center"/>
          </w:tcPr>
          <w:p w14:paraId="2F5CE9DB" w14:textId="345A6015" w:rsidR="00AF1E6C" w:rsidRPr="007D0B5C" w:rsidRDefault="00AF1E6C" w:rsidP="00B973D0">
            <w:pPr>
              <w:pStyle w:val="Subtitle"/>
              <w:jc w:val="center"/>
              <w:rPr>
                <w:rFonts w:ascii="Arial Narrow" w:hAnsi="Arial Narrow"/>
                <w:lang w:val="en-US"/>
              </w:rPr>
            </w:pPr>
            <w:r w:rsidRPr="007D0B5C">
              <w:rPr>
                <w:rFonts w:ascii="Arial Narrow" w:hAnsi="Arial Narrow"/>
                <w:lang w:val="en-US"/>
              </w:rPr>
              <w:t>0.52</w:t>
            </w:r>
          </w:p>
        </w:tc>
      </w:tr>
      <w:tr w:rsidR="00AF1E6C" w:rsidRPr="00427986" w14:paraId="7F9006E4" w14:textId="77777777" w:rsidTr="00E120DC">
        <w:tc>
          <w:tcPr>
            <w:tcW w:w="3161" w:type="pct"/>
            <w:shd w:val="clear" w:color="auto" w:fill="auto"/>
            <w:vAlign w:val="center"/>
          </w:tcPr>
          <w:p w14:paraId="5D861F95" w14:textId="08202A92" w:rsidR="00AF1E6C" w:rsidRPr="00427986" w:rsidRDefault="00AF1E6C" w:rsidP="00B973D0">
            <w:pPr>
              <w:pStyle w:val="Subtitle"/>
              <w:jc w:val="left"/>
              <w:rPr>
                <w:rFonts w:ascii="Arial Narrow" w:hAnsi="Arial Narrow"/>
                <w:lang w:val="en-US"/>
              </w:rPr>
            </w:pPr>
            <w:r w:rsidRPr="00427986">
              <w:rPr>
                <w:rFonts w:ascii="Arial Narrow" w:hAnsi="Arial Narrow"/>
                <w:lang w:val="en-US"/>
              </w:rPr>
              <w:t xml:space="preserve">Application of </w:t>
            </w:r>
            <w:r w:rsidRPr="00427986">
              <w:rPr>
                <w:rFonts w:ascii="Arial Narrow" w:hAnsi="Arial Narrow"/>
                <w:b/>
                <w:bCs/>
                <w:lang w:val="en-US"/>
              </w:rPr>
              <w:t>relative</w:t>
            </w:r>
            <w:r w:rsidRPr="00427986">
              <w:rPr>
                <w:rFonts w:ascii="Arial Narrow" w:hAnsi="Arial Narrow"/>
                <w:lang w:val="en-US"/>
              </w:rPr>
              <w:t xml:space="preserve"> utility decrement from Fordham (2015) to COSMIC 311 anchor health state</w:t>
            </w:r>
          </w:p>
        </w:tc>
        <w:tc>
          <w:tcPr>
            <w:tcW w:w="645" w:type="pct"/>
            <w:shd w:val="clear" w:color="auto" w:fill="auto"/>
            <w:vAlign w:val="center"/>
          </w:tcPr>
          <w:p w14:paraId="7D76795B" w14:textId="1F404C22" w:rsidR="00AF1E6C" w:rsidRPr="007D0B5C" w:rsidRDefault="00AF1E6C" w:rsidP="00B973D0">
            <w:pPr>
              <w:pStyle w:val="Subtitle"/>
              <w:jc w:val="center"/>
              <w:rPr>
                <w:rFonts w:ascii="Arial Narrow" w:hAnsi="Arial Narrow"/>
                <w:lang w:val="en-US"/>
              </w:rPr>
            </w:pPr>
            <w:r w:rsidRPr="007D0B5C">
              <w:rPr>
                <w:rFonts w:ascii="Arial Narrow" w:hAnsi="Arial Narrow"/>
                <w:lang w:val="en-US"/>
              </w:rPr>
              <w:t>0.692</w:t>
            </w:r>
          </w:p>
        </w:tc>
        <w:tc>
          <w:tcPr>
            <w:tcW w:w="548" w:type="pct"/>
            <w:shd w:val="clear" w:color="auto" w:fill="auto"/>
            <w:vAlign w:val="center"/>
          </w:tcPr>
          <w:p w14:paraId="451A9D48" w14:textId="77777777" w:rsidR="00AF1E6C" w:rsidRPr="007D0B5C" w:rsidRDefault="00AF1E6C" w:rsidP="00B973D0">
            <w:pPr>
              <w:pStyle w:val="Subtitle"/>
              <w:jc w:val="center"/>
              <w:rPr>
                <w:rFonts w:ascii="Arial Narrow" w:hAnsi="Arial Narrow"/>
                <w:lang w:val="en-US"/>
              </w:rPr>
            </w:pPr>
            <w:r w:rsidRPr="007D0B5C">
              <w:rPr>
                <w:rFonts w:ascii="Arial Narrow" w:hAnsi="Arial Narrow"/>
                <w:lang w:val="en-US"/>
              </w:rPr>
              <w:t>−0.278</w:t>
            </w:r>
          </w:p>
        </w:tc>
        <w:tc>
          <w:tcPr>
            <w:tcW w:w="645" w:type="pct"/>
            <w:shd w:val="clear" w:color="auto" w:fill="auto"/>
            <w:vAlign w:val="center"/>
          </w:tcPr>
          <w:p w14:paraId="2910AB80" w14:textId="2CD92088" w:rsidR="00AF1E6C" w:rsidRPr="007D0B5C" w:rsidRDefault="00AF1E6C" w:rsidP="00B973D0">
            <w:pPr>
              <w:pStyle w:val="Subtitle"/>
              <w:jc w:val="center"/>
              <w:rPr>
                <w:rFonts w:ascii="Arial Narrow" w:hAnsi="Arial Narrow"/>
                <w:lang w:val="en-US"/>
              </w:rPr>
            </w:pPr>
            <w:r w:rsidRPr="007D0B5C">
              <w:rPr>
                <w:rFonts w:ascii="Arial Narrow" w:hAnsi="Arial Narrow"/>
                <w:lang w:val="en-US"/>
              </w:rPr>
              <w:t>0.414</w:t>
            </w:r>
          </w:p>
        </w:tc>
      </w:tr>
      <w:tr w:rsidR="00AF1E6C" w:rsidRPr="00427986" w14:paraId="3A4A07BF" w14:textId="77777777" w:rsidTr="00E120DC">
        <w:tc>
          <w:tcPr>
            <w:tcW w:w="3161" w:type="pct"/>
            <w:shd w:val="clear" w:color="auto" w:fill="auto"/>
            <w:vAlign w:val="center"/>
          </w:tcPr>
          <w:p w14:paraId="5F5E305F" w14:textId="349F9533" w:rsidR="00AF1E6C" w:rsidRPr="00427986" w:rsidRDefault="00AF1E6C" w:rsidP="00B973D0">
            <w:pPr>
              <w:pStyle w:val="Subtitle"/>
              <w:jc w:val="left"/>
              <w:rPr>
                <w:rFonts w:ascii="Arial Narrow" w:hAnsi="Arial Narrow"/>
                <w:lang w:val="en-US"/>
              </w:rPr>
            </w:pPr>
            <w:r w:rsidRPr="00427986">
              <w:rPr>
                <w:rFonts w:ascii="Arial Narrow" w:hAnsi="Arial Narrow"/>
                <w:lang w:val="en-US"/>
              </w:rPr>
              <w:t xml:space="preserve">Application of </w:t>
            </w:r>
            <w:r w:rsidRPr="00427986">
              <w:rPr>
                <w:rFonts w:ascii="Arial Narrow" w:hAnsi="Arial Narrow"/>
                <w:b/>
                <w:bCs/>
                <w:lang w:val="en-US"/>
              </w:rPr>
              <w:t>absolute</w:t>
            </w:r>
            <w:r w:rsidRPr="00427986">
              <w:rPr>
                <w:rFonts w:ascii="Arial Narrow" w:hAnsi="Arial Narrow"/>
                <w:lang w:val="en-US"/>
              </w:rPr>
              <w:t xml:space="preserve"> utility decrement from Fordham (2015) to COSMIC 311 anchor health state</w:t>
            </w:r>
          </w:p>
        </w:tc>
        <w:tc>
          <w:tcPr>
            <w:tcW w:w="645" w:type="pct"/>
            <w:shd w:val="clear" w:color="auto" w:fill="auto"/>
            <w:vAlign w:val="center"/>
          </w:tcPr>
          <w:p w14:paraId="3B7290D7" w14:textId="079935E6" w:rsidR="00AF1E6C" w:rsidRPr="007D0B5C" w:rsidRDefault="00AF1E6C" w:rsidP="00B973D0">
            <w:pPr>
              <w:pStyle w:val="Subtitle"/>
              <w:jc w:val="center"/>
              <w:rPr>
                <w:rFonts w:ascii="Arial Narrow" w:hAnsi="Arial Narrow"/>
                <w:lang w:val="en-US"/>
              </w:rPr>
            </w:pPr>
            <w:r w:rsidRPr="007D0B5C">
              <w:rPr>
                <w:rFonts w:ascii="Arial Narrow" w:hAnsi="Arial Narrow"/>
                <w:lang w:val="en-US"/>
              </w:rPr>
              <w:t>0.692</w:t>
            </w:r>
          </w:p>
        </w:tc>
        <w:tc>
          <w:tcPr>
            <w:tcW w:w="548" w:type="pct"/>
            <w:shd w:val="clear" w:color="auto" w:fill="auto"/>
            <w:vAlign w:val="center"/>
          </w:tcPr>
          <w:p w14:paraId="352B6A43" w14:textId="77777777" w:rsidR="00AF1E6C" w:rsidRPr="007D0B5C" w:rsidRDefault="00AF1E6C" w:rsidP="00B973D0">
            <w:pPr>
              <w:pStyle w:val="Subtitle"/>
              <w:jc w:val="center"/>
              <w:rPr>
                <w:rFonts w:ascii="Arial Narrow" w:hAnsi="Arial Narrow"/>
                <w:lang w:val="en-US"/>
              </w:rPr>
            </w:pPr>
            <w:r w:rsidRPr="007D0B5C">
              <w:rPr>
                <w:rFonts w:ascii="Arial Narrow" w:hAnsi="Arial Narrow"/>
                <w:lang w:val="en-US"/>
              </w:rPr>
              <w:t>−0.350</w:t>
            </w:r>
          </w:p>
        </w:tc>
        <w:tc>
          <w:tcPr>
            <w:tcW w:w="645" w:type="pct"/>
            <w:shd w:val="clear" w:color="auto" w:fill="auto"/>
            <w:vAlign w:val="center"/>
          </w:tcPr>
          <w:p w14:paraId="5D98643B" w14:textId="0B6F6030" w:rsidR="00AF1E6C" w:rsidRPr="007D0B5C" w:rsidRDefault="00AF1E6C" w:rsidP="00B973D0">
            <w:pPr>
              <w:pStyle w:val="Subtitle"/>
              <w:jc w:val="center"/>
              <w:rPr>
                <w:rFonts w:ascii="Arial Narrow" w:hAnsi="Arial Narrow"/>
                <w:lang w:val="en-US"/>
              </w:rPr>
            </w:pPr>
            <w:r w:rsidRPr="007D0B5C">
              <w:rPr>
                <w:rFonts w:ascii="Arial Narrow" w:hAnsi="Arial Narrow"/>
                <w:lang w:val="en-US"/>
              </w:rPr>
              <w:t>0.342</w:t>
            </w:r>
          </w:p>
        </w:tc>
      </w:tr>
    </w:tbl>
    <w:p w14:paraId="3FCCD401" w14:textId="77777777" w:rsidR="00AF1E6C" w:rsidRPr="00E120DC" w:rsidRDefault="00AF1E6C" w:rsidP="00AF1E6C">
      <w:pPr>
        <w:pStyle w:val="Subtitle"/>
        <w:rPr>
          <w:rFonts w:ascii="Arial Narrow" w:hAnsi="Arial Narrow"/>
          <w:bCs/>
          <w:sz w:val="18"/>
          <w:szCs w:val="18"/>
        </w:rPr>
      </w:pPr>
      <w:r w:rsidRPr="00E120DC">
        <w:rPr>
          <w:rFonts w:ascii="Arial Narrow" w:hAnsi="Arial Narrow"/>
          <w:bCs/>
          <w:sz w:val="18"/>
          <w:szCs w:val="18"/>
        </w:rPr>
        <w:t>Source: modified from Tables 1 and 2, PSCR.</w:t>
      </w:r>
    </w:p>
    <w:p w14:paraId="5985CC2A" w14:textId="77777777" w:rsidR="00AF1E6C" w:rsidRPr="00AF1E6C" w:rsidRDefault="00AF1E6C" w:rsidP="00AF1E6C">
      <w:pPr>
        <w:spacing w:after="120"/>
        <w:contextualSpacing/>
        <w:rPr>
          <w:rFonts w:ascii="Arial Narrow" w:hAnsi="Arial Narrow"/>
          <w:bCs/>
          <w:snapToGrid w:val="0"/>
          <w:sz w:val="18"/>
          <w:szCs w:val="18"/>
        </w:rPr>
      </w:pPr>
      <w:r w:rsidRPr="00AF1E6C">
        <w:rPr>
          <w:rFonts w:ascii="Arial Narrow" w:hAnsi="Arial Narrow"/>
          <w:bCs/>
          <w:snapToGrid w:val="0"/>
          <w:sz w:val="18"/>
          <w:szCs w:val="18"/>
          <w:vertAlign w:val="superscript"/>
        </w:rPr>
        <w:t>a</w:t>
      </w:r>
      <w:r w:rsidRPr="00AF1E6C">
        <w:rPr>
          <w:rFonts w:ascii="Arial Narrow" w:hAnsi="Arial Narrow"/>
          <w:bCs/>
          <w:snapToGrid w:val="0"/>
          <w:sz w:val="18"/>
          <w:szCs w:val="18"/>
        </w:rPr>
        <w:t xml:space="preserve"> Mean observed time trade-off (TTO) health state utility, base state (stable/no response), adjusted for educational level and EQ-5D-3L (usual activities and anxiety/depression) ratings using UK norms.</w:t>
      </w:r>
    </w:p>
    <w:p w14:paraId="7DA20F4B" w14:textId="3BD9B376" w:rsidR="00002B7E" w:rsidRDefault="00AF1E6C" w:rsidP="00D22B13">
      <w:pPr>
        <w:spacing w:after="120"/>
        <w:rPr>
          <w:rFonts w:ascii="Arial Narrow" w:hAnsi="Arial Narrow"/>
          <w:bCs/>
          <w:snapToGrid w:val="0"/>
          <w:sz w:val="18"/>
          <w:szCs w:val="18"/>
        </w:rPr>
      </w:pPr>
      <w:r w:rsidRPr="00AF1E6C">
        <w:rPr>
          <w:rFonts w:ascii="Arial Narrow" w:hAnsi="Arial Narrow"/>
          <w:bCs/>
          <w:snapToGrid w:val="0"/>
          <w:sz w:val="18"/>
          <w:szCs w:val="18"/>
          <w:vertAlign w:val="superscript"/>
        </w:rPr>
        <w:t>b</w:t>
      </w:r>
      <w:r w:rsidRPr="00AF1E6C">
        <w:rPr>
          <w:rFonts w:ascii="Arial Narrow" w:hAnsi="Arial Narrow"/>
          <w:bCs/>
          <w:snapToGrid w:val="0"/>
          <w:sz w:val="18"/>
          <w:szCs w:val="18"/>
        </w:rPr>
        <w:t xml:space="preserve"> Disutility associated with progressive disease (95% CI −0.41, −0.29) [adjusted for educational qualification level and EQ-5D-3L (usual activities and anxiety/depression) ratings using UK norms] (source: Table 2, Fordham 2015).</w:t>
      </w:r>
    </w:p>
    <w:p w14:paraId="6FCA354B" w14:textId="0F3F505B" w:rsidR="00763EF2" w:rsidRPr="00427986" w:rsidRDefault="00763EF2" w:rsidP="004A52A9">
      <w:pPr>
        <w:numPr>
          <w:ilvl w:val="1"/>
          <w:numId w:val="1"/>
        </w:numPr>
        <w:spacing w:after="120"/>
        <w:ind w:left="720"/>
        <w:rPr>
          <w:rFonts w:eastAsia="Calibri" w:cs="Calibri"/>
          <w:snapToGrid w:val="0"/>
        </w:rPr>
      </w:pPr>
      <w:r w:rsidRPr="00427986">
        <w:rPr>
          <w:rFonts w:eastAsia="Calibri" w:cs="Calibri"/>
        </w:rPr>
        <w:t>The source of the disutility for Grade 3/4 adverse events (0.04</w:t>
      </w:r>
      <w:r w:rsidR="0046734E" w:rsidRPr="00427986">
        <w:rPr>
          <w:rFonts w:eastAsia="Calibri" w:cs="Calibri"/>
        </w:rPr>
        <w:t>)</w:t>
      </w:r>
      <w:r w:rsidRPr="00427986">
        <w:rPr>
          <w:rFonts w:eastAsia="Calibri" w:cs="Calibri"/>
        </w:rPr>
        <w:t xml:space="preserve"> was the METEOR trial comparing cabozantinib versus everolimus in patients with advanced RCC. The applicability to DTC was uncertain.</w:t>
      </w:r>
    </w:p>
    <w:p w14:paraId="3B6B7D06" w14:textId="7B35AF61" w:rsidR="00763EF2" w:rsidRPr="00427986" w:rsidRDefault="00763EF2" w:rsidP="004A52A9">
      <w:pPr>
        <w:numPr>
          <w:ilvl w:val="1"/>
          <w:numId w:val="1"/>
        </w:numPr>
        <w:spacing w:after="120"/>
        <w:ind w:left="720"/>
        <w:rPr>
          <w:rFonts w:asciiTheme="minorHAnsi" w:hAnsiTheme="minorHAnsi"/>
          <w:snapToGrid w:val="0"/>
        </w:rPr>
      </w:pPr>
      <w:bookmarkStart w:id="77" w:name="_Ref147751035"/>
      <w:r w:rsidRPr="00427986">
        <w:rPr>
          <w:rFonts w:asciiTheme="minorHAnsi" w:hAnsiTheme="minorHAnsi"/>
          <w:snapToGrid w:val="0"/>
        </w:rPr>
        <w:t>To estimate the cost of subsequent therapies in the post-progression state, t</w:t>
      </w:r>
      <w:r w:rsidRPr="00427986" w:rsidDel="00862F10">
        <w:rPr>
          <w:rFonts w:asciiTheme="minorHAnsi" w:hAnsiTheme="minorHAnsi"/>
          <w:snapToGrid w:val="0"/>
        </w:rPr>
        <w:t xml:space="preserve">he submission used </w:t>
      </w:r>
      <w:r w:rsidRPr="00427986">
        <w:rPr>
          <w:rFonts w:asciiTheme="minorHAnsi" w:hAnsiTheme="minorHAnsi"/>
          <w:snapToGrid w:val="0"/>
        </w:rPr>
        <w:t xml:space="preserve">the published prices for </w:t>
      </w:r>
      <w:r w:rsidRPr="00427986" w:rsidDel="00862F10">
        <w:rPr>
          <w:rFonts w:asciiTheme="minorHAnsi" w:hAnsiTheme="minorHAnsi"/>
          <w:snapToGrid w:val="0"/>
        </w:rPr>
        <w:t>various drugs (including cabozantinib and lenvatinib)</w:t>
      </w:r>
      <w:r w:rsidRPr="00427986">
        <w:rPr>
          <w:rFonts w:asciiTheme="minorHAnsi" w:hAnsiTheme="minorHAnsi"/>
          <w:snapToGrid w:val="0"/>
        </w:rPr>
        <w:t xml:space="preserve"> </w:t>
      </w:r>
      <w:r w:rsidR="00E120DC" w:rsidRPr="00427986">
        <w:rPr>
          <w:rFonts w:asciiTheme="minorHAnsi" w:hAnsiTheme="minorHAnsi"/>
          <w:snapToGrid w:val="0"/>
        </w:rPr>
        <w:t xml:space="preserve">of which none were </w:t>
      </w:r>
      <w:r w:rsidRPr="00427986" w:rsidDel="00862F10">
        <w:rPr>
          <w:rFonts w:asciiTheme="minorHAnsi" w:hAnsiTheme="minorHAnsi"/>
          <w:snapToGrid w:val="0"/>
        </w:rPr>
        <w:t xml:space="preserve">PBS-listed for </w:t>
      </w:r>
      <w:r w:rsidR="00C056ED" w:rsidRPr="00427986">
        <w:rPr>
          <w:rFonts w:asciiTheme="minorHAnsi" w:hAnsiTheme="minorHAnsi"/>
          <w:snapToGrid w:val="0"/>
        </w:rPr>
        <w:t xml:space="preserve">use </w:t>
      </w:r>
      <w:r w:rsidRPr="00427986" w:rsidDel="00862F10">
        <w:rPr>
          <w:rFonts w:asciiTheme="minorHAnsi" w:hAnsiTheme="minorHAnsi"/>
          <w:snapToGrid w:val="0"/>
        </w:rPr>
        <w:t xml:space="preserve">after second-line treatment in advanced DTC. </w:t>
      </w:r>
      <w:r w:rsidRPr="00427986">
        <w:rPr>
          <w:rFonts w:asciiTheme="minorHAnsi" w:hAnsiTheme="minorHAnsi"/>
          <w:snapToGrid w:val="0"/>
        </w:rPr>
        <w:t xml:space="preserve">The submission argued that due to the lack of reimbursed products for later lines of therapy, costs were assumed to be either borne by the patient (i.e., dispensed privately for off-label use) or provided through an access program. The applicability of the cost of non-PBS-listed post-progression therapies used in the COSMIC-311 trial to Australian clinical practice was uncertain, </w:t>
      </w:r>
      <w:r w:rsidRPr="00427986">
        <w:t xml:space="preserve">given many therapies </w:t>
      </w:r>
      <w:r w:rsidRPr="00427986">
        <w:lastRenderedPageBreak/>
        <w:t>may not be used by Australian patients due to high out of pocket costs</w:t>
      </w:r>
      <w:r w:rsidRPr="00427986">
        <w:rPr>
          <w:rFonts w:asciiTheme="minorHAnsi" w:hAnsiTheme="minorHAnsi"/>
          <w:snapToGrid w:val="0"/>
        </w:rPr>
        <w:t xml:space="preserve">. </w:t>
      </w:r>
      <w:bookmarkEnd w:id="75"/>
      <w:r w:rsidR="004221D8" w:rsidRPr="00427986">
        <w:rPr>
          <w:rFonts w:asciiTheme="minorHAnsi" w:hAnsiTheme="minorHAnsi"/>
          <w:snapToGrid w:val="0"/>
        </w:rPr>
        <w:t xml:space="preserve">The PSCR stated that the use of active treatment post-progression contributes to the lack of observed difference in overall survival. Further, the PSCR stated that if the costs were removed, then the outcomes post-progression should also be adjusted for the survival benefits derived from these treatments. </w:t>
      </w:r>
      <w:r w:rsidR="00AF1E6C" w:rsidRPr="00427986">
        <w:rPr>
          <w:rFonts w:asciiTheme="minorHAnsi" w:hAnsiTheme="minorHAnsi"/>
          <w:snapToGrid w:val="0"/>
        </w:rPr>
        <w:t>The ESC considered that it was inappropriate to include non-PBS drug costs in the post-progression setting</w:t>
      </w:r>
      <w:r w:rsidR="004221D8" w:rsidRPr="00427986">
        <w:rPr>
          <w:rFonts w:asciiTheme="minorHAnsi" w:hAnsiTheme="minorHAnsi"/>
          <w:snapToGrid w:val="0"/>
        </w:rPr>
        <w:t xml:space="preserve"> and</w:t>
      </w:r>
      <w:r w:rsidR="004221D8" w:rsidRPr="00427986">
        <w:t xml:space="preserve"> did not agree with the PSCR response that outcomes should also be adjusted in this case given the</w:t>
      </w:r>
      <w:r w:rsidR="0018728F" w:rsidRPr="00427986">
        <w:t xml:space="preserve"> uncertainty this would introduce</w:t>
      </w:r>
      <w:r w:rsidR="004221D8" w:rsidRPr="00427986">
        <w:t>.</w:t>
      </w:r>
      <w:bookmarkEnd w:id="77"/>
      <w:r w:rsidR="000E709B">
        <w:t xml:space="preserve"> The pre-PBAC response provided a revised base case in which the subsequent costs of lenvatinib, radi</w:t>
      </w:r>
      <w:r w:rsidR="00D87267">
        <w:t>otherapy</w:t>
      </w:r>
      <w:r w:rsidR="000E709B">
        <w:t xml:space="preserve"> and surgery were included</w:t>
      </w:r>
      <w:r w:rsidR="00B54FFE">
        <w:t xml:space="preserve">, </w:t>
      </w:r>
      <w:r w:rsidR="00B54FFE">
        <w:rPr>
          <w:rFonts w:asciiTheme="minorHAnsi" w:hAnsiTheme="minorHAnsi"/>
          <w:snapToGrid w:val="0"/>
          <w:lang w:val="en-GB"/>
        </w:rPr>
        <w:t>stating that it was plausible that in the absence of any further treatment option, patients experiencing disease progression may continue lenvatinib</w:t>
      </w:r>
      <w:r w:rsidR="000E709B">
        <w:t>.</w:t>
      </w:r>
    </w:p>
    <w:p w14:paraId="25A835E9" w14:textId="235E1C8E" w:rsidR="00763EF2" w:rsidRPr="00427986" w:rsidRDefault="00763EF2" w:rsidP="004A52A9">
      <w:pPr>
        <w:numPr>
          <w:ilvl w:val="1"/>
          <w:numId w:val="1"/>
        </w:numPr>
        <w:spacing w:after="120"/>
        <w:ind w:left="720"/>
        <w:rPr>
          <w:rFonts w:asciiTheme="minorHAnsi" w:hAnsiTheme="minorHAnsi"/>
          <w:snapToGrid w:val="0"/>
        </w:rPr>
      </w:pPr>
      <w:r w:rsidRPr="00427986">
        <w:rPr>
          <w:rStyle w:val="3-BodyTextChar"/>
        </w:rPr>
        <w:fldChar w:fldCharType="begin" w:fldLock="1"/>
      </w:r>
      <w:r w:rsidRPr="00427986">
        <w:rPr>
          <w:rStyle w:val="3-BodyTextChar"/>
        </w:rPr>
        <w:instrText xml:space="preserve"> REF _Ref142388608 \h  \* MERGEFORMAT </w:instrText>
      </w:r>
      <w:r w:rsidRPr="00427986">
        <w:rPr>
          <w:rStyle w:val="3-BodyTextChar"/>
        </w:rPr>
      </w:r>
      <w:r w:rsidRPr="00427986">
        <w:rPr>
          <w:rStyle w:val="3-BodyTextChar"/>
        </w:rPr>
        <w:fldChar w:fldCharType="separate"/>
      </w:r>
      <w:r w:rsidR="008760F8" w:rsidRPr="008760F8">
        <w:rPr>
          <w:rStyle w:val="3-BodyTextChar"/>
        </w:rPr>
        <w:t>Table 16</w:t>
      </w:r>
      <w:r w:rsidRPr="00427986">
        <w:rPr>
          <w:rStyle w:val="3-BodyTextChar"/>
        </w:rPr>
        <w:fldChar w:fldCharType="end"/>
      </w:r>
      <w:r w:rsidRPr="00427986">
        <w:rPr>
          <w:rStyle w:val="3-BodyTextChar"/>
        </w:rPr>
        <w:t xml:space="preserve"> presents the key drivers of the model.</w:t>
      </w:r>
    </w:p>
    <w:p w14:paraId="4128E03F" w14:textId="49075AE0" w:rsidR="00763EF2" w:rsidRPr="003B5F84" w:rsidRDefault="00763EF2" w:rsidP="00763EF2">
      <w:pPr>
        <w:keepNext/>
        <w:keepLines/>
        <w:rPr>
          <w:rFonts w:ascii="Arial Narrow" w:hAnsi="Arial Narrow"/>
          <w:b/>
          <w:bCs/>
          <w:sz w:val="20"/>
        </w:rPr>
      </w:pPr>
      <w:bookmarkStart w:id="78" w:name="_Ref142388608"/>
      <w:bookmarkStart w:id="79" w:name="_Ref104805122"/>
      <w:r w:rsidRPr="003B5F84">
        <w:rPr>
          <w:rFonts w:ascii="Arial Narrow" w:hAnsi="Arial Narrow"/>
          <w:b/>
          <w:bCs/>
          <w:sz w:val="20"/>
          <w:szCs w:val="18"/>
        </w:rPr>
        <w:t xml:space="preserve">Table </w:t>
      </w:r>
      <w:r w:rsidRPr="003B5F84">
        <w:rPr>
          <w:rFonts w:ascii="Arial Narrow" w:hAnsi="Arial Narrow"/>
          <w:b/>
          <w:bCs/>
          <w:sz w:val="20"/>
          <w:szCs w:val="18"/>
        </w:rPr>
        <w:fldChar w:fldCharType="begin" w:fldLock="1"/>
      </w:r>
      <w:r w:rsidRPr="003B5F84">
        <w:rPr>
          <w:rFonts w:ascii="Arial Narrow" w:hAnsi="Arial Narrow"/>
          <w:b/>
          <w:bCs/>
          <w:sz w:val="20"/>
          <w:szCs w:val="18"/>
        </w:rPr>
        <w:instrText xml:space="preserve"> SEQ Table \* ARABIC </w:instrText>
      </w:r>
      <w:r w:rsidRPr="003B5F84">
        <w:rPr>
          <w:rFonts w:ascii="Arial Narrow" w:hAnsi="Arial Narrow"/>
          <w:b/>
          <w:bCs/>
          <w:sz w:val="20"/>
          <w:szCs w:val="18"/>
        </w:rPr>
        <w:fldChar w:fldCharType="separate"/>
      </w:r>
      <w:r w:rsidR="008760F8">
        <w:rPr>
          <w:rFonts w:ascii="Arial Narrow" w:hAnsi="Arial Narrow"/>
          <w:b/>
          <w:bCs/>
          <w:noProof/>
          <w:sz w:val="20"/>
          <w:szCs w:val="18"/>
        </w:rPr>
        <w:t>16</w:t>
      </w:r>
      <w:r w:rsidRPr="003B5F84">
        <w:rPr>
          <w:rFonts w:ascii="Arial Narrow" w:hAnsi="Arial Narrow"/>
          <w:b/>
          <w:bCs/>
          <w:noProof/>
          <w:sz w:val="20"/>
          <w:szCs w:val="18"/>
        </w:rPr>
        <w:fldChar w:fldCharType="end"/>
      </w:r>
      <w:bookmarkEnd w:id="78"/>
      <w:bookmarkEnd w:id="79"/>
      <w:r w:rsidRPr="003B5F84">
        <w:rPr>
          <w:rFonts w:ascii="Arial Narrow" w:hAnsi="Arial Narrow"/>
          <w:b/>
          <w:bCs/>
          <w:sz w:val="20"/>
          <w:szCs w:val="18"/>
        </w:rPr>
        <w:t>:</w:t>
      </w:r>
      <w:r w:rsidRPr="003B5F84">
        <w:rPr>
          <w:rFonts w:ascii="Arial Narrow" w:hAnsi="Arial Narrow"/>
          <w:b/>
          <w:bCs/>
          <w:sz w:val="20"/>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3686"/>
        <w:gridCol w:w="4202"/>
      </w:tblGrid>
      <w:tr w:rsidR="00503216" w:rsidRPr="003B5F84" w14:paraId="6C629B5B" w14:textId="77777777" w:rsidTr="00CB4A1F">
        <w:trPr>
          <w:tblHeader/>
        </w:trPr>
        <w:tc>
          <w:tcPr>
            <w:tcW w:w="626" w:type="pct"/>
            <w:tcBorders>
              <w:bottom w:val="nil"/>
            </w:tcBorders>
            <w:shd w:val="clear" w:color="auto" w:fill="auto"/>
            <w:vAlign w:val="center"/>
          </w:tcPr>
          <w:p w14:paraId="582F97FE" w14:textId="77777777" w:rsidR="00763EF2" w:rsidRPr="003B5F84" w:rsidRDefault="00763EF2" w:rsidP="00CB4A1F">
            <w:pPr>
              <w:keepNext/>
              <w:jc w:val="center"/>
              <w:rPr>
                <w:rFonts w:ascii="Arial Narrow" w:eastAsiaTheme="majorEastAsia" w:hAnsi="Arial Narrow" w:cs="Times New Roman"/>
                <w:b/>
                <w:sz w:val="20"/>
                <w:lang w:val="en-US"/>
              </w:rPr>
            </w:pPr>
          </w:p>
        </w:tc>
        <w:tc>
          <w:tcPr>
            <w:tcW w:w="2044" w:type="pct"/>
            <w:tcBorders>
              <w:bottom w:val="nil"/>
            </w:tcBorders>
            <w:shd w:val="clear" w:color="auto" w:fill="auto"/>
            <w:vAlign w:val="center"/>
          </w:tcPr>
          <w:p w14:paraId="34E6D393" w14:textId="77777777" w:rsidR="00763EF2" w:rsidRPr="003B5F84" w:rsidRDefault="00763EF2" w:rsidP="00CB4A1F">
            <w:pPr>
              <w:keepNext/>
              <w:jc w:val="center"/>
              <w:rPr>
                <w:rFonts w:ascii="Arial Narrow" w:eastAsiaTheme="majorEastAsia" w:hAnsi="Arial Narrow" w:cs="Times New Roman"/>
                <w:b/>
                <w:sz w:val="20"/>
                <w:lang w:val="en-US"/>
              </w:rPr>
            </w:pPr>
          </w:p>
        </w:tc>
        <w:tc>
          <w:tcPr>
            <w:tcW w:w="2330" w:type="pct"/>
            <w:shd w:val="clear" w:color="auto" w:fill="auto"/>
            <w:vAlign w:val="center"/>
          </w:tcPr>
          <w:p w14:paraId="164F8240" w14:textId="77777777" w:rsidR="00763EF2" w:rsidRPr="0023484B" w:rsidRDefault="00763EF2" w:rsidP="00CB4A1F">
            <w:pPr>
              <w:keepNext/>
              <w:jc w:val="center"/>
              <w:rPr>
                <w:rFonts w:ascii="Arial Narrow" w:eastAsiaTheme="majorEastAsia" w:hAnsi="Arial Narrow" w:cs="Times New Roman"/>
                <w:b/>
                <w:sz w:val="20"/>
                <w:lang w:val="en-US"/>
              </w:rPr>
            </w:pPr>
            <w:r w:rsidRPr="0023484B">
              <w:rPr>
                <w:rFonts w:ascii="Arial Narrow" w:eastAsiaTheme="majorEastAsia" w:hAnsi="Arial Narrow" w:cs="Times New Roman"/>
                <w:b/>
                <w:sz w:val="20"/>
                <w:lang w:val="en-US"/>
              </w:rPr>
              <w:t>Impact</w:t>
            </w:r>
          </w:p>
        </w:tc>
      </w:tr>
      <w:tr w:rsidR="00B54FFE" w:rsidRPr="003B5F84" w14:paraId="79C213A3" w14:textId="77777777" w:rsidTr="00CB4A1F">
        <w:trPr>
          <w:tblHeader/>
        </w:trPr>
        <w:tc>
          <w:tcPr>
            <w:tcW w:w="626" w:type="pct"/>
            <w:tcBorders>
              <w:top w:val="nil"/>
              <w:bottom w:val="nil"/>
            </w:tcBorders>
            <w:shd w:val="clear" w:color="auto" w:fill="auto"/>
            <w:vAlign w:val="center"/>
          </w:tcPr>
          <w:p w14:paraId="781D344C" w14:textId="77777777" w:rsidR="00B54FFE" w:rsidRPr="003B5F84" w:rsidRDefault="00B54FFE"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sz w:val="20"/>
                <w:lang w:val="en-US"/>
              </w:rPr>
              <w:t>Description</w:t>
            </w:r>
          </w:p>
        </w:tc>
        <w:tc>
          <w:tcPr>
            <w:tcW w:w="2044" w:type="pct"/>
            <w:tcBorders>
              <w:top w:val="nil"/>
              <w:bottom w:val="nil"/>
            </w:tcBorders>
            <w:shd w:val="clear" w:color="auto" w:fill="auto"/>
            <w:vAlign w:val="center"/>
          </w:tcPr>
          <w:p w14:paraId="136C4498" w14:textId="77777777" w:rsidR="00B54FFE" w:rsidRPr="003B5F84" w:rsidRDefault="00B54FFE"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sz w:val="20"/>
                <w:lang w:val="en-US"/>
              </w:rPr>
              <w:t>Method/Value</w:t>
            </w:r>
          </w:p>
        </w:tc>
        <w:tc>
          <w:tcPr>
            <w:tcW w:w="2330" w:type="pct"/>
            <w:vMerge w:val="restart"/>
            <w:shd w:val="clear" w:color="auto" w:fill="auto"/>
            <w:vAlign w:val="center"/>
          </w:tcPr>
          <w:p w14:paraId="28AAB1E9" w14:textId="77777777" w:rsidR="00B54FFE" w:rsidRPr="0023484B" w:rsidRDefault="00B54FFE" w:rsidP="00CB4A1F">
            <w:pPr>
              <w:keepNext/>
              <w:jc w:val="center"/>
              <w:rPr>
                <w:rFonts w:ascii="Arial Narrow" w:eastAsiaTheme="majorEastAsia" w:hAnsi="Arial Narrow" w:cs="Times New Roman"/>
                <w:b/>
                <w:sz w:val="20"/>
                <w:lang w:val="en-US"/>
              </w:rPr>
            </w:pPr>
            <w:r w:rsidRPr="0023484B">
              <w:rPr>
                <w:rFonts w:ascii="Arial Narrow" w:eastAsiaTheme="majorEastAsia" w:hAnsi="Arial Narrow"/>
                <w:b/>
                <w:sz w:val="20"/>
                <w:szCs w:val="20"/>
                <w:lang w:val="en-US"/>
              </w:rPr>
              <w:t>Base case (subgroup previously treated with lenvatinib only):</w:t>
            </w:r>
          </w:p>
          <w:p w14:paraId="3B9044E0" w14:textId="5C129AA6" w:rsidR="00B54FFE" w:rsidRPr="0023484B" w:rsidRDefault="00B54FFE" w:rsidP="00CB4A1F">
            <w:pPr>
              <w:keepNext/>
              <w:jc w:val="center"/>
              <w:rPr>
                <w:rFonts w:ascii="Arial Narrow" w:eastAsiaTheme="majorEastAsia" w:hAnsi="Arial Narrow" w:cs="Times New Roman"/>
                <w:b/>
                <w:sz w:val="20"/>
                <w:lang w:val="en-US"/>
              </w:rPr>
            </w:pPr>
            <w:r w:rsidRPr="0023484B">
              <w:rPr>
                <w:rFonts w:ascii="Arial Narrow" w:eastAsiaTheme="majorEastAsia" w:hAnsi="Arial Narrow"/>
                <w:b/>
                <w:sz w:val="20"/>
                <w:szCs w:val="20"/>
                <w:lang w:val="en-US"/>
              </w:rPr>
              <w:t xml:space="preserve">ICER = </w:t>
            </w:r>
            <w:r w:rsidR="00B1620B">
              <w:rPr>
                <w:rFonts w:ascii="Arial Narrow" w:eastAsiaTheme="majorEastAsia" w:hAnsi="Arial Narrow"/>
                <w:b/>
                <w:sz w:val="20"/>
                <w:szCs w:val="20"/>
                <w:lang w:val="en-US"/>
              </w:rPr>
              <w:t>$</w:t>
            </w:r>
            <w:r w:rsidR="005860C6" w:rsidRPr="005860C6">
              <w:rPr>
                <w:rFonts w:ascii="Arial Narrow" w:eastAsiaTheme="majorEastAsia" w:hAnsi="Arial Narrow"/>
                <w:b/>
                <w:color w:val="000000"/>
                <w:sz w:val="20"/>
                <w:szCs w:val="20"/>
                <w:shd w:val="solid" w:color="000000" w:fill="000000"/>
                <w:lang w:val="en-US"/>
                <w14:textFill>
                  <w14:solidFill>
                    <w14:srgbClr w14:val="000000">
                      <w14:alpha w14:val="100000"/>
                    </w14:srgbClr>
                  </w14:solidFill>
                </w14:textFill>
              </w:rPr>
              <w:t>|</w:t>
            </w:r>
            <w:r w:rsidR="001E033A">
              <w:rPr>
                <w:rFonts w:ascii="Arial Narrow" w:eastAsiaTheme="majorEastAsia" w:hAnsi="Arial Narrow"/>
                <w:b/>
                <w:sz w:val="20"/>
                <w:szCs w:val="20"/>
                <w:lang w:val="en-US"/>
              </w:rPr>
              <w:t xml:space="preserve"> </w:t>
            </w:r>
            <w:r w:rsidR="001E033A" w:rsidRPr="00D22B13">
              <w:rPr>
                <w:rFonts w:ascii="Arial Narrow" w:eastAsiaTheme="majorEastAsia" w:hAnsi="Arial Narrow"/>
                <w:b/>
                <w:sz w:val="20"/>
                <w:szCs w:val="20"/>
                <w:vertAlign w:val="superscript"/>
                <w:lang w:val="en-US"/>
              </w:rPr>
              <w:t>1</w:t>
            </w:r>
            <w:r w:rsidRPr="0023484B">
              <w:rPr>
                <w:rFonts w:ascii="Arial Narrow" w:eastAsiaTheme="majorEastAsia" w:hAnsi="Arial Narrow"/>
                <w:b/>
                <w:sz w:val="20"/>
                <w:szCs w:val="20"/>
                <w:lang w:val="en-US"/>
              </w:rPr>
              <w:t xml:space="preserve"> per QALY gained</w:t>
            </w:r>
          </w:p>
        </w:tc>
      </w:tr>
      <w:tr w:rsidR="00B54FFE" w:rsidRPr="003B5F84" w14:paraId="596BB2B9" w14:textId="77777777" w:rsidTr="00CB4A1F">
        <w:trPr>
          <w:tblHeader/>
        </w:trPr>
        <w:tc>
          <w:tcPr>
            <w:tcW w:w="626" w:type="pct"/>
            <w:tcBorders>
              <w:top w:val="nil"/>
            </w:tcBorders>
            <w:shd w:val="clear" w:color="auto" w:fill="auto"/>
            <w:vAlign w:val="center"/>
          </w:tcPr>
          <w:p w14:paraId="5EBB1044" w14:textId="77777777" w:rsidR="00B54FFE" w:rsidRPr="003B5F84" w:rsidRDefault="00B54FFE" w:rsidP="00CB4A1F">
            <w:pPr>
              <w:keepNext/>
              <w:jc w:val="center"/>
              <w:rPr>
                <w:rFonts w:ascii="Arial Narrow" w:eastAsiaTheme="majorEastAsia" w:hAnsi="Arial Narrow" w:cs="Times New Roman"/>
                <w:b/>
                <w:sz w:val="20"/>
                <w:lang w:val="en-US"/>
              </w:rPr>
            </w:pPr>
          </w:p>
        </w:tc>
        <w:tc>
          <w:tcPr>
            <w:tcW w:w="2044" w:type="pct"/>
            <w:tcBorders>
              <w:top w:val="nil"/>
            </w:tcBorders>
            <w:shd w:val="clear" w:color="auto" w:fill="auto"/>
            <w:vAlign w:val="center"/>
          </w:tcPr>
          <w:p w14:paraId="496BF118" w14:textId="77777777" w:rsidR="00B54FFE" w:rsidRPr="003B5F84" w:rsidRDefault="00B54FFE" w:rsidP="00CB4A1F">
            <w:pPr>
              <w:keepNext/>
              <w:jc w:val="center"/>
              <w:rPr>
                <w:rFonts w:ascii="Arial Narrow" w:eastAsiaTheme="majorEastAsia" w:hAnsi="Arial Narrow" w:cs="Times New Roman"/>
                <w:b/>
                <w:sz w:val="20"/>
                <w:lang w:val="en-US"/>
              </w:rPr>
            </w:pPr>
          </w:p>
        </w:tc>
        <w:tc>
          <w:tcPr>
            <w:tcW w:w="2330" w:type="pct"/>
            <w:vMerge/>
            <w:shd w:val="clear" w:color="auto" w:fill="auto"/>
            <w:vAlign w:val="center"/>
          </w:tcPr>
          <w:p w14:paraId="4D0D113E" w14:textId="2A0BFB0C" w:rsidR="00B54FFE" w:rsidRPr="0023484B" w:rsidRDefault="00B54FFE" w:rsidP="00CB4A1F">
            <w:pPr>
              <w:keepNext/>
              <w:jc w:val="center"/>
              <w:rPr>
                <w:rFonts w:ascii="Arial Narrow" w:eastAsiaTheme="majorEastAsia" w:hAnsi="Arial Narrow" w:cs="Times New Roman"/>
                <w:b/>
                <w:sz w:val="20"/>
                <w:lang w:val="en-US"/>
              </w:rPr>
            </w:pPr>
          </w:p>
        </w:tc>
      </w:tr>
      <w:tr w:rsidR="00503216" w:rsidRPr="003B5F84" w14:paraId="39BDA759" w14:textId="77777777" w:rsidTr="00CB4A1F">
        <w:tc>
          <w:tcPr>
            <w:tcW w:w="626" w:type="pct"/>
            <w:shd w:val="clear" w:color="auto" w:fill="auto"/>
            <w:vAlign w:val="center"/>
          </w:tcPr>
          <w:p w14:paraId="0D50655A" w14:textId="77777777" w:rsidR="00763EF2" w:rsidRPr="003B5F84" w:rsidRDefault="00763EF2" w:rsidP="00CB4A1F">
            <w:pPr>
              <w:keepNext/>
              <w:jc w:val="left"/>
              <w:rPr>
                <w:rFonts w:ascii="Arial Narrow" w:eastAsiaTheme="majorEastAsia" w:hAnsi="Arial Narrow" w:cstheme="majorBidi"/>
                <w:bCs/>
                <w:sz w:val="20"/>
                <w:lang w:val="en-US"/>
              </w:rPr>
            </w:pPr>
            <w:r w:rsidRPr="003B5F84">
              <w:rPr>
                <w:rFonts w:ascii="Arial Narrow" w:eastAsiaTheme="majorEastAsia" w:hAnsi="Arial Narrow" w:cstheme="majorBidi"/>
                <w:bCs/>
                <w:sz w:val="20"/>
                <w:lang w:val="en-US"/>
              </w:rPr>
              <w:t>Utilities</w:t>
            </w:r>
          </w:p>
        </w:tc>
        <w:tc>
          <w:tcPr>
            <w:tcW w:w="2044" w:type="pct"/>
            <w:shd w:val="clear" w:color="auto" w:fill="auto"/>
            <w:vAlign w:val="center"/>
          </w:tcPr>
          <w:p w14:paraId="006A0688" w14:textId="58ED183B" w:rsidR="00763EF2" w:rsidRPr="00B17422" w:rsidRDefault="00763EF2" w:rsidP="00CB4A1F">
            <w:pPr>
              <w:keepNext/>
              <w:jc w:val="left"/>
              <w:rPr>
                <w:rFonts w:ascii="Arial Narrow" w:eastAsiaTheme="majorEastAsia" w:hAnsi="Arial Narrow" w:cstheme="majorBidi"/>
                <w:bCs/>
                <w:sz w:val="20"/>
                <w:lang w:val="en-US"/>
              </w:rPr>
            </w:pPr>
            <w:r w:rsidRPr="003B5F84">
              <w:rPr>
                <w:rFonts w:ascii="Arial Narrow" w:eastAsiaTheme="majorEastAsia" w:hAnsi="Arial Narrow" w:cstheme="majorBidi"/>
                <w:bCs/>
                <w:sz w:val="20"/>
                <w:lang w:val="en-US"/>
              </w:rPr>
              <w:t xml:space="preserve">The base case analysis </w:t>
            </w:r>
            <w:r w:rsidR="00FD047A">
              <w:rPr>
                <w:rFonts w:ascii="Arial Narrow" w:eastAsiaTheme="majorEastAsia" w:hAnsi="Arial Narrow" w:cstheme="majorBidi"/>
                <w:bCs/>
                <w:sz w:val="20"/>
                <w:lang w:val="en-US"/>
              </w:rPr>
              <w:t>applied</w:t>
            </w:r>
            <w:r w:rsidRPr="003B5F84">
              <w:rPr>
                <w:rFonts w:ascii="Arial Narrow" w:eastAsiaTheme="majorEastAsia" w:hAnsi="Arial Narrow" w:cstheme="majorBidi"/>
                <w:bCs/>
                <w:sz w:val="20"/>
                <w:lang w:val="en-US"/>
              </w:rPr>
              <w:t xml:space="preserve"> literature-based utilities (Fordham 2015) (</w:t>
            </w:r>
            <w:r>
              <w:rPr>
                <w:rFonts w:ascii="Arial Narrow" w:eastAsiaTheme="majorEastAsia" w:hAnsi="Arial Narrow" w:cstheme="majorBidi"/>
                <w:bCs/>
                <w:sz w:val="20"/>
                <w:lang w:val="en-US"/>
              </w:rPr>
              <w:t>pre-progression</w:t>
            </w:r>
            <w:r w:rsidRPr="003B5F84">
              <w:rPr>
                <w:rFonts w:ascii="Arial Narrow" w:eastAsiaTheme="majorEastAsia" w:hAnsi="Arial Narrow" w:cstheme="majorBidi"/>
                <w:bCs/>
                <w:sz w:val="20"/>
                <w:lang w:val="en-US"/>
              </w:rPr>
              <w:t xml:space="preserve"> 0.87, </w:t>
            </w:r>
            <w:r>
              <w:rPr>
                <w:rFonts w:ascii="Arial Narrow" w:eastAsiaTheme="majorEastAsia" w:hAnsi="Arial Narrow" w:cstheme="majorBidi"/>
                <w:bCs/>
                <w:sz w:val="20"/>
                <w:lang w:val="en-US"/>
              </w:rPr>
              <w:t>post-progression</w:t>
            </w:r>
            <w:r w:rsidRPr="003B5F84">
              <w:rPr>
                <w:rFonts w:ascii="Arial Narrow" w:eastAsiaTheme="majorEastAsia" w:hAnsi="Arial Narrow" w:cstheme="majorBidi"/>
                <w:bCs/>
                <w:sz w:val="20"/>
                <w:lang w:val="en-US"/>
              </w:rPr>
              <w:t xml:space="preserve"> 0.52) </w:t>
            </w:r>
            <w:r w:rsidR="00FD047A">
              <w:rPr>
                <w:rFonts w:ascii="Arial Narrow" w:eastAsiaTheme="majorEastAsia" w:hAnsi="Arial Narrow" w:cstheme="majorBidi"/>
                <w:bCs/>
                <w:sz w:val="20"/>
                <w:lang w:val="en-US"/>
              </w:rPr>
              <w:t>rather than</w:t>
            </w:r>
            <w:r w:rsidRPr="003B5F84">
              <w:rPr>
                <w:rFonts w:ascii="Arial Narrow" w:eastAsiaTheme="majorEastAsia" w:hAnsi="Arial Narrow" w:cstheme="majorBidi"/>
                <w:bCs/>
                <w:sz w:val="20"/>
                <w:lang w:val="en-US"/>
              </w:rPr>
              <w:t xml:space="preserve"> trial-based utilities (</w:t>
            </w:r>
            <w:r>
              <w:rPr>
                <w:rFonts w:ascii="Arial Narrow" w:eastAsiaTheme="majorEastAsia" w:hAnsi="Arial Narrow" w:cstheme="majorBidi"/>
                <w:bCs/>
                <w:sz w:val="20"/>
                <w:lang w:val="en-US"/>
              </w:rPr>
              <w:t>pre-progression</w:t>
            </w:r>
            <w:r w:rsidRPr="003B5F84">
              <w:rPr>
                <w:rFonts w:ascii="Arial Narrow" w:eastAsiaTheme="majorEastAsia" w:hAnsi="Arial Narrow" w:cstheme="majorBidi"/>
                <w:bCs/>
                <w:sz w:val="20"/>
                <w:lang w:val="en-US"/>
              </w:rPr>
              <w:t xml:space="preserve"> 0.692, </w:t>
            </w:r>
            <w:r>
              <w:rPr>
                <w:rFonts w:ascii="Arial Narrow" w:eastAsiaTheme="majorEastAsia" w:hAnsi="Arial Narrow" w:cstheme="majorBidi"/>
                <w:bCs/>
                <w:sz w:val="20"/>
                <w:lang w:val="en-US"/>
              </w:rPr>
              <w:t>post-progression</w:t>
            </w:r>
            <w:r w:rsidRPr="003B5F84">
              <w:rPr>
                <w:rFonts w:ascii="Arial Narrow" w:eastAsiaTheme="majorEastAsia" w:hAnsi="Arial Narrow" w:cstheme="majorBidi"/>
                <w:bCs/>
                <w:sz w:val="20"/>
                <w:lang w:val="en-US"/>
              </w:rPr>
              <w:t xml:space="preserve"> 0.674). </w:t>
            </w:r>
          </w:p>
        </w:tc>
        <w:tc>
          <w:tcPr>
            <w:tcW w:w="2330" w:type="pct"/>
            <w:shd w:val="clear" w:color="auto" w:fill="auto"/>
            <w:vAlign w:val="center"/>
          </w:tcPr>
          <w:p w14:paraId="7E893E4F" w14:textId="4366CC93" w:rsidR="00763EF2" w:rsidRPr="0023484B" w:rsidRDefault="00763EF2" w:rsidP="00CB4A1F">
            <w:pPr>
              <w:keepNext/>
              <w:jc w:val="left"/>
              <w:rPr>
                <w:rFonts w:ascii="Arial Narrow" w:eastAsiaTheme="majorEastAsia" w:hAnsi="Arial Narrow" w:cstheme="majorBidi"/>
                <w:bCs/>
                <w:sz w:val="20"/>
                <w:lang w:val="en-US"/>
              </w:rPr>
            </w:pPr>
            <w:r w:rsidRPr="0023484B">
              <w:rPr>
                <w:rFonts w:ascii="Arial Narrow" w:eastAsiaTheme="majorEastAsia" w:hAnsi="Arial Narrow" w:cstheme="majorBidi"/>
                <w:bCs/>
                <w:sz w:val="20"/>
                <w:lang w:val="en-US"/>
              </w:rPr>
              <w:t>High, favour</w:t>
            </w:r>
            <w:r w:rsidR="006D1967" w:rsidRPr="0023484B">
              <w:rPr>
                <w:rFonts w:ascii="Arial Narrow" w:eastAsiaTheme="majorEastAsia" w:hAnsi="Arial Narrow" w:cstheme="majorBidi"/>
                <w:bCs/>
                <w:sz w:val="20"/>
                <w:lang w:val="en-US"/>
              </w:rPr>
              <w:t>ed</w:t>
            </w:r>
            <w:r w:rsidRPr="0023484B">
              <w:rPr>
                <w:rFonts w:ascii="Arial Narrow" w:eastAsiaTheme="majorEastAsia" w:hAnsi="Arial Narrow" w:cstheme="majorBidi"/>
                <w:bCs/>
                <w:sz w:val="20"/>
                <w:lang w:val="en-US"/>
              </w:rPr>
              <w:t xml:space="preserve"> cabozantinib. </w:t>
            </w:r>
          </w:p>
          <w:p w14:paraId="722851A9" w14:textId="77777777" w:rsidR="00763EF2" w:rsidRPr="0023484B" w:rsidRDefault="00763EF2" w:rsidP="00CB4A1F">
            <w:pPr>
              <w:keepNext/>
              <w:jc w:val="left"/>
              <w:rPr>
                <w:rFonts w:ascii="Arial Narrow" w:eastAsiaTheme="majorEastAsia" w:hAnsi="Arial Narrow" w:cstheme="majorBidi"/>
                <w:bCs/>
                <w:sz w:val="20"/>
                <w:lang w:val="en-US"/>
              </w:rPr>
            </w:pPr>
          </w:p>
          <w:p w14:paraId="0FD1BD74" w14:textId="5DDE35AC" w:rsidR="00763EF2" w:rsidRPr="0023484B" w:rsidRDefault="00763EF2" w:rsidP="00CB4A1F">
            <w:pPr>
              <w:keepNext/>
              <w:jc w:val="left"/>
              <w:rPr>
                <w:rFonts w:ascii="Arial Narrow" w:eastAsiaTheme="majorEastAsia" w:hAnsi="Arial Narrow" w:cstheme="majorBidi"/>
                <w:bCs/>
                <w:sz w:val="20"/>
                <w:lang w:val="en-US"/>
              </w:rPr>
            </w:pPr>
            <w:r w:rsidRPr="0023484B">
              <w:rPr>
                <w:rFonts w:ascii="Arial Narrow" w:eastAsiaTheme="majorEastAsia" w:hAnsi="Arial Narrow" w:cstheme="majorBidi"/>
                <w:bCs/>
                <w:sz w:val="20"/>
                <w:lang w:val="en-US"/>
              </w:rPr>
              <w:t xml:space="preserve">Using the trial-based utility for pre-progression (0.692) and Fordham 2015 () for post-progression increased the ICER to </w:t>
            </w:r>
            <w:r w:rsidR="00B1620B">
              <w:rPr>
                <w:rFonts w:ascii="Arial Narrow" w:eastAsiaTheme="majorEastAsia" w:hAnsi="Arial Narrow" w:cstheme="majorBidi"/>
                <w:bCs/>
                <w:sz w:val="20"/>
                <w:lang w:val="en-US"/>
              </w:rPr>
              <w:t>$</w:t>
            </w:r>
            <w:r w:rsidR="005860C6" w:rsidRPr="00B1620B">
              <w:rPr>
                <w:rFonts w:ascii="Arial Narrow" w:eastAsiaTheme="majorEastAsia" w:hAnsi="Arial Narrow" w:cstheme="majorBidi"/>
                <w:bCs/>
                <w:color w:val="000000"/>
                <w:spacing w:val="49"/>
                <w:sz w:val="20"/>
                <w:shd w:val="solid" w:color="000000" w:fill="000000"/>
                <w:fitText w:val="320" w:id="-1032107258"/>
                <w:lang w:val="en-US"/>
                <w14:textFill>
                  <w14:solidFill>
                    <w14:srgbClr w14:val="000000">
                      <w14:alpha w14:val="100000"/>
                    </w14:srgbClr>
                  </w14:solidFill>
                </w14:textFill>
              </w:rPr>
              <w:t>|||</w:t>
            </w:r>
            <w:r w:rsidR="005860C6" w:rsidRPr="00B1620B">
              <w:rPr>
                <w:rFonts w:ascii="Arial Narrow" w:eastAsiaTheme="majorEastAsia" w:hAnsi="Arial Narrow" w:cstheme="majorBidi"/>
                <w:bCs/>
                <w:color w:val="000000"/>
                <w:spacing w:val="3"/>
                <w:sz w:val="20"/>
                <w:shd w:val="solid" w:color="000000" w:fill="000000"/>
                <w:fitText w:val="320" w:id="-1032107258"/>
                <w:lang w:val="en-US"/>
                <w14:textFill>
                  <w14:solidFill>
                    <w14:srgbClr w14:val="000000">
                      <w14:alpha w14:val="100000"/>
                    </w14:srgbClr>
                  </w14:solidFill>
                </w14:textFill>
              </w:rPr>
              <w:t>|</w:t>
            </w:r>
            <w:r w:rsidRPr="0023484B">
              <w:rPr>
                <w:rFonts w:ascii="Arial Narrow" w:eastAsiaTheme="majorEastAsia" w:hAnsi="Arial Narrow" w:cstheme="majorBidi"/>
                <w:bCs/>
                <w:sz w:val="20"/>
                <w:lang w:val="en-US"/>
              </w:rPr>
              <w:t xml:space="preserve"> </w:t>
            </w:r>
            <w:r w:rsidR="009A1253" w:rsidRPr="00D22B13">
              <w:rPr>
                <w:rFonts w:ascii="Arial Narrow" w:eastAsiaTheme="majorEastAsia" w:hAnsi="Arial Narrow" w:cstheme="majorBidi"/>
                <w:bCs/>
                <w:sz w:val="20"/>
                <w:vertAlign w:val="superscript"/>
                <w:lang w:val="en-US"/>
              </w:rPr>
              <w:t>2</w:t>
            </w:r>
            <w:r w:rsidR="009A1253">
              <w:rPr>
                <w:rFonts w:ascii="Arial Narrow" w:eastAsiaTheme="majorEastAsia" w:hAnsi="Arial Narrow" w:cstheme="majorBidi"/>
                <w:bCs/>
                <w:sz w:val="20"/>
                <w:lang w:val="en-US"/>
              </w:rPr>
              <w:t xml:space="preserve"> </w:t>
            </w:r>
            <w:r w:rsidRPr="0023484B">
              <w:rPr>
                <w:rFonts w:ascii="Arial Narrow" w:eastAsiaTheme="majorEastAsia" w:hAnsi="Arial Narrow" w:cstheme="majorBidi"/>
                <w:bCs/>
                <w:sz w:val="20"/>
                <w:lang w:val="en-US"/>
              </w:rPr>
              <w:t>per QALY gained.</w:t>
            </w:r>
            <w:r w:rsidRPr="0023484B">
              <w:rPr>
                <w:rFonts w:ascii="Arial Narrow" w:eastAsiaTheme="majorEastAsia" w:hAnsi="Arial Narrow"/>
                <w:bCs/>
                <w:color w:val="3366FF"/>
                <w:sz w:val="20"/>
                <w:szCs w:val="20"/>
              </w:rPr>
              <w:t xml:space="preserve"> </w:t>
            </w:r>
          </w:p>
        </w:tc>
      </w:tr>
      <w:tr w:rsidR="00503216" w:rsidRPr="003B5F84" w14:paraId="08078997" w14:textId="77777777" w:rsidTr="00CB4A1F">
        <w:tc>
          <w:tcPr>
            <w:tcW w:w="626" w:type="pct"/>
            <w:shd w:val="clear" w:color="auto" w:fill="auto"/>
            <w:vAlign w:val="center"/>
          </w:tcPr>
          <w:p w14:paraId="34523A77" w14:textId="77777777" w:rsidR="00763EF2" w:rsidRPr="003B5F84" w:rsidRDefault="00763EF2" w:rsidP="00CB4A1F">
            <w:pPr>
              <w:keepNext/>
              <w:jc w:val="left"/>
              <w:rPr>
                <w:rFonts w:ascii="Arial Narrow" w:eastAsiaTheme="majorEastAsia" w:hAnsi="Arial Narrow" w:cstheme="majorBidi"/>
                <w:bCs/>
                <w:sz w:val="20"/>
                <w:lang w:val="en-US"/>
              </w:rPr>
            </w:pPr>
            <w:r w:rsidRPr="003B5F84">
              <w:rPr>
                <w:rFonts w:ascii="Arial Narrow" w:eastAsiaTheme="majorEastAsia" w:hAnsi="Arial Narrow" w:cstheme="majorBidi"/>
                <w:bCs/>
                <w:sz w:val="20"/>
                <w:lang w:val="en-US"/>
              </w:rPr>
              <w:t>Cost of subsequent therapies</w:t>
            </w:r>
          </w:p>
        </w:tc>
        <w:tc>
          <w:tcPr>
            <w:tcW w:w="2044" w:type="pct"/>
            <w:shd w:val="clear" w:color="auto" w:fill="auto"/>
            <w:vAlign w:val="center"/>
          </w:tcPr>
          <w:p w14:paraId="5199C7F6" w14:textId="7510DCF6" w:rsidR="00763EF2" w:rsidRPr="003B5F84" w:rsidRDefault="00763EF2" w:rsidP="00CB4A1F">
            <w:pPr>
              <w:keepNext/>
              <w:jc w:val="left"/>
              <w:rPr>
                <w:rFonts w:ascii="Arial Narrow" w:eastAsiaTheme="majorEastAsia" w:hAnsi="Arial Narrow" w:cstheme="majorBidi"/>
                <w:bCs/>
                <w:sz w:val="20"/>
                <w:lang w:val="en-US"/>
              </w:rPr>
            </w:pPr>
            <w:r w:rsidRPr="003B5F84">
              <w:rPr>
                <w:rFonts w:ascii="Arial Narrow" w:eastAsiaTheme="majorEastAsia" w:hAnsi="Arial Narrow" w:cstheme="majorBidi"/>
                <w:bCs/>
                <w:sz w:val="20"/>
                <w:lang w:val="en-US"/>
              </w:rPr>
              <w:t xml:space="preserve">The submission used the published DPMQs of various drugs </w:t>
            </w:r>
            <w:r w:rsidR="006D1967">
              <w:rPr>
                <w:rFonts w:ascii="Arial Narrow" w:eastAsiaTheme="majorEastAsia" w:hAnsi="Arial Narrow" w:cstheme="majorBidi"/>
                <w:bCs/>
                <w:sz w:val="20"/>
                <w:lang w:val="en-US"/>
              </w:rPr>
              <w:t xml:space="preserve">(including cabozantinib and lenvatinib) </w:t>
            </w:r>
            <w:r w:rsidRPr="003B5F84">
              <w:rPr>
                <w:rFonts w:ascii="Arial Narrow" w:eastAsiaTheme="majorEastAsia" w:hAnsi="Arial Narrow" w:cstheme="majorBidi"/>
                <w:bCs/>
                <w:sz w:val="20"/>
                <w:lang w:val="en-US"/>
              </w:rPr>
              <w:t xml:space="preserve">to calculate weighted average unit costs of post-progression therapies for both </w:t>
            </w:r>
            <w:r w:rsidR="006D1967">
              <w:rPr>
                <w:rFonts w:ascii="Arial Narrow" w:eastAsiaTheme="majorEastAsia" w:hAnsi="Arial Narrow" w:cstheme="majorBidi"/>
                <w:bCs/>
                <w:sz w:val="20"/>
                <w:lang w:val="en-US"/>
              </w:rPr>
              <w:t xml:space="preserve">the </w:t>
            </w:r>
            <w:r w:rsidRPr="003B5F84">
              <w:rPr>
                <w:rFonts w:ascii="Arial Narrow" w:eastAsiaTheme="majorEastAsia" w:hAnsi="Arial Narrow" w:cstheme="majorBidi"/>
                <w:bCs/>
                <w:sz w:val="20"/>
                <w:lang w:val="en-US"/>
              </w:rPr>
              <w:t xml:space="preserve">cabozantinib (+ BSC) and BSC treatment </w:t>
            </w:r>
            <w:r w:rsidR="00DC58FB">
              <w:rPr>
                <w:rFonts w:ascii="Arial Narrow" w:eastAsiaTheme="majorEastAsia" w:hAnsi="Arial Narrow" w:cstheme="majorBidi"/>
                <w:bCs/>
                <w:sz w:val="20"/>
                <w:lang w:val="en-US"/>
              </w:rPr>
              <w:t>arm</w:t>
            </w:r>
            <w:r w:rsidRPr="003B5F84">
              <w:rPr>
                <w:rFonts w:ascii="Arial Narrow" w:eastAsiaTheme="majorEastAsia" w:hAnsi="Arial Narrow" w:cstheme="majorBidi"/>
                <w:bCs/>
                <w:sz w:val="20"/>
                <w:lang w:val="en-US"/>
              </w:rPr>
              <w:t xml:space="preserve">s. </w:t>
            </w:r>
            <w:r w:rsidR="00511425">
              <w:rPr>
                <w:rFonts w:ascii="Arial Narrow" w:eastAsiaTheme="majorEastAsia" w:hAnsi="Arial Narrow" w:cstheme="majorBidi"/>
                <w:bCs/>
                <w:sz w:val="20"/>
                <w:lang w:val="en-US"/>
              </w:rPr>
              <w:t xml:space="preserve">However, </w:t>
            </w:r>
            <w:r w:rsidR="00E120DC">
              <w:rPr>
                <w:rFonts w:ascii="Arial Narrow" w:eastAsiaTheme="majorEastAsia" w:hAnsi="Arial Narrow" w:cstheme="majorBidi"/>
                <w:bCs/>
                <w:sz w:val="20"/>
                <w:lang w:val="en-US"/>
              </w:rPr>
              <w:t xml:space="preserve">none of </w:t>
            </w:r>
            <w:r w:rsidR="00511425">
              <w:rPr>
                <w:rFonts w:ascii="Arial Narrow" w:eastAsiaTheme="majorEastAsia" w:hAnsi="Arial Narrow" w:cstheme="majorBidi"/>
                <w:bCs/>
                <w:sz w:val="20"/>
                <w:lang w:val="en-US"/>
              </w:rPr>
              <w:t>t</w:t>
            </w:r>
            <w:r w:rsidRPr="003B5F84">
              <w:rPr>
                <w:rFonts w:ascii="Arial Narrow" w:eastAsiaTheme="majorEastAsia" w:hAnsi="Arial Narrow" w:cstheme="majorBidi"/>
                <w:bCs/>
                <w:sz w:val="20"/>
                <w:lang w:val="en-US"/>
              </w:rPr>
              <w:t xml:space="preserve">he drugs </w:t>
            </w:r>
            <w:r w:rsidR="00511425">
              <w:rPr>
                <w:rFonts w:ascii="Arial Narrow" w:eastAsiaTheme="majorEastAsia" w:hAnsi="Arial Narrow" w:cstheme="majorBidi"/>
                <w:bCs/>
                <w:sz w:val="20"/>
                <w:lang w:val="en-US"/>
              </w:rPr>
              <w:t>we</w:t>
            </w:r>
            <w:r w:rsidRPr="003B5F84">
              <w:rPr>
                <w:rFonts w:ascii="Arial Narrow" w:eastAsiaTheme="majorEastAsia" w:hAnsi="Arial Narrow" w:cstheme="majorBidi"/>
                <w:bCs/>
                <w:sz w:val="20"/>
                <w:lang w:val="en-US"/>
              </w:rPr>
              <w:t xml:space="preserve">re </w:t>
            </w:r>
            <w:r w:rsidR="00FD047A">
              <w:rPr>
                <w:rFonts w:ascii="Arial Narrow" w:eastAsiaTheme="majorEastAsia" w:hAnsi="Arial Narrow" w:cstheme="majorBidi"/>
                <w:bCs/>
                <w:sz w:val="20"/>
                <w:lang w:val="en-US"/>
              </w:rPr>
              <w:t>PBS</w:t>
            </w:r>
            <w:r w:rsidR="00260351">
              <w:rPr>
                <w:rFonts w:ascii="Arial Narrow" w:eastAsiaTheme="majorEastAsia" w:hAnsi="Arial Narrow" w:cstheme="majorBidi"/>
                <w:bCs/>
                <w:sz w:val="20"/>
                <w:lang w:val="en-US"/>
              </w:rPr>
              <w:t xml:space="preserve">-listed for use </w:t>
            </w:r>
            <w:r w:rsidRPr="003B5F84">
              <w:rPr>
                <w:rFonts w:ascii="Arial Narrow" w:eastAsiaTheme="majorEastAsia" w:hAnsi="Arial Narrow" w:cstheme="majorBidi"/>
                <w:bCs/>
                <w:sz w:val="20"/>
                <w:lang w:val="en-US"/>
              </w:rPr>
              <w:t xml:space="preserve">as subsequent line therapy following progression in the target PBS population. </w:t>
            </w:r>
          </w:p>
        </w:tc>
        <w:tc>
          <w:tcPr>
            <w:tcW w:w="2330" w:type="pct"/>
            <w:shd w:val="clear" w:color="auto" w:fill="auto"/>
            <w:vAlign w:val="center"/>
          </w:tcPr>
          <w:p w14:paraId="13991551" w14:textId="04C573AF" w:rsidR="00763EF2" w:rsidRPr="0023484B" w:rsidRDefault="00763EF2" w:rsidP="00CB4A1F">
            <w:pPr>
              <w:keepNext/>
              <w:jc w:val="left"/>
              <w:rPr>
                <w:rFonts w:ascii="Arial Narrow" w:eastAsiaTheme="majorEastAsia" w:hAnsi="Arial Narrow" w:cstheme="majorBidi"/>
                <w:bCs/>
                <w:sz w:val="20"/>
                <w:lang w:val="en-US"/>
              </w:rPr>
            </w:pPr>
            <w:r w:rsidRPr="0023484B">
              <w:rPr>
                <w:rFonts w:ascii="Arial Narrow" w:eastAsiaTheme="majorEastAsia" w:hAnsi="Arial Narrow" w:cstheme="majorBidi"/>
                <w:bCs/>
                <w:sz w:val="20"/>
                <w:lang w:val="en-US"/>
              </w:rPr>
              <w:t>High, favour</w:t>
            </w:r>
            <w:r w:rsidR="006D1967" w:rsidRPr="0023484B">
              <w:rPr>
                <w:rFonts w:ascii="Arial Narrow" w:eastAsiaTheme="majorEastAsia" w:hAnsi="Arial Narrow" w:cstheme="majorBidi"/>
                <w:bCs/>
                <w:sz w:val="20"/>
                <w:lang w:val="en-US"/>
              </w:rPr>
              <w:t>ed</w:t>
            </w:r>
            <w:r w:rsidRPr="0023484B">
              <w:rPr>
                <w:rFonts w:ascii="Arial Narrow" w:eastAsiaTheme="majorEastAsia" w:hAnsi="Arial Narrow" w:cstheme="majorBidi"/>
                <w:bCs/>
                <w:sz w:val="20"/>
                <w:lang w:val="en-US"/>
              </w:rPr>
              <w:t xml:space="preserve"> cabozantinib. </w:t>
            </w:r>
          </w:p>
          <w:p w14:paraId="72D37BF2" w14:textId="77777777" w:rsidR="00763EF2" w:rsidRPr="0023484B" w:rsidRDefault="00763EF2" w:rsidP="00CB4A1F">
            <w:pPr>
              <w:keepNext/>
              <w:jc w:val="left"/>
              <w:rPr>
                <w:rFonts w:ascii="Arial Narrow" w:eastAsiaTheme="majorEastAsia" w:hAnsi="Arial Narrow" w:cstheme="majorBidi"/>
                <w:bCs/>
                <w:sz w:val="20"/>
                <w:lang w:val="en-US"/>
              </w:rPr>
            </w:pPr>
          </w:p>
          <w:p w14:paraId="3646E39B" w14:textId="48852607" w:rsidR="00763EF2" w:rsidRPr="0023484B" w:rsidRDefault="00763EF2" w:rsidP="00CB4A1F">
            <w:pPr>
              <w:keepNext/>
              <w:jc w:val="left"/>
              <w:rPr>
                <w:rFonts w:ascii="Arial Narrow" w:eastAsiaTheme="majorEastAsia" w:hAnsi="Arial Narrow" w:cstheme="majorBidi"/>
                <w:bCs/>
                <w:sz w:val="20"/>
                <w:lang w:val="en-US"/>
              </w:rPr>
            </w:pPr>
            <w:r w:rsidRPr="0023484B">
              <w:rPr>
                <w:rFonts w:ascii="Arial Narrow" w:eastAsiaTheme="majorEastAsia" w:hAnsi="Arial Narrow" w:cstheme="majorBidi"/>
                <w:bCs/>
                <w:sz w:val="20"/>
                <w:lang w:val="en-US"/>
              </w:rPr>
              <w:t>The exclusion of</w:t>
            </w:r>
            <w:r w:rsidR="008D638C">
              <w:rPr>
                <w:rFonts w:ascii="Arial Narrow" w:eastAsiaTheme="majorEastAsia" w:hAnsi="Arial Narrow" w:cstheme="majorBidi"/>
                <w:bCs/>
                <w:sz w:val="20"/>
                <w:lang w:val="en-US"/>
              </w:rPr>
              <w:t xml:space="preserve"> the costs of</w:t>
            </w:r>
            <w:r w:rsidRPr="0023484B">
              <w:rPr>
                <w:rFonts w:ascii="Arial Narrow" w:eastAsiaTheme="majorEastAsia" w:hAnsi="Arial Narrow" w:cstheme="majorBidi"/>
                <w:bCs/>
                <w:sz w:val="20"/>
                <w:lang w:val="en-US"/>
              </w:rPr>
              <w:t xml:space="preserve"> subsequent therapies increased the ICER to </w:t>
            </w:r>
            <w:r w:rsidR="00B1620B">
              <w:rPr>
                <w:rFonts w:ascii="Arial Narrow" w:eastAsiaTheme="majorEastAsia" w:hAnsi="Arial Narrow" w:cstheme="majorBidi"/>
                <w:bCs/>
                <w:sz w:val="20"/>
                <w:lang w:val="en-US"/>
              </w:rPr>
              <w:t>$</w:t>
            </w:r>
            <w:r w:rsidR="005860C6" w:rsidRPr="00B1620B">
              <w:rPr>
                <w:rFonts w:ascii="Arial Narrow" w:eastAsiaTheme="majorEastAsia" w:hAnsi="Arial Narrow" w:cstheme="majorBidi"/>
                <w:bCs/>
                <w:color w:val="000000"/>
                <w:spacing w:val="49"/>
                <w:sz w:val="20"/>
                <w:shd w:val="solid" w:color="000000" w:fill="000000"/>
                <w:fitText w:val="320" w:id="-1032107257"/>
                <w:lang w:val="en-US"/>
                <w14:textFill>
                  <w14:solidFill>
                    <w14:srgbClr w14:val="000000">
                      <w14:alpha w14:val="100000"/>
                    </w14:srgbClr>
                  </w14:solidFill>
                </w14:textFill>
              </w:rPr>
              <w:t>|||</w:t>
            </w:r>
            <w:r w:rsidR="005860C6" w:rsidRPr="00B1620B">
              <w:rPr>
                <w:rFonts w:ascii="Arial Narrow" w:eastAsiaTheme="majorEastAsia" w:hAnsi="Arial Narrow" w:cstheme="majorBidi"/>
                <w:bCs/>
                <w:color w:val="000000"/>
                <w:spacing w:val="3"/>
                <w:sz w:val="20"/>
                <w:shd w:val="solid" w:color="000000" w:fill="000000"/>
                <w:fitText w:val="320" w:id="-1032107257"/>
                <w:lang w:val="en-US"/>
                <w14:textFill>
                  <w14:solidFill>
                    <w14:srgbClr w14:val="000000">
                      <w14:alpha w14:val="100000"/>
                    </w14:srgbClr>
                  </w14:solidFill>
                </w14:textFill>
              </w:rPr>
              <w:t>|</w:t>
            </w:r>
            <w:r w:rsidRPr="0023484B">
              <w:rPr>
                <w:rFonts w:ascii="Arial Narrow" w:eastAsiaTheme="majorEastAsia" w:hAnsi="Arial Narrow" w:cstheme="majorBidi"/>
                <w:bCs/>
                <w:sz w:val="20"/>
                <w:lang w:val="en-US"/>
              </w:rPr>
              <w:t xml:space="preserve"> </w:t>
            </w:r>
            <w:r w:rsidR="009A1253" w:rsidRPr="00D22B13">
              <w:rPr>
                <w:rFonts w:ascii="Arial Narrow" w:eastAsiaTheme="majorEastAsia" w:hAnsi="Arial Narrow" w:cstheme="majorBidi"/>
                <w:bCs/>
                <w:sz w:val="20"/>
                <w:vertAlign w:val="superscript"/>
                <w:lang w:val="en-US"/>
              </w:rPr>
              <w:t>3</w:t>
            </w:r>
            <w:r w:rsidR="009A1253">
              <w:rPr>
                <w:rFonts w:ascii="Arial Narrow" w:eastAsiaTheme="majorEastAsia" w:hAnsi="Arial Narrow" w:cstheme="majorBidi"/>
                <w:bCs/>
                <w:sz w:val="20"/>
                <w:lang w:val="en-US"/>
              </w:rPr>
              <w:t xml:space="preserve"> </w:t>
            </w:r>
            <w:r w:rsidRPr="0023484B">
              <w:rPr>
                <w:rFonts w:ascii="Arial Narrow" w:eastAsiaTheme="majorEastAsia" w:hAnsi="Arial Narrow" w:cstheme="majorBidi"/>
                <w:bCs/>
                <w:sz w:val="20"/>
                <w:lang w:val="en-US"/>
              </w:rPr>
              <w:t>per QALY gained.</w:t>
            </w:r>
          </w:p>
        </w:tc>
      </w:tr>
      <w:tr w:rsidR="00503216" w:rsidRPr="003B5F84" w14:paraId="103AC320" w14:textId="77777777" w:rsidTr="00CB4A1F">
        <w:tc>
          <w:tcPr>
            <w:tcW w:w="626" w:type="pct"/>
            <w:shd w:val="clear" w:color="auto" w:fill="auto"/>
            <w:vAlign w:val="center"/>
          </w:tcPr>
          <w:p w14:paraId="621B2A24" w14:textId="77777777" w:rsidR="00763EF2" w:rsidRPr="003B5F84" w:rsidRDefault="00763EF2" w:rsidP="00CB4A1F">
            <w:pPr>
              <w:keepNext/>
              <w:jc w:val="left"/>
              <w:rPr>
                <w:rFonts w:ascii="Arial Narrow" w:eastAsiaTheme="majorEastAsia" w:hAnsi="Arial Narrow" w:cstheme="majorBidi"/>
                <w:bCs/>
                <w:sz w:val="20"/>
                <w:lang w:val="en-US"/>
              </w:rPr>
            </w:pPr>
            <w:r>
              <w:rPr>
                <w:rFonts w:ascii="Arial Narrow" w:eastAsiaTheme="majorEastAsia" w:hAnsi="Arial Narrow" w:cstheme="majorBidi"/>
                <w:bCs/>
                <w:sz w:val="20"/>
                <w:lang w:val="en-US"/>
              </w:rPr>
              <w:t>TTD for cabozantinib</w:t>
            </w:r>
          </w:p>
        </w:tc>
        <w:tc>
          <w:tcPr>
            <w:tcW w:w="2044" w:type="pct"/>
            <w:shd w:val="clear" w:color="auto" w:fill="auto"/>
            <w:vAlign w:val="center"/>
          </w:tcPr>
          <w:p w14:paraId="472C83EA" w14:textId="5793CEE2" w:rsidR="00763EF2" w:rsidRPr="003B5F84" w:rsidRDefault="00763EF2" w:rsidP="00CB4A1F">
            <w:pPr>
              <w:keepNext/>
              <w:jc w:val="left"/>
              <w:rPr>
                <w:rFonts w:ascii="Arial Narrow" w:eastAsiaTheme="majorEastAsia" w:hAnsi="Arial Narrow" w:cstheme="majorBidi"/>
                <w:bCs/>
                <w:sz w:val="20"/>
                <w:lang w:val="en-US"/>
              </w:rPr>
            </w:pPr>
            <w:r>
              <w:rPr>
                <w:rFonts w:ascii="Arial Narrow" w:eastAsiaTheme="majorEastAsia" w:hAnsi="Arial Narrow" w:cstheme="majorBidi"/>
                <w:bCs/>
                <w:sz w:val="20"/>
                <w:lang w:val="en-US"/>
              </w:rPr>
              <w:t>The submission used the Gompertz parametric function to extrapolate TTD for cabozantinib (+BSC).</w:t>
            </w:r>
          </w:p>
        </w:tc>
        <w:tc>
          <w:tcPr>
            <w:tcW w:w="2330" w:type="pct"/>
            <w:shd w:val="clear" w:color="auto" w:fill="auto"/>
            <w:vAlign w:val="center"/>
          </w:tcPr>
          <w:p w14:paraId="11CD83DF" w14:textId="0FFA3496" w:rsidR="00763EF2" w:rsidRPr="0023484B" w:rsidRDefault="00763EF2" w:rsidP="00CB4A1F">
            <w:pPr>
              <w:keepNext/>
              <w:jc w:val="left"/>
              <w:rPr>
                <w:rFonts w:ascii="Arial Narrow" w:eastAsiaTheme="majorEastAsia" w:hAnsi="Arial Narrow" w:cstheme="majorBidi"/>
                <w:bCs/>
                <w:sz w:val="20"/>
                <w:lang w:val="en-US"/>
              </w:rPr>
            </w:pPr>
            <w:r w:rsidRPr="0023484B">
              <w:rPr>
                <w:rFonts w:ascii="Arial Narrow" w:eastAsiaTheme="majorEastAsia" w:hAnsi="Arial Narrow" w:cstheme="majorBidi"/>
                <w:bCs/>
                <w:sz w:val="20"/>
                <w:lang w:val="en-US"/>
              </w:rPr>
              <w:t>Low to moderate, favour</w:t>
            </w:r>
            <w:r w:rsidR="00FD6D1B" w:rsidRPr="0023484B">
              <w:rPr>
                <w:rFonts w:ascii="Arial Narrow" w:eastAsiaTheme="majorEastAsia" w:hAnsi="Arial Narrow" w:cstheme="majorBidi"/>
                <w:bCs/>
                <w:sz w:val="20"/>
                <w:lang w:val="en-US"/>
              </w:rPr>
              <w:t>ed</w:t>
            </w:r>
            <w:r w:rsidRPr="0023484B">
              <w:rPr>
                <w:rFonts w:ascii="Arial Narrow" w:eastAsiaTheme="majorEastAsia" w:hAnsi="Arial Narrow" w:cstheme="majorBidi"/>
                <w:bCs/>
                <w:sz w:val="20"/>
                <w:lang w:val="en-US"/>
              </w:rPr>
              <w:t xml:space="preserve"> cabozantinib.</w:t>
            </w:r>
          </w:p>
          <w:p w14:paraId="1448D004" w14:textId="77777777" w:rsidR="00763EF2" w:rsidRPr="0023484B" w:rsidRDefault="00763EF2" w:rsidP="00CB4A1F">
            <w:pPr>
              <w:keepNext/>
              <w:jc w:val="left"/>
              <w:rPr>
                <w:rFonts w:ascii="Arial Narrow" w:eastAsiaTheme="majorEastAsia" w:hAnsi="Arial Narrow" w:cstheme="majorBidi"/>
                <w:bCs/>
                <w:sz w:val="20"/>
                <w:lang w:val="en-US"/>
              </w:rPr>
            </w:pPr>
          </w:p>
          <w:p w14:paraId="4860E04D" w14:textId="0CE03735" w:rsidR="00763EF2" w:rsidRPr="0023484B" w:rsidRDefault="00763EF2" w:rsidP="00CB4A1F">
            <w:pPr>
              <w:keepNext/>
              <w:jc w:val="left"/>
              <w:rPr>
                <w:rFonts w:ascii="Arial Narrow" w:eastAsiaTheme="majorEastAsia" w:hAnsi="Arial Narrow" w:cstheme="majorBidi"/>
                <w:bCs/>
                <w:sz w:val="20"/>
                <w:lang w:val="en-US"/>
              </w:rPr>
            </w:pPr>
            <w:r w:rsidRPr="0023484B">
              <w:rPr>
                <w:rFonts w:ascii="Arial Narrow" w:eastAsiaTheme="majorEastAsia" w:hAnsi="Arial Narrow" w:cstheme="majorBidi"/>
                <w:bCs/>
                <w:sz w:val="20"/>
                <w:lang w:val="en-US"/>
              </w:rPr>
              <w:t xml:space="preserve">Using </w:t>
            </w:r>
            <w:r w:rsidR="00386A1C" w:rsidRPr="0023484B">
              <w:rPr>
                <w:rFonts w:ascii="Arial Narrow" w:eastAsiaTheme="majorEastAsia" w:hAnsi="Arial Narrow" w:cstheme="majorBidi"/>
                <w:bCs/>
                <w:sz w:val="20"/>
                <w:lang w:val="en-US"/>
              </w:rPr>
              <w:t xml:space="preserve">the </w:t>
            </w:r>
            <w:r w:rsidRPr="0023484B">
              <w:rPr>
                <w:rFonts w:ascii="Arial Narrow" w:eastAsiaTheme="majorEastAsia" w:hAnsi="Arial Narrow" w:cstheme="majorBidi"/>
                <w:bCs/>
                <w:sz w:val="20"/>
                <w:lang w:val="en-US"/>
              </w:rPr>
              <w:t xml:space="preserve">log-logistic function to extrapolate TTD for cabozantinib increased the ICER to </w:t>
            </w:r>
            <w:r w:rsidR="00B1620B">
              <w:rPr>
                <w:rFonts w:ascii="Arial Narrow" w:eastAsiaTheme="majorEastAsia" w:hAnsi="Arial Narrow" w:cstheme="majorBidi"/>
                <w:bCs/>
                <w:sz w:val="20"/>
                <w:lang w:val="en-US"/>
              </w:rPr>
              <w:t>$</w:t>
            </w:r>
            <w:r w:rsidR="005860C6" w:rsidRPr="00B1620B">
              <w:rPr>
                <w:rFonts w:ascii="Arial Narrow" w:eastAsiaTheme="majorEastAsia" w:hAnsi="Arial Narrow" w:cstheme="majorBidi"/>
                <w:bCs/>
                <w:color w:val="000000"/>
                <w:spacing w:val="53"/>
                <w:sz w:val="20"/>
                <w:shd w:val="solid" w:color="000000" w:fill="000000"/>
                <w:fitText w:val="330" w:id="-1032107256"/>
                <w:lang w:val="en-US"/>
                <w14:textFill>
                  <w14:solidFill>
                    <w14:srgbClr w14:val="000000">
                      <w14:alpha w14:val="100000"/>
                    </w14:srgbClr>
                  </w14:solidFill>
                </w14:textFill>
              </w:rPr>
              <w:t>|||</w:t>
            </w:r>
            <w:r w:rsidR="005860C6" w:rsidRPr="00B1620B">
              <w:rPr>
                <w:rFonts w:ascii="Arial Narrow" w:eastAsiaTheme="majorEastAsia" w:hAnsi="Arial Narrow" w:cstheme="majorBidi"/>
                <w:bCs/>
                <w:color w:val="000000"/>
                <w:spacing w:val="1"/>
                <w:sz w:val="20"/>
                <w:shd w:val="solid" w:color="000000" w:fill="000000"/>
                <w:fitText w:val="330" w:id="-1032107256"/>
                <w:lang w:val="en-US"/>
                <w14:textFill>
                  <w14:solidFill>
                    <w14:srgbClr w14:val="000000">
                      <w14:alpha w14:val="100000"/>
                    </w14:srgbClr>
                  </w14:solidFill>
                </w14:textFill>
              </w:rPr>
              <w:t>|</w:t>
            </w:r>
            <w:r w:rsidR="009A1253">
              <w:rPr>
                <w:rFonts w:ascii="Arial Narrow" w:eastAsiaTheme="majorEastAsia" w:hAnsi="Arial Narrow" w:cstheme="majorBidi"/>
                <w:bCs/>
                <w:sz w:val="20"/>
                <w:lang w:val="en-US"/>
              </w:rPr>
              <w:t xml:space="preserve"> </w:t>
            </w:r>
            <w:r w:rsidR="009A1253" w:rsidRPr="00D22B13">
              <w:rPr>
                <w:rFonts w:ascii="Arial Narrow" w:eastAsiaTheme="majorEastAsia" w:hAnsi="Arial Narrow" w:cstheme="majorBidi"/>
                <w:bCs/>
                <w:sz w:val="20"/>
                <w:vertAlign w:val="superscript"/>
                <w:lang w:val="en-US"/>
              </w:rPr>
              <w:t>4</w:t>
            </w:r>
            <w:r w:rsidRPr="0023484B">
              <w:rPr>
                <w:rFonts w:ascii="Arial Narrow" w:eastAsiaTheme="majorEastAsia" w:hAnsi="Arial Narrow" w:cstheme="majorBidi"/>
                <w:bCs/>
                <w:sz w:val="20"/>
                <w:lang w:val="en-US"/>
              </w:rPr>
              <w:t xml:space="preserve"> per QALY gained.</w:t>
            </w:r>
          </w:p>
        </w:tc>
      </w:tr>
    </w:tbl>
    <w:p w14:paraId="0AF056D3" w14:textId="77777777" w:rsidR="00763EF2" w:rsidRPr="003B5F84" w:rsidRDefault="00763EF2" w:rsidP="00763EF2">
      <w:pPr>
        <w:spacing w:after="120"/>
        <w:contextualSpacing/>
        <w:rPr>
          <w:rFonts w:ascii="Arial Narrow" w:hAnsi="Arial Narrow"/>
          <w:snapToGrid w:val="0"/>
          <w:sz w:val="18"/>
          <w:szCs w:val="22"/>
        </w:rPr>
      </w:pPr>
      <w:r w:rsidRPr="003B5F84">
        <w:rPr>
          <w:rFonts w:ascii="Arial Narrow" w:hAnsi="Arial Narrow"/>
          <w:snapToGrid w:val="0"/>
          <w:sz w:val="18"/>
          <w:szCs w:val="22"/>
        </w:rPr>
        <w:t>Source: p113 of the submission.</w:t>
      </w:r>
    </w:p>
    <w:p w14:paraId="413F9560" w14:textId="0D3CA554" w:rsidR="00763EF2" w:rsidRDefault="00763EF2" w:rsidP="00D22B13">
      <w:pPr>
        <w:rPr>
          <w:rFonts w:ascii="Arial Narrow" w:hAnsi="Arial Narrow"/>
          <w:snapToGrid w:val="0"/>
          <w:sz w:val="18"/>
          <w:szCs w:val="22"/>
        </w:rPr>
      </w:pPr>
      <w:r w:rsidRPr="003B5F84">
        <w:rPr>
          <w:rFonts w:ascii="Arial Narrow" w:hAnsi="Arial Narrow"/>
          <w:snapToGrid w:val="0"/>
          <w:sz w:val="18"/>
          <w:szCs w:val="22"/>
        </w:rPr>
        <w:t>BSC = best supportive care; DPMQ = Dispensed Price for Maximum Quality; ICER = incremental cost-effectiveness ratio; QALY = quality-adjusted life year; SA = sensitivity analysis</w:t>
      </w:r>
      <w:r>
        <w:rPr>
          <w:rFonts w:ascii="Arial Narrow" w:hAnsi="Arial Narrow"/>
          <w:snapToGrid w:val="0"/>
          <w:sz w:val="18"/>
          <w:szCs w:val="22"/>
        </w:rPr>
        <w:t>; TTD = time to treatment discontinuation</w:t>
      </w:r>
    </w:p>
    <w:p w14:paraId="1E1DF1D2" w14:textId="77777777" w:rsidR="001779C8" w:rsidRDefault="001779C8" w:rsidP="001779C8">
      <w:pPr>
        <w:jc w:val="left"/>
        <w:rPr>
          <w:rFonts w:ascii="Arial Narrow" w:hAnsi="Arial Narrow"/>
          <w:i/>
          <w:sz w:val="18"/>
          <w:szCs w:val="18"/>
        </w:rPr>
      </w:pPr>
      <w:r w:rsidRPr="001779C8">
        <w:rPr>
          <w:rFonts w:ascii="Arial Narrow" w:hAnsi="Arial Narrow"/>
          <w:i/>
          <w:sz w:val="18"/>
          <w:szCs w:val="18"/>
        </w:rPr>
        <w:t>The redacted values correspond to the following ranges:</w:t>
      </w:r>
    </w:p>
    <w:p w14:paraId="3E3FE9D0" w14:textId="38B78FF4" w:rsidR="001779C8" w:rsidRPr="001779C8" w:rsidRDefault="001779C8" w:rsidP="001779C8">
      <w:pPr>
        <w:jc w:val="left"/>
        <w:rPr>
          <w:rFonts w:ascii="Arial Narrow" w:hAnsi="Arial Narrow"/>
          <w:i/>
          <w:iCs/>
          <w:sz w:val="18"/>
          <w:szCs w:val="18"/>
        </w:rPr>
      </w:pPr>
      <w:r w:rsidRPr="001779C8">
        <w:rPr>
          <w:rFonts w:ascii="Arial Narrow" w:hAnsi="Arial Narrow"/>
          <w:i/>
          <w:iCs/>
          <w:sz w:val="18"/>
          <w:szCs w:val="18"/>
          <w:vertAlign w:val="superscript"/>
        </w:rPr>
        <w:t>1</w:t>
      </w:r>
      <w:r w:rsidRPr="001779C8">
        <w:rPr>
          <w:rFonts w:ascii="Arial Narrow" w:hAnsi="Arial Narrow"/>
          <w:i/>
          <w:iCs/>
          <w:sz w:val="18"/>
          <w:szCs w:val="18"/>
        </w:rPr>
        <w:t xml:space="preserve"> $55,000 to &lt; $75,000 </w:t>
      </w:r>
    </w:p>
    <w:p w14:paraId="6CDD16CB" w14:textId="77777777" w:rsidR="001779C8" w:rsidRPr="001779C8" w:rsidRDefault="001779C8" w:rsidP="001779C8">
      <w:pPr>
        <w:jc w:val="left"/>
        <w:rPr>
          <w:rFonts w:ascii="Arial Narrow" w:hAnsi="Arial Narrow"/>
          <w:i/>
          <w:iCs/>
          <w:sz w:val="18"/>
          <w:szCs w:val="18"/>
        </w:rPr>
      </w:pPr>
      <w:r w:rsidRPr="001779C8">
        <w:rPr>
          <w:rFonts w:ascii="Arial Narrow" w:hAnsi="Arial Narrow"/>
          <w:i/>
          <w:iCs/>
          <w:sz w:val="18"/>
          <w:szCs w:val="18"/>
          <w:vertAlign w:val="superscript"/>
        </w:rPr>
        <w:t>2</w:t>
      </w:r>
      <w:r w:rsidRPr="001779C8">
        <w:rPr>
          <w:rFonts w:ascii="Arial Narrow" w:hAnsi="Arial Narrow"/>
          <w:i/>
          <w:iCs/>
          <w:sz w:val="18"/>
          <w:szCs w:val="18"/>
        </w:rPr>
        <w:t xml:space="preserve"> $115,000 to &lt; $135,000</w:t>
      </w:r>
    </w:p>
    <w:p w14:paraId="78C04AED" w14:textId="77777777" w:rsidR="001779C8" w:rsidRPr="001779C8" w:rsidRDefault="001779C8" w:rsidP="001779C8">
      <w:pPr>
        <w:jc w:val="left"/>
        <w:rPr>
          <w:rFonts w:ascii="Arial Narrow" w:hAnsi="Arial Narrow"/>
          <w:i/>
          <w:iCs/>
          <w:sz w:val="18"/>
          <w:szCs w:val="18"/>
        </w:rPr>
      </w:pPr>
      <w:r w:rsidRPr="001779C8">
        <w:rPr>
          <w:rFonts w:ascii="Arial Narrow" w:hAnsi="Arial Narrow"/>
          <w:i/>
          <w:iCs/>
          <w:sz w:val="18"/>
          <w:szCs w:val="18"/>
          <w:vertAlign w:val="superscript"/>
        </w:rPr>
        <w:t>3</w:t>
      </w:r>
      <w:r w:rsidRPr="001779C8">
        <w:rPr>
          <w:rFonts w:ascii="Arial Narrow" w:hAnsi="Arial Narrow"/>
          <w:i/>
          <w:iCs/>
          <w:sz w:val="18"/>
          <w:szCs w:val="18"/>
        </w:rPr>
        <w:t xml:space="preserve"> $155,000 to &lt; $255,000</w:t>
      </w:r>
    </w:p>
    <w:p w14:paraId="050EEBF7" w14:textId="102D8199" w:rsidR="001E033A" w:rsidRPr="00D22B13" w:rsidRDefault="001779C8" w:rsidP="00D22B13">
      <w:pPr>
        <w:spacing w:after="120"/>
        <w:jc w:val="left"/>
        <w:rPr>
          <w:rFonts w:ascii="Arial Narrow" w:hAnsi="Arial Narrow"/>
          <w:i/>
          <w:iCs/>
          <w:snapToGrid w:val="0"/>
          <w:sz w:val="18"/>
          <w:szCs w:val="22"/>
        </w:rPr>
      </w:pPr>
      <w:r w:rsidRPr="001779C8">
        <w:rPr>
          <w:rFonts w:ascii="Arial Narrow" w:hAnsi="Arial Narrow"/>
          <w:i/>
          <w:iCs/>
          <w:sz w:val="18"/>
          <w:szCs w:val="18"/>
          <w:vertAlign w:val="superscript"/>
        </w:rPr>
        <w:t>4</w:t>
      </w:r>
      <w:r w:rsidRPr="001779C8">
        <w:rPr>
          <w:rFonts w:ascii="Arial Narrow" w:hAnsi="Arial Narrow"/>
          <w:i/>
          <w:iCs/>
          <w:sz w:val="18"/>
          <w:szCs w:val="18"/>
        </w:rPr>
        <w:t xml:space="preserve"> $75,000 to &lt; $95,000</w:t>
      </w:r>
    </w:p>
    <w:bookmarkStart w:id="80" w:name="_Hlk144821296"/>
    <w:p w14:paraId="53050821" w14:textId="5FCB8256" w:rsidR="00763EF2" w:rsidRPr="00205839" w:rsidRDefault="005F1914" w:rsidP="004A52A9">
      <w:pPr>
        <w:numPr>
          <w:ilvl w:val="1"/>
          <w:numId w:val="1"/>
        </w:numPr>
        <w:spacing w:after="120"/>
        <w:ind w:left="720"/>
        <w:rPr>
          <w:rFonts w:asciiTheme="minorHAnsi" w:hAnsiTheme="minorHAnsi"/>
          <w:snapToGrid w:val="0"/>
        </w:rPr>
      </w:pPr>
      <w:r w:rsidRPr="005F1914">
        <w:rPr>
          <w:rFonts w:asciiTheme="minorHAnsi" w:hAnsiTheme="minorHAnsi" w:cstheme="minorHAnsi"/>
          <w:snapToGrid w:val="0"/>
        </w:rPr>
        <w:fldChar w:fldCharType="begin" w:fldLock="1"/>
      </w:r>
      <w:r w:rsidRPr="005F1914">
        <w:rPr>
          <w:rFonts w:asciiTheme="minorHAnsi" w:hAnsiTheme="minorHAnsi" w:cstheme="minorHAnsi"/>
          <w:snapToGrid w:val="0"/>
        </w:rPr>
        <w:instrText xml:space="preserve"> REF _Ref145064920 \h  \* MERGEFORMAT </w:instrText>
      </w:r>
      <w:r w:rsidRPr="005F1914">
        <w:rPr>
          <w:rFonts w:asciiTheme="minorHAnsi" w:hAnsiTheme="minorHAnsi" w:cstheme="minorHAnsi"/>
          <w:snapToGrid w:val="0"/>
        </w:rPr>
      </w:r>
      <w:r w:rsidRPr="005F1914">
        <w:rPr>
          <w:rFonts w:asciiTheme="minorHAnsi" w:hAnsiTheme="minorHAnsi" w:cstheme="minorHAnsi"/>
          <w:snapToGrid w:val="0"/>
        </w:rPr>
        <w:fldChar w:fldCharType="separate"/>
      </w:r>
      <w:r w:rsidR="00647249" w:rsidRPr="00647249">
        <w:rPr>
          <w:rFonts w:asciiTheme="minorHAnsi" w:eastAsiaTheme="majorEastAsia" w:hAnsiTheme="minorHAnsi" w:cstheme="minorHAnsi"/>
        </w:rPr>
        <w:t xml:space="preserve">Figure </w:t>
      </w:r>
      <w:r w:rsidR="00647249" w:rsidRPr="00647249">
        <w:rPr>
          <w:rFonts w:asciiTheme="minorHAnsi" w:eastAsiaTheme="majorEastAsia" w:hAnsiTheme="minorHAnsi" w:cstheme="minorHAnsi"/>
          <w:noProof/>
        </w:rPr>
        <w:t>7</w:t>
      </w:r>
      <w:r w:rsidRPr="005F1914">
        <w:rPr>
          <w:rFonts w:asciiTheme="minorHAnsi" w:hAnsiTheme="minorHAnsi" w:cstheme="minorHAnsi"/>
          <w:snapToGrid w:val="0"/>
        </w:rPr>
        <w:fldChar w:fldCharType="end"/>
      </w:r>
      <w:r>
        <w:rPr>
          <w:rFonts w:asciiTheme="minorHAnsi" w:hAnsiTheme="minorHAnsi" w:cstheme="minorBidi"/>
          <w:snapToGrid w:val="0"/>
        </w:rPr>
        <w:t xml:space="preserve"> </w:t>
      </w:r>
      <w:r w:rsidR="00763EF2" w:rsidRPr="0564460C">
        <w:rPr>
          <w:rFonts w:asciiTheme="minorHAnsi" w:hAnsiTheme="minorHAnsi" w:cstheme="minorBidi"/>
          <w:snapToGrid w:val="0"/>
        </w:rPr>
        <w:t>present</w:t>
      </w:r>
      <w:r w:rsidR="00763EF2">
        <w:rPr>
          <w:rFonts w:asciiTheme="minorHAnsi" w:hAnsiTheme="minorHAnsi" w:cstheme="minorBidi"/>
          <w:snapToGrid w:val="0"/>
        </w:rPr>
        <w:t>s</w:t>
      </w:r>
      <w:r w:rsidR="00763EF2" w:rsidRPr="0564460C">
        <w:rPr>
          <w:rFonts w:asciiTheme="minorHAnsi" w:hAnsiTheme="minorHAnsi" w:cstheme="minorBidi"/>
          <w:snapToGrid w:val="0"/>
        </w:rPr>
        <w:t xml:space="preserve"> the traces for the health states in the cabozantinib (+BSC) and BSC </w:t>
      </w:r>
      <w:r w:rsidR="00763EF2">
        <w:rPr>
          <w:rFonts w:asciiTheme="minorHAnsi" w:hAnsiTheme="minorHAnsi" w:cstheme="minorBidi"/>
          <w:snapToGrid w:val="0"/>
        </w:rPr>
        <w:t>arms</w:t>
      </w:r>
      <w:r w:rsidR="00763EF2" w:rsidRPr="0564460C">
        <w:rPr>
          <w:rFonts w:asciiTheme="minorHAnsi" w:hAnsiTheme="minorHAnsi" w:cstheme="minorBidi"/>
          <w:snapToGrid w:val="0"/>
        </w:rPr>
        <w:t>.</w:t>
      </w:r>
    </w:p>
    <w:p w14:paraId="61AADEF2" w14:textId="6C402F2B" w:rsidR="00763EF2" w:rsidRDefault="00763EF2" w:rsidP="00763EF2">
      <w:pPr>
        <w:keepNext/>
        <w:jc w:val="left"/>
        <w:rPr>
          <w:rFonts w:ascii="Arial Narrow" w:eastAsiaTheme="majorEastAsia" w:hAnsi="Arial Narrow" w:cstheme="majorBidi"/>
          <w:b/>
          <w:bCs/>
          <w:sz w:val="20"/>
        </w:rPr>
      </w:pPr>
      <w:bookmarkStart w:id="81" w:name="_Ref145064920"/>
      <w:bookmarkEnd w:id="80"/>
      <w:r w:rsidRPr="003B5F84">
        <w:rPr>
          <w:rFonts w:ascii="Arial Narrow" w:eastAsiaTheme="majorEastAsia" w:hAnsi="Arial Narrow" w:cstheme="majorBidi"/>
          <w:b/>
          <w:bCs/>
          <w:sz w:val="20"/>
        </w:rPr>
        <w:lastRenderedPageBreak/>
        <w:t xml:space="preserve">Figure </w:t>
      </w:r>
      <w:r w:rsidRPr="003B5F84">
        <w:rPr>
          <w:rFonts w:ascii="Arial Narrow" w:eastAsiaTheme="majorEastAsia" w:hAnsi="Arial Narrow" w:cstheme="majorBidi"/>
          <w:b/>
          <w:bCs/>
          <w:sz w:val="20"/>
        </w:rPr>
        <w:fldChar w:fldCharType="begin" w:fldLock="1"/>
      </w:r>
      <w:r w:rsidRPr="003B5F84">
        <w:rPr>
          <w:rFonts w:ascii="Arial Narrow" w:eastAsiaTheme="majorEastAsia" w:hAnsi="Arial Narrow" w:cstheme="majorBidi"/>
          <w:b/>
          <w:bCs/>
          <w:sz w:val="20"/>
        </w:rPr>
        <w:instrText xml:space="preserve"> SEQ Figure \* ARABIC </w:instrText>
      </w:r>
      <w:r w:rsidRPr="003B5F84">
        <w:rPr>
          <w:rFonts w:ascii="Arial Narrow" w:eastAsiaTheme="majorEastAsia" w:hAnsi="Arial Narrow" w:cstheme="majorBidi"/>
          <w:b/>
          <w:bCs/>
          <w:sz w:val="20"/>
        </w:rPr>
        <w:fldChar w:fldCharType="separate"/>
      </w:r>
      <w:r w:rsidR="00647249">
        <w:rPr>
          <w:rFonts w:ascii="Arial Narrow" w:eastAsiaTheme="majorEastAsia" w:hAnsi="Arial Narrow" w:cstheme="majorBidi"/>
          <w:b/>
          <w:bCs/>
          <w:noProof/>
          <w:sz w:val="20"/>
        </w:rPr>
        <w:t>7</w:t>
      </w:r>
      <w:r w:rsidRPr="003B5F84">
        <w:rPr>
          <w:rFonts w:ascii="Arial Narrow" w:eastAsiaTheme="majorEastAsia" w:hAnsi="Arial Narrow" w:cstheme="majorBidi"/>
          <w:b/>
          <w:bCs/>
          <w:noProof/>
          <w:sz w:val="20"/>
        </w:rPr>
        <w:fldChar w:fldCharType="end"/>
      </w:r>
      <w:bookmarkEnd w:id="81"/>
      <w:r w:rsidRPr="003B5F84">
        <w:rPr>
          <w:rFonts w:ascii="Arial Narrow" w:eastAsiaTheme="majorEastAsia" w:hAnsi="Arial Narrow" w:cstheme="majorBidi"/>
          <w:b/>
          <w:bCs/>
          <w:noProof/>
          <w:sz w:val="20"/>
        </w:rPr>
        <w:t>:</w:t>
      </w:r>
      <w:r w:rsidRPr="003B5F84">
        <w:rPr>
          <w:rFonts w:ascii="Arial Narrow" w:eastAsiaTheme="majorEastAsia" w:hAnsi="Arial Narrow" w:cstheme="majorBidi"/>
          <w:b/>
          <w:bCs/>
          <w:sz w:val="20"/>
        </w:rPr>
        <w:t xml:space="preserve"> Trace of health states</w:t>
      </w:r>
      <w:r>
        <w:rPr>
          <w:rFonts w:ascii="Arial Narrow" w:eastAsiaTheme="majorEastAsia" w:hAnsi="Arial Narrow" w:cstheme="majorBidi"/>
          <w:b/>
          <w:bCs/>
          <w:sz w:val="20"/>
        </w:rPr>
        <w:t xml:space="preserve"> </w:t>
      </w:r>
      <w:r w:rsidRPr="003B5F84">
        <w:rPr>
          <w:rFonts w:ascii="Arial Narrow" w:eastAsiaTheme="majorEastAsia" w:hAnsi="Arial Narrow" w:cstheme="majorBidi"/>
          <w:b/>
          <w:bCs/>
          <w:sz w:val="20"/>
        </w:rPr>
        <w:t>(base case)</w:t>
      </w:r>
    </w:p>
    <w:p w14:paraId="7337DD4D" w14:textId="77777777" w:rsidR="00763EF2" w:rsidRDefault="00763EF2" w:rsidP="00763EF2">
      <w:pPr>
        <w:rPr>
          <w:rFonts w:eastAsiaTheme="majorEastAsia"/>
        </w:rPr>
      </w:pPr>
      <w:r>
        <w:rPr>
          <w:rFonts w:eastAsiaTheme="majorEastAsia"/>
          <w:noProof/>
        </w:rPr>
        <w:drawing>
          <wp:inline distT="0" distB="0" distL="0" distR="0" wp14:anchorId="63278CA2" wp14:editId="7F4B09F3">
            <wp:extent cx="5645214" cy="3966816"/>
            <wp:effectExtent l="19050" t="19050" r="12700" b="15240"/>
            <wp:docPr id="358060191" name="Picture 1" descr="A graph with different color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060191" name="Picture 1" descr="A graph with different colored line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80209" cy="3991407"/>
                    </a:xfrm>
                    <a:prstGeom prst="rect">
                      <a:avLst/>
                    </a:prstGeom>
                    <a:noFill/>
                    <a:ln w="3175">
                      <a:solidFill>
                        <a:sysClr val="windowText" lastClr="000000"/>
                      </a:solidFill>
                    </a:ln>
                  </pic:spPr>
                </pic:pic>
              </a:graphicData>
            </a:graphic>
          </wp:inline>
        </w:drawing>
      </w:r>
    </w:p>
    <w:p w14:paraId="4131C8AF" w14:textId="10B49DD1" w:rsidR="00763EF2" w:rsidRPr="00985104" w:rsidRDefault="00763EF2" w:rsidP="00763EF2">
      <w:pPr>
        <w:pStyle w:val="TableFigureFooter"/>
        <w:rPr>
          <w:rFonts w:eastAsia="Calibri"/>
        </w:rPr>
      </w:pPr>
      <w:r w:rsidRPr="00985104">
        <w:rPr>
          <w:rFonts w:eastAsia="Calibri"/>
        </w:rPr>
        <w:t xml:space="preserve">Source: </w:t>
      </w:r>
      <w:r w:rsidR="00550A06" w:rsidRPr="00985104">
        <w:rPr>
          <w:rFonts w:eastAsia="Calibri"/>
        </w:rPr>
        <w:t>Figure reconstructed during the evaluation based on data contained in the t</w:t>
      </w:r>
      <w:r w:rsidRPr="00985104">
        <w:rPr>
          <w:rFonts w:eastAsia="Calibri"/>
        </w:rPr>
        <w:t>abs titled ‘Markov – Cabozantinib’ and ‘Markov – PBO’ in Excel workbook titled ‘Attachment 10 – DTC economic evaluation – Section 3 – FINAL’ of the submission</w:t>
      </w:r>
      <w:r w:rsidR="00550A06" w:rsidRPr="00985104">
        <w:rPr>
          <w:rFonts w:eastAsia="Calibri"/>
        </w:rPr>
        <w:t>.</w:t>
      </w:r>
    </w:p>
    <w:p w14:paraId="2DECC934" w14:textId="72DB9875" w:rsidR="00763EF2" w:rsidRPr="003B5F84" w:rsidRDefault="00763EF2" w:rsidP="004A52A9">
      <w:pPr>
        <w:numPr>
          <w:ilvl w:val="1"/>
          <w:numId w:val="1"/>
        </w:numPr>
        <w:spacing w:after="120"/>
        <w:ind w:left="720"/>
        <w:rPr>
          <w:rFonts w:asciiTheme="minorHAnsi" w:hAnsiTheme="minorHAnsi"/>
          <w:snapToGrid w:val="0"/>
        </w:rPr>
      </w:pPr>
      <w:r w:rsidRPr="0564460C">
        <w:rPr>
          <w:rFonts w:asciiTheme="minorHAnsi" w:hAnsiTheme="minorHAnsi" w:cstheme="minorBidi"/>
          <w:snapToGrid w:val="0"/>
        </w:rPr>
        <w:fldChar w:fldCharType="begin" w:fldLock="1"/>
      </w:r>
      <w:r w:rsidRPr="0564460C">
        <w:rPr>
          <w:rFonts w:asciiTheme="minorHAnsi" w:hAnsiTheme="minorHAnsi" w:cstheme="minorBidi"/>
          <w:snapToGrid w:val="0"/>
        </w:rPr>
        <w:instrText xml:space="preserve"> REF _Ref104805181 \h  \* MERGEFORMAT </w:instrText>
      </w:r>
      <w:r w:rsidRPr="0564460C">
        <w:rPr>
          <w:rFonts w:asciiTheme="minorHAnsi" w:hAnsiTheme="minorHAnsi" w:cstheme="minorBidi"/>
          <w:snapToGrid w:val="0"/>
        </w:rPr>
      </w:r>
      <w:r w:rsidRPr="0564460C">
        <w:rPr>
          <w:rFonts w:asciiTheme="minorHAnsi" w:hAnsiTheme="minorHAnsi" w:cstheme="minorBidi"/>
          <w:snapToGrid w:val="0"/>
        </w:rPr>
        <w:fldChar w:fldCharType="separate"/>
      </w:r>
      <w:r w:rsidR="008760F8" w:rsidRPr="008760F8">
        <w:rPr>
          <w:rFonts w:asciiTheme="minorHAnsi" w:hAnsiTheme="minorHAnsi" w:cstheme="minorBidi"/>
        </w:rPr>
        <w:t>Table 17</w:t>
      </w:r>
      <w:r w:rsidRPr="0564460C">
        <w:rPr>
          <w:rFonts w:asciiTheme="minorHAnsi" w:hAnsiTheme="minorHAnsi" w:cstheme="minorBidi"/>
          <w:snapToGrid w:val="0"/>
        </w:rPr>
        <w:fldChar w:fldCharType="end"/>
      </w:r>
      <w:r w:rsidRPr="0564460C">
        <w:rPr>
          <w:rFonts w:asciiTheme="minorHAnsi" w:hAnsiTheme="minorHAnsi" w:cstheme="minorBidi"/>
          <w:snapToGrid w:val="0"/>
        </w:rPr>
        <w:t xml:space="preserve"> prese</w:t>
      </w:r>
      <w:r w:rsidRPr="0564460C">
        <w:rPr>
          <w:rFonts w:asciiTheme="minorHAnsi" w:hAnsiTheme="minorHAnsi"/>
          <w:snapToGrid w:val="0"/>
        </w:rPr>
        <w:t>nts the results of the economic evaluation in the base case (</w:t>
      </w:r>
      <w:r w:rsidR="004F7B9A">
        <w:rPr>
          <w:rFonts w:asciiTheme="minorHAnsi" w:hAnsiTheme="minorHAnsi"/>
          <w:snapToGrid w:val="0"/>
        </w:rPr>
        <w:t>subgroup</w:t>
      </w:r>
      <w:r w:rsidRPr="0564460C">
        <w:rPr>
          <w:rFonts w:asciiTheme="minorHAnsi" w:hAnsiTheme="minorHAnsi"/>
          <w:snapToGrid w:val="0"/>
        </w:rPr>
        <w:t xml:space="preserve"> previously treated with lenvatinib only) and additional analysis (full COSMIC-311 population). </w:t>
      </w:r>
      <w:r w:rsidR="000E709B">
        <w:rPr>
          <w:rFonts w:asciiTheme="minorHAnsi" w:hAnsiTheme="minorHAnsi"/>
          <w:snapToGrid w:val="0"/>
        </w:rPr>
        <w:t>The revised base case presented in the pre-PBAC response which incorporated adjusted utility values and adjusted subsequent treatment costs is also presented. The revised base case</w:t>
      </w:r>
      <w:r w:rsidR="0059575A">
        <w:rPr>
          <w:rFonts w:asciiTheme="minorHAnsi" w:hAnsiTheme="minorHAnsi"/>
          <w:snapToGrid w:val="0"/>
        </w:rPr>
        <w:t xml:space="preserve"> maintained the RPSFT cross over adjustment for overall survival</w:t>
      </w:r>
      <w:r w:rsidR="00846727">
        <w:rPr>
          <w:rFonts w:asciiTheme="minorHAnsi" w:hAnsiTheme="minorHAnsi"/>
          <w:snapToGrid w:val="0"/>
        </w:rPr>
        <w:t>;</w:t>
      </w:r>
      <w:r w:rsidR="0059575A">
        <w:rPr>
          <w:rFonts w:asciiTheme="minorHAnsi" w:hAnsiTheme="minorHAnsi"/>
          <w:snapToGrid w:val="0"/>
        </w:rPr>
        <w:t xml:space="preserve"> however,</w:t>
      </w:r>
      <w:r w:rsidR="000E709B">
        <w:rPr>
          <w:rFonts w:asciiTheme="minorHAnsi" w:hAnsiTheme="minorHAnsi"/>
          <w:snapToGrid w:val="0"/>
        </w:rPr>
        <w:t xml:space="preserve"> </w:t>
      </w:r>
      <w:r w:rsidR="0059575A">
        <w:rPr>
          <w:rFonts w:asciiTheme="minorHAnsi" w:hAnsiTheme="minorHAnsi"/>
          <w:snapToGrid w:val="0"/>
        </w:rPr>
        <w:t>added</w:t>
      </w:r>
      <w:r w:rsidR="000E709B">
        <w:rPr>
          <w:rFonts w:asciiTheme="minorHAnsi" w:hAnsiTheme="minorHAnsi"/>
          <w:snapToGrid w:val="0"/>
        </w:rPr>
        <w:t xml:space="preserve"> </w:t>
      </w:r>
      <w:r w:rsidR="0097744B">
        <w:rPr>
          <w:rFonts w:asciiTheme="minorHAnsi" w:hAnsiTheme="minorHAnsi"/>
          <w:snapToGrid w:val="0"/>
        </w:rPr>
        <w:t xml:space="preserve">subsequent treatment costs for </w:t>
      </w:r>
      <w:r w:rsidR="000E709B">
        <w:rPr>
          <w:rFonts w:asciiTheme="minorHAnsi" w:hAnsiTheme="minorHAnsi"/>
          <w:snapToGrid w:val="0"/>
        </w:rPr>
        <w:t>patients who</w:t>
      </w:r>
      <w:r w:rsidR="0059575A">
        <w:rPr>
          <w:rFonts w:asciiTheme="minorHAnsi" w:hAnsiTheme="minorHAnsi"/>
          <w:snapToGrid w:val="0"/>
        </w:rPr>
        <w:t xml:space="preserve"> were randomised to placebo and then</w:t>
      </w:r>
      <w:r w:rsidR="000E709B">
        <w:rPr>
          <w:rFonts w:asciiTheme="minorHAnsi" w:hAnsiTheme="minorHAnsi"/>
          <w:snapToGrid w:val="0"/>
        </w:rPr>
        <w:t xml:space="preserve"> </w:t>
      </w:r>
      <w:r w:rsidR="00D87267">
        <w:rPr>
          <w:rFonts w:asciiTheme="minorHAnsi" w:hAnsiTheme="minorHAnsi"/>
          <w:snapToGrid w:val="0"/>
        </w:rPr>
        <w:t>crossed over</w:t>
      </w:r>
      <w:r w:rsidR="000E709B">
        <w:rPr>
          <w:rFonts w:asciiTheme="minorHAnsi" w:hAnsiTheme="minorHAnsi"/>
          <w:snapToGrid w:val="0"/>
        </w:rPr>
        <w:t xml:space="preserve"> to </w:t>
      </w:r>
      <w:r w:rsidR="00B54FFE">
        <w:rPr>
          <w:rFonts w:asciiTheme="minorHAnsi" w:hAnsiTheme="minorHAnsi"/>
          <w:snapToGrid w:val="0"/>
        </w:rPr>
        <w:t xml:space="preserve">receive </w:t>
      </w:r>
      <w:r w:rsidR="000E709B">
        <w:rPr>
          <w:rFonts w:asciiTheme="minorHAnsi" w:hAnsiTheme="minorHAnsi"/>
          <w:snapToGrid w:val="0"/>
        </w:rPr>
        <w:t>cabozantinib (</w:t>
      </w:r>
      <w:r w:rsidR="0059575A">
        <w:rPr>
          <w:rFonts w:asciiTheme="minorHAnsi" w:hAnsiTheme="minorHAnsi"/>
          <w:snapToGrid w:val="0"/>
        </w:rPr>
        <w:t xml:space="preserve">no subsequent treatment costs </w:t>
      </w:r>
      <w:r w:rsidR="000E709B">
        <w:rPr>
          <w:rFonts w:asciiTheme="minorHAnsi" w:hAnsiTheme="minorHAnsi"/>
          <w:snapToGrid w:val="0"/>
        </w:rPr>
        <w:t xml:space="preserve">were </w:t>
      </w:r>
      <w:r w:rsidR="0059575A">
        <w:rPr>
          <w:rFonts w:asciiTheme="minorHAnsi" w:hAnsiTheme="minorHAnsi"/>
          <w:snapToGrid w:val="0"/>
        </w:rPr>
        <w:t>included</w:t>
      </w:r>
      <w:r w:rsidR="000E709B">
        <w:rPr>
          <w:rFonts w:asciiTheme="minorHAnsi" w:hAnsiTheme="minorHAnsi"/>
          <w:snapToGrid w:val="0"/>
        </w:rPr>
        <w:t xml:space="preserve"> </w:t>
      </w:r>
      <w:r w:rsidR="0059575A">
        <w:rPr>
          <w:rFonts w:asciiTheme="minorHAnsi" w:hAnsiTheme="minorHAnsi"/>
          <w:snapToGrid w:val="0"/>
        </w:rPr>
        <w:t xml:space="preserve">for these patients </w:t>
      </w:r>
      <w:r w:rsidR="000E709B">
        <w:rPr>
          <w:rFonts w:asciiTheme="minorHAnsi" w:hAnsiTheme="minorHAnsi"/>
          <w:snapToGrid w:val="0"/>
        </w:rPr>
        <w:t>in the base case</w:t>
      </w:r>
      <w:r w:rsidR="0059575A">
        <w:rPr>
          <w:rFonts w:asciiTheme="minorHAnsi" w:hAnsiTheme="minorHAnsi"/>
          <w:snapToGrid w:val="0"/>
        </w:rPr>
        <w:t xml:space="preserve"> in the submission</w:t>
      </w:r>
      <w:r w:rsidR="000E709B">
        <w:rPr>
          <w:rFonts w:asciiTheme="minorHAnsi" w:hAnsiTheme="minorHAnsi"/>
          <w:snapToGrid w:val="0"/>
        </w:rPr>
        <w:t>).</w:t>
      </w:r>
    </w:p>
    <w:p w14:paraId="6FEF8B62" w14:textId="3C9A4C39" w:rsidR="00763EF2" w:rsidRPr="003B5F84" w:rsidRDefault="00763EF2" w:rsidP="00763EF2">
      <w:pPr>
        <w:keepNext/>
        <w:keepLines/>
        <w:rPr>
          <w:rFonts w:ascii="Arial Narrow" w:hAnsi="Arial Narrow"/>
          <w:b/>
          <w:bCs/>
          <w:sz w:val="20"/>
        </w:rPr>
      </w:pPr>
      <w:bookmarkStart w:id="82" w:name="_Ref104805181"/>
      <w:r w:rsidRPr="003B5F84">
        <w:rPr>
          <w:rFonts w:ascii="Arial Narrow" w:hAnsi="Arial Narrow"/>
          <w:b/>
          <w:bCs/>
          <w:sz w:val="20"/>
          <w:szCs w:val="18"/>
        </w:rPr>
        <w:lastRenderedPageBreak/>
        <w:t xml:space="preserve">Table </w:t>
      </w:r>
      <w:r w:rsidRPr="003B5F84">
        <w:rPr>
          <w:rFonts w:ascii="Arial Narrow" w:hAnsi="Arial Narrow"/>
          <w:b/>
          <w:bCs/>
          <w:sz w:val="20"/>
          <w:szCs w:val="18"/>
        </w:rPr>
        <w:fldChar w:fldCharType="begin" w:fldLock="1"/>
      </w:r>
      <w:r w:rsidRPr="003B5F84">
        <w:rPr>
          <w:rFonts w:ascii="Arial Narrow" w:hAnsi="Arial Narrow"/>
          <w:b/>
          <w:bCs/>
          <w:sz w:val="20"/>
          <w:szCs w:val="18"/>
        </w:rPr>
        <w:instrText xml:space="preserve"> SEQ Table \* ARABIC </w:instrText>
      </w:r>
      <w:r w:rsidRPr="003B5F84">
        <w:rPr>
          <w:rFonts w:ascii="Arial Narrow" w:hAnsi="Arial Narrow"/>
          <w:b/>
          <w:bCs/>
          <w:sz w:val="20"/>
          <w:szCs w:val="18"/>
        </w:rPr>
        <w:fldChar w:fldCharType="separate"/>
      </w:r>
      <w:r w:rsidR="008760F8">
        <w:rPr>
          <w:rFonts w:ascii="Arial Narrow" w:hAnsi="Arial Narrow"/>
          <w:b/>
          <w:bCs/>
          <w:noProof/>
          <w:sz w:val="20"/>
          <w:szCs w:val="18"/>
        </w:rPr>
        <w:t>17</w:t>
      </w:r>
      <w:r w:rsidRPr="003B5F84">
        <w:rPr>
          <w:rFonts w:ascii="Arial Narrow" w:hAnsi="Arial Narrow"/>
          <w:b/>
          <w:bCs/>
          <w:noProof/>
          <w:sz w:val="20"/>
          <w:szCs w:val="18"/>
        </w:rPr>
        <w:fldChar w:fldCharType="end"/>
      </w:r>
      <w:bookmarkEnd w:id="82"/>
      <w:r w:rsidRPr="003B5F84">
        <w:rPr>
          <w:rFonts w:ascii="Arial Narrow" w:hAnsi="Arial Narrow"/>
          <w:b/>
          <w:bCs/>
          <w:sz w:val="20"/>
        </w:rPr>
        <w:t>: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108"/>
        <w:gridCol w:w="1986"/>
        <w:gridCol w:w="1417"/>
        <w:gridCol w:w="1506"/>
      </w:tblGrid>
      <w:tr w:rsidR="00763EF2" w:rsidRPr="003B5F84" w14:paraId="507FE238" w14:textId="77777777" w:rsidTr="000E709B">
        <w:trPr>
          <w:tblHeader/>
        </w:trPr>
        <w:tc>
          <w:tcPr>
            <w:tcW w:w="2278" w:type="pct"/>
            <w:vAlign w:val="center"/>
          </w:tcPr>
          <w:p w14:paraId="53C310FB" w14:textId="77777777" w:rsidR="00763EF2" w:rsidRPr="003B5F84" w:rsidRDefault="00763EF2"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sz w:val="20"/>
                <w:lang w:val="en-US"/>
              </w:rPr>
              <w:t>Component</w:t>
            </w:r>
          </w:p>
        </w:tc>
        <w:tc>
          <w:tcPr>
            <w:tcW w:w="1101" w:type="pct"/>
            <w:vAlign w:val="center"/>
          </w:tcPr>
          <w:p w14:paraId="7D6F5A0D" w14:textId="77777777" w:rsidR="00763EF2" w:rsidRPr="003B5F84" w:rsidRDefault="00763EF2"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sz w:val="20"/>
                <w:lang w:val="en-US"/>
              </w:rPr>
              <w:t>Cabozantinib + BSC</w:t>
            </w:r>
          </w:p>
        </w:tc>
        <w:tc>
          <w:tcPr>
            <w:tcW w:w="786" w:type="pct"/>
            <w:vAlign w:val="center"/>
          </w:tcPr>
          <w:p w14:paraId="33DEA201" w14:textId="77777777" w:rsidR="00763EF2" w:rsidRPr="003B5F84" w:rsidRDefault="00763EF2"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sz w:val="20"/>
                <w:lang w:val="en-US"/>
              </w:rPr>
              <w:t>BSC</w:t>
            </w:r>
          </w:p>
        </w:tc>
        <w:tc>
          <w:tcPr>
            <w:tcW w:w="835" w:type="pct"/>
            <w:vAlign w:val="center"/>
          </w:tcPr>
          <w:p w14:paraId="7EF9CECF" w14:textId="77777777" w:rsidR="00763EF2" w:rsidRPr="003B5F84" w:rsidRDefault="00763EF2"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sz w:val="20"/>
                <w:lang w:val="en-US"/>
              </w:rPr>
              <w:t>Increment</w:t>
            </w:r>
          </w:p>
        </w:tc>
      </w:tr>
      <w:tr w:rsidR="00763EF2" w:rsidRPr="003B5F84" w14:paraId="57193F89" w14:textId="77777777" w:rsidTr="00CB4A1F">
        <w:tc>
          <w:tcPr>
            <w:tcW w:w="5000" w:type="pct"/>
            <w:gridSpan w:val="4"/>
            <w:vAlign w:val="center"/>
          </w:tcPr>
          <w:p w14:paraId="55166478" w14:textId="16CE3E9B" w:rsidR="00763EF2" w:rsidRPr="003B5F84" w:rsidRDefault="00763EF2" w:rsidP="00CB4A1F">
            <w:pPr>
              <w:keepNext/>
              <w:jc w:val="left"/>
              <w:rPr>
                <w:rFonts w:ascii="Arial Narrow" w:eastAsiaTheme="majorEastAsia" w:hAnsi="Arial Narrow" w:cstheme="majorBidi"/>
                <w:b/>
                <w:sz w:val="20"/>
              </w:rPr>
            </w:pPr>
            <w:bookmarkStart w:id="83" w:name="_Hlk141186279"/>
            <w:r w:rsidRPr="003B5F84">
              <w:rPr>
                <w:rFonts w:ascii="Arial Narrow" w:eastAsiaTheme="majorEastAsia" w:hAnsi="Arial Narrow" w:cstheme="majorBidi"/>
                <w:b/>
                <w:sz w:val="20"/>
              </w:rPr>
              <w:t xml:space="preserve">Base case: </w:t>
            </w:r>
            <w:r w:rsidR="004F7B9A">
              <w:rPr>
                <w:rFonts w:ascii="Arial Narrow" w:eastAsiaTheme="majorEastAsia" w:hAnsi="Arial Narrow" w:cstheme="majorBidi"/>
                <w:b/>
                <w:sz w:val="20"/>
              </w:rPr>
              <w:t>subgroup</w:t>
            </w:r>
            <w:r w:rsidRPr="003B5F84">
              <w:rPr>
                <w:rFonts w:ascii="Arial Narrow" w:eastAsiaTheme="majorEastAsia" w:hAnsi="Arial Narrow" w:cstheme="majorBidi"/>
                <w:b/>
                <w:sz w:val="20"/>
              </w:rPr>
              <w:t xml:space="preserve"> previously treated with lenvatinib only</w:t>
            </w:r>
          </w:p>
        </w:tc>
      </w:tr>
      <w:tr w:rsidR="00763EF2" w:rsidRPr="003B5F84" w14:paraId="4060CE0A" w14:textId="77777777" w:rsidTr="000E709B">
        <w:tc>
          <w:tcPr>
            <w:tcW w:w="2278" w:type="pct"/>
            <w:vAlign w:val="center"/>
          </w:tcPr>
          <w:p w14:paraId="7EA752D7" w14:textId="4D697C74" w:rsidR="00763EF2" w:rsidRPr="003B5F84" w:rsidRDefault="00763EF2" w:rsidP="00CB4A1F">
            <w:pPr>
              <w:keepNext/>
              <w:jc w:val="left"/>
              <w:rPr>
                <w:rFonts w:ascii="Times" w:eastAsiaTheme="majorEastAsia" w:hAnsi="Times" w:cstheme="majorBidi"/>
                <w:bCs/>
                <w:sz w:val="20"/>
              </w:rPr>
            </w:pPr>
            <w:r w:rsidRPr="003B5F84">
              <w:rPr>
                <w:rFonts w:ascii="Arial Narrow" w:eastAsiaTheme="majorEastAsia" w:hAnsi="Arial Narrow" w:cstheme="majorBidi"/>
                <w:bCs/>
                <w:sz w:val="20"/>
              </w:rPr>
              <w:t>Costs</w:t>
            </w:r>
            <w:r w:rsidR="00FC479C">
              <w:rPr>
                <w:rFonts w:ascii="Arial Narrow" w:eastAsiaTheme="majorEastAsia" w:hAnsi="Arial Narrow" w:cstheme="majorBidi"/>
                <w:bCs/>
                <w:sz w:val="20"/>
              </w:rPr>
              <w:t xml:space="preserve"> ($)</w:t>
            </w:r>
          </w:p>
        </w:tc>
        <w:tc>
          <w:tcPr>
            <w:tcW w:w="1101" w:type="pct"/>
            <w:vAlign w:val="center"/>
          </w:tcPr>
          <w:p w14:paraId="74220DC5" w14:textId="1AFBDAB2" w:rsidR="00763EF2" w:rsidRPr="003B5F84" w:rsidRDefault="005860C6" w:rsidP="00CB4A1F">
            <w:pPr>
              <w:keepNext/>
              <w:jc w:val="center"/>
              <w:rPr>
                <w:rFonts w:ascii="Times" w:eastAsiaTheme="majorEastAsia" w:hAnsi="Times" w:cstheme="majorBidi"/>
                <w:bCs/>
                <w:sz w:val="20"/>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280F1A">
              <w:rPr>
                <w:rFonts w:ascii="Arial Narrow" w:eastAsiaTheme="majorEastAsia" w:hAnsi="Arial Narrow" w:cstheme="majorBidi"/>
                <w:bCs/>
                <w:sz w:val="20"/>
              </w:rPr>
              <w:t xml:space="preserve"> </w:t>
            </w:r>
          </w:p>
        </w:tc>
        <w:tc>
          <w:tcPr>
            <w:tcW w:w="786" w:type="pct"/>
            <w:vAlign w:val="center"/>
          </w:tcPr>
          <w:p w14:paraId="59772E95" w14:textId="01B2B3B6" w:rsidR="00763EF2" w:rsidRPr="009A1253" w:rsidRDefault="00763EF2" w:rsidP="00CB4A1F">
            <w:pPr>
              <w:keepNext/>
              <w:jc w:val="center"/>
              <w:rPr>
                <w:rFonts w:ascii="Times" w:eastAsiaTheme="majorEastAsia" w:hAnsi="Times" w:cstheme="majorBidi"/>
                <w:bCs/>
                <w:sz w:val="20"/>
              </w:rPr>
            </w:pPr>
            <w:r w:rsidRPr="009A1253">
              <w:rPr>
                <w:rFonts w:ascii="Arial Narrow" w:eastAsiaTheme="majorEastAsia" w:hAnsi="Arial Narrow" w:cstheme="majorBidi"/>
                <w:bCs/>
                <w:sz w:val="20"/>
              </w:rPr>
              <w:t>$34,902</w:t>
            </w:r>
          </w:p>
        </w:tc>
        <w:tc>
          <w:tcPr>
            <w:tcW w:w="835" w:type="pct"/>
            <w:vAlign w:val="center"/>
          </w:tcPr>
          <w:p w14:paraId="4C42F93F" w14:textId="79EEED13" w:rsidR="00763EF2" w:rsidRPr="003B5F84" w:rsidRDefault="005860C6" w:rsidP="00CB4A1F">
            <w:pPr>
              <w:keepNext/>
              <w:jc w:val="center"/>
              <w:rPr>
                <w:rFonts w:ascii="Times" w:eastAsiaTheme="majorEastAsia" w:hAnsi="Times" w:cstheme="majorBidi"/>
                <w:bCs/>
                <w:sz w:val="20"/>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r>
      <w:tr w:rsidR="00763EF2" w:rsidRPr="003B5F84" w14:paraId="1271F755" w14:textId="77777777" w:rsidTr="000E709B">
        <w:tc>
          <w:tcPr>
            <w:tcW w:w="2278" w:type="pct"/>
            <w:vAlign w:val="center"/>
          </w:tcPr>
          <w:p w14:paraId="5CCD1B8A" w14:textId="77777777" w:rsidR="00763EF2" w:rsidRPr="003B5F84" w:rsidRDefault="00763EF2" w:rsidP="00CB4A1F">
            <w:pPr>
              <w:keepNext/>
              <w:jc w:val="left"/>
              <w:rPr>
                <w:rFonts w:ascii="Arial Narrow" w:eastAsiaTheme="majorEastAsia" w:hAnsi="Arial Narrow" w:cstheme="majorBidi"/>
                <w:bCs/>
                <w:sz w:val="20"/>
              </w:rPr>
            </w:pPr>
            <w:r w:rsidRPr="003B5F84">
              <w:rPr>
                <w:rFonts w:ascii="Arial Narrow" w:eastAsiaTheme="majorEastAsia" w:hAnsi="Arial Narrow" w:cstheme="majorBidi"/>
                <w:bCs/>
                <w:sz w:val="20"/>
              </w:rPr>
              <w:t>LY</w:t>
            </w:r>
            <w:r>
              <w:rPr>
                <w:rFonts w:ascii="Arial Narrow" w:eastAsiaTheme="majorEastAsia" w:hAnsi="Arial Narrow" w:cstheme="majorBidi"/>
                <w:bCs/>
                <w:sz w:val="20"/>
              </w:rPr>
              <w:t xml:space="preserve"> (undiscounted)</w:t>
            </w:r>
          </w:p>
        </w:tc>
        <w:tc>
          <w:tcPr>
            <w:tcW w:w="1101" w:type="pct"/>
            <w:vAlign w:val="center"/>
          </w:tcPr>
          <w:p w14:paraId="43A66908" w14:textId="7A31F02C" w:rsidR="00763EF2" w:rsidRPr="00E774EB" w:rsidRDefault="00763EF2" w:rsidP="00CB4A1F">
            <w:pPr>
              <w:keepNext/>
              <w:jc w:val="center"/>
              <w:rPr>
                <w:rFonts w:ascii="Arial Narrow" w:eastAsiaTheme="majorEastAsia" w:hAnsi="Arial Narrow" w:cstheme="majorBidi"/>
                <w:bCs/>
                <w:sz w:val="20"/>
              </w:rPr>
            </w:pPr>
            <w:r w:rsidRPr="00E774EB">
              <w:rPr>
                <w:rFonts w:ascii="Arial Narrow" w:eastAsiaTheme="majorEastAsia" w:hAnsi="Arial Narrow" w:cstheme="majorBidi"/>
                <w:bCs/>
                <w:sz w:val="20"/>
              </w:rPr>
              <w:t>1.35</w:t>
            </w:r>
            <w:r w:rsidR="00280F1A" w:rsidRPr="00D22B13">
              <w:rPr>
                <w:rFonts w:ascii="Arial Narrow" w:eastAsiaTheme="majorEastAsia" w:hAnsi="Arial Narrow" w:cstheme="majorBidi"/>
                <w:bCs/>
                <w:sz w:val="20"/>
              </w:rPr>
              <w:t xml:space="preserve"> </w:t>
            </w:r>
          </w:p>
        </w:tc>
        <w:tc>
          <w:tcPr>
            <w:tcW w:w="786" w:type="pct"/>
            <w:vAlign w:val="center"/>
          </w:tcPr>
          <w:p w14:paraId="621820F6" w14:textId="0827A477" w:rsidR="00763EF2" w:rsidRPr="009A1253" w:rsidRDefault="00763EF2" w:rsidP="00CB4A1F">
            <w:pPr>
              <w:keepNext/>
              <w:jc w:val="center"/>
              <w:rPr>
                <w:rFonts w:ascii="Arial Narrow" w:eastAsiaTheme="majorEastAsia" w:hAnsi="Arial Narrow" w:cstheme="majorBidi"/>
                <w:bCs/>
                <w:sz w:val="20"/>
              </w:rPr>
            </w:pPr>
            <w:r w:rsidRPr="009A1253">
              <w:rPr>
                <w:rFonts w:ascii="Arial Narrow" w:eastAsiaTheme="majorEastAsia" w:hAnsi="Arial Narrow" w:cstheme="majorBidi"/>
                <w:bCs/>
                <w:sz w:val="20"/>
              </w:rPr>
              <w:t>1.26</w:t>
            </w:r>
            <w:r w:rsidR="00280F1A" w:rsidRPr="00D22B13">
              <w:rPr>
                <w:rFonts w:ascii="Arial Narrow" w:eastAsiaTheme="majorEastAsia" w:hAnsi="Arial Narrow" w:cstheme="majorBidi"/>
                <w:bCs/>
                <w:sz w:val="20"/>
              </w:rPr>
              <w:t xml:space="preserve"> </w:t>
            </w:r>
          </w:p>
        </w:tc>
        <w:tc>
          <w:tcPr>
            <w:tcW w:w="835" w:type="pct"/>
            <w:vAlign w:val="center"/>
          </w:tcPr>
          <w:p w14:paraId="52B55B07" w14:textId="77777777" w:rsidR="00763EF2" w:rsidRPr="003B5F84" w:rsidRDefault="00763EF2" w:rsidP="00CB4A1F">
            <w:pPr>
              <w:keepNext/>
              <w:jc w:val="center"/>
              <w:rPr>
                <w:rFonts w:ascii="Arial Narrow" w:eastAsiaTheme="majorEastAsia" w:hAnsi="Arial Narrow" w:cstheme="majorBidi"/>
                <w:bCs/>
                <w:sz w:val="20"/>
              </w:rPr>
            </w:pPr>
            <w:r w:rsidRPr="003B5F84">
              <w:rPr>
                <w:rFonts w:ascii="Arial Narrow" w:eastAsiaTheme="majorEastAsia" w:hAnsi="Arial Narrow" w:cstheme="majorBidi"/>
                <w:bCs/>
                <w:sz w:val="20"/>
              </w:rPr>
              <w:t>0.09</w:t>
            </w:r>
          </w:p>
        </w:tc>
      </w:tr>
      <w:tr w:rsidR="00763EF2" w:rsidRPr="003B5F84" w14:paraId="260EE44D" w14:textId="77777777" w:rsidTr="000E709B">
        <w:tc>
          <w:tcPr>
            <w:tcW w:w="2278" w:type="pct"/>
            <w:vAlign w:val="center"/>
          </w:tcPr>
          <w:p w14:paraId="392A3EE9" w14:textId="77777777" w:rsidR="00763EF2" w:rsidRPr="003B5F84" w:rsidRDefault="00763EF2" w:rsidP="00CB4A1F">
            <w:pPr>
              <w:keepNext/>
              <w:jc w:val="left"/>
              <w:rPr>
                <w:rFonts w:ascii="Times" w:eastAsiaTheme="majorEastAsia" w:hAnsi="Times" w:cstheme="majorBidi"/>
                <w:bCs/>
                <w:sz w:val="20"/>
              </w:rPr>
            </w:pPr>
            <w:r w:rsidRPr="003B5F84">
              <w:rPr>
                <w:rFonts w:ascii="Arial Narrow" w:eastAsiaTheme="majorEastAsia" w:hAnsi="Arial Narrow" w:cstheme="majorBidi"/>
                <w:bCs/>
                <w:sz w:val="20"/>
              </w:rPr>
              <w:t>QALY</w:t>
            </w:r>
          </w:p>
        </w:tc>
        <w:tc>
          <w:tcPr>
            <w:tcW w:w="1101" w:type="pct"/>
            <w:vAlign w:val="center"/>
          </w:tcPr>
          <w:p w14:paraId="24BC51FA" w14:textId="60A58F34" w:rsidR="00763EF2" w:rsidRPr="00E774EB" w:rsidRDefault="00763EF2" w:rsidP="00CB4A1F">
            <w:pPr>
              <w:keepNext/>
              <w:jc w:val="center"/>
              <w:rPr>
                <w:rFonts w:ascii="Times" w:eastAsiaTheme="majorEastAsia" w:hAnsi="Times" w:cstheme="majorBidi"/>
                <w:bCs/>
                <w:sz w:val="20"/>
              </w:rPr>
            </w:pPr>
            <w:r w:rsidRPr="00E774EB">
              <w:rPr>
                <w:rFonts w:ascii="Arial Narrow" w:eastAsiaTheme="majorEastAsia" w:hAnsi="Arial Narrow" w:cstheme="majorBidi"/>
                <w:bCs/>
                <w:sz w:val="20"/>
              </w:rPr>
              <w:t>0.93</w:t>
            </w:r>
            <w:r w:rsidR="00280F1A" w:rsidRPr="00D22B13">
              <w:rPr>
                <w:rFonts w:ascii="Arial Narrow" w:eastAsiaTheme="majorEastAsia" w:hAnsi="Arial Narrow" w:cstheme="majorBidi"/>
                <w:bCs/>
                <w:sz w:val="20"/>
              </w:rPr>
              <w:t xml:space="preserve"> </w:t>
            </w:r>
          </w:p>
        </w:tc>
        <w:tc>
          <w:tcPr>
            <w:tcW w:w="786" w:type="pct"/>
            <w:vAlign w:val="center"/>
          </w:tcPr>
          <w:p w14:paraId="67A1BBC9" w14:textId="699A0731" w:rsidR="00763EF2" w:rsidRPr="009A1253" w:rsidRDefault="00763EF2" w:rsidP="00CB4A1F">
            <w:pPr>
              <w:keepNext/>
              <w:jc w:val="center"/>
              <w:rPr>
                <w:rFonts w:ascii="Times" w:eastAsiaTheme="majorEastAsia" w:hAnsi="Times" w:cstheme="majorBidi"/>
                <w:bCs/>
                <w:sz w:val="20"/>
              </w:rPr>
            </w:pPr>
            <w:r w:rsidRPr="009A1253">
              <w:rPr>
                <w:rFonts w:ascii="Arial Narrow" w:eastAsiaTheme="majorEastAsia" w:hAnsi="Arial Narrow" w:cstheme="majorBidi"/>
                <w:bCs/>
                <w:sz w:val="20"/>
              </w:rPr>
              <w:t>0.76</w:t>
            </w:r>
            <w:r w:rsidR="00280F1A" w:rsidRPr="00D22B13">
              <w:rPr>
                <w:rFonts w:ascii="Arial Narrow" w:eastAsiaTheme="majorEastAsia" w:hAnsi="Arial Narrow" w:cstheme="majorBidi"/>
                <w:bCs/>
                <w:sz w:val="20"/>
              </w:rPr>
              <w:t xml:space="preserve"> </w:t>
            </w:r>
          </w:p>
        </w:tc>
        <w:tc>
          <w:tcPr>
            <w:tcW w:w="835" w:type="pct"/>
            <w:vAlign w:val="center"/>
          </w:tcPr>
          <w:p w14:paraId="42ADF14D" w14:textId="77777777" w:rsidR="00763EF2" w:rsidRPr="003B5F84" w:rsidRDefault="00763EF2" w:rsidP="00CB4A1F">
            <w:pPr>
              <w:keepNext/>
              <w:jc w:val="center"/>
              <w:rPr>
                <w:rFonts w:ascii="Arial Narrow" w:eastAsiaTheme="majorEastAsia" w:hAnsi="Arial Narrow" w:cstheme="majorBidi"/>
                <w:bCs/>
                <w:sz w:val="20"/>
              </w:rPr>
            </w:pPr>
            <w:r w:rsidRPr="003B5F84">
              <w:rPr>
                <w:rFonts w:ascii="Arial Narrow" w:eastAsiaTheme="majorEastAsia" w:hAnsi="Arial Narrow" w:cstheme="majorBidi"/>
                <w:bCs/>
                <w:sz w:val="20"/>
              </w:rPr>
              <w:t>0.18</w:t>
            </w:r>
          </w:p>
        </w:tc>
      </w:tr>
      <w:tr w:rsidR="00763EF2" w:rsidRPr="003B5F84" w14:paraId="55421DCD" w14:textId="77777777" w:rsidTr="000E709B">
        <w:tc>
          <w:tcPr>
            <w:tcW w:w="4165" w:type="pct"/>
            <w:gridSpan w:val="3"/>
            <w:vAlign w:val="center"/>
          </w:tcPr>
          <w:p w14:paraId="245922D5" w14:textId="77777777" w:rsidR="00763EF2" w:rsidRPr="003B5F84" w:rsidRDefault="00763EF2" w:rsidP="00CB4A1F">
            <w:pPr>
              <w:keepNext/>
              <w:jc w:val="left"/>
              <w:rPr>
                <w:rFonts w:ascii="Times" w:eastAsiaTheme="majorEastAsia" w:hAnsi="Times" w:cstheme="majorBidi"/>
                <w:sz w:val="20"/>
              </w:rPr>
            </w:pPr>
            <w:r w:rsidRPr="003B5F84">
              <w:rPr>
                <w:rFonts w:ascii="Arial Narrow" w:eastAsiaTheme="majorEastAsia" w:hAnsi="Arial Narrow" w:cstheme="majorBidi"/>
                <w:sz w:val="20"/>
              </w:rPr>
              <w:t>Incremental cost/extra LY gained</w:t>
            </w:r>
          </w:p>
        </w:tc>
        <w:tc>
          <w:tcPr>
            <w:tcW w:w="835" w:type="pct"/>
            <w:vAlign w:val="center"/>
          </w:tcPr>
          <w:p w14:paraId="0A9A1C73" w14:textId="55D4BB1D" w:rsidR="00763EF2" w:rsidRPr="003B5F84" w:rsidRDefault="005860C6" w:rsidP="00CB4A1F">
            <w:pPr>
              <w:keepNext/>
              <w:jc w:val="center"/>
              <w:rPr>
                <w:rFonts w:ascii="Times" w:eastAsiaTheme="majorEastAsia" w:hAnsi="Times" w:cstheme="majorBidi"/>
                <w:sz w:val="20"/>
              </w:rPr>
            </w:pPr>
            <w:r>
              <w:rPr>
                <w:rFonts w:ascii="Arial Narrow" w:eastAsiaTheme="majorEastAsia" w:hAnsi="Arial Narrow" w:cstheme="majorBidi"/>
                <w:sz w:val="20"/>
              </w:rPr>
              <w:t xml:space="preserve"> </w:t>
            </w:r>
            <w:r w:rsidRPr="005860C6">
              <w:rPr>
                <w:rFonts w:ascii="Arial Narrow" w:eastAsiaTheme="majorEastAsia" w:hAnsi="Arial Narrow" w:cstheme="majorBidi"/>
                <w:color w:val="000000"/>
                <w:sz w:val="20"/>
                <w:shd w:val="solid" w:color="000000" w:fill="000000"/>
                <w14:textFill>
                  <w14:solidFill>
                    <w14:srgbClr w14:val="000000">
                      <w14:alpha w14:val="100000"/>
                    </w14:srgbClr>
                  </w14:solidFill>
                </w14:textFill>
              </w:rPr>
              <w:t>|</w:t>
            </w:r>
            <w:r w:rsidR="002E2522">
              <w:rPr>
                <w:rFonts w:ascii="Arial Narrow" w:eastAsiaTheme="majorEastAsia" w:hAnsi="Arial Narrow" w:cstheme="majorBidi"/>
                <w:sz w:val="20"/>
              </w:rPr>
              <w:t xml:space="preserve"> </w:t>
            </w:r>
            <w:r w:rsidR="009A1253" w:rsidRPr="00D22B13">
              <w:rPr>
                <w:rFonts w:ascii="Arial Narrow" w:eastAsiaTheme="majorEastAsia" w:hAnsi="Arial Narrow" w:cstheme="majorBidi"/>
                <w:sz w:val="20"/>
                <w:vertAlign w:val="superscript"/>
              </w:rPr>
              <w:t>1</w:t>
            </w:r>
          </w:p>
        </w:tc>
      </w:tr>
      <w:tr w:rsidR="00763EF2" w:rsidRPr="003B5F84" w14:paraId="187832C4" w14:textId="77777777" w:rsidTr="000E709B">
        <w:tc>
          <w:tcPr>
            <w:tcW w:w="4165" w:type="pct"/>
            <w:gridSpan w:val="3"/>
            <w:vAlign w:val="center"/>
          </w:tcPr>
          <w:p w14:paraId="647E19E3" w14:textId="77777777" w:rsidR="00763EF2" w:rsidRPr="003B5F84" w:rsidRDefault="00763EF2" w:rsidP="00CB4A1F">
            <w:pPr>
              <w:keepNext/>
              <w:jc w:val="left"/>
              <w:rPr>
                <w:rFonts w:ascii="Times" w:eastAsiaTheme="majorEastAsia" w:hAnsi="Times" w:cstheme="majorBidi"/>
                <w:b/>
                <w:bCs/>
                <w:sz w:val="20"/>
              </w:rPr>
            </w:pPr>
            <w:r w:rsidRPr="003B5F84">
              <w:rPr>
                <w:rFonts w:ascii="Arial Narrow" w:eastAsiaTheme="majorEastAsia" w:hAnsi="Arial Narrow" w:cstheme="majorBidi"/>
                <w:b/>
                <w:bCs/>
                <w:sz w:val="20"/>
              </w:rPr>
              <w:t>Incremental cost/extra QALY gained</w:t>
            </w:r>
          </w:p>
        </w:tc>
        <w:tc>
          <w:tcPr>
            <w:tcW w:w="835" w:type="pct"/>
            <w:vAlign w:val="center"/>
          </w:tcPr>
          <w:p w14:paraId="54B40031" w14:textId="26F65D98" w:rsidR="00763EF2" w:rsidRPr="00D22B13" w:rsidRDefault="00B1620B" w:rsidP="00CB4A1F">
            <w:pPr>
              <w:keepNext/>
              <w:jc w:val="center"/>
              <w:rPr>
                <w:rFonts w:ascii="Times" w:eastAsiaTheme="majorEastAsia" w:hAnsi="Times" w:cstheme="majorBidi"/>
                <w:b/>
                <w:bCs/>
                <w:sz w:val="20"/>
                <w:vertAlign w:val="superscript"/>
              </w:rPr>
            </w:pPr>
            <w:r>
              <w:rPr>
                <w:rFonts w:ascii="Arial Narrow" w:eastAsiaTheme="majorEastAsia" w:hAnsi="Arial Narrow" w:cstheme="majorBidi"/>
                <w:b/>
                <w:bCs/>
                <w:sz w:val="20"/>
              </w:rPr>
              <w:t>$</w:t>
            </w:r>
            <w:r w:rsidR="005860C6" w:rsidRPr="005860C6">
              <w:rPr>
                <w:rFonts w:ascii="Arial Narrow" w:eastAsiaTheme="majorEastAsia" w:hAnsi="Arial Narrow" w:cstheme="majorBidi"/>
                <w:b/>
                <w:bCs/>
                <w:color w:val="000000"/>
                <w:sz w:val="20"/>
                <w:shd w:val="solid" w:color="000000" w:fill="000000"/>
                <w14:textFill>
                  <w14:solidFill>
                    <w14:srgbClr w14:val="000000">
                      <w14:alpha w14:val="100000"/>
                    </w14:srgbClr>
                  </w14:solidFill>
                </w14:textFill>
              </w:rPr>
              <w:t>|</w:t>
            </w:r>
            <w:r w:rsidR="0085523E">
              <w:rPr>
                <w:rFonts w:ascii="Arial Narrow" w:eastAsiaTheme="majorEastAsia" w:hAnsi="Arial Narrow" w:cstheme="majorBidi"/>
                <w:b/>
                <w:bCs/>
                <w:sz w:val="20"/>
              </w:rPr>
              <w:t xml:space="preserve"> </w:t>
            </w:r>
            <w:r w:rsidR="00CA6A62">
              <w:rPr>
                <w:rFonts w:ascii="Arial Narrow" w:eastAsiaTheme="majorEastAsia" w:hAnsi="Arial Narrow" w:cstheme="majorBidi"/>
                <w:sz w:val="20"/>
                <w:vertAlign w:val="superscript"/>
              </w:rPr>
              <w:t>2</w:t>
            </w:r>
          </w:p>
        </w:tc>
      </w:tr>
      <w:tr w:rsidR="000E709B" w:rsidRPr="003B5F84" w14:paraId="21FB6FDB" w14:textId="77777777" w:rsidTr="009A2B60">
        <w:tc>
          <w:tcPr>
            <w:tcW w:w="5000" w:type="pct"/>
            <w:gridSpan w:val="4"/>
            <w:vAlign w:val="center"/>
          </w:tcPr>
          <w:p w14:paraId="467F7013" w14:textId="1CD82889" w:rsidR="000E709B" w:rsidRPr="003B5F84" w:rsidRDefault="000E709B" w:rsidP="009A2B60">
            <w:pPr>
              <w:keepNext/>
              <w:jc w:val="left"/>
              <w:rPr>
                <w:rFonts w:ascii="Arial Narrow" w:eastAsiaTheme="majorEastAsia" w:hAnsi="Arial Narrow" w:cstheme="majorBidi"/>
                <w:b/>
                <w:sz w:val="20"/>
              </w:rPr>
            </w:pPr>
            <w:r>
              <w:rPr>
                <w:rFonts w:ascii="Arial Narrow" w:eastAsiaTheme="majorEastAsia" w:hAnsi="Arial Narrow" w:cstheme="majorBidi"/>
                <w:b/>
                <w:sz w:val="20"/>
              </w:rPr>
              <w:t xml:space="preserve">Pre-PBAC revised base case (pre-progression utility = 0.692, post-progression utility = 0.414; subsequent treatment costs included lenvatinib, </w:t>
            </w:r>
            <w:r w:rsidR="00D87267">
              <w:rPr>
                <w:rFonts w:ascii="Arial Narrow" w:eastAsiaTheme="majorEastAsia" w:hAnsi="Arial Narrow" w:cstheme="majorBidi"/>
                <w:b/>
                <w:sz w:val="20"/>
              </w:rPr>
              <w:t xml:space="preserve">radiotherapy </w:t>
            </w:r>
            <w:r>
              <w:rPr>
                <w:rFonts w:ascii="Arial Narrow" w:eastAsiaTheme="majorEastAsia" w:hAnsi="Arial Narrow" w:cstheme="majorBidi"/>
                <w:b/>
                <w:sz w:val="20"/>
              </w:rPr>
              <w:t xml:space="preserve">and surgery; and </w:t>
            </w:r>
            <w:r w:rsidR="0059575A">
              <w:rPr>
                <w:rFonts w:ascii="Arial Narrow" w:eastAsiaTheme="majorEastAsia" w:hAnsi="Arial Narrow" w:cstheme="majorBidi"/>
                <w:b/>
                <w:sz w:val="20"/>
              </w:rPr>
              <w:t>addition of post progression costs for</w:t>
            </w:r>
            <w:r>
              <w:rPr>
                <w:rFonts w:ascii="Arial Narrow" w:eastAsiaTheme="majorEastAsia" w:hAnsi="Arial Narrow" w:cstheme="majorBidi"/>
                <w:b/>
                <w:sz w:val="20"/>
              </w:rPr>
              <w:t xml:space="preserve"> patients who had </w:t>
            </w:r>
            <w:r w:rsidR="00D87267">
              <w:rPr>
                <w:rFonts w:ascii="Arial Narrow" w:eastAsiaTheme="majorEastAsia" w:hAnsi="Arial Narrow" w:cstheme="majorBidi"/>
                <w:b/>
                <w:sz w:val="20"/>
              </w:rPr>
              <w:t xml:space="preserve">crossed over </w:t>
            </w:r>
            <w:r>
              <w:rPr>
                <w:rFonts w:ascii="Arial Narrow" w:eastAsiaTheme="majorEastAsia" w:hAnsi="Arial Narrow" w:cstheme="majorBidi"/>
                <w:b/>
                <w:sz w:val="20"/>
              </w:rPr>
              <w:t>from placebo to cabozantinib)</w:t>
            </w:r>
          </w:p>
        </w:tc>
      </w:tr>
      <w:tr w:rsidR="000E709B" w:rsidRPr="003B5F84" w14:paraId="3EC65AFD" w14:textId="77777777" w:rsidTr="000E709B">
        <w:tc>
          <w:tcPr>
            <w:tcW w:w="2278" w:type="pct"/>
            <w:vAlign w:val="center"/>
          </w:tcPr>
          <w:p w14:paraId="45FEF987" w14:textId="0C0F577F" w:rsidR="000E709B" w:rsidRPr="003B5F84" w:rsidRDefault="000E709B" w:rsidP="009A2B60">
            <w:pPr>
              <w:keepNext/>
              <w:jc w:val="left"/>
              <w:rPr>
                <w:rFonts w:ascii="Times" w:eastAsiaTheme="majorEastAsia" w:hAnsi="Times" w:cstheme="majorBidi"/>
                <w:bCs/>
                <w:sz w:val="20"/>
              </w:rPr>
            </w:pPr>
            <w:r w:rsidRPr="003B5F84">
              <w:rPr>
                <w:rFonts w:ascii="Arial Narrow" w:eastAsiaTheme="majorEastAsia" w:hAnsi="Arial Narrow" w:cstheme="majorBidi"/>
                <w:bCs/>
                <w:sz w:val="20"/>
              </w:rPr>
              <w:t>Costs</w:t>
            </w:r>
            <w:r w:rsidR="00FC479C">
              <w:rPr>
                <w:rFonts w:ascii="Arial Narrow" w:eastAsiaTheme="majorEastAsia" w:hAnsi="Arial Narrow" w:cstheme="majorBidi"/>
                <w:bCs/>
                <w:sz w:val="20"/>
              </w:rPr>
              <w:t xml:space="preserve"> </w:t>
            </w:r>
            <w:r w:rsidR="00FC479C">
              <w:rPr>
                <w:rFonts w:ascii="Arial Narrow" w:eastAsiaTheme="majorEastAsia" w:hAnsi="Arial Narrow" w:cstheme="majorBidi"/>
                <w:bCs/>
                <w:sz w:val="20"/>
              </w:rPr>
              <w:t>($)</w:t>
            </w:r>
          </w:p>
        </w:tc>
        <w:tc>
          <w:tcPr>
            <w:tcW w:w="1101" w:type="pct"/>
            <w:vAlign w:val="center"/>
          </w:tcPr>
          <w:p w14:paraId="61B78922" w14:textId="4F85691E" w:rsidR="000E709B" w:rsidRPr="003B5F84" w:rsidRDefault="005860C6" w:rsidP="009A2B60">
            <w:pPr>
              <w:keepNext/>
              <w:jc w:val="center"/>
              <w:rPr>
                <w:rFonts w:ascii="Times" w:eastAsiaTheme="majorEastAsia" w:hAnsi="Times" w:cstheme="majorBidi"/>
                <w:bCs/>
                <w:sz w:val="20"/>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280F1A">
              <w:rPr>
                <w:rFonts w:ascii="Arial Narrow" w:eastAsiaTheme="majorEastAsia" w:hAnsi="Arial Narrow" w:cstheme="majorBidi"/>
                <w:bCs/>
                <w:sz w:val="20"/>
              </w:rPr>
              <w:t xml:space="preserve"> </w:t>
            </w:r>
          </w:p>
        </w:tc>
        <w:tc>
          <w:tcPr>
            <w:tcW w:w="786" w:type="pct"/>
            <w:vAlign w:val="center"/>
          </w:tcPr>
          <w:p w14:paraId="5914B611" w14:textId="37F946B1" w:rsidR="000E709B" w:rsidRPr="009A1253" w:rsidRDefault="000E709B" w:rsidP="009A2B60">
            <w:pPr>
              <w:keepNext/>
              <w:jc w:val="center"/>
              <w:rPr>
                <w:rFonts w:ascii="Times" w:eastAsiaTheme="majorEastAsia" w:hAnsi="Times" w:cstheme="majorBidi"/>
                <w:bCs/>
                <w:sz w:val="20"/>
              </w:rPr>
            </w:pPr>
            <w:r w:rsidRPr="009A1253">
              <w:rPr>
                <w:rFonts w:ascii="Arial Narrow" w:eastAsiaTheme="majorEastAsia" w:hAnsi="Arial Narrow" w:cstheme="majorBidi"/>
                <w:bCs/>
                <w:sz w:val="20"/>
              </w:rPr>
              <w:t>$25,759</w:t>
            </w:r>
            <w:r w:rsidR="00280F1A" w:rsidRPr="009A1253">
              <w:rPr>
                <w:rFonts w:ascii="Arial Narrow" w:eastAsiaTheme="majorEastAsia" w:hAnsi="Arial Narrow" w:cstheme="majorBidi"/>
                <w:bCs/>
                <w:sz w:val="20"/>
              </w:rPr>
              <w:t xml:space="preserve"> </w:t>
            </w:r>
          </w:p>
        </w:tc>
        <w:tc>
          <w:tcPr>
            <w:tcW w:w="835" w:type="pct"/>
            <w:vAlign w:val="center"/>
          </w:tcPr>
          <w:p w14:paraId="0A99866B" w14:textId="58A8A967" w:rsidR="000E709B" w:rsidRPr="003B5F84" w:rsidRDefault="005860C6" w:rsidP="009A2B60">
            <w:pPr>
              <w:keepNext/>
              <w:jc w:val="center"/>
              <w:rPr>
                <w:rFonts w:ascii="Times" w:eastAsiaTheme="majorEastAsia" w:hAnsi="Times" w:cstheme="majorBidi"/>
                <w:bCs/>
                <w:sz w:val="20"/>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85523E">
              <w:rPr>
                <w:rFonts w:ascii="Arial Narrow" w:eastAsiaTheme="majorEastAsia" w:hAnsi="Arial Narrow" w:cstheme="majorBidi"/>
                <w:bCs/>
                <w:sz w:val="20"/>
              </w:rPr>
              <w:t xml:space="preserve"> </w:t>
            </w:r>
          </w:p>
        </w:tc>
      </w:tr>
      <w:tr w:rsidR="000E709B" w:rsidRPr="003B5F84" w14:paraId="18C03195" w14:textId="77777777" w:rsidTr="000E709B">
        <w:tc>
          <w:tcPr>
            <w:tcW w:w="2278" w:type="pct"/>
            <w:vAlign w:val="center"/>
          </w:tcPr>
          <w:p w14:paraId="5A9D6484" w14:textId="77777777" w:rsidR="000E709B" w:rsidRPr="003B5F84" w:rsidRDefault="000E709B" w:rsidP="009A2B60">
            <w:pPr>
              <w:keepNext/>
              <w:jc w:val="left"/>
              <w:rPr>
                <w:rFonts w:ascii="Arial Narrow" w:eastAsiaTheme="majorEastAsia" w:hAnsi="Arial Narrow" w:cstheme="majorBidi"/>
                <w:bCs/>
                <w:sz w:val="20"/>
              </w:rPr>
            </w:pPr>
            <w:r w:rsidRPr="003B5F84">
              <w:rPr>
                <w:rFonts w:ascii="Arial Narrow" w:eastAsiaTheme="majorEastAsia" w:hAnsi="Arial Narrow" w:cstheme="majorBidi"/>
                <w:bCs/>
                <w:sz w:val="20"/>
              </w:rPr>
              <w:t>LY</w:t>
            </w:r>
            <w:r>
              <w:rPr>
                <w:rFonts w:ascii="Arial Narrow" w:eastAsiaTheme="majorEastAsia" w:hAnsi="Arial Narrow" w:cstheme="majorBidi"/>
                <w:bCs/>
                <w:sz w:val="20"/>
              </w:rPr>
              <w:t xml:space="preserve"> (undiscounted)</w:t>
            </w:r>
          </w:p>
        </w:tc>
        <w:tc>
          <w:tcPr>
            <w:tcW w:w="1101" w:type="pct"/>
            <w:vAlign w:val="center"/>
          </w:tcPr>
          <w:p w14:paraId="6325F62A" w14:textId="1943F558" w:rsidR="000E709B" w:rsidRPr="00E774EB" w:rsidRDefault="000E709B" w:rsidP="009A2B60">
            <w:pPr>
              <w:keepNext/>
              <w:jc w:val="center"/>
              <w:rPr>
                <w:rFonts w:ascii="Arial Narrow" w:eastAsiaTheme="majorEastAsia" w:hAnsi="Arial Narrow" w:cstheme="majorBidi"/>
                <w:bCs/>
                <w:sz w:val="20"/>
              </w:rPr>
            </w:pPr>
            <w:r w:rsidRPr="00E774EB">
              <w:rPr>
                <w:rFonts w:ascii="Arial Narrow" w:eastAsiaTheme="majorEastAsia" w:hAnsi="Arial Narrow" w:cstheme="majorBidi"/>
                <w:bCs/>
                <w:sz w:val="20"/>
              </w:rPr>
              <w:t>1.35</w:t>
            </w:r>
            <w:r w:rsidR="00280F1A" w:rsidRPr="00D22B13">
              <w:rPr>
                <w:rFonts w:ascii="Arial Narrow" w:eastAsiaTheme="majorEastAsia" w:hAnsi="Arial Narrow" w:cstheme="majorBidi"/>
                <w:bCs/>
                <w:sz w:val="20"/>
              </w:rPr>
              <w:t xml:space="preserve"> </w:t>
            </w:r>
          </w:p>
        </w:tc>
        <w:tc>
          <w:tcPr>
            <w:tcW w:w="786" w:type="pct"/>
            <w:vAlign w:val="center"/>
          </w:tcPr>
          <w:p w14:paraId="42619DC5" w14:textId="5BBF2A9F" w:rsidR="000E709B" w:rsidRPr="009A1253" w:rsidRDefault="000E709B" w:rsidP="009A2B60">
            <w:pPr>
              <w:keepNext/>
              <w:jc w:val="center"/>
              <w:rPr>
                <w:rFonts w:ascii="Arial Narrow" w:eastAsiaTheme="majorEastAsia" w:hAnsi="Arial Narrow" w:cstheme="majorBidi"/>
                <w:bCs/>
                <w:sz w:val="20"/>
              </w:rPr>
            </w:pPr>
            <w:r w:rsidRPr="009A1253">
              <w:rPr>
                <w:rFonts w:ascii="Arial Narrow" w:eastAsiaTheme="majorEastAsia" w:hAnsi="Arial Narrow" w:cstheme="majorBidi"/>
                <w:bCs/>
                <w:sz w:val="20"/>
              </w:rPr>
              <w:t>1.26</w:t>
            </w:r>
            <w:r w:rsidR="00280F1A" w:rsidRPr="00D22B13">
              <w:rPr>
                <w:rFonts w:ascii="Arial Narrow" w:eastAsiaTheme="majorEastAsia" w:hAnsi="Arial Narrow" w:cstheme="majorBidi"/>
                <w:bCs/>
                <w:sz w:val="20"/>
              </w:rPr>
              <w:t xml:space="preserve"> </w:t>
            </w:r>
          </w:p>
        </w:tc>
        <w:tc>
          <w:tcPr>
            <w:tcW w:w="835" w:type="pct"/>
            <w:vAlign w:val="center"/>
          </w:tcPr>
          <w:p w14:paraId="35EE79B7" w14:textId="77777777" w:rsidR="000E709B" w:rsidRPr="003B5F84" w:rsidRDefault="000E709B" w:rsidP="009A2B60">
            <w:pPr>
              <w:keepNext/>
              <w:jc w:val="center"/>
              <w:rPr>
                <w:rFonts w:ascii="Arial Narrow" w:eastAsiaTheme="majorEastAsia" w:hAnsi="Arial Narrow" w:cstheme="majorBidi"/>
                <w:bCs/>
                <w:sz w:val="20"/>
              </w:rPr>
            </w:pPr>
            <w:r w:rsidRPr="003B5F84">
              <w:rPr>
                <w:rFonts w:ascii="Arial Narrow" w:eastAsiaTheme="majorEastAsia" w:hAnsi="Arial Narrow" w:cstheme="majorBidi"/>
                <w:bCs/>
                <w:sz w:val="20"/>
              </w:rPr>
              <w:t>0.</w:t>
            </w:r>
            <w:r>
              <w:rPr>
                <w:rFonts w:ascii="Arial Narrow" w:eastAsiaTheme="majorEastAsia" w:hAnsi="Arial Narrow" w:cstheme="majorBidi"/>
                <w:bCs/>
                <w:sz w:val="20"/>
              </w:rPr>
              <w:t>09</w:t>
            </w:r>
          </w:p>
        </w:tc>
      </w:tr>
      <w:tr w:rsidR="000E709B" w:rsidRPr="003B5F84" w14:paraId="52B11E15" w14:textId="77777777" w:rsidTr="000E709B">
        <w:tc>
          <w:tcPr>
            <w:tcW w:w="2278" w:type="pct"/>
            <w:vAlign w:val="center"/>
          </w:tcPr>
          <w:p w14:paraId="203ADB47" w14:textId="77777777" w:rsidR="000E709B" w:rsidRPr="003B5F84" w:rsidRDefault="000E709B" w:rsidP="009A2B60">
            <w:pPr>
              <w:keepNext/>
              <w:jc w:val="left"/>
              <w:rPr>
                <w:rFonts w:ascii="Times" w:eastAsiaTheme="majorEastAsia" w:hAnsi="Times" w:cstheme="majorBidi"/>
                <w:bCs/>
                <w:sz w:val="20"/>
              </w:rPr>
            </w:pPr>
            <w:r w:rsidRPr="003B5F84">
              <w:rPr>
                <w:rFonts w:ascii="Arial Narrow" w:eastAsiaTheme="majorEastAsia" w:hAnsi="Arial Narrow" w:cstheme="majorBidi"/>
                <w:bCs/>
                <w:sz w:val="20"/>
              </w:rPr>
              <w:t>QALY</w:t>
            </w:r>
          </w:p>
        </w:tc>
        <w:tc>
          <w:tcPr>
            <w:tcW w:w="1101" w:type="pct"/>
            <w:vAlign w:val="center"/>
          </w:tcPr>
          <w:p w14:paraId="0CFAE479" w14:textId="07B598BA" w:rsidR="000E709B" w:rsidRPr="00E774EB" w:rsidRDefault="000E709B" w:rsidP="009A2B60">
            <w:pPr>
              <w:keepNext/>
              <w:jc w:val="center"/>
              <w:rPr>
                <w:rFonts w:ascii="Times" w:eastAsiaTheme="majorEastAsia" w:hAnsi="Times" w:cstheme="majorBidi"/>
                <w:bCs/>
                <w:sz w:val="20"/>
              </w:rPr>
            </w:pPr>
            <w:r w:rsidRPr="00E774EB">
              <w:rPr>
                <w:rFonts w:ascii="Arial Narrow" w:eastAsiaTheme="majorEastAsia" w:hAnsi="Arial Narrow" w:cstheme="majorBidi"/>
                <w:bCs/>
                <w:sz w:val="20"/>
              </w:rPr>
              <w:t>0.74</w:t>
            </w:r>
            <w:r w:rsidR="00280F1A" w:rsidRPr="00D22B13">
              <w:rPr>
                <w:rFonts w:ascii="Arial Narrow" w:eastAsiaTheme="majorEastAsia" w:hAnsi="Arial Narrow" w:cstheme="majorBidi"/>
                <w:bCs/>
                <w:sz w:val="20"/>
              </w:rPr>
              <w:t xml:space="preserve"> </w:t>
            </w:r>
          </w:p>
        </w:tc>
        <w:tc>
          <w:tcPr>
            <w:tcW w:w="786" w:type="pct"/>
            <w:vAlign w:val="center"/>
          </w:tcPr>
          <w:p w14:paraId="101BB9D8" w14:textId="10DBFEAF" w:rsidR="000E709B" w:rsidRPr="009A1253" w:rsidRDefault="000E709B" w:rsidP="009A2B60">
            <w:pPr>
              <w:keepNext/>
              <w:jc w:val="center"/>
              <w:rPr>
                <w:rFonts w:ascii="Times" w:eastAsiaTheme="majorEastAsia" w:hAnsi="Times" w:cstheme="majorBidi"/>
                <w:bCs/>
                <w:sz w:val="20"/>
              </w:rPr>
            </w:pPr>
            <w:r w:rsidRPr="009A1253">
              <w:rPr>
                <w:rFonts w:ascii="Arial Narrow" w:eastAsiaTheme="majorEastAsia" w:hAnsi="Arial Narrow" w:cstheme="majorBidi"/>
                <w:bCs/>
                <w:sz w:val="20"/>
              </w:rPr>
              <w:t>0.60</w:t>
            </w:r>
            <w:r w:rsidR="00280F1A" w:rsidRPr="00D22B13">
              <w:rPr>
                <w:rFonts w:ascii="Arial Narrow" w:eastAsiaTheme="majorEastAsia" w:hAnsi="Arial Narrow" w:cstheme="majorBidi"/>
                <w:bCs/>
                <w:sz w:val="20"/>
              </w:rPr>
              <w:t xml:space="preserve"> </w:t>
            </w:r>
          </w:p>
        </w:tc>
        <w:tc>
          <w:tcPr>
            <w:tcW w:w="835" w:type="pct"/>
            <w:vAlign w:val="center"/>
          </w:tcPr>
          <w:p w14:paraId="12B55CAD" w14:textId="77777777" w:rsidR="000E709B" w:rsidRPr="003B5F84" w:rsidRDefault="000E709B" w:rsidP="009A2B60">
            <w:pPr>
              <w:keepNext/>
              <w:jc w:val="center"/>
              <w:rPr>
                <w:rFonts w:ascii="Arial Narrow" w:eastAsiaTheme="majorEastAsia" w:hAnsi="Arial Narrow" w:cstheme="majorBidi"/>
                <w:bCs/>
                <w:sz w:val="20"/>
              </w:rPr>
            </w:pPr>
            <w:r>
              <w:rPr>
                <w:rFonts w:ascii="Arial Narrow" w:eastAsiaTheme="majorEastAsia" w:hAnsi="Arial Narrow" w:cstheme="majorBidi"/>
                <w:bCs/>
                <w:sz w:val="20"/>
              </w:rPr>
              <w:t>0.14</w:t>
            </w:r>
          </w:p>
        </w:tc>
      </w:tr>
      <w:tr w:rsidR="000E709B" w:rsidRPr="003B5F84" w14:paraId="5F52916D" w14:textId="77777777" w:rsidTr="000E709B">
        <w:tc>
          <w:tcPr>
            <w:tcW w:w="4165" w:type="pct"/>
            <w:gridSpan w:val="3"/>
            <w:vAlign w:val="center"/>
          </w:tcPr>
          <w:p w14:paraId="6FDBDF2C" w14:textId="77777777" w:rsidR="000E709B" w:rsidRPr="003B5F84" w:rsidRDefault="000E709B" w:rsidP="009A2B60">
            <w:pPr>
              <w:keepNext/>
              <w:jc w:val="left"/>
              <w:rPr>
                <w:rFonts w:ascii="Times" w:eastAsiaTheme="majorEastAsia" w:hAnsi="Times" w:cstheme="majorBidi"/>
                <w:sz w:val="20"/>
              </w:rPr>
            </w:pPr>
            <w:r w:rsidRPr="003B5F84">
              <w:rPr>
                <w:rFonts w:ascii="Arial Narrow" w:eastAsiaTheme="majorEastAsia" w:hAnsi="Arial Narrow" w:cstheme="majorBidi"/>
                <w:sz w:val="20"/>
              </w:rPr>
              <w:t>Incremental cost/extra LY gained</w:t>
            </w:r>
          </w:p>
        </w:tc>
        <w:tc>
          <w:tcPr>
            <w:tcW w:w="835" w:type="pct"/>
            <w:vAlign w:val="center"/>
          </w:tcPr>
          <w:p w14:paraId="610D8921" w14:textId="780262D9" w:rsidR="000E709B" w:rsidRPr="003B5F84" w:rsidRDefault="005860C6" w:rsidP="009A2B60">
            <w:pPr>
              <w:keepNext/>
              <w:jc w:val="center"/>
              <w:rPr>
                <w:rFonts w:ascii="Times" w:eastAsiaTheme="majorEastAsia" w:hAnsi="Times" w:cstheme="majorBidi"/>
                <w:sz w:val="20"/>
              </w:rPr>
            </w:pPr>
            <w:r>
              <w:rPr>
                <w:rFonts w:ascii="Arial Narrow" w:eastAsiaTheme="majorEastAsia" w:hAnsi="Arial Narrow" w:cstheme="majorBidi"/>
                <w:sz w:val="20"/>
              </w:rPr>
              <w:t xml:space="preserve"> </w:t>
            </w:r>
            <w:r w:rsidRPr="005860C6">
              <w:rPr>
                <w:rFonts w:ascii="Arial Narrow" w:eastAsiaTheme="majorEastAsia" w:hAnsi="Arial Narrow" w:cstheme="majorBidi"/>
                <w:color w:val="000000"/>
                <w:sz w:val="20"/>
                <w:shd w:val="solid" w:color="000000" w:fill="000000"/>
                <w14:textFill>
                  <w14:solidFill>
                    <w14:srgbClr w14:val="000000">
                      <w14:alpha w14:val="100000"/>
                    </w14:srgbClr>
                  </w14:solidFill>
                </w14:textFill>
              </w:rPr>
              <w:t>|</w:t>
            </w:r>
            <w:r w:rsidR="0085523E">
              <w:rPr>
                <w:rFonts w:ascii="Arial Narrow" w:eastAsiaTheme="majorEastAsia" w:hAnsi="Arial Narrow" w:cstheme="majorBidi"/>
                <w:sz w:val="20"/>
              </w:rPr>
              <w:t xml:space="preserve"> </w:t>
            </w:r>
            <w:r w:rsidR="009A1253">
              <w:rPr>
                <w:rFonts w:ascii="Arial Narrow" w:eastAsiaTheme="majorEastAsia" w:hAnsi="Arial Narrow" w:cstheme="majorBidi"/>
                <w:sz w:val="20"/>
                <w:vertAlign w:val="superscript"/>
              </w:rPr>
              <w:t>3</w:t>
            </w:r>
          </w:p>
        </w:tc>
      </w:tr>
      <w:tr w:rsidR="000E709B" w:rsidRPr="003B5F84" w14:paraId="1D0E3171" w14:textId="77777777" w:rsidTr="000E709B">
        <w:tc>
          <w:tcPr>
            <w:tcW w:w="4165" w:type="pct"/>
            <w:gridSpan w:val="3"/>
            <w:vAlign w:val="center"/>
          </w:tcPr>
          <w:p w14:paraId="7DA1E5A6" w14:textId="77777777" w:rsidR="000E709B" w:rsidRPr="003B5F84" w:rsidRDefault="000E709B" w:rsidP="009A2B60">
            <w:pPr>
              <w:keepNext/>
              <w:jc w:val="left"/>
              <w:rPr>
                <w:rFonts w:ascii="Times" w:eastAsiaTheme="majorEastAsia" w:hAnsi="Times" w:cstheme="majorBidi"/>
                <w:b/>
                <w:bCs/>
                <w:sz w:val="20"/>
              </w:rPr>
            </w:pPr>
            <w:r w:rsidRPr="003B5F84">
              <w:rPr>
                <w:rFonts w:ascii="Arial Narrow" w:eastAsiaTheme="majorEastAsia" w:hAnsi="Arial Narrow" w:cstheme="majorBidi"/>
                <w:b/>
                <w:bCs/>
                <w:sz w:val="20"/>
              </w:rPr>
              <w:t>Incremental cost/extra QALY gained</w:t>
            </w:r>
          </w:p>
        </w:tc>
        <w:tc>
          <w:tcPr>
            <w:tcW w:w="835" w:type="pct"/>
            <w:vAlign w:val="center"/>
          </w:tcPr>
          <w:p w14:paraId="46F41674" w14:textId="61F9839E" w:rsidR="000E709B" w:rsidRPr="003B5F84" w:rsidRDefault="005860C6" w:rsidP="009A2B60">
            <w:pPr>
              <w:keepNext/>
              <w:jc w:val="center"/>
              <w:rPr>
                <w:rFonts w:ascii="Times" w:eastAsiaTheme="majorEastAsia" w:hAnsi="Times" w:cstheme="majorBidi"/>
                <w:b/>
                <w:bCs/>
                <w:sz w:val="20"/>
              </w:rPr>
            </w:pPr>
            <w:r>
              <w:rPr>
                <w:rFonts w:ascii="Arial Narrow" w:eastAsiaTheme="majorEastAsia" w:hAnsi="Arial Narrow" w:cstheme="majorBidi"/>
                <w:b/>
                <w:bCs/>
                <w:sz w:val="20"/>
              </w:rPr>
              <w:t xml:space="preserve"> </w:t>
            </w:r>
            <w:r w:rsidRPr="005860C6">
              <w:rPr>
                <w:rFonts w:ascii="Arial Narrow" w:eastAsiaTheme="majorEastAsia" w:hAnsi="Arial Narrow" w:cstheme="majorBidi"/>
                <w:b/>
                <w:bCs/>
                <w:color w:val="000000"/>
                <w:sz w:val="20"/>
                <w:shd w:val="solid" w:color="000000" w:fill="000000"/>
                <w14:textFill>
                  <w14:solidFill>
                    <w14:srgbClr w14:val="000000">
                      <w14:alpha w14:val="100000"/>
                    </w14:srgbClr>
                  </w14:solidFill>
                </w14:textFill>
              </w:rPr>
              <w:t>|</w:t>
            </w:r>
            <w:r w:rsidR="0085523E">
              <w:rPr>
                <w:rFonts w:ascii="Arial Narrow" w:eastAsiaTheme="majorEastAsia" w:hAnsi="Arial Narrow" w:cstheme="majorBidi"/>
                <w:b/>
                <w:bCs/>
                <w:sz w:val="20"/>
              </w:rPr>
              <w:t xml:space="preserve"> </w:t>
            </w:r>
            <w:r w:rsidR="00CA6A62">
              <w:rPr>
                <w:rFonts w:ascii="Arial Narrow" w:eastAsiaTheme="majorEastAsia" w:hAnsi="Arial Narrow" w:cstheme="majorBidi"/>
                <w:sz w:val="20"/>
                <w:vertAlign w:val="superscript"/>
              </w:rPr>
              <w:t>2</w:t>
            </w:r>
          </w:p>
        </w:tc>
      </w:tr>
      <w:bookmarkEnd w:id="83"/>
      <w:tr w:rsidR="00763EF2" w:rsidRPr="003B5F84" w14:paraId="7C55CEFF" w14:textId="77777777" w:rsidTr="00CB4A1F">
        <w:tc>
          <w:tcPr>
            <w:tcW w:w="5000" w:type="pct"/>
            <w:gridSpan w:val="4"/>
            <w:vAlign w:val="center"/>
          </w:tcPr>
          <w:p w14:paraId="5640504F" w14:textId="77777777" w:rsidR="00763EF2" w:rsidRPr="003B5F84" w:rsidRDefault="00763EF2" w:rsidP="00CB4A1F">
            <w:pPr>
              <w:keepNext/>
              <w:jc w:val="left"/>
              <w:rPr>
                <w:rFonts w:ascii="Arial Narrow" w:eastAsiaTheme="majorEastAsia" w:hAnsi="Arial Narrow" w:cstheme="majorBidi"/>
                <w:b/>
                <w:sz w:val="20"/>
              </w:rPr>
            </w:pPr>
            <w:r w:rsidRPr="003B5F84">
              <w:rPr>
                <w:rFonts w:ascii="Arial Narrow" w:eastAsiaTheme="majorEastAsia" w:hAnsi="Arial Narrow" w:cstheme="majorBidi"/>
                <w:b/>
                <w:sz w:val="20"/>
              </w:rPr>
              <w:t>Additional analysis: full COSMIC-311 population</w:t>
            </w:r>
          </w:p>
        </w:tc>
      </w:tr>
      <w:tr w:rsidR="00763EF2" w:rsidRPr="003B5F84" w14:paraId="75C7C634" w14:textId="77777777" w:rsidTr="000E709B">
        <w:tc>
          <w:tcPr>
            <w:tcW w:w="2278" w:type="pct"/>
            <w:vAlign w:val="center"/>
          </w:tcPr>
          <w:p w14:paraId="02F306D9" w14:textId="1FF56C5A" w:rsidR="00763EF2" w:rsidRPr="003B5F84" w:rsidRDefault="00763EF2" w:rsidP="00CB4A1F">
            <w:pPr>
              <w:keepNext/>
              <w:jc w:val="left"/>
              <w:rPr>
                <w:rFonts w:ascii="Times" w:eastAsiaTheme="majorEastAsia" w:hAnsi="Times" w:cstheme="majorBidi"/>
                <w:bCs/>
                <w:sz w:val="20"/>
              </w:rPr>
            </w:pPr>
            <w:r w:rsidRPr="003B5F84">
              <w:rPr>
                <w:rFonts w:ascii="Arial Narrow" w:eastAsiaTheme="majorEastAsia" w:hAnsi="Arial Narrow" w:cstheme="majorBidi"/>
                <w:bCs/>
                <w:sz w:val="20"/>
              </w:rPr>
              <w:t>Costs</w:t>
            </w:r>
            <w:r w:rsidR="00FC479C">
              <w:rPr>
                <w:rFonts w:ascii="Arial Narrow" w:eastAsiaTheme="majorEastAsia" w:hAnsi="Arial Narrow" w:cstheme="majorBidi"/>
                <w:bCs/>
                <w:sz w:val="20"/>
              </w:rPr>
              <w:t xml:space="preserve"> </w:t>
            </w:r>
            <w:r w:rsidR="00FC479C">
              <w:rPr>
                <w:rFonts w:ascii="Arial Narrow" w:eastAsiaTheme="majorEastAsia" w:hAnsi="Arial Narrow" w:cstheme="majorBidi"/>
                <w:bCs/>
                <w:sz w:val="20"/>
              </w:rPr>
              <w:t>($)</w:t>
            </w:r>
          </w:p>
        </w:tc>
        <w:tc>
          <w:tcPr>
            <w:tcW w:w="1101" w:type="pct"/>
            <w:vAlign w:val="center"/>
          </w:tcPr>
          <w:p w14:paraId="405A7033" w14:textId="5EE974A2" w:rsidR="00763EF2" w:rsidRPr="003B5F84" w:rsidRDefault="005860C6" w:rsidP="00CB4A1F">
            <w:pPr>
              <w:keepNext/>
              <w:jc w:val="center"/>
              <w:rPr>
                <w:rFonts w:ascii="Times" w:eastAsiaTheme="majorEastAsia" w:hAnsi="Times" w:cstheme="majorBidi"/>
                <w:bCs/>
                <w:sz w:val="20"/>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786" w:type="pct"/>
            <w:vAlign w:val="center"/>
          </w:tcPr>
          <w:p w14:paraId="688F254D" w14:textId="2EC6FFE3" w:rsidR="00763EF2" w:rsidRPr="009A1253" w:rsidRDefault="00763EF2" w:rsidP="00CB4A1F">
            <w:pPr>
              <w:keepNext/>
              <w:jc w:val="center"/>
              <w:rPr>
                <w:rFonts w:ascii="Times" w:eastAsiaTheme="majorEastAsia" w:hAnsi="Times" w:cstheme="majorBidi"/>
                <w:bCs/>
                <w:sz w:val="20"/>
              </w:rPr>
            </w:pPr>
            <w:r w:rsidRPr="009A1253">
              <w:rPr>
                <w:rFonts w:ascii="Arial Narrow" w:eastAsiaTheme="majorEastAsia" w:hAnsi="Arial Narrow" w:cstheme="majorBidi"/>
                <w:bCs/>
                <w:sz w:val="20"/>
              </w:rPr>
              <w:t>$52,538</w:t>
            </w:r>
            <w:r w:rsidR="00280F1A" w:rsidRPr="009A1253">
              <w:rPr>
                <w:rFonts w:ascii="Arial Narrow" w:eastAsiaTheme="majorEastAsia" w:hAnsi="Arial Narrow" w:cstheme="majorBidi"/>
                <w:bCs/>
                <w:sz w:val="20"/>
              </w:rPr>
              <w:t xml:space="preserve"> </w:t>
            </w:r>
          </w:p>
        </w:tc>
        <w:tc>
          <w:tcPr>
            <w:tcW w:w="835" w:type="pct"/>
            <w:vAlign w:val="center"/>
          </w:tcPr>
          <w:p w14:paraId="5696E478" w14:textId="56CBE0B4" w:rsidR="00763EF2" w:rsidRPr="003B5F84" w:rsidRDefault="005860C6" w:rsidP="00CB4A1F">
            <w:pPr>
              <w:keepNext/>
              <w:jc w:val="center"/>
              <w:rPr>
                <w:rFonts w:ascii="Times" w:eastAsiaTheme="majorEastAsia" w:hAnsi="Times" w:cstheme="majorBidi"/>
                <w:bCs/>
                <w:sz w:val="20"/>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85523E">
              <w:rPr>
                <w:rFonts w:ascii="Arial Narrow" w:eastAsiaTheme="majorEastAsia" w:hAnsi="Arial Narrow" w:cstheme="majorBidi"/>
                <w:bCs/>
                <w:sz w:val="20"/>
              </w:rPr>
              <w:t xml:space="preserve"> </w:t>
            </w:r>
          </w:p>
        </w:tc>
      </w:tr>
      <w:tr w:rsidR="00763EF2" w:rsidRPr="003B5F84" w14:paraId="00105153" w14:textId="77777777" w:rsidTr="000E709B">
        <w:tc>
          <w:tcPr>
            <w:tcW w:w="2278" w:type="pct"/>
            <w:vAlign w:val="center"/>
          </w:tcPr>
          <w:p w14:paraId="0C0BA757" w14:textId="77777777" w:rsidR="00763EF2" w:rsidRPr="003B5F84" w:rsidRDefault="00763EF2" w:rsidP="00CB4A1F">
            <w:pPr>
              <w:keepNext/>
              <w:jc w:val="left"/>
              <w:rPr>
                <w:rFonts w:ascii="Arial Narrow" w:eastAsiaTheme="majorEastAsia" w:hAnsi="Arial Narrow" w:cstheme="majorBidi"/>
                <w:bCs/>
                <w:sz w:val="20"/>
              </w:rPr>
            </w:pPr>
            <w:r w:rsidRPr="003B5F84">
              <w:rPr>
                <w:rFonts w:ascii="Arial Narrow" w:eastAsiaTheme="majorEastAsia" w:hAnsi="Arial Narrow" w:cstheme="majorBidi"/>
                <w:bCs/>
                <w:sz w:val="20"/>
              </w:rPr>
              <w:t>LY</w:t>
            </w:r>
            <w:r>
              <w:rPr>
                <w:rFonts w:ascii="Arial Narrow" w:eastAsiaTheme="majorEastAsia" w:hAnsi="Arial Narrow" w:cstheme="majorBidi"/>
                <w:bCs/>
                <w:sz w:val="20"/>
              </w:rPr>
              <w:t xml:space="preserve"> (undiscounted)</w:t>
            </w:r>
          </w:p>
        </w:tc>
        <w:tc>
          <w:tcPr>
            <w:tcW w:w="1101" w:type="pct"/>
            <w:vAlign w:val="center"/>
          </w:tcPr>
          <w:p w14:paraId="361F5E31" w14:textId="73AD58DE" w:rsidR="00763EF2" w:rsidRPr="00E774EB" w:rsidRDefault="00763EF2" w:rsidP="00CB4A1F">
            <w:pPr>
              <w:keepNext/>
              <w:jc w:val="center"/>
              <w:rPr>
                <w:rFonts w:ascii="Arial Narrow" w:eastAsiaTheme="majorEastAsia" w:hAnsi="Arial Narrow" w:cstheme="majorBidi"/>
                <w:bCs/>
                <w:sz w:val="20"/>
              </w:rPr>
            </w:pPr>
            <w:r w:rsidRPr="00E774EB">
              <w:rPr>
                <w:rFonts w:ascii="Arial Narrow" w:eastAsiaTheme="majorEastAsia" w:hAnsi="Arial Narrow" w:cstheme="majorBidi"/>
                <w:bCs/>
                <w:sz w:val="20"/>
              </w:rPr>
              <w:t>2.05</w:t>
            </w:r>
            <w:r w:rsidR="00280F1A" w:rsidRPr="00D22B13">
              <w:rPr>
                <w:rFonts w:ascii="Arial Narrow" w:eastAsiaTheme="majorEastAsia" w:hAnsi="Arial Narrow" w:cstheme="majorBidi"/>
                <w:bCs/>
                <w:sz w:val="20"/>
              </w:rPr>
              <w:t xml:space="preserve"> </w:t>
            </w:r>
          </w:p>
        </w:tc>
        <w:tc>
          <w:tcPr>
            <w:tcW w:w="786" w:type="pct"/>
            <w:vAlign w:val="center"/>
          </w:tcPr>
          <w:p w14:paraId="6C6D505F" w14:textId="30CABD89" w:rsidR="00763EF2" w:rsidRPr="009A1253" w:rsidRDefault="00763EF2" w:rsidP="00CB4A1F">
            <w:pPr>
              <w:keepNext/>
              <w:jc w:val="center"/>
              <w:rPr>
                <w:rFonts w:ascii="Arial Narrow" w:eastAsiaTheme="majorEastAsia" w:hAnsi="Arial Narrow" w:cstheme="majorBidi"/>
                <w:bCs/>
                <w:sz w:val="20"/>
              </w:rPr>
            </w:pPr>
            <w:r w:rsidRPr="009A1253">
              <w:rPr>
                <w:rFonts w:ascii="Arial Narrow" w:eastAsiaTheme="majorEastAsia" w:hAnsi="Arial Narrow" w:cstheme="majorBidi"/>
                <w:bCs/>
                <w:sz w:val="20"/>
              </w:rPr>
              <w:t>1.88</w:t>
            </w:r>
            <w:r w:rsidR="00280F1A" w:rsidRPr="00D22B13">
              <w:rPr>
                <w:rFonts w:ascii="Arial Narrow" w:eastAsiaTheme="majorEastAsia" w:hAnsi="Arial Narrow" w:cstheme="majorBidi"/>
                <w:bCs/>
                <w:sz w:val="20"/>
              </w:rPr>
              <w:t xml:space="preserve"> </w:t>
            </w:r>
          </w:p>
        </w:tc>
        <w:tc>
          <w:tcPr>
            <w:tcW w:w="835" w:type="pct"/>
            <w:vAlign w:val="center"/>
          </w:tcPr>
          <w:p w14:paraId="38B12CCC" w14:textId="77777777" w:rsidR="00763EF2" w:rsidRPr="003B5F84" w:rsidRDefault="00763EF2" w:rsidP="00CB4A1F">
            <w:pPr>
              <w:keepNext/>
              <w:jc w:val="center"/>
              <w:rPr>
                <w:rFonts w:ascii="Arial Narrow" w:eastAsiaTheme="majorEastAsia" w:hAnsi="Arial Narrow" w:cstheme="majorBidi"/>
                <w:bCs/>
                <w:sz w:val="20"/>
              </w:rPr>
            </w:pPr>
            <w:r w:rsidRPr="003B5F84">
              <w:rPr>
                <w:rFonts w:ascii="Arial Narrow" w:eastAsiaTheme="majorEastAsia" w:hAnsi="Arial Narrow" w:cstheme="majorBidi"/>
                <w:bCs/>
                <w:sz w:val="20"/>
              </w:rPr>
              <w:t>0.17</w:t>
            </w:r>
          </w:p>
        </w:tc>
      </w:tr>
      <w:tr w:rsidR="00763EF2" w:rsidRPr="003B5F84" w14:paraId="6C09E1D4" w14:textId="77777777" w:rsidTr="000E709B">
        <w:tc>
          <w:tcPr>
            <w:tcW w:w="2278" w:type="pct"/>
            <w:vAlign w:val="center"/>
          </w:tcPr>
          <w:p w14:paraId="0D0C8E02" w14:textId="77777777" w:rsidR="00763EF2" w:rsidRPr="003B5F84" w:rsidRDefault="00763EF2" w:rsidP="00CB4A1F">
            <w:pPr>
              <w:keepNext/>
              <w:jc w:val="left"/>
              <w:rPr>
                <w:rFonts w:ascii="Times" w:eastAsiaTheme="majorEastAsia" w:hAnsi="Times" w:cstheme="majorBidi"/>
                <w:bCs/>
                <w:sz w:val="20"/>
              </w:rPr>
            </w:pPr>
            <w:r w:rsidRPr="003B5F84">
              <w:rPr>
                <w:rFonts w:ascii="Arial Narrow" w:eastAsiaTheme="majorEastAsia" w:hAnsi="Arial Narrow" w:cstheme="majorBidi"/>
                <w:bCs/>
                <w:sz w:val="20"/>
              </w:rPr>
              <w:t>QALY</w:t>
            </w:r>
          </w:p>
        </w:tc>
        <w:tc>
          <w:tcPr>
            <w:tcW w:w="1101" w:type="pct"/>
            <w:vAlign w:val="center"/>
          </w:tcPr>
          <w:p w14:paraId="35B0A6B0" w14:textId="42AE033D" w:rsidR="00763EF2" w:rsidRPr="00E774EB" w:rsidRDefault="00763EF2" w:rsidP="00CB4A1F">
            <w:pPr>
              <w:keepNext/>
              <w:jc w:val="center"/>
              <w:rPr>
                <w:rFonts w:ascii="Times" w:eastAsiaTheme="majorEastAsia" w:hAnsi="Times" w:cstheme="majorBidi"/>
                <w:bCs/>
                <w:sz w:val="20"/>
              </w:rPr>
            </w:pPr>
            <w:r w:rsidRPr="00E774EB">
              <w:rPr>
                <w:rFonts w:ascii="Arial Narrow" w:eastAsiaTheme="majorEastAsia" w:hAnsi="Arial Narrow" w:cstheme="majorBidi"/>
                <w:bCs/>
                <w:sz w:val="20"/>
              </w:rPr>
              <w:t>1.45</w:t>
            </w:r>
            <w:r w:rsidR="00280F1A" w:rsidRPr="00D22B13">
              <w:rPr>
                <w:rFonts w:ascii="Arial Narrow" w:eastAsiaTheme="majorEastAsia" w:hAnsi="Arial Narrow" w:cstheme="majorBidi"/>
                <w:bCs/>
                <w:sz w:val="20"/>
              </w:rPr>
              <w:t xml:space="preserve"> </w:t>
            </w:r>
          </w:p>
        </w:tc>
        <w:tc>
          <w:tcPr>
            <w:tcW w:w="786" w:type="pct"/>
            <w:vAlign w:val="center"/>
          </w:tcPr>
          <w:p w14:paraId="54F78BC4" w14:textId="464A8510" w:rsidR="00763EF2" w:rsidRPr="009A1253" w:rsidRDefault="00763EF2" w:rsidP="00CB4A1F">
            <w:pPr>
              <w:keepNext/>
              <w:jc w:val="center"/>
              <w:rPr>
                <w:rFonts w:ascii="Times" w:eastAsiaTheme="majorEastAsia" w:hAnsi="Times" w:cstheme="majorBidi"/>
                <w:bCs/>
                <w:sz w:val="20"/>
              </w:rPr>
            </w:pPr>
            <w:r w:rsidRPr="009A1253">
              <w:rPr>
                <w:rFonts w:ascii="Arial Narrow" w:eastAsiaTheme="majorEastAsia" w:hAnsi="Arial Narrow" w:cstheme="majorBidi"/>
                <w:bCs/>
                <w:sz w:val="20"/>
              </w:rPr>
              <w:t>1.07</w:t>
            </w:r>
            <w:r w:rsidR="00280F1A" w:rsidRPr="00D22B13">
              <w:rPr>
                <w:rFonts w:ascii="Arial Narrow" w:eastAsiaTheme="majorEastAsia" w:hAnsi="Arial Narrow" w:cstheme="majorBidi"/>
                <w:bCs/>
                <w:sz w:val="20"/>
              </w:rPr>
              <w:t xml:space="preserve"> </w:t>
            </w:r>
          </w:p>
        </w:tc>
        <w:tc>
          <w:tcPr>
            <w:tcW w:w="835" w:type="pct"/>
            <w:vAlign w:val="center"/>
          </w:tcPr>
          <w:p w14:paraId="37B9C00F" w14:textId="77777777" w:rsidR="00763EF2" w:rsidRPr="003B5F84" w:rsidRDefault="00763EF2" w:rsidP="00CB4A1F">
            <w:pPr>
              <w:keepNext/>
              <w:jc w:val="center"/>
              <w:rPr>
                <w:rFonts w:ascii="Arial Narrow" w:eastAsiaTheme="majorEastAsia" w:hAnsi="Arial Narrow" w:cstheme="majorBidi"/>
                <w:bCs/>
                <w:sz w:val="20"/>
              </w:rPr>
            </w:pPr>
            <w:r w:rsidRPr="003B5F84">
              <w:rPr>
                <w:rFonts w:ascii="Arial Narrow" w:eastAsiaTheme="majorEastAsia" w:hAnsi="Arial Narrow" w:cstheme="majorBidi"/>
                <w:bCs/>
                <w:sz w:val="20"/>
              </w:rPr>
              <w:t>0.38</w:t>
            </w:r>
          </w:p>
        </w:tc>
      </w:tr>
      <w:tr w:rsidR="00763EF2" w:rsidRPr="003B5F84" w14:paraId="2C1A012A" w14:textId="77777777" w:rsidTr="000E709B">
        <w:tc>
          <w:tcPr>
            <w:tcW w:w="4165" w:type="pct"/>
            <w:gridSpan w:val="3"/>
            <w:vAlign w:val="center"/>
          </w:tcPr>
          <w:p w14:paraId="52296ED0" w14:textId="77777777" w:rsidR="00763EF2" w:rsidRPr="003B5F84" w:rsidRDefault="00763EF2" w:rsidP="00CB4A1F">
            <w:pPr>
              <w:keepNext/>
              <w:jc w:val="left"/>
              <w:rPr>
                <w:rFonts w:ascii="Times" w:eastAsiaTheme="majorEastAsia" w:hAnsi="Times" w:cstheme="majorBidi"/>
                <w:sz w:val="20"/>
              </w:rPr>
            </w:pPr>
            <w:r w:rsidRPr="003B5F84">
              <w:rPr>
                <w:rFonts w:ascii="Arial Narrow" w:eastAsiaTheme="majorEastAsia" w:hAnsi="Arial Narrow" w:cstheme="majorBidi"/>
                <w:sz w:val="20"/>
              </w:rPr>
              <w:t>Incremental cost/extra LY gained</w:t>
            </w:r>
          </w:p>
        </w:tc>
        <w:tc>
          <w:tcPr>
            <w:tcW w:w="835" w:type="pct"/>
            <w:vAlign w:val="center"/>
          </w:tcPr>
          <w:p w14:paraId="1A8CF183" w14:textId="5E73DEA2" w:rsidR="00763EF2" w:rsidRPr="003B5F84" w:rsidRDefault="005860C6" w:rsidP="00CB4A1F">
            <w:pPr>
              <w:keepNext/>
              <w:jc w:val="center"/>
              <w:rPr>
                <w:rFonts w:ascii="Times" w:eastAsiaTheme="majorEastAsia" w:hAnsi="Times" w:cstheme="majorBidi"/>
                <w:sz w:val="20"/>
              </w:rPr>
            </w:pPr>
            <w:r>
              <w:rPr>
                <w:rFonts w:ascii="Arial Narrow" w:eastAsiaTheme="majorEastAsia" w:hAnsi="Arial Narrow" w:cstheme="majorBidi"/>
                <w:sz w:val="20"/>
              </w:rPr>
              <w:t xml:space="preserve"> </w:t>
            </w:r>
            <w:r w:rsidRPr="005860C6">
              <w:rPr>
                <w:rFonts w:ascii="Arial Narrow" w:eastAsiaTheme="majorEastAsia" w:hAnsi="Arial Narrow" w:cstheme="majorBidi"/>
                <w:color w:val="000000"/>
                <w:sz w:val="20"/>
                <w:shd w:val="solid" w:color="000000" w:fill="000000"/>
                <w14:textFill>
                  <w14:solidFill>
                    <w14:srgbClr w14:val="000000">
                      <w14:alpha w14:val="100000"/>
                    </w14:srgbClr>
                  </w14:solidFill>
                </w14:textFill>
              </w:rPr>
              <w:t>|</w:t>
            </w:r>
            <w:r w:rsidR="0085523E">
              <w:rPr>
                <w:rFonts w:ascii="Arial Narrow" w:eastAsiaTheme="majorEastAsia" w:hAnsi="Arial Narrow" w:cstheme="majorBidi"/>
                <w:sz w:val="20"/>
              </w:rPr>
              <w:t xml:space="preserve"> </w:t>
            </w:r>
            <w:r w:rsidR="00E447AE">
              <w:rPr>
                <w:rFonts w:ascii="Arial Narrow" w:eastAsiaTheme="majorEastAsia" w:hAnsi="Arial Narrow" w:cstheme="majorBidi"/>
                <w:sz w:val="20"/>
                <w:vertAlign w:val="superscript"/>
              </w:rPr>
              <w:t>4</w:t>
            </w:r>
          </w:p>
        </w:tc>
      </w:tr>
      <w:tr w:rsidR="00763EF2" w:rsidRPr="003B5F84" w14:paraId="6404F214" w14:textId="77777777" w:rsidTr="000E709B">
        <w:tc>
          <w:tcPr>
            <w:tcW w:w="4165" w:type="pct"/>
            <w:gridSpan w:val="3"/>
            <w:vAlign w:val="center"/>
          </w:tcPr>
          <w:p w14:paraId="7CAB622D" w14:textId="77777777" w:rsidR="00763EF2" w:rsidRPr="003B5F84" w:rsidRDefault="00763EF2" w:rsidP="00CB4A1F">
            <w:pPr>
              <w:keepNext/>
              <w:jc w:val="left"/>
              <w:rPr>
                <w:rFonts w:ascii="Times" w:eastAsiaTheme="majorEastAsia" w:hAnsi="Times" w:cstheme="majorBidi"/>
                <w:b/>
                <w:bCs/>
                <w:sz w:val="20"/>
              </w:rPr>
            </w:pPr>
            <w:r w:rsidRPr="003B5F84">
              <w:rPr>
                <w:rFonts w:ascii="Arial Narrow" w:eastAsiaTheme="majorEastAsia" w:hAnsi="Arial Narrow" w:cstheme="majorBidi"/>
                <w:b/>
                <w:bCs/>
                <w:sz w:val="20"/>
              </w:rPr>
              <w:t>Incremental cost/extra QALY gained</w:t>
            </w:r>
          </w:p>
        </w:tc>
        <w:tc>
          <w:tcPr>
            <w:tcW w:w="835" w:type="pct"/>
            <w:vAlign w:val="center"/>
          </w:tcPr>
          <w:p w14:paraId="55E241D8" w14:textId="1957B45E" w:rsidR="00763EF2" w:rsidRPr="003B5F84" w:rsidRDefault="005860C6" w:rsidP="00CB4A1F">
            <w:pPr>
              <w:keepNext/>
              <w:jc w:val="center"/>
              <w:rPr>
                <w:rFonts w:ascii="Times" w:eastAsiaTheme="majorEastAsia" w:hAnsi="Times" w:cstheme="majorBidi"/>
                <w:b/>
                <w:bCs/>
                <w:sz w:val="20"/>
              </w:rPr>
            </w:pPr>
            <w:r>
              <w:rPr>
                <w:rFonts w:ascii="Arial Narrow" w:eastAsiaTheme="majorEastAsia" w:hAnsi="Arial Narrow" w:cstheme="majorBidi"/>
                <w:b/>
                <w:bCs/>
                <w:sz w:val="20"/>
              </w:rPr>
              <w:t xml:space="preserve"> </w:t>
            </w:r>
            <w:r w:rsidRPr="005860C6">
              <w:rPr>
                <w:rFonts w:ascii="Arial Narrow" w:eastAsiaTheme="majorEastAsia" w:hAnsi="Arial Narrow" w:cstheme="majorBidi"/>
                <w:b/>
                <w:bCs/>
                <w:color w:val="000000"/>
                <w:sz w:val="20"/>
                <w:shd w:val="solid" w:color="000000" w:fill="000000"/>
                <w14:textFill>
                  <w14:solidFill>
                    <w14:srgbClr w14:val="000000">
                      <w14:alpha w14:val="100000"/>
                    </w14:srgbClr>
                  </w14:solidFill>
                </w14:textFill>
              </w:rPr>
              <w:t>|</w:t>
            </w:r>
            <w:r w:rsidR="0085523E">
              <w:rPr>
                <w:rFonts w:ascii="Arial Narrow" w:eastAsiaTheme="majorEastAsia" w:hAnsi="Arial Narrow" w:cstheme="majorBidi"/>
                <w:b/>
                <w:bCs/>
                <w:sz w:val="20"/>
              </w:rPr>
              <w:t xml:space="preserve"> </w:t>
            </w:r>
            <w:r w:rsidR="00E447AE">
              <w:rPr>
                <w:rFonts w:ascii="Arial Narrow" w:eastAsiaTheme="majorEastAsia" w:hAnsi="Arial Narrow" w:cstheme="majorBidi"/>
                <w:sz w:val="20"/>
                <w:vertAlign w:val="superscript"/>
              </w:rPr>
              <w:t>5</w:t>
            </w:r>
          </w:p>
        </w:tc>
      </w:tr>
    </w:tbl>
    <w:p w14:paraId="2CC7D7B6" w14:textId="77777777" w:rsidR="00763EF2" w:rsidRPr="003B5F84" w:rsidRDefault="00763EF2" w:rsidP="00763EF2">
      <w:pPr>
        <w:pStyle w:val="TableFigureFooter"/>
      </w:pPr>
      <w:r w:rsidRPr="003B5F84">
        <w:t>Source: Tables 3-22 and 3-23, p150 of the submission.</w:t>
      </w:r>
    </w:p>
    <w:p w14:paraId="09AB30EB" w14:textId="3B64D621" w:rsidR="00763EF2" w:rsidRDefault="00763EF2" w:rsidP="00763EF2">
      <w:pPr>
        <w:pStyle w:val="TableFigureFooter"/>
      </w:pPr>
      <w:r w:rsidRPr="003B5F84">
        <w:t>BSC = best supportive care; LY = life year; QALY = quality-adjusted life year.</w:t>
      </w:r>
    </w:p>
    <w:p w14:paraId="1BD8E4E1" w14:textId="1D0A4839" w:rsidR="00280F1A" w:rsidRPr="00D22B13" w:rsidRDefault="00280F1A" w:rsidP="00280F1A">
      <w:pPr>
        <w:pStyle w:val="TableFigureFooter"/>
        <w:rPr>
          <w:i/>
          <w:iCs/>
        </w:rPr>
      </w:pPr>
      <w:r w:rsidRPr="00D22B13">
        <w:rPr>
          <w:i/>
          <w:iCs/>
        </w:rPr>
        <w:t>The redacted values correspond to the following ranges:</w:t>
      </w:r>
    </w:p>
    <w:p w14:paraId="2E8161EA" w14:textId="5B979BBC" w:rsidR="009A1253" w:rsidRPr="00D22B13" w:rsidRDefault="009A1253" w:rsidP="00280F1A">
      <w:pPr>
        <w:pStyle w:val="TableFigureFooter"/>
        <w:rPr>
          <w:i/>
          <w:iCs/>
        </w:rPr>
      </w:pPr>
      <w:r w:rsidRPr="00D22B13">
        <w:rPr>
          <w:i/>
          <w:iCs/>
        </w:rPr>
        <w:t>1</w:t>
      </w:r>
      <w:r w:rsidR="00014ADA">
        <w:rPr>
          <w:i/>
          <w:iCs/>
        </w:rPr>
        <w:t xml:space="preserve"> </w:t>
      </w:r>
      <w:r w:rsidRPr="00D22B13">
        <w:rPr>
          <w:i/>
          <w:iCs/>
        </w:rPr>
        <w:t>$135,000 to &lt; $155,000</w:t>
      </w:r>
    </w:p>
    <w:p w14:paraId="4C38D8A4" w14:textId="4F76E6EF" w:rsidR="009A1253" w:rsidRPr="00D22B13" w:rsidRDefault="009A1253" w:rsidP="009A1253">
      <w:pPr>
        <w:pStyle w:val="TableFigureFooter"/>
        <w:rPr>
          <w:i/>
          <w:iCs/>
        </w:rPr>
      </w:pPr>
      <w:r w:rsidRPr="00D22B13">
        <w:rPr>
          <w:i/>
          <w:iCs/>
          <w:vertAlign w:val="superscript"/>
        </w:rPr>
        <w:t>2</w:t>
      </w:r>
      <w:r w:rsidR="00014ADA">
        <w:rPr>
          <w:i/>
          <w:iCs/>
          <w:vertAlign w:val="superscript"/>
        </w:rPr>
        <w:t xml:space="preserve"> </w:t>
      </w:r>
      <w:r w:rsidRPr="00D22B13">
        <w:rPr>
          <w:i/>
          <w:iCs/>
        </w:rPr>
        <w:t>$55,000 to &lt; $75,000</w:t>
      </w:r>
    </w:p>
    <w:p w14:paraId="2AE0C68B" w14:textId="7F2D7B42" w:rsidR="009A1253" w:rsidRPr="00D22B13" w:rsidRDefault="009A1253" w:rsidP="009A1253">
      <w:pPr>
        <w:pStyle w:val="TableFigureFooter"/>
        <w:rPr>
          <w:i/>
          <w:iCs/>
        </w:rPr>
      </w:pPr>
      <w:r w:rsidRPr="00D22B13">
        <w:rPr>
          <w:i/>
          <w:iCs/>
          <w:vertAlign w:val="superscript"/>
        </w:rPr>
        <w:t>3</w:t>
      </w:r>
      <w:r w:rsidR="00014ADA">
        <w:rPr>
          <w:i/>
          <w:iCs/>
          <w:vertAlign w:val="superscript"/>
        </w:rPr>
        <w:t xml:space="preserve"> </w:t>
      </w:r>
      <w:r w:rsidRPr="00D22B13">
        <w:rPr>
          <w:i/>
          <w:iCs/>
        </w:rPr>
        <w:t>$115,000 to &lt; $135,000</w:t>
      </w:r>
    </w:p>
    <w:p w14:paraId="21EA848E" w14:textId="7E983EA0" w:rsidR="00E447AE" w:rsidRPr="00D22B13" w:rsidRDefault="00E447AE" w:rsidP="00E447AE">
      <w:pPr>
        <w:pStyle w:val="TableFigureFooter"/>
        <w:rPr>
          <w:i/>
          <w:iCs/>
        </w:rPr>
      </w:pPr>
      <w:r w:rsidRPr="00D22B13">
        <w:rPr>
          <w:i/>
          <w:iCs/>
          <w:vertAlign w:val="superscript"/>
        </w:rPr>
        <w:t>4</w:t>
      </w:r>
      <w:r w:rsidR="00014ADA">
        <w:rPr>
          <w:i/>
          <w:iCs/>
          <w:vertAlign w:val="superscript"/>
        </w:rPr>
        <w:t xml:space="preserve"> </w:t>
      </w:r>
      <w:r w:rsidRPr="00D22B13">
        <w:rPr>
          <w:i/>
          <w:iCs/>
        </w:rPr>
        <w:t>$</w:t>
      </w:r>
      <w:r w:rsidR="00014ADA">
        <w:rPr>
          <w:i/>
          <w:iCs/>
        </w:rPr>
        <w:t>9</w:t>
      </w:r>
      <w:r w:rsidRPr="00D22B13">
        <w:rPr>
          <w:i/>
          <w:iCs/>
        </w:rPr>
        <w:t>5,000 to &lt; $1</w:t>
      </w:r>
      <w:r w:rsidR="00014ADA">
        <w:rPr>
          <w:i/>
          <w:iCs/>
        </w:rPr>
        <w:t>1</w:t>
      </w:r>
      <w:r w:rsidRPr="00D22B13">
        <w:rPr>
          <w:i/>
          <w:iCs/>
        </w:rPr>
        <w:t>5,000</w:t>
      </w:r>
    </w:p>
    <w:p w14:paraId="082F55F3" w14:textId="31A7771D" w:rsidR="009A1253" w:rsidRPr="009A1253" w:rsidRDefault="00E447AE" w:rsidP="009A1253">
      <w:pPr>
        <w:pStyle w:val="TableFigureFooter"/>
      </w:pPr>
      <w:r w:rsidRPr="00D22B13">
        <w:rPr>
          <w:i/>
          <w:iCs/>
          <w:vertAlign w:val="superscript"/>
        </w:rPr>
        <w:t>5</w:t>
      </w:r>
      <w:r w:rsidR="00014ADA">
        <w:rPr>
          <w:i/>
          <w:iCs/>
          <w:vertAlign w:val="superscript"/>
        </w:rPr>
        <w:t xml:space="preserve"> </w:t>
      </w:r>
      <w:r w:rsidRPr="00D22B13">
        <w:rPr>
          <w:i/>
          <w:iCs/>
        </w:rPr>
        <w:t>$45,000 to &lt; $55,000</w:t>
      </w:r>
    </w:p>
    <w:p w14:paraId="07806C02" w14:textId="73EE705A" w:rsidR="00763EF2" w:rsidRPr="0023484B" w:rsidRDefault="00763EF2" w:rsidP="004A52A9">
      <w:pPr>
        <w:numPr>
          <w:ilvl w:val="1"/>
          <w:numId w:val="1"/>
        </w:numPr>
        <w:spacing w:after="120"/>
        <w:ind w:left="720"/>
        <w:rPr>
          <w:rFonts w:eastAsia="Calibri" w:cs="Calibri"/>
          <w:snapToGrid w:val="0"/>
        </w:rPr>
      </w:pPr>
      <w:r w:rsidRPr="0023484B">
        <w:rPr>
          <w:rFonts w:asciiTheme="minorHAnsi" w:hAnsiTheme="minorHAnsi"/>
          <w:snapToGrid w:val="0"/>
        </w:rPr>
        <w:t>In the base case (subgroup previously treated with lenvatinib only), the ICER was estimated to be $</w:t>
      </w:r>
      <w:r w:rsidR="002443F1" w:rsidRPr="002443F1">
        <w:rPr>
          <w:rFonts w:asciiTheme="minorHAnsi" w:hAnsiTheme="minorHAnsi"/>
          <w:snapToGrid w:val="0"/>
        </w:rPr>
        <w:t xml:space="preserve">55,000 to &lt; $75,000 </w:t>
      </w:r>
      <w:r w:rsidRPr="0023484B">
        <w:rPr>
          <w:rFonts w:asciiTheme="minorHAnsi" w:hAnsiTheme="minorHAnsi"/>
          <w:snapToGrid w:val="0"/>
        </w:rPr>
        <w:t xml:space="preserve">per QALY gained, using the proposed effective price for cabozantinib. </w:t>
      </w:r>
      <w:r w:rsidRPr="0023484B">
        <w:rPr>
          <w:rFonts w:eastAsia="Calibri" w:cs="Calibri"/>
        </w:rPr>
        <w:t>The ICER was driven by the improvement in quality of life (QALYs)</w:t>
      </w:r>
      <w:r w:rsidR="00CD71F1">
        <w:rPr>
          <w:rFonts w:eastAsia="Calibri" w:cs="Calibri"/>
        </w:rPr>
        <w:t>. The model did include a</w:t>
      </w:r>
      <w:r w:rsidRPr="0023484B">
        <w:rPr>
          <w:rFonts w:eastAsia="Calibri" w:cs="Calibri"/>
        </w:rPr>
        <w:t xml:space="preserve"> gain in overall survival (life years)</w:t>
      </w:r>
      <w:r w:rsidR="00E120DC">
        <w:rPr>
          <w:rFonts w:eastAsia="Calibri" w:cs="Calibri"/>
        </w:rPr>
        <w:t>, which was not demonstrated in the trial</w:t>
      </w:r>
      <w:r w:rsidRPr="0023484B">
        <w:rPr>
          <w:rFonts w:eastAsia="Calibri" w:cs="Calibri"/>
        </w:rPr>
        <w:t>.</w:t>
      </w:r>
      <w:r w:rsidR="000E709B">
        <w:rPr>
          <w:rFonts w:eastAsia="Calibri" w:cs="Calibri"/>
        </w:rPr>
        <w:t xml:space="preserve"> Th</w:t>
      </w:r>
      <w:r w:rsidR="00550414">
        <w:rPr>
          <w:rFonts w:eastAsia="Calibri" w:cs="Calibri"/>
        </w:rPr>
        <w:t>e revised ICER</w:t>
      </w:r>
      <w:r w:rsidR="00550414" w:rsidRPr="00550414">
        <w:rPr>
          <w:rFonts w:eastAsia="Calibri" w:cs="Calibri"/>
        </w:rPr>
        <w:t xml:space="preserve"> </w:t>
      </w:r>
      <w:r w:rsidR="00550414">
        <w:rPr>
          <w:rFonts w:eastAsia="Calibri" w:cs="Calibri"/>
        </w:rPr>
        <w:t>in the pre-PBAC response was</w:t>
      </w:r>
      <w:r w:rsidR="000E709B">
        <w:rPr>
          <w:rFonts w:eastAsia="Calibri" w:cs="Calibri"/>
        </w:rPr>
        <w:t xml:space="preserve"> $</w:t>
      </w:r>
      <w:r w:rsidR="00280F1A" w:rsidRPr="00280F1A">
        <w:rPr>
          <w:rFonts w:eastAsia="Calibri" w:cs="Calibri"/>
        </w:rPr>
        <w:t>55,000 to &lt;</w:t>
      </w:r>
      <w:r w:rsidR="00C74C0E">
        <w:rPr>
          <w:rFonts w:eastAsia="Calibri" w:cs="Calibri"/>
        </w:rPr>
        <w:t> </w:t>
      </w:r>
      <w:r w:rsidR="00280F1A" w:rsidRPr="00280F1A">
        <w:rPr>
          <w:rFonts w:eastAsia="Calibri" w:cs="Calibri"/>
        </w:rPr>
        <w:t xml:space="preserve">$75,000 </w:t>
      </w:r>
      <w:r w:rsidR="000E709B">
        <w:rPr>
          <w:rFonts w:eastAsia="Calibri" w:cs="Calibri"/>
        </w:rPr>
        <w:t>per QALY.</w:t>
      </w:r>
      <w:r w:rsidR="002A0CA0">
        <w:rPr>
          <w:rFonts w:eastAsia="Calibri" w:cs="Calibri"/>
        </w:rPr>
        <w:t xml:space="preserve"> </w:t>
      </w:r>
    </w:p>
    <w:p w14:paraId="64BC4AE3" w14:textId="5D9BE551" w:rsidR="00763EF2" w:rsidRPr="003B5F84" w:rsidRDefault="00763EF2" w:rsidP="004A52A9">
      <w:pPr>
        <w:numPr>
          <w:ilvl w:val="1"/>
          <w:numId w:val="1"/>
        </w:numPr>
        <w:spacing w:after="120"/>
        <w:ind w:left="720"/>
        <w:rPr>
          <w:rFonts w:asciiTheme="minorHAnsi" w:hAnsiTheme="minorHAnsi"/>
          <w:snapToGrid w:val="0"/>
        </w:rPr>
      </w:pPr>
      <w:r w:rsidRPr="0564460C">
        <w:rPr>
          <w:rFonts w:asciiTheme="minorHAnsi" w:hAnsiTheme="minorHAnsi" w:cstheme="minorBidi"/>
          <w:snapToGrid w:val="0"/>
        </w:rPr>
        <w:fldChar w:fldCharType="begin" w:fldLock="1"/>
      </w:r>
      <w:r w:rsidRPr="0564460C">
        <w:rPr>
          <w:rFonts w:asciiTheme="minorHAnsi" w:hAnsiTheme="minorHAnsi" w:cstheme="minorBidi"/>
          <w:snapToGrid w:val="0"/>
        </w:rPr>
        <w:instrText xml:space="preserve"> REF _Ref141645775 \h  \* MERGEFORMAT </w:instrText>
      </w:r>
      <w:r w:rsidRPr="0564460C">
        <w:rPr>
          <w:rFonts w:asciiTheme="minorHAnsi" w:hAnsiTheme="minorHAnsi" w:cstheme="minorBidi"/>
          <w:snapToGrid w:val="0"/>
        </w:rPr>
      </w:r>
      <w:r w:rsidRPr="0564460C">
        <w:rPr>
          <w:rFonts w:asciiTheme="minorHAnsi" w:hAnsiTheme="minorHAnsi" w:cstheme="minorBidi"/>
          <w:snapToGrid w:val="0"/>
        </w:rPr>
        <w:fldChar w:fldCharType="separate"/>
      </w:r>
      <w:r w:rsidR="008760F8" w:rsidRPr="008760F8">
        <w:rPr>
          <w:rFonts w:asciiTheme="minorHAnsi" w:hAnsiTheme="minorHAnsi" w:cstheme="minorBidi"/>
        </w:rPr>
        <w:t>Table 18</w:t>
      </w:r>
      <w:r w:rsidRPr="0564460C">
        <w:rPr>
          <w:rFonts w:asciiTheme="minorHAnsi" w:hAnsiTheme="minorHAnsi" w:cstheme="minorBidi"/>
          <w:snapToGrid w:val="0"/>
        </w:rPr>
        <w:fldChar w:fldCharType="end"/>
      </w:r>
      <w:r w:rsidRPr="0564460C">
        <w:rPr>
          <w:rFonts w:asciiTheme="minorHAnsi" w:hAnsiTheme="minorHAnsi" w:cstheme="minorBidi"/>
          <w:snapToGrid w:val="0"/>
        </w:rPr>
        <w:t xml:space="preserve"> pre</w:t>
      </w:r>
      <w:r w:rsidRPr="0564460C">
        <w:rPr>
          <w:rFonts w:asciiTheme="minorHAnsi" w:hAnsiTheme="minorHAnsi"/>
          <w:snapToGrid w:val="0"/>
        </w:rPr>
        <w:t xml:space="preserve">sents the list of health states and a summary of cost impacts included in the economic evaluation. </w:t>
      </w:r>
    </w:p>
    <w:p w14:paraId="2691CF37" w14:textId="26EBCC70" w:rsidR="00763EF2" w:rsidRPr="003B5F84" w:rsidRDefault="00763EF2" w:rsidP="00763EF2">
      <w:pPr>
        <w:keepNext/>
        <w:keepLines/>
        <w:rPr>
          <w:rFonts w:ascii="Arial Narrow" w:hAnsi="Arial Narrow"/>
          <w:b/>
          <w:bCs/>
          <w:sz w:val="20"/>
        </w:rPr>
      </w:pPr>
      <w:bookmarkStart w:id="84" w:name="_Ref141645775"/>
      <w:bookmarkStart w:id="85" w:name="_Hlk140573959"/>
      <w:r w:rsidRPr="003B5F84">
        <w:rPr>
          <w:rFonts w:ascii="Arial Narrow" w:hAnsi="Arial Narrow"/>
          <w:b/>
          <w:bCs/>
          <w:sz w:val="20"/>
          <w:szCs w:val="18"/>
        </w:rPr>
        <w:lastRenderedPageBreak/>
        <w:t xml:space="preserve">Table </w:t>
      </w:r>
      <w:r w:rsidRPr="003B5F84">
        <w:rPr>
          <w:rFonts w:ascii="Arial Narrow" w:hAnsi="Arial Narrow"/>
          <w:b/>
          <w:bCs/>
          <w:sz w:val="20"/>
          <w:szCs w:val="18"/>
        </w:rPr>
        <w:fldChar w:fldCharType="begin" w:fldLock="1"/>
      </w:r>
      <w:r w:rsidRPr="003B5F84">
        <w:rPr>
          <w:rFonts w:ascii="Arial Narrow" w:hAnsi="Arial Narrow"/>
          <w:b/>
          <w:bCs/>
          <w:sz w:val="20"/>
          <w:szCs w:val="18"/>
        </w:rPr>
        <w:instrText xml:space="preserve"> SEQ Table \* ARABIC </w:instrText>
      </w:r>
      <w:r w:rsidRPr="003B5F84">
        <w:rPr>
          <w:rFonts w:ascii="Arial Narrow" w:hAnsi="Arial Narrow"/>
          <w:b/>
          <w:bCs/>
          <w:sz w:val="20"/>
          <w:szCs w:val="18"/>
        </w:rPr>
        <w:fldChar w:fldCharType="separate"/>
      </w:r>
      <w:r w:rsidR="008760F8">
        <w:rPr>
          <w:rFonts w:ascii="Arial Narrow" w:hAnsi="Arial Narrow"/>
          <w:b/>
          <w:bCs/>
          <w:noProof/>
          <w:sz w:val="20"/>
          <w:szCs w:val="18"/>
        </w:rPr>
        <w:t>18</w:t>
      </w:r>
      <w:r w:rsidRPr="003B5F84">
        <w:rPr>
          <w:rFonts w:ascii="Arial Narrow" w:hAnsi="Arial Narrow"/>
          <w:b/>
          <w:bCs/>
          <w:noProof/>
          <w:sz w:val="20"/>
          <w:szCs w:val="18"/>
        </w:rPr>
        <w:fldChar w:fldCharType="end"/>
      </w:r>
      <w:bookmarkEnd w:id="84"/>
      <w:r>
        <w:rPr>
          <w:rFonts w:ascii="Arial Narrow" w:hAnsi="Arial Narrow"/>
          <w:b/>
          <w:bCs/>
          <w:noProof/>
          <w:sz w:val="20"/>
          <w:szCs w:val="18"/>
        </w:rPr>
        <w:t>:</w:t>
      </w:r>
      <w:r w:rsidRPr="003B5F84">
        <w:rPr>
          <w:rFonts w:ascii="Arial Narrow" w:hAnsi="Arial Narrow"/>
          <w:b/>
          <w:bCs/>
          <w:sz w:val="20"/>
          <w:szCs w:val="18"/>
        </w:rPr>
        <w:t xml:space="preserve"> </w:t>
      </w:r>
      <w:r w:rsidRPr="003B5F84">
        <w:rPr>
          <w:rFonts w:ascii="Arial Narrow" w:hAnsi="Arial Narrow"/>
          <w:b/>
          <w:bCs/>
          <w:sz w:val="20"/>
        </w:rPr>
        <w:t>List of health states and summary of cost impacts included in the economic evaluation</w:t>
      </w:r>
      <w:bookmarkEnd w:id="85"/>
      <w:r w:rsidRPr="003B5F84">
        <w:rPr>
          <w:rFonts w:ascii="Arial Narrow" w:hAnsi="Arial Narrow"/>
          <w:b/>
          <w:bCs/>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3"/>
        <w:gridCol w:w="1675"/>
        <w:gridCol w:w="1414"/>
        <w:gridCol w:w="1277"/>
        <w:gridCol w:w="1277"/>
        <w:gridCol w:w="1791"/>
      </w:tblGrid>
      <w:tr w:rsidR="00763EF2" w:rsidRPr="004221D8" w14:paraId="7FB8C1B3" w14:textId="77777777" w:rsidTr="00E120DC">
        <w:trPr>
          <w:cantSplit/>
          <w:tblHeader/>
        </w:trPr>
        <w:tc>
          <w:tcPr>
            <w:tcW w:w="87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C74846" w14:textId="77777777" w:rsidR="00763EF2" w:rsidRPr="004221D8" w:rsidRDefault="00763EF2" w:rsidP="00CB4A1F">
            <w:pPr>
              <w:keepNext/>
              <w:jc w:val="center"/>
              <w:rPr>
                <w:rFonts w:ascii="Arial Narrow" w:eastAsiaTheme="majorEastAsia" w:hAnsi="Arial Narrow" w:cs="Times New Roman"/>
                <w:b/>
                <w:sz w:val="20"/>
                <w:lang w:val="en-US"/>
              </w:rPr>
            </w:pPr>
            <w:r w:rsidRPr="004221D8">
              <w:rPr>
                <w:rFonts w:ascii="Arial Narrow" w:eastAsiaTheme="majorEastAsia" w:hAnsi="Arial Narrow" w:cs="Times New Roman"/>
                <w:b/>
                <w:sz w:val="20"/>
                <w:lang w:val="en-US"/>
              </w:rPr>
              <w:t>Health state</w:t>
            </w:r>
          </w:p>
        </w:tc>
        <w:tc>
          <w:tcPr>
            <w:tcW w:w="92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722C705B" w14:textId="77777777" w:rsidR="00763EF2" w:rsidRPr="004221D8" w:rsidRDefault="00763EF2" w:rsidP="00CB4A1F">
            <w:pPr>
              <w:keepNext/>
              <w:jc w:val="left"/>
              <w:rPr>
                <w:rFonts w:ascii="Arial Narrow" w:eastAsiaTheme="majorEastAsia" w:hAnsi="Arial Narrow" w:cs="Times New Roman"/>
                <w:b/>
                <w:sz w:val="20"/>
                <w:lang w:val="en-US"/>
              </w:rPr>
            </w:pPr>
            <w:r w:rsidRPr="004221D8">
              <w:rPr>
                <w:rFonts w:ascii="Arial Narrow" w:eastAsiaTheme="majorEastAsia" w:hAnsi="Arial Narrow" w:cs="Times New Roman"/>
                <w:b/>
                <w:sz w:val="20"/>
                <w:lang w:val="en-US"/>
              </w:rPr>
              <w:t>Resource use by health state</w:t>
            </w:r>
          </w:p>
        </w:tc>
        <w:tc>
          <w:tcPr>
            <w:tcW w:w="784" w:type="pct"/>
            <w:tcBorders>
              <w:top w:val="single" w:sz="4" w:space="0" w:color="auto"/>
              <w:left w:val="single" w:sz="4" w:space="0" w:color="auto"/>
              <w:bottom w:val="single" w:sz="4" w:space="0" w:color="auto"/>
              <w:right w:val="single" w:sz="4" w:space="0" w:color="auto"/>
            </w:tcBorders>
            <w:vAlign w:val="center"/>
          </w:tcPr>
          <w:p w14:paraId="2DDF457A" w14:textId="77777777" w:rsidR="00763EF2" w:rsidRPr="004221D8" w:rsidRDefault="00763EF2" w:rsidP="00CB4A1F">
            <w:pPr>
              <w:keepNext/>
              <w:jc w:val="center"/>
              <w:rPr>
                <w:rFonts w:ascii="Arial Narrow" w:eastAsiaTheme="majorEastAsia" w:hAnsi="Arial Narrow" w:cs="Times New Roman"/>
                <w:b/>
                <w:sz w:val="20"/>
                <w:lang w:val="en-US"/>
              </w:rPr>
            </w:pPr>
            <w:r w:rsidRPr="004221D8">
              <w:rPr>
                <w:rFonts w:ascii="Arial Narrow" w:eastAsiaTheme="majorEastAsia" w:hAnsi="Arial Narrow" w:cs="Times New Roman"/>
                <w:b/>
                <w:sz w:val="20"/>
                <w:lang w:val="en-US"/>
              </w:rPr>
              <w:t>Cabozantinib (+ BSC) cost</w:t>
            </w:r>
          </w:p>
        </w:tc>
        <w:tc>
          <w:tcPr>
            <w:tcW w:w="708" w:type="pct"/>
            <w:tcBorders>
              <w:top w:val="single" w:sz="4" w:space="0" w:color="auto"/>
              <w:left w:val="single" w:sz="4" w:space="0" w:color="auto"/>
              <w:bottom w:val="single" w:sz="4" w:space="0" w:color="auto"/>
              <w:right w:val="single" w:sz="4" w:space="0" w:color="auto"/>
            </w:tcBorders>
            <w:vAlign w:val="center"/>
          </w:tcPr>
          <w:p w14:paraId="69791AE1" w14:textId="77777777" w:rsidR="00763EF2" w:rsidRPr="004221D8" w:rsidRDefault="00763EF2" w:rsidP="00CB4A1F">
            <w:pPr>
              <w:keepNext/>
              <w:jc w:val="center"/>
              <w:rPr>
                <w:rFonts w:ascii="Arial Narrow" w:eastAsiaTheme="majorEastAsia" w:hAnsi="Arial Narrow" w:cs="Times New Roman"/>
                <w:b/>
                <w:sz w:val="20"/>
                <w:lang w:val="en-US"/>
              </w:rPr>
            </w:pPr>
            <w:r w:rsidRPr="004221D8">
              <w:rPr>
                <w:rFonts w:ascii="Arial Narrow" w:eastAsiaTheme="majorEastAsia" w:hAnsi="Arial Narrow" w:cs="Times New Roman"/>
                <w:b/>
                <w:sz w:val="20"/>
                <w:lang w:val="en-US"/>
              </w:rPr>
              <w:t>BSC cost</w:t>
            </w:r>
          </w:p>
        </w:tc>
        <w:tc>
          <w:tcPr>
            <w:tcW w:w="70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092777" w14:textId="77777777" w:rsidR="00763EF2" w:rsidRPr="004221D8" w:rsidRDefault="00763EF2" w:rsidP="00CB4A1F">
            <w:pPr>
              <w:keepNext/>
              <w:jc w:val="center"/>
              <w:rPr>
                <w:rFonts w:ascii="Arial Narrow" w:eastAsiaTheme="majorEastAsia" w:hAnsi="Arial Narrow" w:cs="Times New Roman"/>
                <w:b/>
                <w:sz w:val="20"/>
                <w:lang w:val="en-US"/>
              </w:rPr>
            </w:pPr>
            <w:r w:rsidRPr="004221D8">
              <w:rPr>
                <w:rFonts w:ascii="Arial Narrow" w:eastAsiaTheme="majorEastAsia" w:hAnsi="Arial Narrow" w:cs="Times New Roman"/>
                <w:b/>
                <w:sz w:val="20"/>
                <w:lang w:val="en-US"/>
              </w:rPr>
              <w:t>Incremental cost</w:t>
            </w:r>
          </w:p>
        </w:tc>
        <w:tc>
          <w:tcPr>
            <w:tcW w:w="993" w:type="pct"/>
            <w:tcBorders>
              <w:top w:val="single" w:sz="4" w:space="0" w:color="auto"/>
              <w:left w:val="single" w:sz="4" w:space="0" w:color="auto"/>
              <w:bottom w:val="single" w:sz="4" w:space="0" w:color="auto"/>
              <w:right w:val="single" w:sz="4" w:space="0" w:color="auto"/>
            </w:tcBorders>
          </w:tcPr>
          <w:p w14:paraId="083BF87E" w14:textId="77777777" w:rsidR="00763EF2" w:rsidRPr="004221D8" w:rsidRDefault="00763EF2" w:rsidP="00CB4A1F">
            <w:pPr>
              <w:keepNext/>
              <w:jc w:val="center"/>
              <w:rPr>
                <w:rFonts w:ascii="Arial Narrow" w:eastAsiaTheme="majorEastAsia" w:hAnsi="Arial Narrow" w:cs="Times New Roman"/>
                <w:b/>
                <w:sz w:val="20"/>
                <w:lang w:val="en-US"/>
              </w:rPr>
            </w:pPr>
            <w:r w:rsidRPr="004221D8">
              <w:rPr>
                <w:rFonts w:ascii="Arial Narrow" w:eastAsiaTheme="majorEastAsia" w:hAnsi="Arial Narrow" w:cs="Times New Roman"/>
                <w:b/>
                <w:sz w:val="20"/>
                <w:lang w:val="en-US"/>
              </w:rPr>
              <w:t>% of the incremental cost of the health state</w:t>
            </w:r>
          </w:p>
        </w:tc>
      </w:tr>
      <w:tr w:rsidR="00763EF2" w:rsidRPr="004221D8" w14:paraId="1193C05A" w14:textId="77777777" w:rsidTr="00CB4A1F">
        <w:trPr>
          <w:cantSplit/>
        </w:trPr>
        <w:tc>
          <w:tcPr>
            <w:tcW w:w="5000" w:type="pct"/>
            <w:gridSpan w:val="6"/>
            <w:tcBorders>
              <w:top w:val="single" w:sz="4" w:space="0" w:color="auto"/>
              <w:left w:val="single" w:sz="4" w:space="0" w:color="auto"/>
              <w:right w:val="single" w:sz="4" w:space="0" w:color="auto"/>
            </w:tcBorders>
            <w:tcMar>
              <w:left w:w="57" w:type="dxa"/>
              <w:right w:w="57" w:type="dxa"/>
            </w:tcMar>
            <w:vAlign w:val="center"/>
          </w:tcPr>
          <w:p w14:paraId="6DEBFE9D" w14:textId="03287940" w:rsidR="00763EF2" w:rsidRPr="004221D8" w:rsidRDefault="00763EF2" w:rsidP="00CB4A1F">
            <w:pPr>
              <w:keepNext/>
              <w:jc w:val="left"/>
              <w:rPr>
                <w:rFonts w:ascii="Arial Narrow" w:eastAsiaTheme="majorEastAsia" w:hAnsi="Arial Narrow" w:cstheme="majorBidi"/>
                <w:b/>
                <w:sz w:val="20"/>
              </w:rPr>
            </w:pPr>
            <w:r w:rsidRPr="004221D8">
              <w:rPr>
                <w:rFonts w:ascii="Arial Narrow" w:eastAsiaTheme="majorEastAsia" w:hAnsi="Arial Narrow" w:cstheme="majorBidi"/>
                <w:b/>
                <w:sz w:val="20"/>
              </w:rPr>
              <w:t>Base case: Subgroup previously treated with lenvatinib only</w:t>
            </w:r>
          </w:p>
        </w:tc>
      </w:tr>
      <w:tr w:rsidR="00763EF2" w:rsidRPr="004221D8" w14:paraId="68062678" w14:textId="77777777" w:rsidTr="00E120DC">
        <w:trPr>
          <w:cantSplit/>
        </w:trPr>
        <w:tc>
          <w:tcPr>
            <w:tcW w:w="878" w:type="pct"/>
            <w:vMerge w:val="restart"/>
            <w:tcBorders>
              <w:top w:val="single" w:sz="4" w:space="0" w:color="auto"/>
              <w:left w:val="single" w:sz="4" w:space="0" w:color="auto"/>
              <w:right w:val="single" w:sz="4" w:space="0" w:color="auto"/>
            </w:tcBorders>
            <w:tcMar>
              <w:left w:w="57" w:type="dxa"/>
              <w:right w:w="57" w:type="dxa"/>
            </w:tcMar>
            <w:vAlign w:val="center"/>
          </w:tcPr>
          <w:p w14:paraId="6C470526" w14:textId="77777777" w:rsidR="00763EF2" w:rsidRPr="004221D8" w:rsidRDefault="00763EF2" w:rsidP="00CB4A1F">
            <w:pPr>
              <w:keepNext/>
              <w:jc w:val="left"/>
              <w:rPr>
                <w:rFonts w:ascii="Arial Narrow" w:eastAsiaTheme="majorEastAsia" w:hAnsi="Arial Narrow" w:cstheme="majorBidi"/>
                <w:bCs/>
                <w:sz w:val="20"/>
              </w:rPr>
            </w:pPr>
            <w:r w:rsidRPr="004221D8">
              <w:rPr>
                <w:rFonts w:ascii="Arial Narrow" w:eastAsiaTheme="majorEastAsia" w:hAnsi="Arial Narrow" w:cstheme="majorBidi"/>
                <w:bCs/>
                <w:sz w:val="20"/>
              </w:rPr>
              <w:t>Pre-progression</w:t>
            </w:r>
          </w:p>
        </w:tc>
        <w:tc>
          <w:tcPr>
            <w:tcW w:w="928" w:type="pct"/>
            <w:tcBorders>
              <w:top w:val="single" w:sz="4" w:space="0" w:color="auto"/>
              <w:left w:val="single" w:sz="4" w:space="0" w:color="auto"/>
              <w:bottom w:val="nil"/>
              <w:right w:val="single" w:sz="4" w:space="0" w:color="auto"/>
            </w:tcBorders>
            <w:tcMar>
              <w:left w:w="57" w:type="dxa"/>
              <w:right w:w="57" w:type="dxa"/>
            </w:tcMar>
            <w:vAlign w:val="center"/>
          </w:tcPr>
          <w:p w14:paraId="7B9D7571" w14:textId="77777777" w:rsidR="00763EF2" w:rsidRPr="004221D8" w:rsidRDefault="00763EF2" w:rsidP="00CB4A1F">
            <w:pPr>
              <w:keepNext/>
              <w:jc w:val="left"/>
              <w:rPr>
                <w:rFonts w:ascii="Arial Narrow" w:eastAsiaTheme="majorEastAsia" w:hAnsi="Arial Narrow" w:cstheme="majorBidi"/>
                <w:bCs/>
                <w:sz w:val="20"/>
              </w:rPr>
            </w:pPr>
            <w:r w:rsidRPr="004221D8">
              <w:rPr>
                <w:rFonts w:ascii="Arial Narrow" w:eastAsiaTheme="majorEastAsia" w:hAnsi="Arial Narrow" w:cstheme="majorBidi"/>
                <w:bCs/>
                <w:sz w:val="20"/>
              </w:rPr>
              <w:t>Drug</w:t>
            </w:r>
          </w:p>
        </w:tc>
        <w:tc>
          <w:tcPr>
            <w:tcW w:w="784" w:type="pct"/>
            <w:tcBorders>
              <w:top w:val="single" w:sz="4" w:space="0" w:color="auto"/>
              <w:left w:val="single" w:sz="4" w:space="0" w:color="auto"/>
              <w:bottom w:val="nil"/>
              <w:right w:val="single" w:sz="4" w:space="0" w:color="auto"/>
            </w:tcBorders>
            <w:vAlign w:val="center"/>
          </w:tcPr>
          <w:p w14:paraId="62AF6CF4" w14:textId="32C7A3A3" w:rsidR="00763EF2" w:rsidRPr="004221D8" w:rsidRDefault="00B1620B" w:rsidP="00CB4A1F">
            <w:pPr>
              <w:keepNext/>
              <w:jc w:val="right"/>
              <w:rPr>
                <w:rFonts w:ascii="Arial Narrow" w:eastAsiaTheme="majorEastAsia" w:hAnsi="Arial Narrow" w:cstheme="majorBidi"/>
                <w:bCs/>
                <w:sz w:val="20"/>
              </w:rPr>
            </w:pPr>
            <w:r>
              <w:rPr>
                <w:rFonts w:ascii="Arial Narrow" w:eastAsiaTheme="majorEastAsia" w:hAnsi="Arial Narrow" w:cstheme="majorBidi"/>
                <w:bCs/>
                <w:sz w:val="20"/>
              </w:rPr>
              <w:t>$</w:t>
            </w:r>
            <w:r w:rsidR="005860C6"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EF3059">
              <w:rPr>
                <w:rFonts w:ascii="Arial Narrow" w:eastAsiaTheme="majorEastAsia" w:hAnsi="Arial Narrow" w:cstheme="majorBidi"/>
                <w:bCs/>
                <w:sz w:val="20"/>
              </w:rPr>
              <w:t xml:space="preserve"> </w:t>
            </w:r>
          </w:p>
        </w:tc>
        <w:tc>
          <w:tcPr>
            <w:tcW w:w="708" w:type="pct"/>
            <w:tcBorders>
              <w:top w:val="single" w:sz="4" w:space="0" w:color="auto"/>
              <w:left w:val="single" w:sz="4" w:space="0" w:color="auto"/>
              <w:bottom w:val="nil"/>
              <w:right w:val="single" w:sz="4" w:space="0" w:color="auto"/>
            </w:tcBorders>
            <w:vAlign w:val="center"/>
          </w:tcPr>
          <w:p w14:paraId="7EF3C50C" w14:textId="28BA9F79" w:rsidR="00763EF2" w:rsidRPr="00E447AE" w:rsidRDefault="00763EF2" w:rsidP="00CB4A1F">
            <w:pPr>
              <w:keepNext/>
              <w:jc w:val="right"/>
              <w:rPr>
                <w:rFonts w:ascii="Arial Narrow" w:eastAsiaTheme="majorEastAsia" w:hAnsi="Arial Narrow" w:cstheme="majorBidi"/>
                <w:bCs/>
                <w:sz w:val="20"/>
              </w:rPr>
            </w:pPr>
            <w:r w:rsidRPr="00E447AE">
              <w:rPr>
                <w:rFonts w:ascii="Arial Narrow" w:eastAsiaTheme="majorEastAsia" w:hAnsi="Arial Narrow" w:cstheme="majorBidi"/>
                <w:bCs/>
                <w:sz w:val="20"/>
              </w:rPr>
              <w:t>$0</w:t>
            </w:r>
            <w:r w:rsidR="002E2522" w:rsidRPr="00E447AE">
              <w:rPr>
                <w:rFonts w:ascii="Arial Narrow" w:eastAsiaTheme="majorEastAsia" w:hAnsi="Arial Narrow" w:cstheme="majorBidi"/>
                <w:bCs/>
                <w:sz w:val="20"/>
              </w:rPr>
              <w:t xml:space="preserve"> </w:t>
            </w:r>
          </w:p>
        </w:tc>
        <w:tc>
          <w:tcPr>
            <w:tcW w:w="708" w:type="pct"/>
            <w:tcBorders>
              <w:top w:val="single" w:sz="4" w:space="0" w:color="auto"/>
              <w:left w:val="single" w:sz="4" w:space="0" w:color="auto"/>
              <w:bottom w:val="nil"/>
              <w:right w:val="single" w:sz="4" w:space="0" w:color="auto"/>
            </w:tcBorders>
            <w:tcMar>
              <w:left w:w="57" w:type="dxa"/>
              <w:right w:w="57" w:type="dxa"/>
            </w:tcMar>
            <w:vAlign w:val="center"/>
          </w:tcPr>
          <w:p w14:paraId="68DB5997" w14:textId="39FF9A8C" w:rsidR="00763EF2" w:rsidRPr="0048626C" w:rsidRDefault="00B1620B" w:rsidP="00CB4A1F">
            <w:pPr>
              <w:keepNext/>
              <w:jc w:val="right"/>
              <w:rPr>
                <w:rFonts w:ascii="Arial Narrow" w:eastAsiaTheme="majorEastAsia" w:hAnsi="Arial Narrow" w:cstheme="majorBidi"/>
                <w:bCs/>
                <w:sz w:val="20"/>
              </w:rPr>
            </w:pPr>
            <w:r>
              <w:rPr>
                <w:rFonts w:ascii="Arial Narrow" w:eastAsiaTheme="majorEastAsia" w:hAnsi="Arial Narrow" w:cstheme="majorBidi"/>
                <w:bCs/>
                <w:sz w:val="20"/>
              </w:rPr>
              <w:t>$</w:t>
            </w:r>
            <w:r w:rsidR="005860C6"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993" w:type="pct"/>
            <w:tcBorders>
              <w:top w:val="single" w:sz="4" w:space="0" w:color="auto"/>
              <w:left w:val="single" w:sz="4" w:space="0" w:color="auto"/>
              <w:bottom w:val="nil"/>
              <w:right w:val="single" w:sz="4" w:space="0" w:color="auto"/>
            </w:tcBorders>
          </w:tcPr>
          <w:p w14:paraId="4208D5FD" w14:textId="4E18EDAC" w:rsidR="00763EF2" w:rsidRPr="00E120DC" w:rsidRDefault="005860C6" w:rsidP="00CB4A1F">
            <w:pPr>
              <w:keepNext/>
              <w:jc w:val="center"/>
              <w:rPr>
                <w:rFonts w:ascii="Arial Narrow" w:eastAsiaTheme="majorEastAsia" w:hAnsi="Arial Narrow" w:cstheme="majorBidi"/>
                <w:bCs/>
                <w:sz w:val="20"/>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763EF2" w:rsidRPr="00E120DC">
              <w:rPr>
                <w:rFonts w:ascii="Arial Narrow" w:eastAsiaTheme="majorEastAsia" w:hAnsi="Arial Narrow" w:cstheme="majorBidi"/>
                <w:bCs/>
                <w:sz w:val="20"/>
              </w:rPr>
              <w:t>%</w:t>
            </w:r>
          </w:p>
        </w:tc>
      </w:tr>
      <w:tr w:rsidR="00763EF2" w:rsidRPr="004221D8" w14:paraId="2630FA64" w14:textId="77777777" w:rsidTr="00E120DC">
        <w:trPr>
          <w:cantSplit/>
        </w:trPr>
        <w:tc>
          <w:tcPr>
            <w:tcW w:w="878" w:type="pct"/>
            <w:vMerge/>
            <w:tcBorders>
              <w:left w:val="single" w:sz="4" w:space="0" w:color="auto"/>
              <w:right w:val="single" w:sz="4" w:space="0" w:color="auto"/>
            </w:tcBorders>
            <w:tcMar>
              <w:left w:w="57" w:type="dxa"/>
              <w:right w:w="57" w:type="dxa"/>
            </w:tcMar>
            <w:vAlign w:val="center"/>
          </w:tcPr>
          <w:p w14:paraId="4EFEC872" w14:textId="77777777" w:rsidR="00763EF2" w:rsidRPr="004221D8" w:rsidRDefault="00763EF2" w:rsidP="00CB4A1F">
            <w:pPr>
              <w:keepNext/>
              <w:jc w:val="left"/>
              <w:rPr>
                <w:rFonts w:ascii="Arial Narrow" w:eastAsiaTheme="majorEastAsia" w:hAnsi="Arial Narrow" w:cstheme="majorBidi"/>
                <w:bCs/>
                <w:sz w:val="20"/>
              </w:rPr>
            </w:pPr>
          </w:p>
        </w:tc>
        <w:tc>
          <w:tcPr>
            <w:tcW w:w="928" w:type="pct"/>
            <w:tcBorders>
              <w:top w:val="nil"/>
              <w:left w:val="single" w:sz="4" w:space="0" w:color="auto"/>
              <w:bottom w:val="nil"/>
              <w:right w:val="single" w:sz="4" w:space="0" w:color="auto"/>
            </w:tcBorders>
            <w:tcMar>
              <w:left w:w="57" w:type="dxa"/>
              <w:right w:w="57" w:type="dxa"/>
            </w:tcMar>
            <w:vAlign w:val="center"/>
          </w:tcPr>
          <w:p w14:paraId="1F5CAB1D" w14:textId="77777777" w:rsidR="00763EF2" w:rsidRPr="004221D8" w:rsidRDefault="00763EF2" w:rsidP="00CB4A1F">
            <w:pPr>
              <w:keepNext/>
              <w:jc w:val="left"/>
              <w:rPr>
                <w:rFonts w:ascii="Arial Narrow" w:eastAsiaTheme="majorEastAsia" w:hAnsi="Arial Narrow" w:cstheme="majorBidi"/>
                <w:bCs/>
                <w:sz w:val="20"/>
              </w:rPr>
            </w:pPr>
            <w:r w:rsidRPr="004221D8">
              <w:rPr>
                <w:rFonts w:ascii="Arial Narrow" w:eastAsiaTheme="majorEastAsia" w:hAnsi="Arial Narrow" w:cstheme="majorBidi"/>
                <w:bCs/>
                <w:sz w:val="20"/>
              </w:rPr>
              <w:t>Administration</w:t>
            </w:r>
          </w:p>
        </w:tc>
        <w:tc>
          <w:tcPr>
            <w:tcW w:w="784" w:type="pct"/>
            <w:tcBorders>
              <w:top w:val="nil"/>
              <w:left w:val="single" w:sz="4" w:space="0" w:color="auto"/>
              <w:bottom w:val="nil"/>
              <w:right w:val="single" w:sz="4" w:space="0" w:color="auto"/>
            </w:tcBorders>
            <w:vAlign w:val="center"/>
          </w:tcPr>
          <w:p w14:paraId="411D2804" w14:textId="77777777" w:rsidR="00763EF2" w:rsidRPr="004221D8" w:rsidRDefault="00763EF2" w:rsidP="00CB4A1F">
            <w:pPr>
              <w:keepNext/>
              <w:jc w:val="right"/>
              <w:rPr>
                <w:rFonts w:ascii="Arial Narrow" w:eastAsiaTheme="majorEastAsia" w:hAnsi="Arial Narrow" w:cstheme="majorBidi"/>
                <w:bCs/>
                <w:sz w:val="20"/>
              </w:rPr>
            </w:pPr>
            <w:r w:rsidRPr="004221D8">
              <w:rPr>
                <w:rFonts w:ascii="Arial Narrow" w:eastAsiaTheme="majorEastAsia" w:hAnsi="Arial Narrow" w:cstheme="majorBidi"/>
                <w:bCs/>
                <w:sz w:val="20"/>
              </w:rPr>
              <w:t>$0</w:t>
            </w:r>
          </w:p>
        </w:tc>
        <w:tc>
          <w:tcPr>
            <w:tcW w:w="708" w:type="pct"/>
            <w:tcBorders>
              <w:top w:val="nil"/>
              <w:left w:val="single" w:sz="4" w:space="0" w:color="auto"/>
              <w:bottom w:val="nil"/>
              <w:right w:val="single" w:sz="4" w:space="0" w:color="auto"/>
            </w:tcBorders>
            <w:vAlign w:val="center"/>
          </w:tcPr>
          <w:p w14:paraId="1694E8F0" w14:textId="77777777" w:rsidR="00763EF2" w:rsidRPr="00E447AE" w:rsidRDefault="00763EF2" w:rsidP="00CB4A1F">
            <w:pPr>
              <w:keepNext/>
              <w:jc w:val="right"/>
              <w:rPr>
                <w:rFonts w:ascii="Arial Narrow" w:eastAsiaTheme="majorEastAsia" w:hAnsi="Arial Narrow" w:cstheme="majorBidi"/>
                <w:bCs/>
                <w:sz w:val="20"/>
              </w:rPr>
            </w:pPr>
            <w:r w:rsidRPr="00E447AE">
              <w:rPr>
                <w:rFonts w:ascii="Arial Narrow" w:eastAsiaTheme="majorEastAsia" w:hAnsi="Arial Narrow" w:cstheme="majorBidi"/>
                <w:bCs/>
                <w:sz w:val="20"/>
              </w:rPr>
              <w:t>$0</w:t>
            </w:r>
          </w:p>
        </w:tc>
        <w:tc>
          <w:tcPr>
            <w:tcW w:w="708" w:type="pct"/>
            <w:tcBorders>
              <w:top w:val="nil"/>
              <w:left w:val="single" w:sz="4" w:space="0" w:color="auto"/>
              <w:bottom w:val="nil"/>
              <w:right w:val="single" w:sz="4" w:space="0" w:color="auto"/>
            </w:tcBorders>
            <w:tcMar>
              <w:left w:w="57" w:type="dxa"/>
              <w:right w:w="57" w:type="dxa"/>
            </w:tcMar>
            <w:vAlign w:val="center"/>
          </w:tcPr>
          <w:p w14:paraId="69B8FD9A" w14:textId="77777777" w:rsidR="00763EF2" w:rsidRPr="004221D8" w:rsidRDefault="00763EF2" w:rsidP="00CB4A1F">
            <w:pPr>
              <w:keepNext/>
              <w:jc w:val="right"/>
              <w:rPr>
                <w:rFonts w:ascii="Arial Narrow" w:eastAsiaTheme="majorEastAsia" w:hAnsi="Arial Narrow" w:cstheme="majorBidi"/>
                <w:bCs/>
                <w:sz w:val="20"/>
              </w:rPr>
            </w:pPr>
            <w:r w:rsidRPr="004221D8">
              <w:rPr>
                <w:rFonts w:ascii="Arial Narrow" w:eastAsiaTheme="majorEastAsia" w:hAnsi="Arial Narrow" w:cstheme="majorBidi"/>
                <w:bCs/>
                <w:sz w:val="20"/>
              </w:rPr>
              <w:t>$0</w:t>
            </w:r>
          </w:p>
        </w:tc>
        <w:tc>
          <w:tcPr>
            <w:tcW w:w="993" w:type="pct"/>
            <w:tcBorders>
              <w:top w:val="nil"/>
              <w:left w:val="single" w:sz="4" w:space="0" w:color="auto"/>
              <w:bottom w:val="nil"/>
              <w:right w:val="single" w:sz="4" w:space="0" w:color="auto"/>
            </w:tcBorders>
          </w:tcPr>
          <w:p w14:paraId="78E5E28C" w14:textId="40BADD15" w:rsidR="00763EF2" w:rsidRPr="00E120DC" w:rsidRDefault="005860C6" w:rsidP="00CB4A1F">
            <w:pPr>
              <w:keepNext/>
              <w:jc w:val="center"/>
              <w:rPr>
                <w:rFonts w:ascii="Arial Narrow" w:eastAsiaTheme="majorEastAsia" w:hAnsi="Arial Narrow" w:cstheme="majorBidi"/>
                <w:bCs/>
                <w:sz w:val="20"/>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763EF2" w:rsidRPr="00E120DC">
              <w:rPr>
                <w:rFonts w:ascii="Arial Narrow" w:eastAsiaTheme="majorEastAsia" w:hAnsi="Arial Narrow" w:cstheme="majorBidi"/>
                <w:bCs/>
                <w:sz w:val="20"/>
              </w:rPr>
              <w:t>%</w:t>
            </w:r>
          </w:p>
        </w:tc>
      </w:tr>
      <w:tr w:rsidR="00763EF2" w:rsidRPr="004221D8" w14:paraId="52BF1F66" w14:textId="77777777" w:rsidTr="00E120DC">
        <w:trPr>
          <w:cantSplit/>
        </w:trPr>
        <w:tc>
          <w:tcPr>
            <w:tcW w:w="878" w:type="pct"/>
            <w:vMerge/>
            <w:tcBorders>
              <w:left w:val="single" w:sz="4" w:space="0" w:color="auto"/>
              <w:right w:val="single" w:sz="4" w:space="0" w:color="auto"/>
            </w:tcBorders>
            <w:tcMar>
              <w:left w:w="57" w:type="dxa"/>
              <w:right w:w="57" w:type="dxa"/>
            </w:tcMar>
            <w:vAlign w:val="center"/>
          </w:tcPr>
          <w:p w14:paraId="40028699" w14:textId="77777777" w:rsidR="00763EF2" w:rsidRPr="004221D8" w:rsidRDefault="00763EF2" w:rsidP="00CB4A1F">
            <w:pPr>
              <w:keepNext/>
              <w:jc w:val="left"/>
              <w:rPr>
                <w:rFonts w:ascii="Arial Narrow" w:eastAsiaTheme="majorEastAsia" w:hAnsi="Arial Narrow" w:cstheme="majorBidi"/>
                <w:bCs/>
                <w:sz w:val="20"/>
              </w:rPr>
            </w:pPr>
          </w:p>
        </w:tc>
        <w:tc>
          <w:tcPr>
            <w:tcW w:w="928" w:type="pct"/>
            <w:tcBorders>
              <w:top w:val="nil"/>
              <w:left w:val="single" w:sz="4" w:space="0" w:color="auto"/>
              <w:bottom w:val="nil"/>
              <w:right w:val="single" w:sz="4" w:space="0" w:color="auto"/>
            </w:tcBorders>
            <w:tcMar>
              <w:left w:w="57" w:type="dxa"/>
              <w:right w:w="57" w:type="dxa"/>
            </w:tcMar>
            <w:vAlign w:val="center"/>
          </w:tcPr>
          <w:p w14:paraId="3BF2853B" w14:textId="77777777" w:rsidR="00763EF2" w:rsidRPr="004221D8" w:rsidRDefault="00763EF2" w:rsidP="00CB4A1F">
            <w:pPr>
              <w:keepNext/>
              <w:jc w:val="left"/>
              <w:rPr>
                <w:rFonts w:ascii="Arial Narrow" w:eastAsiaTheme="majorEastAsia" w:hAnsi="Arial Narrow" w:cstheme="majorBidi"/>
                <w:bCs/>
                <w:sz w:val="20"/>
              </w:rPr>
            </w:pPr>
            <w:r w:rsidRPr="004221D8">
              <w:rPr>
                <w:rFonts w:ascii="Arial Narrow" w:eastAsiaTheme="majorEastAsia" w:hAnsi="Arial Narrow" w:cstheme="majorBidi"/>
                <w:bCs/>
                <w:sz w:val="20"/>
              </w:rPr>
              <w:t>Monitoring</w:t>
            </w:r>
          </w:p>
        </w:tc>
        <w:tc>
          <w:tcPr>
            <w:tcW w:w="784" w:type="pct"/>
            <w:tcBorders>
              <w:top w:val="nil"/>
              <w:left w:val="single" w:sz="4" w:space="0" w:color="auto"/>
              <w:bottom w:val="nil"/>
              <w:right w:val="single" w:sz="4" w:space="0" w:color="auto"/>
            </w:tcBorders>
            <w:vAlign w:val="center"/>
          </w:tcPr>
          <w:p w14:paraId="61EE069E" w14:textId="77777777" w:rsidR="00763EF2" w:rsidRPr="004221D8" w:rsidRDefault="00763EF2" w:rsidP="00CB4A1F">
            <w:pPr>
              <w:keepNext/>
              <w:jc w:val="right"/>
              <w:rPr>
                <w:rFonts w:ascii="Arial Narrow" w:eastAsiaTheme="majorEastAsia" w:hAnsi="Arial Narrow" w:cstheme="majorBidi"/>
                <w:bCs/>
                <w:sz w:val="20"/>
              </w:rPr>
            </w:pPr>
            <w:r w:rsidRPr="004221D8">
              <w:rPr>
                <w:rFonts w:ascii="Arial Narrow" w:eastAsiaTheme="majorEastAsia" w:hAnsi="Arial Narrow" w:cstheme="majorBidi"/>
                <w:bCs/>
                <w:sz w:val="20"/>
              </w:rPr>
              <w:t>$1,113</w:t>
            </w:r>
          </w:p>
        </w:tc>
        <w:tc>
          <w:tcPr>
            <w:tcW w:w="708" w:type="pct"/>
            <w:tcBorders>
              <w:top w:val="nil"/>
              <w:left w:val="single" w:sz="4" w:space="0" w:color="auto"/>
              <w:bottom w:val="nil"/>
              <w:right w:val="single" w:sz="4" w:space="0" w:color="auto"/>
            </w:tcBorders>
            <w:vAlign w:val="center"/>
          </w:tcPr>
          <w:p w14:paraId="0380C19B" w14:textId="77777777" w:rsidR="00763EF2" w:rsidRPr="00E447AE" w:rsidRDefault="00763EF2" w:rsidP="00CB4A1F">
            <w:pPr>
              <w:keepNext/>
              <w:jc w:val="right"/>
              <w:rPr>
                <w:rFonts w:ascii="Arial Narrow" w:eastAsiaTheme="majorEastAsia" w:hAnsi="Arial Narrow" w:cstheme="majorBidi"/>
                <w:bCs/>
                <w:sz w:val="20"/>
              </w:rPr>
            </w:pPr>
            <w:r w:rsidRPr="00E447AE">
              <w:rPr>
                <w:rFonts w:ascii="Arial Narrow" w:eastAsiaTheme="majorEastAsia" w:hAnsi="Arial Narrow" w:cstheme="majorBidi"/>
                <w:bCs/>
                <w:sz w:val="20"/>
              </w:rPr>
              <w:t>$0</w:t>
            </w:r>
          </w:p>
        </w:tc>
        <w:tc>
          <w:tcPr>
            <w:tcW w:w="708" w:type="pct"/>
            <w:tcBorders>
              <w:top w:val="nil"/>
              <w:left w:val="single" w:sz="4" w:space="0" w:color="auto"/>
              <w:bottom w:val="nil"/>
              <w:right w:val="single" w:sz="4" w:space="0" w:color="auto"/>
            </w:tcBorders>
            <w:tcMar>
              <w:left w:w="57" w:type="dxa"/>
              <w:right w:w="57" w:type="dxa"/>
            </w:tcMar>
            <w:vAlign w:val="center"/>
          </w:tcPr>
          <w:p w14:paraId="7D90017D" w14:textId="77777777" w:rsidR="00763EF2" w:rsidRPr="004221D8" w:rsidRDefault="00763EF2" w:rsidP="00CB4A1F">
            <w:pPr>
              <w:keepNext/>
              <w:jc w:val="right"/>
              <w:rPr>
                <w:rFonts w:ascii="Arial Narrow" w:eastAsiaTheme="majorEastAsia" w:hAnsi="Arial Narrow" w:cstheme="majorBidi"/>
                <w:bCs/>
                <w:sz w:val="20"/>
              </w:rPr>
            </w:pPr>
            <w:r w:rsidRPr="004221D8">
              <w:rPr>
                <w:rFonts w:ascii="Arial Narrow" w:eastAsiaTheme="majorEastAsia" w:hAnsi="Arial Narrow" w:cstheme="majorBidi"/>
                <w:bCs/>
                <w:sz w:val="20"/>
              </w:rPr>
              <w:t>$1,113</w:t>
            </w:r>
          </w:p>
        </w:tc>
        <w:tc>
          <w:tcPr>
            <w:tcW w:w="993" w:type="pct"/>
            <w:tcBorders>
              <w:top w:val="nil"/>
              <w:left w:val="single" w:sz="4" w:space="0" w:color="auto"/>
              <w:bottom w:val="nil"/>
              <w:right w:val="single" w:sz="4" w:space="0" w:color="auto"/>
            </w:tcBorders>
          </w:tcPr>
          <w:p w14:paraId="189622BB" w14:textId="36C10DC5" w:rsidR="00763EF2" w:rsidRPr="00E120DC" w:rsidRDefault="005860C6" w:rsidP="00CB4A1F">
            <w:pPr>
              <w:keepNext/>
              <w:jc w:val="center"/>
              <w:rPr>
                <w:rFonts w:ascii="Arial Narrow" w:eastAsiaTheme="majorEastAsia" w:hAnsi="Arial Narrow" w:cstheme="majorBidi"/>
                <w:bCs/>
                <w:sz w:val="20"/>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763EF2" w:rsidRPr="00E120DC">
              <w:rPr>
                <w:rFonts w:ascii="Arial Narrow" w:eastAsiaTheme="majorEastAsia" w:hAnsi="Arial Narrow" w:cstheme="majorBidi"/>
                <w:bCs/>
                <w:sz w:val="20"/>
              </w:rPr>
              <w:t>%</w:t>
            </w:r>
          </w:p>
        </w:tc>
      </w:tr>
      <w:tr w:rsidR="00763EF2" w:rsidRPr="004221D8" w14:paraId="09E63FB8" w14:textId="77777777" w:rsidTr="00E120DC">
        <w:trPr>
          <w:cantSplit/>
        </w:trPr>
        <w:tc>
          <w:tcPr>
            <w:tcW w:w="878" w:type="pct"/>
            <w:vMerge/>
            <w:tcBorders>
              <w:left w:val="single" w:sz="4" w:space="0" w:color="auto"/>
              <w:right w:val="single" w:sz="4" w:space="0" w:color="auto"/>
            </w:tcBorders>
            <w:tcMar>
              <w:left w:w="57" w:type="dxa"/>
              <w:right w:w="57" w:type="dxa"/>
            </w:tcMar>
            <w:vAlign w:val="center"/>
          </w:tcPr>
          <w:p w14:paraId="09246021" w14:textId="77777777" w:rsidR="00763EF2" w:rsidRPr="004221D8" w:rsidRDefault="00763EF2" w:rsidP="00CB4A1F">
            <w:pPr>
              <w:keepNext/>
              <w:jc w:val="left"/>
              <w:rPr>
                <w:rFonts w:ascii="Arial Narrow" w:eastAsiaTheme="majorEastAsia" w:hAnsi="Arial Narrow" w:cstheme="majorBidi"/>
                <w:bCs/>
                <w:sz w:val="20"/>
              </w:rPr>
            </w:pPr>
          </w:p>
        </w:tc>
        <w:tc>
          <w:tcPr>
            <w:tcW w:w="928" w:type="pct"/>
            <w:tcBorders>
              <w:top w:val="nil"/>
              <w:left w:val="single" w:sz="4" w:space="0" w:color="auto"/>
              <w:bottom w:val="single" w:sz="4" w:space="0" w:color="auto"/>
              <w:right w:val="single" w:sz="4" w:space="0" w:color="auto"/>
            </w:tcBorders>
            <w:tcMar>
              <w:left w:w="57" w:type="dxa"/>
              <w:right w:w="57" w:type="dxa"/>
            </w:tcMar>
            <w:vAlign w:val="center"/>
          </w:tcPr>
          <w:p w14:paraId="53887DD2" w14:textId="77777777" w:rsidR="00763EF2" w:rsidRPr="004221D8" w:rsidRDefault="00763EF2" w:rsidP="00CB4A1F">
            <w:pPr>
              <w:keepNext/>
              <w:jc w:val="left"/>
              <w:rPr>
                <w:rFonts w:ascii="Arial Narrow" w:eastAsiaTheme="majorEastAsia" w:hAnsi="Arial Narrow" w:cstheme="majorBidi"/>
                <w:bCs/>
                <w:sz w:val="20"/>
              </w:rPr>
            </w:pPr>
            <w:r w:rsidRPr="004221D8">
              <w:rPr>
                <w:rFonts w:ascii="Arial Narrow" w:eastAsiaTheme="majorEastAsia" w:hAnsi="Arial Narrow" w:cstheme="majorBidi"/>
                <w:bCs/>
                <w:sz w:val="20"/>
              </w:rPr>
              <w:t>Adverse events</w:t>
            </w:r>
          </w:p>
        </w:tc>
        <w:tc>
          <w:tcPr>
            <w:tcW w:w="784" w:type="pct"/>
            <w:tcBorders>
              <w:top w:val="nil"/>
              <w:left w:val="single" w:sz="4" w:space="0" w:color="auto"/>
              <w:bottom w:val="single" w:sz="4" w:space="0" w:color="auto"/>
              <w:right w:val="single" w:sz="4" w:space="0" w:color="auto"/>
            </w:tcBorders>
            <w:vAlign w:val="center"/>
          </w:tcPr>
          <w:p w14:paraId="364FC518" w14:textId="77777777" w:rsidR="00763EF2" w:rsidRPr="004221D8" w:rsidRDefault="00763EF2" w:rsidP="00CB4A1F">
            <w:pPr>
              <w:keepNext/>
              <w:jc w:val="right"/>
              <w:rPr>
                <w:rFonts w:ascii="Arial Narrow" w:eastAsiaTheme="majorEastAsia" w:hAnsi="Arial Narrow" w:cstheme="majorBidi"/>
                <w:bCs/>
                <w:sz w:val="20"/>
              </w:rPr>
            </w:pPr>
            <w:r w:rsidRPr="004221D8">
              <w:rPr>
                <w:rFonts w:ascii="Arial Narrow" w:eastAsiaTheme="majorEastAsia" w:hAnsi="Arial Narrow" w:cstheme="majorBidi"/>
                <w:bCs/>
                <w:sz w:val="20"/>
              </w:rPr>
              <w:t>$1,543</w:t>
            </w:r>
          </w:p>
        </w:tc>
        <w:tc>
          <w:tcPr>
            <w:tcW w:w="708" w:type="pct"/>
            <w:tcBorders>
              <w:top w:val="nil"/>
              <w:left w:val="single" w:sz="4" w:space="0" w:color="auto"/>
              <w:bottom w:val="single" w:sz="4" w:space="0" w:color="auto"/>
              <w:right w:val="single" w:sz="4" w:space="0" w:color="auto"/>
            </w:tcBorders>
            <w:vAlign w:val="center"/>
          </w:tcPr>
          <w:p w14:paraId="2D490176" w14:textId="77777777" w:rsidR="00763EF2" w:rsidRPr="00E447AE" w:rsidRDefault="00763EF2" w:rsidP="00CB4A1F">
            <w:pPr>
              <w:keepNext/>
              <w:jc w:val="right"/>
              <w:rPr>
                <w:rFonts w:ascii="Arial Narrow" w:eastAsiaTheme="majorEastAsia" w:hAnsi="Arial Narrow" w:cstheme="majorBidi"/>
                <w:bCs/>
                <w:sz w:val="20"/>
              </w:rPr>
            </w:pPr>
            <w:r w:rsidRPr="00E447AE">
              <w:rPr>
                <w:rFonts w:ascii="Arial Narrow" w:eastAsiaTheme="majorEastAsia" w:hAnsi="Arial Narrow" w:cstheme="majorBidi"/>
                <w:bCs/>
                <w:sz w:val="20"/>
              </w:rPr>
              <w:t>$570</w:t>
            </w:r>
          </w:p>
        </w:tc>
        <w:tc>
          <w:tcPr>
            <w:tcW w:w="708" w:type="pct"/>
            <w:tcBorders>
              <w:top w:val="nil"/>
              <w:left w:val="single" w:sz="4" w:space="0" w:color="auto"/>
              <w:bottom w:val="single" w:sz="4" w:space="0" w:color="auto"/>
              <w:right w:val="single" w:sz="4" w:space="0" w:color="auto"/>
            </w:tcBorders>
            <w:tcMar>
              <w:left w:w="57" w:type="dxa"/>
              <w:right w:w="57" w:type="dxa"/>
            </w:tcMar>
            <w:vAlign w:val="center"/>
          </w:tcPr>
          <w:p w14:paraId="64C9DA3E" w14:textId="77777777" w:rsidR="00763EF2" w:rsidRPr="004221D8" w:rsidRDefault="00763EF2" w:rsidP="00CB4A1F">
            <w:pPr>
              <w:keepNext/>
              <w:jc w:val="right"/>
              <w:rPr>
                <w:rFonts w:ascii="Arial Narrow" w:eastAsiaTheme="majorEastAsia" w:hAnsi="Arial Narrow" w:cstheme="majorBidi"/>
                <w:bCs/>
                <w:sz w:val="20"/>
              </w:rPr>
            </w:pPr>
            <w:r w:rsidRPr="004221D8">
              <w:rPr>
                <w:rFonts w:ascii="Arial Narrow" w:eastAsiaTheme="majorEastAsia" w:hAnsi="Arial Narrow" w:cstheme="majorBidi"/>
                <w:bCs/>
                <w:sz w:val="20"/>
              </w:rPr>
              <w:t>$973</w:t>
            </w:r>
          </w:p>
        </w:tc>
        <w:tc>
          <w:tcPr>
            <w:tcW w:w="993" w:type="pct"/>
            <w:tcBorders>
              <w:top w:val="nil"/>
              <w:left w:val="single" w:sz="4" w:space="0" w:color="auto"/>
              <w:bottom w:val="single" w:sz="4" w:space="0" w:color="auto"/>
              <w:right w:val="single" w:sz="4" w:space="0" w:color="auto"/>
            </w:tcBorders>
          </w:tcPr>
          <w:p w14:paraId="2EC65637" w14:textId="64405D41" w:rsidR="00763EF2" w:rsidRPr="00E120DC" w:rsidRDefault="005860C6" w:rsidP="00CB4A1F">
            <w:pPr>
              <w:keepNext/>
              <w:jc w:val="center"/>
              <w:rPr>
                <w:rFonts w:ascii="Arial Narrow" w:eastAsiaTheme="majorEastAsia" w:hAnsi="Arial Narrow" w:cstheme="majorBidi"/>
                <w:bCs/>
                <w:sz w:val="20"/>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763EF2" w:rsidRPr="00E120DC">
              <w:rPr>
                <w:rFonts w:ascii="Arial Narrow" w:eastAsiaTheme="majorEastAsia" w:hAnsi="Arial Narrow" w:cstheme="majorBidi"/>
                <w:bCs/>
                <w:sz w:val="20"/>
              </w:rPr>
              <w:t>%</w:t>
            </w:r>
          </w:p>
        </w:tc>
      </w:tr>
      <w:tr w:rsidR="00763EF2" w:rsidRPr="004221D8" w14:paraId="4A40C151" w14:textId="77777777" w:rsidTr="00E120DC">
        <w:trPr>
          <w:cantSplit/>
        </w:trPr>
        <w:tc>
          <w:tcPr>
            <w:tcW w:w="878" w:type="pct"/>
            <w:vMerge/>
            <w:tcBorders>
              <w:left w:val="single" w:sz="4" w:space="0" w:color="auto"/>
              <w:bottom w:val="single" w:sz="4" w:space="0" w:color="auto"/>
              <w:right w:val="single" w:sz="4" w:space="0" w:color="auto"/>
            </w:tcBorders>
            <w:tcMar>
              <w:left w:w="57" w:type="dxa"/>
              <w:right w:w="57" w:type="dxa"/>
            </w:tcMar>
            <w:vAlign w:val="center"/>
          </w:tcPr>
          <w:p w14:paraId="6127311C" w14:textId="77777777" w:rsidR="00763EF2" w:rsidRPr="004221D8" w:rsidRDefault="00763EF2" w:rsidP="00CB4A1F">
            <w:pPr>
              <w:keepNext/>
              <w:jc w:val="left"/>
              <w:rPr>
                <w:rFonts w:ascii="Arial Narrow" w:eastAsiaTheme="majorEastAsia" w:hAnsi="Arial Narrow" w:cstheme="majorBidi"/>
                <w:bCs/>
                <w:sz w:val="20"/>
              </w:rPr>
            </w:pPr>
          </w:p>
        </w:tc>
        <w:tc>
          <w:tcPr>
            <w:tcW w:w="92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93F303" w14:textId="77777777" w:rsidR="00763EF2" w:rsidRPr="004221D8" w:rsidRDefault="00763EF2" w:rsidP="00CB4A1F">
            <w:pPr>
              <w:keepNext/>
              <w:jc w:val="left"/>
              <w:rPr>
                <w:rFonts w:ascii="Arial Narrow" w:eastAsiaTheme="majorEastAsia" w:hAnsi="Arial Narrow" w:cstheme="majorBidi"/>
                <w:bCs/>
                <w:sz w:val="20"/>
              </w:rPr>
            </w:pPr>
            <w:r w:rsidRPr="004221D8">
              <w:rPr>
                <w:rFonts w:ascii="Arial Narrow" w:eastAsiaTheme="majorEastAsia" w:hAnsi="Arial Narrow" w:cstheme="majorBidi"/>
                <w:bCs/>
                <w:sz w:val="20"/>
              </w:rPr>
              <w:t xml:space="preserve">Total </w:t>
            </w:r>
          </w:p>
        </w:tc>
        <w:tc>
          <w:tcPr>
            <w:tcW w:w="784" w:type="pct"/>
            <w:tcBorders>
              <w:top w:val="single" w:sz="4" w:space="0" w:color="auto"/>
              <w:left w:val="single" w:sz="4" w:space="0" w:color="auto"/>
              <w:bottom w:val="single" w:sz="4" w:space="0" w:color="auto"/>
              <w:right w:val="single" w:sz="4" w:space="0" w:color="auto"/>
            </w:tcBorders>
            <w:vAlign w:val="center"/>
          </w:tcPr>
          <w:p w14:paraId="41DE8CE3" w14:textId="3AD2B7A5" w:rsidR="00763EF2" w:rsidRPr="0048626C" w:rsidRDefault="00B1620B" w:rsidP="00CB4A1F">
            <w:pPr>
              <w:keepNext/>
              <w:jc w:val="right"/>
              <w:rPr>
                <w:rFonts w:ascii="Arial Narrow" w:eastAsiaTheme="majorEastAsia" w:hAnsi="Arial Narrow" w:cstheme="majorBidi"/>
                <w:bCs/>
                <w:sz w:val="20"/>
              </w:rPr>
            </w:pPr>
            <w:r>
              <w:rPr>
                <w:rFonts w:ascii="Arial Narrow" w:eastAsiaTheme="majorEastAsia" w:hAnsi="Arial Narrow" w:cstheme="majorBidi"/>
                <w:bCs/>
                <w:sz w:val="20"/>
              </w:rPr>
              <w:t>$</w:t>
            </w:r>
            <w:r w:rsidR="005860C6"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EF3059" w:rsidRPr="0048626C">
              <w:rPr>
                <w:rFonts w:ascii="Arial Narrow" w:eastAsiaTheme="majorEastAsia" w:hAnsi="Arial Narrow" w:cstheme="majorBidi"/>
                <w:bCs/>
                <w:sz w:val="20"/>
              </w:rPr>
              <w:t xml:space="preserve"> </w:t>
            </w:r>
            <w:r w:rsidR="00EF3059" w:rsidRPr="0048626C">
              <w:rPr>
                <w:rFonts w:ascii="Arial Narrow" w:eastAsiaTheme="majorEastAsia" w:hAnsi="Arial Narrow" w:cstheme="majorBidi"/>
                <w:bCs/>
                <w:sz w:val="20"/>
                <w:vertAlign w:val="superscript"/>
              </w:rPr>
              <w:t xml:space="preserve"> </w:t>
            </w:r>
          </w:p>
        </w:tc>
        <w:tc>
          <w:tcPr>
            <w:tcW w:w="708" w:type="pct"/>
            <w:tcBorders>
              <w:top w:val="single" w:sz="4" w:space="0" w:color="auto"/>
              <w:left w:val="single" w:sz="4" w:space="0" w:color="auto"/>
              <w:bottom w:val="single" w:sz="4" w:space="0" w:color="auto"/>
              <w:right w:val="single" w:sz="4" w:space="0" w:color="auto"/>
            </w:tcBorders>
            <w:vAlign w:val="center"/>
          </w:tcPr>
          <w:p w14:paraId="11CFAF4B" w14:textId="57B2C496" w:rsidR="00763EF2" w:rsidRPr="00E447AE" w:rsidRDefault="00763EF2" w:rsidP="00CB4A1F">
            <w:pPr>
              <w:keepNext/>
              <w:jc w:val="right"/>
              <w:rPr>
                <w:rFonts w:ascii="Arial Narrow" w:eastAsiaTheme="majorEastAsia" w:hAnsi="Arial Narrow" w:cstheme="majorBidi"/>
                <w:bCs/>
                <w:sz w:val="20"/>
              </w:rPr>
            </w:pPr>
            <w:r w:rsidRPr="00E447AE">
              <w:rPr>
                <w:rFonts w:ascii="Arial Narrow" w:eastAsiaTheme="majorEastAsia" w:hAnsi="Arial Narrow" w:cstheme="majorBidi"/>
                <w:bCs/>
                <w:sz w:val="20"/>
              </w:rPr>
              <w:t>$570</w:t>
            </w:r>
          </w:p>
        </w:tc>
        <w:tc>
          <w:tcPr>
            <w:tcW w:w="70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7848704" w14:textId="14029287" w:rsidR="00763EF2" w:rsidRPr="0048626C" w:rsidRDefault="00B1620B" w:rsidP="00CB4A1F">
            <w:pPr>
              <w:keepNext/>
              <w:jc w:val="right"/>
              <w:rPr>
                <w:rFonts w:ascii="Arial Narrow" w:eastAsiaTheme="majorEastAsia" w:hAnsi="Arial Narrow" w:cstheme="majorBidi"/>
                <w:bCs/>
                <w:sz w:val="20"/>
              </w:rPr>
            </w:pPr>
            <w:r>
              <w:rPr>
                <w:rFonts w:ascii="Arial Narrow" w:eastAsiaTheme="majorEastAsia" w:hAnsi="Arial Narrow" w:cstheme="majorBidi"/>
                <w:bCs/>
                <w:sz w:val="20"/>
              </w:rPr>
              <w:t>$</w:t>
            </w:r>
            <w:r w:rsidR="005860C6"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993" w:type="pct"/>
            <w:tcBorders>
              <w:top w:val="single" w:sz="4" w:space="0" w:color="auto"/>
              <w:left w:val="single" w:sz="4" w:space="0" w:color="auto"/>
              <w:bottom w:val="single" w:sz="4" w:space="0" w:color="auto"/>
              <w:right w:val="single" w:sz="4" w:space="0" w:color="auto"/>
            </w:tcBorders>
          </w:tcPr>
          <w:p w14:paraId="623C9C30" w14:textId="77777777" w:rsidR="00763EF2" w:rsidRPr="00E120DC" w:rsidRDefault="00763EF2" w:rsidP="00CB4A1F">
            <w:pPr>
              <w:keepNext/>
              <w:jc w:val="center"/>
              <w:rPr>
                <w:rFonts w:ascii="Arial Narrow" w:eastAsiaTheme="majorEastAsia" w:hAnsi="Arial Narrow" w:cstheme="majorBidi"/>
                <w:b/>
                <w:sz w:val="20"/>
              </w:rPr>
            </w:pPr>
            <w:r w:rsidRPr="00E120DC">
              <w:rPr>
                <w:rFonts w:ascii="Arial Narrow" w:eastAsiaTheme="majorEastAsia" w:hAnsi="Arial Narrow" w:cstheme="majorBidi"/>
                <w:b/>
                <w:sz w:val="20"/>
              </w:rPr>
              <w:t>100%</w:t>
            </w:r>
          </w:p>
        </w:tc>
      </w:tr>
      <w:tr w:rsidR="00763EF2" w:rsidRPr="004221D8" w14:paraId="24CBECB0" w14:textId="77777777" w:rsidTr="00E120DC">
        <w:trPr>
          <w:cantSplit/>
        </w:trPr>
        <w:tc>
          <w:tcPr>
            <w:tcW w:w="878" w:type="pct"/>
            <w:vMerge w:val="restart"/>
            <w:tcBorders>
              <w:top w:val="single" w:sz="4" w:space="0" w:color="auto"/>
              <w:left w:val="single" w:sz="4" w:space="0" w:color="auto"/>
              <w:right w:val="single" w:sz="4" w:space="0" w:color="auto"/>
            </w:tcBorders>
            <w:tcMar>
              <w:left w:w="57" w:type="dxa"/>
              <w:right w:w="57" w:type="dxa"/>
            </w:tcMar>
            <w:vAlign w:val="center"/>
          </w:tcPr>
          <w:p w14:paraId="31451F23" w14:textId="77777777" w:rsidR="00763EF2" w:rsidRPr="004221D8" w:rsidRDefault="00763EF2" w:rsidP="00CB4A1F">
            <w:pPr>
              <w:keepNext/>
              <w:jc w:val="left"/>
              <w:rPr>
                <w:rFonts w:ascii="Arial Narrow" w:eastAsiaTheme="majorEastAsia" w:hAnsi="Arial Narrow" w:cstheme="majorBidi"/>
                <w:bCs/>
                <w:sz w:val="20"/>
              </w:rPr>
            </w:pPr>
            <w:r w:rsidRPr="004221D8">
              <w:rPr>
                <w:rFonts w:ascii="Arial Narrow" w:eastAsiaTheme="majorEastAsia" w:hAnsi="Arial Narrow" w:cstheme="majorBidi"/>
                <w:bCs/>
                <w:sz w:val="20"/>
              </w:rPr>
              <w:t>Post-progression</w:t>
            </w:r>
          </w:p>
        </w:tc>
        <w:tc>
          <w:tcPr>
            <w:tcW w:w="928" w:type="pct"/>
            <w:tcBorders>
              <w:top w:val="single" w:sz="4" w:space="0" w:color="auto"/>
              <w:left w:val="single" w:sz="4" w:space="0" w:color="auto"/>
              <w:bottom w:val="nil"/>
              <w:right w:val="single" w:sz="4" w:space="0" w:color="auto"/>
            </w:tcBorders>
            <w:tcMar>
              <w:left w:w="57" w:type="dxa"/>
              <w:right w:w="57" w:type="dxa"/>
            </w:tcMar>
            <w:vAlign w:val="center"/>
          </w:tcPr>
          <w:p w14:paraId="43C84BF8" w14:textId="77777777" w:rsidR="00763EF2" w:rsidRPr="004221D8" w:rsidRDefault="00763EF2" w:rsidP="00CB4A1F">
            <w:pPr>
              <w:keepNext/>
              <w:jc w:val="left"/>
              <w:rPr>
                <w:rFonts w:ascii="Arial Narrow" w:eastAsiaTheme="majorEastAsia" w:hAnsi="Arial Narrow" w:cstheme="majorBidi"/>
                <w:bCs/>
                <w:sz w:val="20"/>
              </w:rPr>
            </w:pPr>
            <w:r w:rsidRPr="004221D8">
              <w:rPr>
                <w:rFonts w:ascii="Arial Narrow" w:eastAsiaTheme="majorEastAsia" w:hAnsi="Arial Narrow" w:cstheme="majorBidi"/>
                <w:bCs/>
                <w:sz w:val="20"/>
              </w:rPr>
              <w:t>Drug</w:t>
            </w:r>
          </w:p>
        </w:tc>
        <w:tc>
          <w:tcPr>
            <w:tcW w:w="784" w:type="pct"/>
            <w:tcBorders>
              <w:top w:val="single" w:sz="4" w:space="0" w:color="auto"/>
              <w:left w:val="single" w:sz="4" w:space="0" w:color="auto"/>
              <w:bottom w:val="nil"/>
              <w:right w:val="single" w:sz="4" w:space="0" w:color="auto"/>
            </w:tcBorders>
            <w:vAlign w:val="center"/>
          </w:tcPr>
          <w:p w14:paraId="76174328" w14:textId="00BA1AA3" w:rsidR="00763EF2" w:rsidRPr="0048626C" w:rsidRDefault="00B1620B" w:rsidP="00CB4A1F">
            <w:pPr>
              <w:keepNext/>
              <w:jc w:val="right"/>
              <w:rPr>
                <w:rFonts w:ascii="Arial Narrow" w:eastAsiaTheme="majorEastAsia" w:hAnsi="Arial Narrow" w:cstheme="majorBidi"/>
                <w:bCs/>
                <w:sz w:val="20"/>
              </w:rPr>
            </w:pPr>
            <w:r>
              <w:rPr>
                <w:rFonts w:ascii="Arial Narrow" w:eastAsiaTheme="majorEastAsia" w:hAnsi="Arial Narrow" w:cstheme="majorBidi"/>
                <w:bCs/>
                <w:sz w:val="20"/>
              </w:rPr>
              <w:t>$</w:t>
            </w:r>
            <w:r w:rsidR="005860C6"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708" w:type="pct"/>
            <w:tcBorders>
              <w:top w:val="single" w:sz="4" w:space="0" w:color="auto"/>
              <w:left w:val="single" w:sz="4" w:space="0" w:color="auto"/>
              <w:bottom w:val="nil"/>
              <w:right w:val="single" w:sz="4" w:space="0" w:color="auto"/>
            </w:tcBorders>
            <w:vAlign w:val="center"/>
          </w:tcPr>
          <w:p w14:paraId="75783C1B" w14:textId="41E155F2" w:rsidR="00763EF2" w:rsidRPr="00E447AE" w:rsidRDefault="00763EF2" w:rsidP="00CB4A1F">
            <w:pPr>
              <w:keepNext/>
              <w:jc w:val="right"/>
              <w:rPr>
                <w:rFonts w:ascii="Arial Narrow" w:eastAsiaTheme="majorEastAsia" w:hAnsi="Arial Narrow" w:cstheme="majorBidi"/>
                <w:bCs/>
                <w:sz w:val="20"/>
              </w:rPr>
            </w:pPr>
            <w:r w:rsidRPr="00E447AE">
              <w:rPr>
                <w:rFonts w:ascii="Arial Narrow" w:eastAsiaTheme="majorEastAsia" w:hAnsi="Arial Narrow" w:cstheme="majorBidi"/>
                <w:bCs/>
                <w:sz w:val="20"/>
              </w:rPr>
              <w:t>$33,797</w:t>
            </w:r>
          </w:p>
        </w:tc>
        <w:tc>
          <w:tcPr>
            <w:tcW w:w="708" w:type="pct"/>
            <w:tcBorders>
              <w:top w:val="single" w:sz="4" w:space="0" w:color="auto"/>
              <w:left w:val="single" w:sz="4" w:space="0" w:color="auto"/>
              <w:bottom w:val="nil"/>
              <w:right w:val="single" w:sz="4" w:space="0" w:color="auto"/>
            </w:tcBorders>
            <w:tcMar>
              <w:left w:w="57" w:type="dxa"/>
              <w:right w:w="57" w:type="dxa"/>
            </w:tcMar>
            <w:vAlign w:val="center"/>
          </w:tcPr>
          <w:p w14:paraId="20A6CB46" w14:textId="3BB09287" w:rsidR="00763EF2" w:rsidRPr="0048626C" w:rsidRDefault="00763EF2" w:rsidP="00CB4A1F">
            <w:pPr>
              <w:keepNext/>
              <w:jc w:val="right"/>
              <w:rPr>
                <w:rFonts w:ascii="Arial Narrow" w:eastAsiaTheme="majorEastAsia" w:hAnsi="Arial Narrow" w:cstheme="majorBidi"/>
                <w:bCs/>
                <w:sz w:val="20"/>
              </w:rPr>
            </w:pPr>
            <w:r w:rsidRPr="0048626C">
              <w:rPr>
                <w:rFonts w:ascii="Arial Narrow" w:eastAsiaTheme="majorEastAsia" w:hAnsi="Arial Narrow" w:cstheme="majorBidi"/>
                <w:bCs/>
                <w:sz w:val="20"/>
              </w:rPr>
              <w:t>−</w:t>
            </w:r>
            <w:r w:rsidR="00B1620B">
              <w:rPr>
                <w:rFonts w:ascii="Arial Narrow" w:eastAsiaTheme="majorEastAsia" w:hAnsi="Arial Narrow" w:cstheme="majorBidi"/>
                <w:bCs/>
                <w:sz w:val="20"/>
              </w:rPr>
              <w:t>$</w:t>
            </w:r>
            <w:r w:rsidR="005860C6"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993" w:type="pct"/>
            <w:tcBorders>
              <w:top w:val="single" w:sz="4" w:space="0" w:color="auto"/>
              <w:left w:val="single" w:sz="4" w:space="0" w:color="auto"/>
              <w:bottom w:val="nil"/>
              <w:right w:val="single" w:sz="4" w:space="0" w:color="auto"/>
            </w:tcBorders>
          </w:tcPr>
          <w:p w14:paraId="39D112D3" w14:textId="2903AB93" w:rsidR="00763EF2" w:rsidRPr="00E120DC" w:rsidRDefault="005860C6" w:rsidP="00CB4A1F">
            <w:pPr>
              <w:keepNext/>
              <w:jc w:val="center"/>
              <w:rPr>
                <w:rFonts w:ascii="Arial Narrow" w:eastAsiaTheme="majorEastAsia" w:hAnsi="Arial Narrow" w:cstheme="majorBidi"/>
                <w:bCs/>
                <w:sz w:val="20"/>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763EF2" w:rsidRPr="00E120DC">
              <w:rPr>
                <w:rFonts w:ascii="Arial Narrow" w:eastAsiaTheme="majorEastAsia" w:hAnsi="Arial Narrow" w:cstheme="majorBidi"/>
                <w:bCs/>
                <w:sz w:val="20"/>
              </w:rPr>
              <w:t>%</w:t>
            </w:r>
          </w:p>
        </w:tc>
      </w:tr>
      <w:tr w:rsidR="00763EF2" w:rsidRPr="004221D8" w14:paraId="6D9FB31E" w14:textId="77777777" w:rsidTr="00E120DC">
        <w:trPr>
          <w:cantSplit/>
        </w:trPr>
        <w:tc>
          <w:tcPr>
            <w:tcW w:w="878" w:type="pct"/>
            <w:vMerge/>
            <w:tcBorders>
              <w:left w:val="single" w:sz="4" w:space="0" w:color="auto"/>
              <w:right w:val="single" w:sz="4" w:space="0" w:color="auto"/>
            </w:tcBorders>
            <w:tcMar>
              <w:left w:w="57" w:type="dxa"/>
              <w:right w:w="57" w:type="dxa"/>
            </w:tcMar>
            <w:vAlign w:val="center"/>
          </w:tcPr>
          <w:p w14:paraId="3E43F314" w14:textId="77777777" w:rsidR="00763EF2" w:rsidRPr="004221D8" w:rsidRDefault="00763EF2" w:rsidP="00CB4A1F">
            <w:pPr>
              <w:keepNext/>
              <w:jc w:val="left"/>
              <w:rPr>
                <w:rFonts w:ascii="Arial Narrow" w:eastAsiaTheme="majorEastAsia" w:hAnsi="Arial Narrow" w:cstheme="majorBidi"/>
                <w:bCs/>
                <w:sz w:val="20"/>
              </w:rPr>
            </w:pPr>
          </w:p>
        </w:tc>
        <w:tc>
          <w:tcPr>
            <w:tcW w:w="928" w:type="pct"/>
            <w:tcBorders>
              <w:top w:val="nil"/>
              <w:left w:val="single" w:sz="4" w:space="0" w:color="auto"/>
              <w:bottom w:val="nil"/>
              <w:right w:val="single" w:sz="4" w:space="0" w:color="auto"/>
            </w:tcBorders>
            <w:tcMar>
              <w:left w:w="57" w:type="dxa"/>
              <w:right w:w="57" w:type="dxa"/>
            </w:tcMar>
            <w:vAlign w:val="center"/>
          </w:tcPr>
          <w:p w14:paraId="4FD1299F" w14:textId="77777777" w:rsidR="00763EF2" w:rsidRPr="004221D8" w:rsidRDefault="00763EF2" w:rsidP="00CB4A1F">
            <w:pPr>
              <w:keepNext/>
              <w:jc w:val="left"/>
              <w:rPr>
                <w:rFonts w:ascii="Arial Narrow" w:eastAsiaTheme="majorEastAsia" w:hAnsi="Arial Narrow" w:cstheme="majorBidi"/>
                <w:bCs/>
                <w:sz w:val="20"/>
              </w:rPr>
            </w:pPr>
            <w:r w:rsidRPr="004221D8">
              <w:rPr>
                <w:rFonts w:ascii="Arial Narrow" w:eastAsiaTheme="majorEastAsia" w:hAnsi="Arial Narrow" w:cstheme="majorBidi"/>
                <w:bCs/>
                <w:sz w:val="20"/>
              </w:rPr>
              <w:t>Administration</w:t>
            </w:r>
          </w:p>
        </w:tc>
        <w:tc>
          <w:tcPr>
            <w:tcW w:w="784" w:type="pct"/>
            <w:tcBorders>
              <w:top w:val="nil"/>
              <w:left w:val="single" w:sz="4" w:space="0" w:color="auto"/>
              <w:bottom w:val="nil"/>
              <w:right w:val="single" w:sz="4" w:space="0" w:color="auto"/>
            </w:tcBorders>
            <w:vAlign w:val="center"/>
          </w:tcPr>
          <w:p w14:paraId="26368D0F" w14:textId="77777777" w:rsidR="00763EF2" w:rsidRPr="004221D8" w:rsidRDefault="00763EF2" w:rsidP="00CB4A1F">
            <w:pPr>
              <w:keepNext/>
              <w:jc w:val="right"/>
              <w:rPr>
                <w:rFonts w:ascii="Arial Narrow" w:eastAsiaTheme="majorEastAsia" w:hAnsi="Arial Narrow" w:cstheme="majorBidi"/>
                <w:bCs/>
                <w:sz w:val="20"/>
              </w:rPr>
            </w:pPr>
            <w:r w:rsidRPr="004221D8">
              <w:rPr>
                <w:rFonts w:ascii="Arial Narrow" w:eastAsiaTheme="majorEastAsia" w:hAnsi="Arial Narrow" w:cstheme="majorBidi"/>
                <w:bCs/>
                <w:sz w:val="20"/>
              </w:rPr>
              <w:t>$31</w:t>
            </w:r>
          </w:p>
        </w:tc>
        <w:tc>
          <w:tcPr>
            <w:tcW w:w="708" w:type="pct"/>
            <w:tcBorders>
              <w:top w:val="nil"/>
              <w:left w:val="single" w:sz="4" w:space="0" w:color="auto"/>
              <w:bottom w:val="nil"/>
              <w:right w:val="single" w:sz="4" w:space="0" w:color="auto"/>
            </w:tcBorders>
            <w:vAlign w:val="center"/>
          </w:tcPr>
          <w:p w14:paraId="15CE3931" w14:textId="77777777" w:rsidR="00763EF2" w:rsidRPr="00E447AE" w:rsidRDefault="00763EF2" w:rsidP="00CB4A1F">
            <w:pPr>
              <w:keepNext/>
              <w:jc w:val="right"/>
              <w:rPr>
                <w:rFonts w:ascii="Arial Narrow" w:eastAsiaTheme="majorEastAsia" w:hAnsi="Arial Narrow" w:cstheme="majorBidi"/>
                <w:bCs/>
                <w:sz w:val="20"/>
              </w:rPr>
            </w:pPr>
            <w:r w:rsidRPr="00E447AE">
              <w:rPr>
                <w:rFonts w:ascii="Arial Narrow" w:eastAsiaTheme="majorEastAsia" w:hAnsi="Arial Narrow" w:cstheme="majorBidi"/>
                <w:bCs/>
                <w:sz w:val="20"/>
              </w:rPr>
              <w:t>$0</w:t>
            </w:r>
          </w:p>
        </w:tc>
        <w:tc>
          <w:tcPr>
            <w:tcW w:w="708" w:type="pct"/>
            <w:tcBorders>
              <w:top w:val="nil"/>
              <w:left w:val="single" w:sz="4" w:space="0" w:color="auto"/>
              <w:bottom w:val="nil"/>
              <w:right w:val="single" w:sz="4" w:space="0" w:color="auto"/>
            </w:tcBorders>
            <w:tcMar>
              <w:left w:w="57" w:type="dxa"/>
              <w:right w:w="57" w:type="dxa"/>
            </w:tcMar>
            <w:vAlign w:val="center"/>
          </w:tcPr>
          <w:p w14:paraId="2374BDE2" w14:textId="77777777" w:rsidR="00763EF2" w:rsidRPr="004221D8" w:rsidRDefault="00763EF2" w:rsidP="00CB4A1F">
            <w:pPr>
              <w:keepNext/>
              <w:jc w:val="right"/>
              <w:rPr>
                <w:rFonts w:ascii="Arial Narrow" w:eastAsiaTheme="majorEastAsia" w:hAnsi="Arial Narrow" w:cstheme="majorBidi"/>
                <w:bCs/>
                <w:sz w:val="20"/>
              </w:rPr>
            </w:pPr>
            <w:r w:rsidRPr="004221D8">
              <w:rPr>
                <w:rFonts w:ascii="Arial Narrow" w:eastAsiaTheme="majorEastAsia" w:hAnsi="Arial Narrow" w:cstheme="majorBidi"/>
                <w:bCs/>
                <w:sz w:val="20"/>
              </w:rPr>
              <w:t>$31</w:t>
            </w:r>
          </w:p>
        </w:tc>
        <w:tc>
          <w:tcPr>
            <w:tcW w:w="993" w:type="pct"/>
            <w:tcBorders>
              <w:top w:val="nil"/>
              <w:left w:val="single" w:sz="4" w:space="0" w:color="auto"/>
              <w:bottom w:val="nil"/>
              <w:right w:val="single" w:sz="4" w:space="0" w:color="auto"/>
            </w:tcBorders>
          </w:tcPr>
          <w:p w14:paraId="50A5399A" w14:textId="3EEC08F3" w:rsidR="00763EF2" w:rsidRPr="00E120DC" w:rsidRDefault="005860C6" w:rsidP="00CB4A1F">
            <w:pPr>
              <w:keepNext/>
              <w:jc w:val="center"/>
              <w:rPr>
                <w:rFonts w:ascii="Arial Narrow" w:eastAsiaTheme="majorEastAsia" w:hAnsi="Arial Narrow" w:cstheme="majorBidi"/>
                <w:bCs/>
                <w:sz w:val="20"/>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763EF2" w:rsidRPr="00E120DC">
              <w:rPr>
                <w:rFonts w:ascii="Arial Narrow" w:eastAsiaTheme="majorEastAsia" w:hAnsi="Arial Narrow" w:cstheme="majorBidi"/>
                <w:bCs/>
                <w:sz w:val="20"/>
              </w:rPr>
              <w:t>%</w:t>
            </w:r>
          </w:p>
        </w:tc>
      </w:tr>
      <w:tr w:rsidR="00763EF2" w:rsidRPr="004221D8" w14:paraId="1C1DD022" w14:textId="77777777" w:rsidTr="00E120DC">
        <w:trPr>
          <w:cantSplit/>
        </w:trPr>
        <w:tc>
          <w:tcPr>
            <w:tcW w:w="878" w:type="pct"/>
            <w:vMerge/>
            <w:tcBorders>
              <w:left w:val="single" w:sz="4" w:space="0" w:color="auto"/>
              <w:right w:val="single" w:sz="4" w:space="0" w:color="auto"/>
            </w:tcBorders>
            <w:tcMar>
              <w:left w:w="57" w:type="dxa"/>
              <w:right w:w="57" w:type="dxa"/>
            </w:tcMar>
            <w:vAlign w:val="center"/>
          </w:tcPr>
          <w:p w14:paraId="22A76E80" w14:textId="77777777" w:rsidR="00763EF2" w:rsidRPr="004221D8" w:rsidRDefault="00763EF2" w:rsidP="00CB4A1F">
            <w:pPr>
              <w:keepNext/>
              <w:jc w:val="left"/>
              <w:rPr>
                <w:rFonts w:ascii="Arial Narrow" w:eastAsiaTheme="majorEastAsia" w:hAnsi="Arial Narrow" w:cstheme="majorBidi"/>
                <w:bCs/>
                <w:sz w:val="20"/>
              </w:rPr>
            </w:pPr>
          </w:p>
        </w:tc>
        <w:tc>
          <w:tcPr>
            <w:tcW w:w="928" w:type="pct"/>
            <w:tcBorders>
              <w:top w:val="nil"/>
              <w:left w:val="single" w:sz="4" w:space="0" w:color="auto"/>
              <w:bottom w:val="nil"/>
              <w:right w:val="single" w:sz="4" w:space="0" w:color="auto"/>
            </w:tcBorders>
            <w:tcMar>
              <w:left w:w="57" w:type="dxa"/>
              <w:right w:w="57" w:type="dxa"/>
            </w:tcMar>
            <w:vAlign w:val="center"/>
          </w:tcPr>
          <w:p w14:paraId="0C46EDDC" w14:textId="77777777" w:rsidR="00763EF2" w:rsidRPr="004221D8" w:rsidRDefault="00763EF2" w:rsidP="00CB4A1F">
            <w:pPr>
              <w:keepNext/>
              <w:jc w:val="left"/>
              <w:rPr>
                <w:rFonts w:ascii="Arial Narrow" w:eastAsiaTheme="majorEastAsia" w:hAnsi="Arial Narrow" w:cstheme="majorBidi"/>
                <w:bCs/>
                <w:sz w:val="20"/>
              </w:rPr>
            </w:pPr>
            <w:r w:rsidRPr="004221D8">
              <w:rPr>
                <w:rFonts w:ascii="Arial Narrow" w:eastAsiaTheme="majorEastAsia" w:hAnsi="Arial Narrow" w:cstheme="majorBidi"/>
                <w:bCs/>
                <w:sz w:val="20"/>
              </w:rPr>
              <w:t>Monitoring</w:t>
            </w:r>
          </w:p>
        </w:tc>
        <w:tc>
          <w:tcPr>
            <w:tcW w:w="784" w:type="pct"/>
            <w:tcBorders>
              <w:top w:val="nil"/>
              <w:left w:val="single" w:sz="4" w:space="0" w:color="auto"/>
              <w:bottom w:val="nil"/>
              <w:right w:val="single" w:sz="4" w:space="0" w:color="auto"/>
            </w:tcBorders>
            <w:vAlign w:val="center"/>
          </w:tcPr>
          <w:p w14:paraId="181FBDBB" w14:textId="77777777" w:rsidR="00763EF2" w:rsidRPr="004221D8" w:rsidRDefault="00763EF2" w:rsidP="00CB4A1F">
            <w:pPr>
              <w:keepNext/>
              <w:jc w:val="right"/>
              <w:rPr>
                <w:rFonts w:ascii="Arial Narrow" w:eastAsiaTheme="majorEastAsia" w:hAnsi="Arial Narrow" w:cstheme="majorBidi"/>
                <w:bCs/>
                <w:sz w:val="20"/>
              </w:rPr>
            </w:pPr>
            <w:r w:rsidRPr="004221D8">
              <w:rPr>
                <w:rFonts w:ascii="Arial Narrow" w:eastAsiaTheme="majorEastAsia" w:hAnsi="Arial Narrow" w:cstheme="majorBidi"/>
                <w:bCs/>
                <w:sz w:val="20"/>
              </w:rPr>
              <w:t>$314</w:t>
            </w:r>
          </w:p>
        </w:tc>
        <w:tc>
          <w:tcPr>
            <w:tcW w:w="708" w:type="pct"/>
            <w:tcBorders>
              <w:top w:val="nil"/>
              <w:left w:val="single" w:sz="4" w:space="0" w:color="auto"/>
              <w:bottom w:val="nil"/>
              <w:right w:val="single" w:sz="4" w:space="0" w:color="auto"/>
            </w:tcBorders>
            <w:vAlign w:val="center"/>
          </w:tcPr>
          <w:p w14:paraId="14BE7A3D" w14:textId="77777777" w:rsidR="00763EF2" w:rsidRPr="00E447AE" w:rsidRDefault="00763EF2" w:rsidP="00CB4A1F">
            <w:pPr>
              <w:keepNext/>
              <w:jc w:val="right"/>
              <w:rPr>
                <w:rFonts w:ascii="Arial Narrow" w:eastAsiaTheme="majorEastAsia" w:hAnsi="Arial Narrow" w:cstheme="majorBidi"/>
                <w:bCs/>
                <w:sz w:val="20"/>
              </w:rPr>
            </w:pPr>
            <w:r w:rsidRPr="00E447AE">
              <w:rPr>
                <w:rFonts w:ascii="Arial Narrow" w:eastAsiaTheme="majorEastAsia" w:hAnsi="Arial Narrow" w:cstheme="majorBidi"/>
                <w:bCs/>
                <w:sz w:val="20"/>
              </w:rPr>
              <w:t>$535</w:t>
            </w:r>
          </w:p>
        </w:tc>
        <w:tc>
          <w:tcPr>
            <w:tcW w:w="708" w:type="pct"/>
            <w:tcBorders>
              <w:top w:val="nil"/>
              <w:left w:val="single" w:sz="4" w:space="0" w:color="auto"/>
              <w:bottom w:val="nil"/>
              <w:right w:val="single" w:sz="4" w:space="0" w:color="auto"/>
            </w:tcBorders>
            <w:tcMar>
              <w:left w:w="57" w:type="dxa"/>
              <w:right w:w="57" w:type="dxa"/>
            </w:tcMar>
            <w:vAlign w:val="center"/>
          </w:tcPr>
          <w:p w14:paraId="6A643EB0" w14:textId="77777777" w:rsidR="00763EF2" w:rsidRPr="004221D8" w:rsidRDefault="00763EF2" w:rsidP="00CB4A1F">
            <w:pPr>
              <w:keepNext/>
              <w:jc w:val="right"/>
              <w:rPr>
                <w:rFonts w:ascii="Arial Narrow" w:eastAsiaTheme="majorEastAsia" w:hAnsi="Arial Narrow" w:cstheme="majorBidi"/>
                <w:bCs/>
                <w:sz w:val="20"/>
              </w:rPr>
            </w:pPr>
            <w:r w:rsidRPr="004221D8">
              <w:rPr>
                <w:rFonts w:ascii="Arial Narrow" w:eastAsiaTheme="majorEastAsia" w:hAnsi="Arial Narrow" w:cstheme="majorBidi"/>
                <w:bCs/>
                <w:sz w:val="20"/>
              </w:rPr>
              <w:t>−$222</w:t>
            </w:r>
          </w:p>
        </w:tc>
        <w:tc>
          <w:tcPr>
            <w:tcW w:w="993" w:type="pct"/>
            <w:tcBorders>
              <w:top w:val="nil"/>
              <w:left w:val="single" w:sz="4" w:space="0" w:color="auto"/>
              <w:bottom w:val="nil"/>
              <w:right w:val="single" w:sz="4" w:space="0" w:color="auto"/>
            </w:tcBorders>
          </w:tcPr>
          <w:p w14:paraId="22C5DF8C" w14:textId="76998C7E" w:rsidR="00763EF2" w:rsidRPr="00E120DC" w:rsidRDefault="005860C6" w:rsidP="00CB4A1F">
            <w:pPr>
              <w:keepNext/>
              <w:jc w:val="center"/>
              <w:rPr>
                <w:rFonts w:ascii="Arial Narrow" w:eastAsiaTheme="majorEastAsia" w:hAnsi="Arial Narrow" w:cstheme="majorBidi"/>
                <w:bCs/>
                <w:sz w:val="20"/>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763EF2" w:rsidRPr="00E120DC">
              <w:rPr>
                <w:rFonts w:ascii="Arial Narrow" w:eastAsiaTheme="majorEastAsia" w:hAnsi="Arial Narrow" w:cstheme="majorBidi"/>
                <w:bCs/>
                <w:sz w:val="20"/>
              </w:rPr>
              <w:t>%</w:t>
            </w:r>
          </w:p>
        </w:tc>
      </w:tr>
      <w:tr w:rsidR="00763EF2" w:rsidRPr="004221D8" w14:paraId="4543E2DB" w14:textId="77777777" w:rsidTr="00E120DC">
        <w:trPr>
          <w:cantSplit/>
        </w:trPr>
        <w:tc>
          <w:tcPr>
            <w:tcW w:w="878" w:type="pct"/>
            <w:vMerge/>
            <w:tcBorders>
              <w:left w:val="single" w:sz="4" w:space="0" w:color="auto"/>
              <w:right w:val="single" w:sz="4" w:space="0" w:color="auto"/>
            </w:tcBorders>
            <w:tcMar>
              <w:left w:w="57" w:type="dxa"/>
              <w:right w:w="57" w:type="dxa"/>
            </w:tcMar>
            <w:vAlign w:val="center"/>
          </w:tcPr>
          <w:p w14:paraId="3EC66CC3" w14:textId="77777777" w:rsidR="00763EF2" w:rsidRPr="004221D8" w:rsidRDefault="00763EF2" w:rsidP="00CB4A1F">
            <w:pPr>
              <w:keepNext/>
              <w:jc w:val="left"/>
              <w:rPr>
                <w:rFonts w:ascii="Arial Narrow" w:eastAsiaTheme="majorEastAsia" w:hAnsi="Arial Narrow" w:cstheme="majorBidi"/>
                <w:bCs/>
                <w:sz w:val="20"/>
              </w:rPr>
            </w:pPr>
          </w:p>
        </w:tc>
        <w:tc>
          <w:tcPr>
            <w:tcW w:w="928" w:type="pct"/>
            <w:tcBorders>
              <w:top w:val="nil"/>
              <w:left w:val="single" w:sz="4" w:space="0" w:color="auto"/>
              <w:bottom w:val="single" w:sz="4" w:space="0" w:color="auto"/>
              <w:right w:val="single" w:sz="4" w:space="0" w:color="auto"/>
            </w:tcBorders>
            <w:tcMar>
              <w:left w:w="57" w:type="dxa"/>
              <w:right w:w="57" w:type="dxa"/>
            </w:tcMar>
            <w:vAlign w:val="center"/>
          </w:tcPr>
          <w:p w14:paraId="5D474875" w14:textId="77777777" w:rsidR="00763EF2" w:rsidRPr="004221D8" w:rsidRDefault="00763EF2" w:rsidP="00CB4A1F">
            <w:pPr>
              <w:keepNext/>
              <w:jc w:val="left"/>
              <w:rPr>
                <w:rFonts w:ascii="Arial Narrow" w:eastAsiaTheme="majorEastAsia" w:hAnsi="Arial Narrow" w:cstheme="majorBidi"/>
                <w:bCs/>
                <w:sz w:val="20"/>
              </w:rPr>
            </w:pPr>
            <w:r w:rsidRPr="004221D8">
              <w:rPr>
                <w:rFonts w:ascii="Arial Narrow" w:eastAsiaTheme="majorEastAsia" w:hAnsi="Arial Narrow" w:cstheme="majorBidi"/>
                <w:bCs/>
                <w:sz w:val="20"/>
              </w:rPr>
              <w:t>Adverse events</w:t>
            </w:r>
          </w:p>
        </w:tc>
        <w:tc>
          <w:tcPr>
            <w:tcW w:w="784" w:type="pct"/>
            <w:tcBorders>
              <w:top w:val="nil"/>
              <w:left w:val="single" w:sz="4" w:space="0" w:color="auto"/>
              <w:bottom w:val="single" w:sz="4" w:space="0" w:color="auto"/>
              <w:right w:val="single" w:sz="4" w:space="0" w:color="auto"/>
            </w:tcBorders>
            <w:vAlign w:val="center"/>
          </w:tcPr>
          <w:p w14:paraId="12B3A59F" w14:textId="77777777" w:rsidR="00763EF2" w:rsidRPr="004221D8" w:rsidRDefault="00763EF2" w:rsidP="00CB4A1F">
            <w:pPr>
              <w:keepNext/>
              <w:jc w:val="right"/>
              <w:rPr>
                <w:rFonts w:ascii="Arial Narrow" w:eastAsiaTheme="majorEastAsia" w:hAnsi="Arial Narrow" w:cstheme="majorBidi"/>
                <w:bCs/>
                <w:sz w:val="20"/>
              </w:rPr>
            </w:pPr>
            <w:r w:rsidRPr="004221D8">
              <w:rPr>
                <w:rFonts w:ascii="Arial Narrow" w:eastAsiaTheme="majorEastAsia" w:hAnsi="Arial Narrow" w:cstheme="majorBidi"/>
                <w:bCs/>
                <w:sz w:val="20"/>
              </w:rPr>
              <w:t>−$24</w:t>
            </w:r>
          </w:p>
        </w:tc>
        <w:tc>
          <w:tcPr>
            <w:tcW w:w="708" w:type="pct"/>
            <w:tcBorders>
              <w:top w:val="nil"/>
              <w:left w:val="single" w:sz="4" w:space="0" w:color="auto"/>
              <w:bottom w:val="single" w:sz="4" w:space="0" w:color="auto"/>
              <w:right w:val="single" w:sz="4" w:space="0" w:color="auto"/>
            </w:tcBorders>
            <w:vAlign w:val="center"/>
          </w:tcPr>
          <w:p w14:paraId="10E57492" w14:textId="77777777" w:rsidR="00763EF2" w:rsidRPr="00E447AE" w:rsidRDefault="00763EF2" w:rsidP="00CB4A1F">
            <w:pPr>
              <w:keepNext/>
              <w:jc w:val="right"/>
              <w:rPr>
                <w:rFonts w:ascii="Arial Narrow" w:eastAsiaTheme="majorEastAsia" w:hAnsi="Arial Narrow" w:cstheme="majorBidi"/>
                <w:bCs/>
                <w:sz w:val="20"/>
              </w:rPr>
            </w:pPr>
            <w:r w:rsidRPr="00E447AE">
              <w:rPr>
                <w:rFonts w:ascii="Arial Narrow" w:eastAsiaTheme="majorEastAsia" w:hAnsi="Arial Narrow" w:cstheme="majorBidi"/>
                <w:bCs/>
                <w:sz w:val="20"/>
              </w:rPr>
              <w:t>$0</w:t>
            </w:r>
          </w:p>
        </w:tc>
        <w:tc>
          <w:tcPr>
            <w:tcW w:w="708" w:type="pct"/>
            <w:tcBorders>
              <w:top w:val="nil"/>
              <w:left w:val="single" w:sz="4" w:space="0" w:color="auto"/>
              <w:bottom w:val="single" w:sz="4" w:space="0" w:color="auto"/>
              <w:right w:val="single" w:sz="4" w:space="0" w:color="auto"/>
            </w:tcBorders>
            <w:tcMar>
              <w:left w:w="57" w:type="dxa"/>
              <w:right w:w="57" w:type="dxa"/>
            </w:tcMar>
            <w:vAlign w:val="center"/>
          </w:tcPr>
          <w:p w14:paraId="4DB5B42B" w14:textId="77777777" w:rsidR="00763EF2" w:rsidRPr="004221D8" w:rsidRDefault="00763EF2" w:rsidP="00CB4A1F">
            <w:pPr>
              <w:keepNext/>
              <w:jc w:val="right"/>
              <w:rPr>
                <w:rFonts w:ascii="Arial Narrow" w:eastAsiaTheme="majorEastAsia" w:hAnsi="Arial Narrow" w:cstheme="majorBidi"/>
                <w:bCs/>
                <w:sz w:val="20"/>
              </w:rPr>
            </w:pPr>
            <w:r w:rsidRPr="004221D8">
              <w:rPr>
                <w:rFonts w:ascii="Arial Narrow" w:eastAsiaTheme="majorEastAsia" w:hAnsi="Arial Narrow" w:cstheme="majorBidi"/>
                <w:bCs/>
                <w:sz w:val="20"/>
              </w:rPr>
              <w:t>−$24</w:t>
            </w:r>
          </w:p>
        </w:tc>
        <w:tc>
          <w:tcPr>
            <w:tcW w:w="993" w:type="pct"/>
            <w:tcBorders>
              <w:top w:val="nil"/>
              <w:left w:val="single" w:sz="4" w:space="0" w:color="auto"/>
              <w:bottom w:val="single" w:sz="4" w:space="0" w:color="auto"/>
              <w:right w:val="single" w:sz="4" w:space="0" w:color="auto"/>
            </w:tcBorders>
          </w:tcPr>
          <w:p w14:paraId="4ECDB920" w14:textId="0B4B83F0" w:rsidR="00763EF2" w:rsidRPr="00E120DC" w:rsidRDefault="005860C6" w:rsidP="00CB4A1F">
            <w:pPr>
              <w:keepNext/>
              <w:jc w:val="center"/>
              <w:rPr>
                <w:rFonts w:ascii="Arial Narrow" w:eastAsiaTheme="majorEastAsia" w:hAnsi="Arial Narrow" w:cstheme="majorBidi"/>
                <w:bCs/>
                <w:sz w:val="20"/>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r w:rsidR="00763EF2" w:rsidRPr="00E120DC">
              <w:rPr>
                <w:rFonts w:ascii="Arial Narrow" w:eastAsiaTheme="majorEastAsia" w:hAnsi="Arial Narrow" w:cstheme="majorBidi"/>
                <w:bCs/>
                <w:sz w:val="20"/>
              </w:rPr>
              <w:t>%</w:t>
            </w:r>
          </w:p>
        </w:tc>
      </w:tr>
      <w:tr w:rsidR="00763EF2" w:rsidRPr="004221D8" w14:paraId="1A47798F" w14:textId="77777777" w:rsidTr="00E120DC">
        <w:trPr>
          <w:cantSplit/>
        </w:trPr>
        <w:tc>
          <w:tcPr>
            <w:tcW w:w="878" w:type="pct"/>
            <w:vMerge/>
            <w:tcBorders>
              <w:left w:val="single" w:sz="4" w:space="0" w:color="auto"/>
              <w:bottom w:val="single" w:sz="4" w:space="0" w:color="auto"/>
              <w:right w:val="single" w:sz="4" w:space="0" w:color="auto"/>
            </w:tcBorders>
            <w:tcMar>
              <w:left w:w="57" w:type="dxa"/>
              <w:right w:w="57" w:type="dxa"/>
            </w:tcMar>
            <w:vAlign w:val="center"/>
          </w:tcPr>
          <w:p w14:paraId="5862CA6B" w14:textId="77777777" w:rsidR="00763EF2" w:rsidRPr="004221D8" w:rsidRDefault="00763EF2" w:rsidP="00CB4A1F">
            <w:pPr>
              <w:keepNext/>
              <w:jc w:val="left"/>
              <w:rPr>
                <w:rFonts w:ascii="Arial Narrow" w:eastAsiaTheme="majorEastAsia" w:hAnsi="Arial Narrow" w:cstheme="majorBidi"/>
                <w:bCs/>
                <w:sz w:val="20"/>
              </w:rPr>
            </w:pPr>
          </w:p>
        </w:tc>
        <w:tc>
          <w:tcPr>
            <w:tcW w:w="92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0FC430F" w14:textId="77777777" w:rsidR="00763EF2" w:rsidRPr="004221D8" w:rsidRDefault="00763EF2" w:rsidP="00CB4A1F">
            <w:pPr>
              <w:keepNext/>
              <w:jc w:val="left"/>
              <w:rPr>
                <w:rFonts w:ascii="Arial Narrow" w:eastAsiaTheme="majorEastAsia" w:hAnsi="Arial Narrow" w:cstheme="majorBidi"/>
                <w:bCs/>
                <w:sz w:val="20"/>
              </w:rPr>
            </w:pPr>
            <w:r w:rsidRPr="004221D8">
              <w:rPr>
                <w:rFonts w:ascii="Arial Narrow" w:eastAsiaTheme="majorEastAsia" w:hAnsi="Arial Narrow" w:cstheme="majorBidi"/>
                <w:bCs/>
                <w:sz w:val="20"/>
              </w:rPr>
              <w:t xml:space="preserve">Total </w:t>
            </w:r>
          </w:p>
        </w:tc>
        <w:tc>
          <w:tcPr>
            <w:tcW w:w="784" w:type="pct"/>
            <w:tcBorders>
              <w:top w:val="single" w:sz="4" w:space="0" w:color="auto"/>
              <w:left w:val="single" w:sz="4" w:space="0" w:color="auto"/>
              <w:bottom w:val="single" w:sz="4" w:space="0" w:color="auto"/>
              <w:right w:val="single" w:sz="4" w:space="0" w:color="auto"/>
            </w:tcBorders>
            <w:vAlign w:val="center"/>
          </w:tcPr>
          <w:p w14:paraId="48A58EA2" w14:textId="03D75576" w:rsidR="00763EF2" w:rsidRPr="0048626C" w:rsidRDefault="00B1620B" w:rsidP="00CB4A1F">
            <w:pPr>
              <w:keepNext/>
              <w:jc w:val="right"/>
              <w:rPr>
                <w:rFonts w:ascii="Arial Narrow" w:eastAsiaTheme="majorEastAsia" w:hAnsi="Arial Narrow" w:cstheme="majorBidi"/>
                <w:bCs/>
                <w:sz w:val="20"/>
              </w:rPr>
            </w:pPr>
            <w:r>
              <w:rPr>
                <w:rFonts w:ascii="Arial Narrow" w:eastAsiaTheme="majorEastAsia" w:hAnsi="Arial Narrow" w:cstheme="majorBidi"/>
                <w:bCs/>
                <w:sz w:val="20"/>
              </w:rPr>
              <w:t>$</w:t>
            </w:r>
            <w:r w:rsidR="005860C6"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708" w:type="pct"/>
            <w:tcBorders>
              <w:top w:val="single" w:sz="4" w:space="0" w:color="auto"/>
              <w:left w:val="single" w:sz="4" w:space="0" w:color="auto"/>
              <w:bottom w:val="single" w:sz="4" w:space="0" w:color="auto"/>
              <w:right w:val="single" w:sz="4" w:space="0" w:color="auto"/>
            </w:tcBorders>
            <w:vAlign w:val="center"/>
          </w:tcPr>
          <w:p w14:paraId="125DC42E" w14:textId="2C855AD5" w:rsidR="00763EF2" w:rsidRPr="00E447AE" w:rsidRDefault="00763EF2" w:rsidP="00CB4A1F">
            <w:pPr>
              <w:keepNext/>
              <w:jc w:val="right"/>
              <w:rPr>
                <w:rFonts w:ascii="Arial Narrow" w:eastAsiaTheme="majorEastAsia" w:hAnsi="Arial Narrow" w:cstheme="majorBidi"/>
                <w:bCs/>
                <w:sz w:val="20"/>
              </w:rPr>
            </w:pPr>
            <w:r w:rsidRPr="00E447AE">
              <w:rPr>
                <w:rFonts w:ascii="Arial Narrow" w:eastAsiaTheme="majorEastAsia" w:hAnsi="Arial Narrow" w:cstheme="majorBidi"/>
                <w:bCs/>
                <w:sz w:val="20"/>
              </w:rPr>
              <w:t>$34,332</w:t>
            </w:r>
          </w:p>
        </w:tc>
        <w:tc>
          <w:tcPr>
            <w:tcW w:w="70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23BDEB2" w14:textId="255280CA" w:rsidR="00763EF2" w:rsidRPr="0048626C" w:rsidRDefault="00763EF2" w:rsidP="00CB4A1F">
            <w:pPr>
              <w:keepNext/>
              <w:jc w:val="right"/>
              <w:rPr>
                <w:rFonts w:ascii="Arial Narrow" w:eastAsiaTheme="majorEastAsia" w:hAnsi="Arial Narrow" w:cstheme="majorBidi"/>
                <w:bCs/>
                <w:sz w:val="20"/>
              </w:rPr>
            </w:pPr>
            <w:r w:rsidRPr="0048626C">
              <w:rPr>
                <w:rFonts w:ascii="Arial Narrow" w:eastAsiaTheme="majorEastAsia" w:hAnsi="Arial Narrow" w:cstheme="majorBidi"/>
                <w:bCs/>
                <w:sz w:val="20"/>
              </w:rPr>
              <w:t>−</w:t>
            </w:r>
            <w:r w:rsidR="00B1620B">
              <w:rPr>
                <w:rFonts w:ascii="Arial Narrow" w:eastAsiaTheme="majorEastAsia" w:hAnsi="Arial Narrow" w:cstheme="majorBidi"/>
                <w:bCs/>
                <w:sz w:val="20"/>
              </w:rPr>
              <w:t>$</w:t>
            </w:r>
            <w:r w:rsidR="005860C6"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993" w:type="pct"/>
            <w:tcBorders>
              <w:top w:val="single" w:sz="4" w:space="0" w:color="auto"/>
              <w:left w:val="single" w:sz="4" w:space="0" w:color="auto"/>
              <w:bottom w:val="single" w:sz="4" w:space="0" w:color="auto"/>
              <w:right w:val="single" w:sz="4" w:space="0" w:color="auto"/>
            </w:tcBorders>
          </w:tcPr>
          <w:p w14:paraId="3DDB1F2B" w14:textId="77777777" w:rsidR="00763EF2" w:rsidRPr="00E120DC" w:rsidRDefault="00763EF2" w:rsidP="00CB4A1F">
            <w:pPr>
              <w:keepNext/>
              <w:jc w:val="center"/>
              <w:rPr>
                <w:rFonts w:ascii="Arial Narrow" w:eastAsiaTheme="majorEastAsia" w:hAnsi="Arial Narrow" w:cstheme="majorBidi"/>
                <w:b/>
                <w:sz w:val="20"/>
              </w:rPr>
            </w:pPr>
            <w:r w:rsidRPr="00C74C0E">
              <w:rPr>
                <w:rFonts w:ascii="Arial Narrow" w:eastAsiaTheme="majorEastAsia" w:hAnsi="Arial Narrow" w:cstheme="majorBidi"/>
                <w:b/>
                <w:sz w:val="20"/>
              </w:rPr>
              <w:t>100</w:t>
            </w:r>
            <w:r w:rsidRPr="00E120DC">
              <w:rPr>
                <w:rFonts w:ascii="Arial Narrow" w:eastAsiaTheme="majorEastAsia" w:hAnsi="Arial Narrow" w:cstheme="majorBidi"/>
                <w:b/>
                <w:sz w:val="20"/>
              </w:rPr>
              <w:t>%</w:t>
            </w:r>
          </w:p>
        </w:tc>
      </w:tr>
      <w:tr w:rsidR="00763EF2" w:rsidRPr="004221D8" w14:paraId="484066AD" w14:textId="77777777" w:rsidTr="00CB4A1F">
        <w:trPr>
          <w:cantSplit/>
        </w:trPr>
        <w:tc>
          <w:tcPr>
            <w:tcW w:w="1807" w:type="pct"/>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30F1A9F" w14:textId="77777777" w:rsidR="00763EF2" w:rsidRPr="004221D8" w:rsidRDefault="00763EF2" w:rsidP="00CB4A1F">
            <w:pPr>
              <w:keepNext/>
              <w:jc w:val="left"/>
              <w:rPr>
                <w:rFonts w:ascii="Arial Narrow" w:eastAsiaTheme="majorEastAsia" w:hAnsi="Arial Narrow" w:cstheme="majorBidi"/>
                <w:b/>
                <w:sz w:val="20"/>
              </w:rPr>
            </w:pPr>
            <w:r w:rsidRPr="004221D8">
              <w:rPr>
                <w:rFonts w:ascii="Arial Narrow" w:eastAsiaTheme="majorEastAsia" w:hAnsi="Arial Narrow" w:cstheme="majorBidi"/>
                <w:b/>
                <w:sz w:val="20"/>
              </w:rPr>
              <w:t>Total</w:t>
            </w:r>
          </w:p>
        </w:tc>
        <w:tc>
          <w:tcPr>
            <w:tcW w:w="784" w:type="pct"/>
            <w:tcBorders>
              <w:top w:val="single" w:sz="4" w:space="0" w:color="auto"/>
              <w:left w:val="single" w:sz="4" w:space="0" w:color="auto"/>
              <w:bottom w:val="single" w:sz="4" w:space="0" w:color="auto"/>
              <w:right w:val="single" w:sz="4" w:space="0" w:color="auto"/>
            </w:tcBorders>
            <w:vAlign w:val="center"/>
          </w:tcPr>
          <w:p w14:paraId="357D1E07" w14:textId="1B77159F" w:rsidR="00763EF2" w:rsidRPr="0048626C" w:rsidRDefault="00B1620B" w:rsidP="00CB4A1F">
            <w:pPr>
              <w:keepNext/>
              <w:jc w:val="right"/>
              <w:rPr>
                <w:rFonts w:ascii="Arial Narrow" w:eastAsiaTheme="majorEastAsia" w:hAnsi="Arial Narrow" w:cstheme="majorBidi"/>
                <w:b/>
                <w:sz w:val="20"/>
              </w:rPr>
            </w:pPr>
            <w:r>
              <w:rPr>
                <w:rFonts w:ascii="Arial Narrow" w:eastAsiaTheme="majorEastAsia" w:hAnsi="Arial Narrow" w:cstheme="majorBidi"/>
                <w:b/>
                <w:sz w:val="20"/>
              </w:rPr>
              <w:t>$</w:t>
            </w:r>
            <w:r w:rsidR="005860C6" w:rsidRPr="005860C6">
              <w:rPr>
                <w:rFonts w:ascii="Arial Narrow" w:eastAsiaTheme="majorEastAsia" w:hAnsi="Arial Narrow" w:cstheme="majorBidi"/>
                <w:b/>
                <w:color w:val="000000"/>
                <w:sz w:val="20"/>
                <w:shd w:val="solid" w:color="000000" w:fill="000000"/>
                <w14:textFill>
                  <w14:solidFill>
                    <w14:srgbClr w14:val="000000">
                      <w14:alpha w14:val="100000"/>
                    </w14:srgbClr>
                  </w14:solidFill>
                </w14:textFill>
              </w:rPr>
              <w:t>|</w:t>
            </w:r>
          </w:p>
        </w:tc>
        <w:tc>
          <w:tcPr>
            <w:tcW w:w="708" w:type="pct"/>
            <w:tcBorders>
              <w:top w:val="single" w:sz="4" w:space="0" w:color="auto"/>
              <w:left w:val="single" w:sz="4" w:space="0" w:color="auto"/>
              <w:bottom w:val="single" w:sz="4" w:space="0" w:color="auto"/>
              <w:right w:val="single" w:sz="4" w:space="0" w:color="auto"/>
            </w:tcBorders>
            <w:vAlign w:val="center"/>
          </w:tcPr>
          <w:p w14:paraId="1BF5CB56" w14:textId="309BEAEA" w:rsidR="00763EF2" w:rsidRPr="00E447AE" w:rsidRDefault="00763EF2" w:rsidP="00CB4A1F">
            <w:pPr>
              <w:keepNext/>
              <w:jc w:val="right"/>
              <w:rPr>
                <w:rFonts w:ascii="Arial Narrow" w:eastAsiaTheme="majorEastAsia" w:hAnsi="Arial Narrow" w:cstheme="majorBidi"/>
                <w:b/>
                <w:sz w:val="20"/>
              </w:rPr>
            </w:pPr>
            <w:r w:rsidRPr="00E447AE">
              <w:rPr>
                <w:rFonts w:ascii="Arial Narrow" w:eastAsiaTheme="majorEastAsia" w:hAnsi="Arial Narrow" w:cstheme="majorBidi"/>
                <w:b/>
                <w:sz w:val="20"/>
              </w:rPr>
              <w:t>$34,902</w:t>
            </w:r>
          </w:p>
        </w:tc>
        <w:tc>
          <w:tcPr>
            <w:tcW w:w="708" w:type="pct"/>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F865F16" w14:textId="1D12E4F2" w:rsidR="00763EF2" w:rsidRPr="0048626C" w:rsidRDefault="00B1620B" w:rsidP="00CB4A1F">
            <w:pPr>
              <w:keepNext/>
              <w:jc w:val="right"/>
              <w:rPr>
                <w:rFonts w:ascii="Arial Narrow" w:eastAsiaTheme="majorEastAsia" w:hAnsi="Arial Narrow" w:cstheme="majorBidi"/>
                <w:b/>
                <w:sz w:val="20"/>
              </w:rPr>
            </w:pPr>
            <w:r>
              <w:rPr>
                <w:rFonts w:ascii="Arial Narrow" w:eastAsiaTheme="majorEastAsia" w:hAnsi="Arial Narrow" w:cstheme="majorBidi"/>
                <w:b/>
                <w:sz w:val="20"/>
              </w:rPr>
              <w:t>$</w:t>
            </w:r>
            <w:r w:rsidR="005860C6" w:rsidRPr="005860C6">
              <w:rPr>
                <w:rFonts w:ascii="Arial Narrow" w:eastAsiaTheme="majorEastAsia" w:hAnsi="Arial Narrow" w:cstheme="majorBidi"/>
                <w:b/>
                <w:color w:val="000000"/>
                <w:sz w:val="20"/>
                <w:shd w:val="solid" w:color="000000" w:fill="000000"/>
                <w14:textFill>
                  <w14:solidFill>
                    <w14:srgbClr w14:val="000000">
                      <w14:alpha w14:val="100000"/>
                    </w14:srgbClr>
                  </w14:solidFill>
                </w14:textFill>
              </w:rPr>
              <w:t>|</w:t>
            </w:r>
          </w:p>
        </w:tc>
        <w:tc>
          <w:tcPr>
            <w:tcW w:w="993" w:type="pct"/>
            <w:tcBorders>
              <w:top w:val="single" w:sz="4" w:space="0" w:color="auto"/>
              <w:left w:val="single" w:sz="4" w:space="0" w:color="auto"/>
              <w:bottom w:val="single" w:sz="4" w:space="0" w:color="auto"/>
              <w:right w:val="single" w:sz="4" w:space="0" w:color="auto"/>
            </w:tcBorders>
          </w:tcPr>
          <w:p w14:paraId="20FA955A" w14:textId="77777777" w:rsidR="00763EF2" w:rsidRPr="00E120DC" w:rsidRDefault="00763EF2" w:rsidP="00CB4A1F">
            <w:pPr>
              <w:keepNext/>
              <w:jc w:val="center"/>
              <w:rPr>
                <w:rFonts w:ascii="Arial Narrow" w:eastAsiaTheme="majorEastAsia" w:hAnsi="Arial Narrow" w:cstheme="majorBidi"/>
                <w:b/>
                <w:sz w:val="20"/>
              </w:rPr>
            </w:pPr>
            <w:r w:rsidRPr="00E120DC">
              <w:rPr>
                <w:rFonts w:ascii="Arial Narrow" w:eastAsiaTheme="majorEastAsia" w:hAnsi="Arial Narrow" w:cstheme="majorBidi"/>
                <w:b/>
                <w:sz w:val="20"/>
              </w:rPr>
              <w:t>−</w:t>
            </w:r>
          </w:p>
        </w:tc>
      </w:tr>
    </w:tbl>
    <w:p w14:paraId="70F4DEE8" w14:textId="77777777" w:rsidR="00763EF2" w:rsidRPr="003B5F84" w:rsidRDefault="00763EF2" w:rsidP="00763EF2">
      <w:pPr>
        <w:pStyle w:val="TableFigureFooter"/>
      </w:pPr>
      <w:r w:rsidRPr="003B5F84">
        <w:t>Source: Table 3-19, p148 of the submission.</w:t>
      </w:r>
    </w:p>
    <w:p w14:paraId="048D86D2" w14:textId="7E33C6B8" w:rsidR="0072745D" w:rsidRDefault="00763EF2" w:rsidP="002E2522">
      <w:pPr>
        <w:pStyle w:val="TableFigureFooter"/>
      </w:pPr>
      <w:r w:rsidRPr="003B5F84">
        <w:t>BSC = best supportive care.</w:t>
      </w:r>
    </w:p>
    <w:p w14:paraId="29DA09E7" w14:textId="4D34D725" w:rsidR="00763EF2" w:rsidRDefault="00763EF2" w:rsidP="004A52A9">
      <w:pPr>
        <w:numPr>
          <w:ilvl w:val="1"/>
          <w:numId w:val="1"/>
        </w:numPr>
        <w:spacing w:after="120"/>
        <w:ind w:left="720"/>
        <w:rPr>
          <w:rFonts w:asciiTheme="minorHAnsi" w:hAnsiTheme="minorHAnsi"/>
          <w:snapToGrid w:val="0"/>
        </w:rPr>
      </w:pPr>
      <w:bookmarkStart w:id="86" w:name="_Hlk141671740"/>
      <w:r w:rsidRPr="00427986">
        <w:rPr>
          <w:rFonts w:asciiTheme="minorHAnsi" w:hAnsiTheme="minorHAnsi"/>
          <w:snapToGrid w:val="0"/>
        </w:rPr>
        <w:t xml:space="preserve">The cost estimates were based on the proposed effective </w:t>
      </w:r>
      <w:r w:rsidR="00E120DC" w:rsidRPr="00427986">
        <w:rPr>
          <w:rFonts w:asciiTheme="minorHAnsi" w:hAnsiTheme="minorHAnsi"/>
          <w:snapToGrid w:val="0"/>
        </w:rPr>
        <w:t>DPMQ</w:t>
      </w:r>
      <w:r w:rsidRPr="00427986">
        <w:rPr>
          <w:rFonts w:asciiTheme="minorHAnsi" w:hAnsiTheme="minorHAnsi"/>
          <w:snapToGrid w:val="0"/>
        </w:rPr>
        <w:t xml:space="preserve"> of cabozantinib in the pre-progression health state and the published </w:t>
      </w:r>
      <w:r w:rsidR="00E120DC" w:rsidRPr="00427986">
        <w:rPr>
          <w:rFonts w:asciiTheme="minorHAnsi" w:hAnsiTheme="minorHAnsi"/>
          <w:snapToGrid w:val="0"/>
        </w:rPr>
        <w:t>DPMQs</w:t>
      </w:r>
      <w:r w:rsidRPr="00427986">
        <w:rPr>
          <w:rFonts w:asciiTheme="minorHAnsi" w:hAnsiTheme="minorHAnsi"/>
          <w:snapToGrid w:val="0"/>
        </w:rPr>
        <w:t xml:space="preserve"> of subsequent therapies, including cabozantinib</w:t>
      </w:r>
      <w:r w:rsidRPr="00427986">
        <w:rPr>
          <w:rFonts w:asciiTheme="minorHAnsi" w:hAnsiTheme="minorHAnsi"/>
        </w:rPr>
        <w:t xml:space="preserve"> and lenvatinib</w:t>
      </w:r>
      <w:r w:rsidRPr="00427986">
        <w:rPr>
          <w:rFonts w:asciiTheme="minorHAnsi" w:hAnsiTheme="minorHAnsi"/>
          <w:snapToGrid w:val="0"/>
        </w:rPr>
        <w:t>, in the post-progression health state. In the base case, drug costs contributed 93% of the cost in the pre-progression state and 99% of the cost savings in the post-progression state. The inclusion of post-progression therapies resulted in cost</w:t>
      </w:r>
      <w:r w:rsidRPr="00427986">
        <w:rPr>
          <w:rFonts w:asciiTheme="minorHAnsi" w:hAnsiTheme="minorHAnsi"/>
        </w:rPr>
        <w:t>-</w:t>
      </w:r>
      <w:r w:rsidRPr="00427986">
        <w:rPr>
          <w:rFonts w:asciiTheme="minorHAnsi" w:hAnsiTheme="minorHAnsi"/>
          <w:snapToGrid w:val="0"/>
        </w:rPr>
        <w:t xml:space="preserve">savings of </w:t>
      </w:r>
      <w:r w:rsidR="00B1620B">
        <w:rPr>
          <w:rFonts w:asciiTheme="minorHAnsi" w:hAnsiTheme="minorHAnsi"/>
          <w:snapToGrid w:val="0"/>
        </w:rPr>
        <w:t>$</w:t>
      </w:r>
      <w:r w:rsidR="005860C6" w:rsidRPr="00737A69">
        <w:rPr>
          <w:rFonts w:asciiTheme="minorHAnsi" w:hAnsiTheme="minorHAnsi"/>
          <w:snapToGrid w:val="0"/>
          <w:color w:val="000000"/>
          <w:w w:val="15"/>
          <w:shd w:val="solid" w:color="000000" w:fill="000000"/>
          <w:fitText w:val="-20" w:id="-1032107255"/>
          <w14:textFill>
            <w14:solidFill>
              <w14:srgbClr w14:val="000000">
                <w14:alpha w14:val="100000"/>
              </w14:srgbClr>
            </w14:solidFill>
          </w14:textFill>
        </w:rPr>
        <w:t xml:space="preserve">|  </w:t>
      </w:r>
      <w:r w:rsidR="005860C6" w:rsidRPr="00737A69">
        <w:rPr>
          <w:rFonts w:asciiTheme="minorHAnsi" w:hAnsiTheme="minorHAnsi"/>
          <w:snapToGrid w:val="0"/>
          <w:color w:val="000000"/>
          <w:spacing w:val="-69"/>
          <w:w w:val="15"/>
          <w:shd w:val="solid" w:color="000000" w:fill="000000"/>
          <w:fitText w:val="-20" w:id="-1032107255"/>
          <w14:textFill>
            <w14:solidFill>
              <w14:srgbClr w14:val="000000">
                <w14:alpha w14:val="100000"/>
              </w14:srgbClr>
            </w14:solidFill>
          </w14:textFill>
        </w:rPr>
        <w:t>|</w:t>
      </w:r>
      <w:r w:rsidR="00FC479C">
        <w:rPr>
          <w:rFonts w:asciiTheme="minorHAnsi" w:hAnsiTheme="minorHAnsi"/>
          <w:snapToGrid w:val="0"/>
          <w:color w:val="000000"/>
          <w:shd w:val="solid" w:color="000000" w:fill="000000"/>
          <w14:textFill>
            <w14:solidFill>
              <w14:srgbClr w14:val="000000">
                <w14:alpha w14:val="100000"/>
              </w14:srgbClr>
            </w14:solidFill>
          </w14:textFill>
        </w:rPr>
        <w:t xml:space="preserve"> </w:t>
      </w:r>
      <w:r w:rsidR="00FC479C">
        <w:rPr>
          <w:rFonts w:asciiTheme="minorHAnsi" w:hAnsiTheme="minorHAnsi"/>
          <w:snapToGrid w:val="0"/>
        </w:rPr>
        <w:t xml:space="preserve"> w</w:t>
      </w:r>
      <w:r w:rsidRPr="00427986">
        <w:rPr>
          <w:rFonts w:asciiTheme="minorHAnsi" w:hAnsiTheme="minorHAnsi"/>
          <w:snapToGrid w:val="0"/>
        </w:rPr>
        <w:t>ith cabozantinib (+ BSC) treatment versus BSC</w:t>
      </w:r>
      <w:r w:rsidR="00E31D2E" w:rsidRPr="00427986">
        <w:rPr>
          <w:rFonts w:asciiTheme="minorHAnsi" w:hAnsiTheme="minorHAnsi"/>
          <w:snapToGrid w:val="0"/>
        </w:rPr>
        <w:t xml:space="preserve"> and </w:t>
      </w:r>
      <w:r w:rsidRPr="00427986">
        <w:rPr>
          <w:rFonts w:asciiTheme="minorHAnsi" w:hAnsiTheme="minorHAnsi"/>
          <w:snapToGrid w:val="0"/>
        </w:rPr>
        <w:t>reduc</w:t>
      </w:r>
      <w:r w:rsidR="00E31D2E" w:rsidRPr="00427986">
        <w:rPr>
          <w:rFonts w:asciiTheme="minorHAnsi" w:hAnsiTheme="minorHAnsi"/>
          <w:snapToGrid w:val="0"/>
        </w:rPr>
        <w:t>ed</w:t>
      </w:r>
      <w:r w:rsidRPr="00427986">
        <w:rPr>
          <w:rFonts w:asciiTheme="minorHAnsi" w:hAnsiTheme="minorHAnsi"/>
          <w:snapToGrid w:val="0"/>
        </w:rPr>
        <w:t xml:space="preserve"> the total incremental cost to </w:t>
      </w:r>
      <w:r w:rsidR="00B1620B">
        <w:rPr>
          <w:rFonts w:asciiTheme="minorHAnsi" w:hAnsiTheme="minorHAnsi"/>
          <w:snapToGrid w:val="0"/>
        </w:rPr>
        <w:t>$</w:t>
      </w:r>
      <w:r w:rsidR="005860C6" w:rsidRPr="00737A69">
        <w:rPr>
          <w:rFonts w:asciiTheme="minorHAnsi" w:hAnsiTheme="minorHAnsi"/>
          <w:snapToGrid w:val="0"/>
          <w:color w:val="000000"/>
          <w:w w:val="15"/>
          <w:shd w:val="solid" w:color="000000" w:fill="000000"/>
          <w:fitText w:val="-20" w:id="-1032107254"/>
          <w14:textFill>
            <w14:solidFill>
              <w14:srgbClr w14:val="000000">
                <w14:alpha w14:val="100000"/>
              </w14:srgbClr>
            </w14:solidFill>
          </w14:textFill>
        </w:rPr>
        <w:t xml:space="preserve">|  </w:t>
      </w:r>
      <w:r w:rsidR="005860C6" w:rsidRPr="00737A69">
        <w:rPr>
          <w:rFonts w:asciiTheme="minorHAnsi" w:hAnsiTheme="minorHAnsi"/>
          <w:snapToGrid w:val="0"/>
          <w:color w:val="000000"/>
          <w:spacing w:val="-69"/>
          <w:w w:val="15"/>
          <w:shd w:val="solid" w:color="000000" w:fill="000000"/>
          <w:fitText w:val="-20" w:id="-1032107254"/>
          <w14:textFill>
            <w14:solidFill>
              <w14:srgbClr w14:val="000000">
                <w14:alpha w14:val="100000"/>
              </w14:srgbClr>
            </w14:solidFill>
          </w14:textFill>
        </w:rPr>
        <w:t>|</w:t>
      </w:r>
      <w:r w:rsidRPr="00427986">
        <w:rPr>
          <w:rFonts w:asciiTheme="minorHAnsi" w:hAnsiTheme="minorHAnsi"/>
          <w:snapToGrid w:val="0"/>
        </w:rPr>
        <w:t>.</w:t>
      </w:r>
      <w:r w:rsidR="004221D8" w:rsidRPr="00427986">
        <w:rPr>
          <w:rFonts w:asciiTheme="minorHAnsi" w:hAnsiTheme="minorHAnsi"/>
          <w:snapToGrid w:val="0"/>
        </w:rPr>
        <w:t xml:space="preserve"> </w:t>
      </w:r>
    </w:p>
    <w:p w14:paraId="052903A1" w14:textId="07C6BFDA" w:rsidR="00846727" w:rsidRPr="00427986" w:rsidRDefault="00846727" w:rsidP="004A52A9">
      <w:pPr>
        <w:numPr>
          <w:ilvl w:val="1"/>
          <w:numId w:val="1"/>
        </w:numPr>
        <w:spacing w:after="120"/>
        <w:ind w:left="720"/>
        <w:rPr>
          <w:rFonts w:asciiTheme="minorHAnsi" w:hAnsiTheme="minorHAnsi"/>
          <w:snapToGrid w:val="0"/>
        </w:rPr>
      </w:pPr>
      <w:r>
        <w:rPr>
          <w:rFonts w:eastAsia="Calibri" w:cs="Calibri"/>
        </w:rPr>
        <w:t xml:space="preserve">The PBAC noted the pre-PBAC revised ICER was very sensitive to the addition of subsequent treatment costs (lenvatinib, radiotherapy and surgery) for patients in the placebo arm who crossed over to cabozantinib. In the revised scenario the cost of cabozantinib was </w:t>
      </w:r>
      <w:r w:rsidR="00B1620B">
        <w:rPr>
          <w:rFonts w:eastAsia="Calibri" w:cs="Calibri"/>
        </w:rPr>
        <w:t>$</w:t>
      </w:r>
      <w:r w:rsidR="005860C6" w:rsidRPr="00737A69">
        <w:rPr>
          <w:rFonts w:eastAsia="Calibri" w:cs="Calibri"/>
          <w:color w:val="000000"/>
          <w:w w:val="15"/>
          <w:shd w:val="solid" w:color="000000" w:fill="000000"/>
          <w:fitText w:val="-20" w:id="-1032107253"/>
          <w14:textFill>
            <w14:solidFill>
              <w14:srgbClr w14:val="000000">
                <w14:alpha w14:val="100000"/>
              </w14:srgbClr>
            </w14:solidFill>
          </w14:textFill>
        </w:rPr>
        <w:t xml:space="preserve">|  </w:t>
      </w:r>
      <w:r w:rsidR="005860C6" w:rsidRPr="00737A69">
        <w:rPr>
          <w:rFonts w:eastAsia="Calibri" w:cs="Calibri"/>
          <w:color w:val="000000"/>
          <w:spacing w:val="-69"/>
          <w:w w:val="15"/>
          <w:shd w:val="solid" w:color="000000" w:fill="000000"/>
          <w:fitText w:val="-20" w:id="-1032107253"/>
          <w14:textFill>
            <w14:solidFill>
              <w14:srgbClr w14:val="000000">
                <w14:alpha w14:val="100000"/>
              </w14:srgbClr>
            </w14:solidFill>
          </w14:textFill>
        </w:rPr>
        <w:t>|</w:t>
      </w:r>
      <w:r>
        <w:rPr>
          <w:rFonts w:eastAsia="Calibri" w:cs="Calibri"/>
        </w:rPr>
        <w:t xml:space="preserve"> and there was a cost offset of $</w:t>
      </w:r>
      <w:r w:rsidRPr="00C21E4A">
        <w:rPr>
          <w:rFonts w:eastAsia="Calibri" w:cs="Calibri"/>
        </w:rPr>
        <w:t>17,370</w:t>
      </w:r>
      <w:r>
        <w:rPr>
          <w:rFonts w:eastAsia="Calibri" w:cs="Calibri"/>
        </w:rPr>
        <w:t xml:space="preserve"> for subsequent therapies. Removing the cost for subsequent therapies in patients who crossed over to cabozantinib increased the ICER to from $</w:t>
      </w:r>
      <w:r w:rsidR="00E774EB" w:rsidRPr="00E774EB">
        <w:rPr>
          <w:rFonts w:eastAsia="Calibri" w:cs="Calibri"/>
        </w:rPr>
        <w:t xml:space="preserve">55,000 to &lt; $75,000 </w:t>
      </w:r>
      <w:r>
        <w:rPr>
          <w:rFonts w:eastAsia="Calibri" w:cs="Calibri"/>
        </w:rPr>
        <w:t>per QALY to $</w:t>
      </w:r>
      <w:r w:rsidR="00E774EB" w:rsidRPr="00E774EB">
        <w:rPr>
          <w:rFonts w:eastAsia="Calibri" w:cs="Calibri"/>
        </w:rPr>
        <w:t>155,000 to &lt; $255,000</w:t>
      </w:r>
      <w:r>
        <w:rPr>
          <w:rFonts w:eastAsia="Calibri" w:cs="Calibri"/>
        </w:rPr>
        <w:t xml:space="preserve"> per QALY.</w:t>
      </w:r>
    </w:p>
    <w:bookmarkEnd w:id="86"/>
    <w:p w14:paraId="2CBAB02C" w14:textId="3E2E37D0" w:rsidR="00763EF2" w:rsidRPr="00427986" w:rsidRDefault="00763EF2" w:rsidP="004A52A9">
      <w:pPr>
        <w:numPr>
          <w:ilvl w:val="1"/>
          <w:numId w:val="1"/>
        </w:numPr>
        <w:spacing w:after="120"/>
        <w:ind w:left="720"/>
        <w:rPr>
          <w:rFonts w:asciiTheme="minorHAnsi" w:eastAsia="Calibri" w:hAnsiTheme="minorHAnsi" w:cstheme="minorHAnsi"/>
          <w:snapToGrid w:val="0"/>
        </w:rPr>
      </w:pPr>
      <w:r w:rsidRPr="00427986">
        <w:rPr>
          <w:rFonts w:asciiTheme="minorHAnsi" w:hAnsiTheme="minorHAnsi" w:cstheme="minorBidi"/>
          <w:snapToGrid w:val="0"/>
        </w:rPr>
        <w:fldChar w:fldCharType="begin" w:fldLock="1"/>
      </w:r>
      <w:r w:rsidRPr="00427986">
        <w:rPr>
          <w:rFonts w:asciiTheme="minorHAnsi" w:hAnsiTheme="minorHAnsi" w:cstheme="minorBidi"/>
          <w:snapToGrid w:val="0"/>
        </w:rPr>
        <w:instrText xml:space="preserve"> REF _Ref141666756 \h  \* MERGEFORMAT </w:instrText>
      </w:r>
      <w:r w:rsidRPr="00427986">
        <w:rPr>
          <w:rFonts w:asciiTheme="minorHAnsi" w:hAnsiTheme="minorHAnsi" w:cstheme="minorBidi"/>
          <w:snapToGrid w:val="0"/>
        </w:rPr>
      </w:r>
      <w:r w:rsidRPr="00427986">
        <w:rPr>
          <w:rFonts w:asciiTheme="minorHAnsi" w:hAnsiTheme="minorHAnsi" w:cstheme="minorBidi"/>
          <w:snapToGrid w:val="0"/>
        </w:rPr>
        <w:fldChar w:fldCharType="separate"/>
      </w:r>
      <w:r w:rsidR="008760F8" w:rsidRPr="008760F8">
        <w:rPr>
          <w:rFonts w:asciiTheme="minorHAnsi" w:hAnsiTheme="minorHAnsi" w:cstheme="minorBidi"/>
        </w:rPr>
        <w:t>Table 19</w:t>
      </w:r>
      <w:r w:rsidRPr="00427986">
        <w:rPr>
          <w:rFonts w:asciiTheme="minorHAnsi" w:hAnsiTheme="minorHAnsi" w:cstheme="minorBidi"/>
          <w:snapToGrid w:val="0"/>
        </w:rPr>
        <w:fldChar w:fldCharType="end"/>
      </w:r>
      <w:r w:rsidRPr="00427986">
        <w:rPr>
          <w:rFonts w:asciiTheme="minorHAnsi" w:hAnsiTheme="minorHAnsi" w:cstheme="minorBidi"/>
          <w:snapToGrid w:val="0"/>
        </w:rPr>
        <w:t xml:space="preserve"> presents the average time in the health states by treatment </w:t>
      </w:r>
      <w:r w:rsidR="00C910C5" w:rsidRPr="00427986">
        <w:rPr>
          <w:rFonts w:asciiTheme="minorHAnsi" w:hAnsiTheme="minorHAnsi" w:cstheme="minorBidi"/>
          <w:snapToGrid w:val="0"/>
        </w:rPr>
        <w:t>arm</w:t>
      </w:r>
      <w:r w:rsidRPr="00427986">
        <w:rPr>
          <w:rFonts w:asciiTheme="minorHAnsi" w:hAnsiTheme="minorHAnsi" w:cstheme="minorBidi"/>
          <w:snapToGrid w:val="0"/>
        </w:rPr>
        <w:t>.</w:t>
      </w:r>
    </w:p>
    <w:p w14:paraId="144E5B2E" w14:textId="6DBC6833" w:rsidR="00763EF2" w:rsidRPr="003B5F84" w:rsidRDefault="00763EF2" w:rsidP="00763EF2">
      <w:pPr>
        <w:keepNext/>
        <w:keepLines/>
        <w:rPr>
          <w:rFonts w:ascii="Arial Narrow" w:eastAsia="Calibri" w:hAnsi="Arial Narrow"/>
          <w:b/>
          <w:bCs/>
          <w:sz w:val="20"/>
          <w:szCs w:val="18"/>
        </w:rPr>
      </w:pPr>
      <w:bookmarkStart w:id="87" w:name="_Ref141666756"/>
      <w:r w:rsidRPr="003B5F84">
        <w:rPr>
          <w:rFonts w:ascii="Arial Narrow" w:hAnsi="Arial Narrow"/>
          <w:b/>
          <w:bCs/>
          <w:sz w:val="20"/>
          <w:szCs w:val="18"/>
        </w:rPr>
        <w:lastRenderedPageBreak/>
        <w:t xml:space="preserve">Table </w:t>
      </w:r>
      <w:r w:rsidRPr="003B5F84">
        <w:rPr>
          <w:rFonts w:ascii="Arial Narrow" w:hAnsi="Arial Narrow"/>
          <w:b/>
          <w:bCs/>
          <w:sz w:val="20"/>
          <w:szCs w:val="18"/>
        </w:rPr>
        <w:fldChar w:fldCharType="begin" w:fldLock="1"/>
      </w:r>
      <w:r w:rsidRPr="003B5F84">
        <w:rPr>
          <w:rFonts w:ascii="Arial Narrow" w:hAnsi="Arial Narrow"/>
          <w:b/>
          <w:bCs/>
          <w:sz w:val="20"/>
          <w:szCs w:val="18"/>
        </w:rPr>
        <w:instrText xml:space="preserve"> SEQ Table \* ARABIC </w:instrText>
      </w:r>
      <w:r w:rsidRPr="003B5F84">
        <w:rPr>
          <w:rFonts w:ascii="Arial Narrow" w:hAnsi="Arial Narrow"/>
          <w:b/>
          <w:bCs/>
          <w:sz w:val="20"/>
          <w:szCs w:val="18"/>
        </w:rPr>
        <w:fldChar w:fldCharType="separate"/>
      </w:r>
      <w:r w:rsidR="008760F8">
        <w:rPr>
          <w:rFonts w:ascii="Arial Narrow" w:hAnsi="Arial Narrow"/>
          <w:b/>
          <w:bCs/>
          <w:noProof/>
          <w:sz w:val="20"/>
          <w:szCs w:val="18"/>
        </w:rPr>
        <w:t>19</w:t>
      </w:r>
      <w:r w:rsidRPr="003B5F84">
        <w:rPr>
          <w:rFonts w:ascii="Arial Narrow" w:hAnsi="Arial Narrow"/>
          <w:b/>
          <w:bCs/>
          <w:noProof/>
          <w:sz w:val="20"/>
          <w:szCs w:val="18"/>
        </w:rPr>
        <w:fldChar w:fldCharType="end"/>
      </w:r>
      <w:bookmarkEnd w:id="87"/>
      <w:r w:rsidRPr="003B5F84">
        <w:rPr>
          <w:rFonts w:ascii="Arial Narrow" w:hAnsi="Arial Narrow"/>
          <w:b/>
          <w:bCs/>
          <w:noProof/>
          <w:sz w:val="20"/>
          <w:szCs w:val="18"/>
        </w:rPr>
        <w:t>:</w:t>
      </w:r>
      <w:r w:rsidRPr="003B5F84">
        <w:rPr>
          <w:rFonts w:ascii="Arial Narrow" w:hAnsi="Arial Narrow"/>
          <w:b/>
          <w:bCs/>
          <w:sz w:val="20"/>
          <w:szCs w:val="18"/>
        </w:rPr>
        <w:t xml:space="preserve"> Mean time in health states </w:t>
      </w:r>
    </w:p>
    <w:tbl>
      <w:tblPr>
        <w:tblStyle w:val="TableGrid"/>
        <w:tblW w:w="5000" w:type="pct"/>
        <w:tblLayout w:type="fixed"/>
        <w:tblLook w:val="04A0" w:firstRow="1" w:lastRow="0" w:firstColumn="1" w:lastColumn="0" w:noHBand="0" w:noVBand="1"/>
      </w:tblPr>
      <w:tblGrid>
        <w:gridCol w:w="2832"/>
        <w:gridCol w:w="1417"/>
        <w:gridCol w:w="851"/>
        <w:gridCol w:w="1134"/>
        <w:gridCol w:w="2783"/>
      </w:tblGrid>
      <w:tr w:rsidR="00763EF2" w:rsidRPr="00985104" w14:paraId="061AD5CA" w14:textId="77777777" w:rsidTr="00CB4A1F">
        <w:trPr>
          <w:trHeight w:val="157"/>
          <w:tblHeader/>
        </w:trPr>
        <w:tc>
          <w:tcPr>
            <w:tcW w:w="1570" w:type="pct"/>
            <w:tcBorders>
              <w:bottom w:val="nil"/>
            </w:tcBorders>
            <w:noWrap/>
            <w:vAlign w:val="center"/>
          </w:tcPr>
          <w:p w14:paraId="1D0CBEF1" w14:textId="77777777" w:rsidR="00763EF2" w:rsidRPr="00985104" w:rsidRDefault="00763EF2" w:rsidP="00CB4A1F">
            <w:pPr>
              <w:keepNext/>
              <w:jc w:val="left"/>
              <w:rPr>
                <w:rFonts w:ascii="Arial Narrow" w:eastAsia="Calibri" w:hAnsi="Arial Narrow"/>
                <w:b/>
                <w:bCs/>
                <w:sz w:val="20"/>
                <w:szCs w:val="20"/>
              </w:rPr>
            </w:pPr>
          </w:p>
        </w:tc>
        <w:tc>
          <w:tcPr>
            <w:tcW w:w="1886" w:type="pct"/>
            <w:gridSpan w:val="3"/>
            <w:noWrap/>
            <w:vAlign w:val="center"/>
          </w:tcPr>
          <w:p w14:paraId="0D05E51E" w14:textId="77777777" w:rsidR="00763EF2" w:rsidRPr="00985104" w:rsidRDefault="00763EF2" w:rsidP="00CB4A1F">
            <w:pPr>
              <w:keepNext/>
              <w:jc w:val="center"/>
              <w:rPr>
                <w:rFonts w:ascii="Arial Narrow" w:eastAsia="Calibri" w:hAnsi="Arial Narrow"/>
                <w:b/>
                <w:bCs/>
                <w:sz w:val="20"/>
                <w:szCs w:val="20"/>
              </w:rPr>
            </w:pPr>
            <w:r w:rsidRPr="00985104">
              <w:rPr>
                <w:rFonts w:ascii="Arial Narrow" w:eastAsia="Calibri" w:hAnsi="Arial Narrow"/>
                <w:b/>
                <w:bCs/>
                <w:sz w:val="20"/>
                <w:szCs w:val="20"/>
              </w:rPr>
              <w:t>Economic model</w:t>
            </w:r>
          </w:p>
          <w:p w14:paraId="363360E7" w14:textId="77777777" w:rsidR="00763EF2" w:rsidRPr="00985104" w:rsidRDefault="00763EF2" w:rsidP="00CB4A1F">
            <w:pPr>
              <w:keepNext/>
              <w:jc w:val="center"/>
              <w:rPr>
                <w:rFonts w:ascii="Arial Narrow" w:eastAsia="Calibri" w:hAnsi="Arial Narrow"/>
                <w:b/>
                <w:bCs/>
                <w:sz w:val="20"/>
                <w:szCs w:val="20"/>
              </w:rPr>
            </w:pPr>
            <w:r w:rsidRPr="00985104">
              <w:rPr>
                <w:rFonts w:ascii="Arial Narrow" w:eastAsia="Calibri" w:hAnsi="Arial Narrow"/>
                <w:b/>
                <w:bCs/>
                <w:sz w:val="20"/>
                <w:szCs w:val="20"/>
              </w:rPr>
              <w:t>Mean years</w:t>
            </w:r>
          </w:p>
        </w:tc>
        <w:tc>
          <w:tcPr>
            <w:tcW w:w="1543" w:type="pct"/>
            <w:vAlign w:val="center"/>
          </w:tcPr>
          <w:p w14:paraId="6C194FD0" w14:textId="77777777" w:rsidR="00763EF2" w:rsidRPr="00985104" w:rsidRDefault="00763EF2" w:rsidP="00CB4A1F">
            <w:pPr>
              <w:keepNext/>
              <w:jc w:val="center"/>
              <w:rPr>
                <w:rFonts w:ascii="Arial Narrow" w:eastAsia="Calibri" w:hAnsi="Arial Narrow"/>
                <w:b/>
                <w:bCs/>
                <w:sz w:val="20"/>
                <w:szCs w:val="20"/>
              </w:rPr>
            </w:pPr>
            <w:r w:rsidRPr="00985104">
              <w:rPr>
                <w:rFonts w:ascii="Arial Narrow" w:eastAsia="Calibri" w:hAnsi="Arial Narrow"/>
                <w:b/>
                <w:bCs/>
                <w:sz w:val="20"/>
                <w:szCs w:val="20"/>
              </w:rPr>
              <w:t>COSMIC-311 trial</w:t>
            </w:r>
          </w:p>
          <w:p w14:paraId="2217CCDC" w14:textId="77777777" w:rsidR="00763EF2" w:rsidRPr="00985104" w:rsidRDefault="00763EF2" w:rsidP="00CB4A1F">
            <w:pPr>
              <w:keepNext/>
              <w:jc w:val="center"/>
              <w:rPr>
                <w:rFonts w:ascii="Arial Narrow" w:eastAsia="Calibri" w:hAnsi="Arial Narrow"/>
                <w:b/>
                <w:bCs/>
                <w:sz w:val="20"/>
                <w:szCs w:val="20"/>
              </w:rPr>
            </w:pPr>
            <w:r w:rsidRPr="00985104">
              <w:rPr>
                <w:rFonts w:ascii="Arial Narrow" w:eastAsia="Calibri" w:hAnsi="Arial Narrow"/>
                <w:b/>
                <w:bCs/>
                <w:sz w:val="20"/>
                <w:szCs w:val="20"/>
              </w:rPr>
              <w:t>Median months</w:t>
            </w:r>
          </w:p>
        </w:tc>
      </w:tr>
      <w:tr w:rsidR="00763EF2" w:rsidRPr="00985104" w14:paraId="36045EBC" w14:textId="77777777" w:rsidTr="00CB4A1F">
        <w:trPr>
          <w:trHeight w:val="157"/>
          <w:tblHeader/>
        </w:trPr>
        <w:tc>
          <w:tcPr>
            <w:tcW w:w="1570" w:type="pct"/>
            <w:tcBorders>
              <w:top w:val="nil"/>
            </w:tcBorders>
            <w:noWrap/>
            <w:vAlign w:val="center"/>
          </w:tcPr>
          <w:p w14:paraId="4E884CE5" w14:textId="77777777" w:rsidR="00763EF2" w:rsidRPr="00985104" w:rsidRDefault="00763EF2" w:rsidP="00CB4A1F">
            <w:pPr>
              <w:keepNext/>
              <w:jc w:val="left"/>
              <w:rPr>
                <w:rFonts w:ascii="Arial Narrow" w:eastAsia="Calibri" w:hAnsi="Arial Narrow"/>
                <w:b/>
                <w:bCs/>
                <w:sz w:val="20"/>
                <w:szCs w:val="20"/>
              </w:rPr>
            </w:pPr>
          </w:p>
        </w:tc>
        <w:tc>
          <w:tcPr>
            <w:tcW w:w="786" w:type="pct"/>
            <w:noWrap/>
            <w:vAlign w:val="center"/>
          </w:tcPr>
          <w:p w14:paraId="5DFAD4F7" w14:textId="77777777" w:rsidR="00763EF2" w:rsidRPr="00985104" w:rsidRDefault="00763EF2" w:rsidP="00CB4A1F">
            <w:pPr>
              <w:keepNext/>
              <w:jc w:val="center"/>
              <w:rPr>
                <w:rFonts w:ascii="Arial Narrow" w:eastAsia="Calibri" w:hAnsi="Arial Narrow"/>
                <w:b/>
                <w:bCs/>
                <w:sz w:val="20"/>
                <w:szCs w:val="20"/>
              </w:rPr>
            </w:pPr>
            <w:r w:rsidRPr="00985104">
              <w:rPr>
                <w:rFonts w:ascii="Arial Narrow" w:eastAsia="Calibri" w:hAnsi="Arial Narrow"/>
                <w:b/>
                <w:bCs/>
                <w:sz w:val="20"/>
                <w:szCs w:val="20"/>
              </w:rPr>
              <w:t>Cabozantinib (+ BSC)</w:t>
            </w:r>
          </w:p>
        </w:tc>
        <w:tc>
          <w:tcPr>
            <w:tcW w:w="472" w:type="pct"/>
            <w:noWrap/>
            <w:vAlign w:val="center"/>
          </w:tcPr>
          <w:p w14:paraId="7AC8F785" w14:textId="77777777" w:rsidR="00763EF2" w:rsidRPr="00985104" w:rsidRDefault="00763EF2" w:rsidP="00CB4A1F">
            <w:pPr>
              <w:keepNext/>
              <w:jc w:val="center"/>
              <w:rPr>
                <w:rFonts w:ascii="Arial Narrow" w:eastAsia="Calibri" w:hAnsi="Arial Narrow"/>
                <w:b/>
                <w:bCs/>
                <w:sz w:val="20"/>
                <w:szCs w:val="20"/>
              </w:rPr>
            </w:pPr>
            <w:r w:rsidRPr="00985104">
              <w:rPr>
                <w:rFonts w:ascii="Arial Narrow" w:eastAsia="Calibri" w:hAnsi="Arial Narrow"/>
                <w:b/>
                <w:bCs/>
                <w:sz w:val="20"/>
                <w:szCs w:val="20"/>
              </w:rPr>
              <w:t>BSC</w:t>
            </w:r>
          </w:p>
        </w:tc>
        <w:tc>
          <w:tcPr>
            <w:tcW w:w="629" w:type="pct"/>
            <w:noWrap/>
            <w:vAlign w:val="center"/>
          </w:tcPr>
          <w:p w14:paraId="0ACCA9D2" w14:textId="77777777" w:rsidR="00763EF2" w:rsidRPr="00985104" w:rsidRDefault="00763EF2" w:rsidP="00CB4A1F">
            <w:pPr>
              <w:keepNext/>
              <w:jc w:val="center"/>
              <w:rPr>
                <w:rFonts w:ascii="Arial Narrow" w:eastAsia="Calibri" w:hAnsi="Arial Narrow"/>
                <w:b/>
                <w:bCs/>
                <w:sz w:val="20"/>
                <w:szCs w:val="20"/>
              </w:rPr>
            </w:pPr>
            <w:r w:rsidRPr="00985104">
              <w:rPr>
                <w:rFonts w:ascii="Arial Narrow" w:eastAsia="Calibri" w:hAnsi="Arial Narrow"/>
                <w:b/>
                <w:bCs/>
                <w:sz w:val="20"/>
                <w:szCs w:val="20"/>
              </w:rPr>
              <w:t>Increment</w:t>
            </w:r>
          </w:p>
        </w:tc>
        <w:tc>
          <w:tcPr>
            <w:tcW w:w="1543" w:type="pct"/>
          </w:tcPr>
          <w:p w14:paraId="689BA48B" w14:textId="77777777" w:rsidR="00763EF2" w:rsidRPr="00985104" w:rsidRDefault="00763EF2" w:rsidP="00CB4A1F">
            <w:pPr>
              <w:keepNext/>
              <w:jc w:val="center"/>
              <w:rPr>
                <w:rFonts w:ascii="Arial Narrow" w:eastAsia="Calibri" w:hAnsi="Arial Narrow"/>
                <w:b/>
                <w:bCs/>
                <w:sz w:val="20"/>
                <w:szCs w:val="20"/>
              </w:rPr>
            </w:pPr>
          </w:p>
        </w:tc>
      </w:tr>
      <w:tr w:rsidR="00763EF2" w:rsidRPr="00985104" w14:paraId="528EE4F5" w14:textId="77777777" w:rsidTr="00CB4A1F">
        <w:trPr>
          <w:trHeight w:val="123"/>
        </w:trPr>
        <w:tc>
          <w:tcPr>
            <w:tcW w:w="5000" w:type="pct"/>
            <w:gridSpan w:val="5"/>
            <w:noWrap/>
            <w:vAlign w:val="center"/>
          </w:tcPr>
          <w:p w14:paraId="60B31DE6" w14:textId="08B89473" w:rsidR="00763EF2" w:rsidRPr="00985104" w:rsidRDefault="00763EF2" w:rsidP="00CB4A1F">
            <w:pPr>
              <w:keepNext/>
              <w:jc w:val="left"/>
              <w:rPr>
                <w:rFonts w:ascii="Arial Narrow" w:eastAsia="Calibri" w:hAnsi="Arial Narrow"/>
                <w:sz w:val="20"/>
                <w:szCs w:val="20"/>
              </w:rPr>
            </w:pPr>
            <w:r w:rsidRPr="00985104">
              <w:rPr>
                <w:rFonts w:ascii="Arial Narrow" w:eastAsia="Calibri" w:hAnsi="Arial Narrow"/>
                <w:b/>
                <w:bCs/>
                <w:sz w:val="20"/>
                <w:szCs w:val="20"/>
              </w:rPr>
              <w:t>Base case (subgroup previously treated with lenvatinib only)</w:t>
            </w:r>
          </w:p>
        </w:tc>
      </w:tr>
      <w:tr w:rsidR="00763EF2" w:rsidRPr="00985104" w14:paraId="0A1F41E4" w14:textId="77777777" w:rsidTr="00CB4A1F">
        <w:trPr>
          <w:trHeight w:val="123"/>
        </w:trPr>
        <w:tc>
          <w:tcPr>
            <w:tcW w:w="1570" w:type="pct"/>
            <w:noWrap/>
            <w:vAlign w:val="center"/>
            <w:hideMark/>
          </w:tcPr>
          <w:p w14:paraId="4EF27421" w14:textId="77777777" w:rsidR="00763EF2" w:rsidRPr="00985104" w:rsidRDefault="00763EF2" w:rsidP="00CB4A1F">
            <w:pPr>
              <w:keepNext/>
              <w:jc w:val="left"/>
              <w:rPr>
                <w:rFonts w:ascii="Arial Narrow" w:eastAsia="Calibri" w:hAnsi="Arial Narrow"/>
                <w:sz w:val="20"/>
                <w:szCs w:val="20"/>
              </w:rPr>
            </w:pPr>
            <w:r w:rsidRPr="00985104">
              <w:rPr>
                <w:rFonts w:ascii="Arial Narrow" w:eastAsia="Calibri" w:hAnsi="Arial Narrow"/>
                <w:sz w:val="20"/>
                <w:szCs w:val="20"/>
              </w:rPr>
              <w:t>Pre-progression</w:t>
            </w:r>
          </w:p>
        </w:tc>
        <w:tc>
          <w:tcPr>
            <w:tcW w:w="786" w:type="pct"/>
            <w:noWrap/>
            <w:vAlign w:val="center"/>
            <w:hideMark/>
          </w:tcPr>
          <w:p w14:paraId="465DE9C2"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0.68</w:t>
            </w:r>
          </w:p>
        </w:tc>
        <w:tc>
          <w:tcPr>
            <w:tcW w:w="472" w:type="pct"/>
            <w:noWrap/>
            <w:vAlign w:val="center"/>
            <w:hideMark/>
          </w:tcPr>
          <w:p w14:paraId="1BDD942A"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0.28</w:t>
            </w:r>
          </w:p>
        </w:tc>
        <w:tc>
          <w:tcPr>
            <w:tcW w:w="629" w:type="pct"/>
            <w:noWrap/>
            <w:vAlign w:val="center"/>
            <w:hideMark/>
          </w:tcPr>
          <w:p w14:paraId="1E89DD30"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0.40</w:t>
            </w:r>
          </w:p>
        </w:tc>
        <w:tc>
          <w:tcPr>
            <w:tcW w:w="1543" w:type="pct"/>
          </w:tcPr>
          <w:p w14:paraId="29F72A51" w14:textId="602AB102"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5.82 – 1.94 = 3.88 months</w:t>
            </w:r>
            <w:r w:rsidR="00893264" w:rsidRPr="00985104">
              <w:rPr>
                <w:rFonts w:ascii="Arial Narrow" w:eastAsia="Calibri" w:hAnsi="Arial Narrow"/>
                <w:sz w:val="20"/>
                <w:szCs w:val="20"/>
              </w:rPr>
              <w:t xml:space="preserve"> </w:t>
            </w:r>
          </w:p>
        </w:tc>
      </w:tr>
      <w:tr w:rsidR="00763EF2" w:rsidRPr="00985104" w14:paraId="5CB8252E" w14:textId="77777777" w:rsidTr="00CB4A1F">
        <w:trPr>
          <w:trHeight w:val="70"/>
        </w:trPr>
        <w:tc>
          <w:tcPr>
            <w:tcW w:w="1570" w:type="pct"/>
            <w:noWrap/>
            <w:vAlign w:val="center"/>
            <w:hideMark/>
          </w:tcPr>
          <w:p w14:paraId="6C2F80D9" w14:textId="77777777" w:rsidR="00763EF2" w:rsidRPr="00985104" w:rsidRDefault="00763EF2" w:rsidP="00CB4A1F">
            <w:pPr>
              <w:keepNext/>
              <w:jc w:val="left"/>
              <w:rPr>
                <w:rFonts w:ascii="Arial Narrow" w:eastAsia="Calibri" w:hAnsi="Arial Narrow"/>
                <w:sz w:val="20"/>
                <w:szCs w:val="20"/>
              </w:rPr>
            </w:pPr>
            <w:r w:rsidRPr="00985104">
              <w:rPr>
                <w:rFonts w:ascii="Arial Narrow" w:eastAsia="Calibri" w:hAnsi="Arial Narrow"/>
                <w:sz w:val="20"/>
                <w:szCs w:val="20"/>
              </w:rPr>
              <w:t>Time on treatment</w:t>
            </w:r>
          </w:p>
        </w:tc>
        <w:tc>
          <w:tcPr>
            <w:tcW w:w="786" w:type="pct"/>
            <w:noWrap/>
            <w:vAlign w:val="center"/>
            <w:hideMark/>
          </w:tcPr>
          <w:p w14:paraId="756EE76F"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0.67</w:t>
            </w:r>
          </w:p>
        </w:tc>
        <w:tc>
          <w:tcPr>
            <w:tcW w:w="472" w:type="pct"/>
            <w:noWrap/>
            <w:vAlign w:val="center"/>
            <w:hideMark/>
          </w:tcPr>
          <w:p w14:paraId="3AB18F07"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0.28</w:t>
            </w:r>
          </w:p>
        </w:tc>
        <w:tc>
          <w:tcPr>
            <w:tcW w:w="629" w:type="pct"/>
            <w:noWrap/>
            <w:vAlign w:val="center"/>
            <w:hideMark/>
          </w:tcPr>
          <w:p w14:paraId="48C8C334"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0.38</w:t>
            </w:r>
          </w:p>
        </w:tc>
        <w:tc>
          <w:tcPr>
            <w:tcW w:w="1543" w:type="pct"/>
          </w:tcPr>
          <w:p w14:paraId="58F57C8D"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NR</w:t>
            </w:r>
          </w:p>
        </w:tc>
      </w:tr>
      <w:tr w:rsidR="00763EF2" w:rsidRPr="00985104" w14:paraId="716E76E6" w14:textId="77777777" w:rsidTr="00CB4A1F">
        <w:trPr>
          <w:trHeight w:val="145"/>
        </w:trPr>
        <w:tc>
          <w:tcPr>
            <w:tcW w:w="1570" w:type="pct"/>
            <w:noWrap/>
            <w:vAlign w:val="center"/>
            <w:hideMark/>
          </w:tcPr>
          <w:p w14:paraId="1F774E7F" w14:textId="77777777" w:rsidR="00763EF2" w:rsidRPr="00985104" w:rsidRDefault="00763EF2" w:rsidP="00CB4A1F">
            <w:pPr>
              <w:keepNext/>
              <w:jc w:val="left"/>
              <w:rPr>
                <w:rFonts w:ascii="Arial Narrow" w:eastAsia="Calibri" w:hAnsi="Arial Narrow"/>
                <w:sz w:val="20"/>
                <w:szCs w:val="20"/>
              </w:rPr>
            </w:pPr>
            <w:r w:rsidRPr="00985104">
              <w:rPr>
                <w:rFonts w:ascii="Arial Narrow" w:eastAsia="Calibri" w:hAnsi="Arial Narrow"/>
                <w:sz w:val="20"/>
                <w:szCs w:val="20"/>
              </w:rPr>
              <w:t>Post-progression</w:t>
            </w:r>
          </w:p>
        </w:tc>
        <w:tc>
          <w:tcPr>
            <w:tcW w:w="786" w:type="pct"/>
            <w:noWrap/>
            <w:vAlign w:val="center"/>
            <w:hideMark/>
          </w:tcPr>
          <w:p w14:paraId="3F0B307C"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0.60</w:t>
            </w:r>
          </w:p>
        </w:tc>
        <w:tc>
          <w:tcPr>
            <w:tcW w:w="472" w:type="pct"/>
            <w:noWrap/>
            <w:vAlign w:val="center"/>
            <w:hideMark/>
          </w:tcPr>
          <w:p w14:paraId="2B4FD06D"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0.90</w:t>
            </w:r>
          </w:p>
        </w:tc>
        <w:tc>
          <w:tcPr>
            <w:tcW w:w="629" w:type="pct"/>
            <w:noWrap/>
            <w:vAlign w:val="center"/>
            <w:hideMark/>
          </w:tcPr>
          <w:p w14:paraId="2FFBB519"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-0.31</w:t>
            </w:r>
          </w:p>
        </w:tc>
        <w:tc>
          <w:tcPr>
            <w:tcW w:w="1543" w:type="pct"/>
          </w:tcPr>
          <w:p w14:paraId="665F4F34"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NR</w:t>
            </w:r>
          </w:p>
        </w:tc>
      </w:tr>
      <w:tr w:rsidR="00763EF2" w:rsidRPr="00985104" w14:paraId="0E027881" w14:textId="77777777" w:rsidTr="00CB4A1F">
        <w:trPr>
          <w:trHeight w:val="135"/>
        </w:trPr>
        <w:tc>
          <w:tcPr>
            <w:tcW w:w="1570" w:type="pct"/>
            <w:noWrap/>
            <w:vAlign w:val="center"/>
            <w:hideMark/>
          </w:tcPr>
          <w:p w14:paraId="35D43CCF" w14:textId="77777777" w:rsidR="00763EF2" w:rsidRPr="00985104" w:rsidRDefault="00763EF2" w:rsidP="00CB4A1F">
            <w:pPr>
              <w:keepNext/>
              <w:jc w:val="left"/>
              <w:rPr>
                <w:rFonts w:ascii="Arial Narrow" w:eastAsia="Calibri" w:hAnsi="Arial Narrow"/>
                <w:sz w:val="20"/>
                <w:szCs w:val="20"/>
              </w:rPr>
            </w:pPr>
            <w:r w:rsidRPr="00985104">
              <w:rPr>
                <w:rFonts w:ascii="Arial Narrow" w:eastAsia="Calibri" w:hAnsi="Arial Narrow"/>
                <w:sz w:val="20"/>
                <w:szCs w:val="20"/>
              </w:rPr>
              <w:t xml:space="preserve">Dead </w:t>
            </w:r>
          </w:p>
        </w:tc>
        <w:tc>
          <w:tcPr>
            <w:tcW w:w="786" w:type="pct"/>
            <w:noWrap/>
            <w:vAlign w:val="center"/>
            <w:hideMark/>
          </w:tcPr>
          <w:p w14:paraId="2A2D905E"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3.71</w:t>
            </w:r>
          </w:p>
        </w:tc>
        <w:tc>
          <w:tcPr>
            <w:tcW w:w="472" w:type="pct"/>
            <w:noWrap/>
            <w:vAlign w:val="center"/>
            <w:hideMark/>
          </w:tcPr>
          <w:p w14:paraId="31081E59"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3.79</w:t>
            </w:r>
          </w:p>
        </w:tc>
        <w:tc>
          <w:tcPr>
            <w:tcW w:w="629" w:type="pct"/>
            <w:noWrap/>
            <w:vAlign w:val="center"/>
            <w:hideMark/>
          </w:tcPr>
          <w:p w14:paraId="1F80F8A7"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-0.09</w:t>
            </w:r>
          </w:p>
        </w:tc>
        <w:tc>
          <w:tcPr>
            <w:tcW w:w="1543" w:type="pct"/>
          </w:tcPr>
          <w:p w14:paraId="31CFDA9D"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w:t>
            </w:r>
          </w:p>
        </w:tc>
      </w:tr>
      <w:tr w:rsidR="00763EF2" w:rsidRPr="00985104" w14:paraId="334129C1" w14:textId="77777777" w:rsidTr="00CB4A1F">
        <w:trPr>
          <w:trHeight w:val="70"/>
        </w:trPr>
        <w:tc>
          <w:tcPr>
            <w:tcW w:w="1570" w:type="pct"/>
            <w:noWrap/>
            <w:vAlign w:val="center"/>
            <w:hideMark/>
          </w:tcPr>
          <w:p w14:paraId="0FD59A93" w14:textId="77777777" w:rsidR="00763EF2" w:rsidRPr="00985104" w:rsidRDefault="00763EF2" w:rsidP="00CB4A1F">
            <w:pPr>
              <w:keepNext/>
              <w:jc w:val="left"/>
              <w:rPr>
                <w:rFonts w:ascii="Arial Narrow" w:eastAsia="Calibri" w:hAnsi="Arial Narrow"/>
                <w:sz w:val="20"/>
                <w:szCs w:val="20"/>
              </w:rPr>
            </w:pPr>
            <w:r w:rsidRPr="00985104">
              <w:rPr>
                <w:rFonts w:ascii="Arial Narrow" w:eastAsia="Calibri" w:hAnsi="Arial Narrow"/>
                <w:sz w:val="20"/>
                <w:szCs w:val="20"/>
              </w:rPr>
              <w:t>Overall</w:t>
            </w:r>
          </w:p>
        </w:tc>
        <w:tc>
          <w:tcPr>
            <w:tcW w:w="786" w:type="pct"/>
            <w:noWrap/>
            <w:vAlign w:val="center"/>
            <w:hideMark/>
          </w:tcPr>
          <w:p w14:paraId="1097A53D"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5.0</w:t>
            </w:r>
          </w:p>
        </w:tc>
        <w:tc>
          <w:tcPr>
            <w:tcW w:w="472" w:type="pct"/>
            <w:noWrap/>
            <w:vAlign w:val="center"/>
            <w:hideMark/>
          </w:tcPr>
          <w:p w14:paraId="24AAD29A"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5.0</w:t>
            </w:r>
          </w:p>
        </w:tc>
        <w:tc>
          <w:tcPr>
            <w:tcW w:w="629" w:type="pct"/>
            <w:noWrap/>
            <w:vAlign w:val="center"/>
            <w:hideMark/>
          </w:tcPr>
          <w:p w14:paraId="485E35B0"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0.0</w:t>
            </w:r>
          </w:p>
        </w:tc>
        <w:tc>
          <w:tcPr>
            <w:tcW w:w="1543" w:type="pct"/>
          </w:tcPr>
          <w:p w14:paraId="613E6F50"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w:t>
            </w:r>
          </w:p>
        </w:tc>
      </w:tr>
      <w:tr w:rsidR="00763EF2" w:rsidRPr="00985104" w14:paraId="02154F80" w14:textId="77777777" w:rsidTr="00CB4A1F">
        <w:trPr>
          <w:trHeight w:val="70"/>
        </w:trPr>
        <w:tc>
          <w:tcPr>
            <w:tcW w:w="1570" w:type="pct"/>
            <w:noWrap/>
            <w:vAlign w:val="center"/>
          </w:tcPr>
          <w:p w14:paraId="65EB94D9" w14:textId="77777777" w:rsidR="00763EF2" w:rsidRPr="00985104" w:rsidRDefault="00763EF2" w:rsidP="00CB4A1F">
            <w:pPr>
              <w:keepNext/>
              <w:jc w:val="left"/>
              <w:rPr>
                <w:rFonts w:ascii="Arial Narrow" w:eastAsia="Calibri" w:hAnsi="Arial Narrow"/>
                <w:sz w:val="20"/>
                <w:szCs w:val="20"/>
              </w:rPr>
            </w:pPr>
            <w:r w:rsidRPr="00985104">
              <w:rPr>
                <w:rFonts w:ascii="Arial Narrow" w:eastAsia="Calibri" w:hAnsi="Arial Narrow"/>
                <w:sz w:val="20"/>
                <w:szCs w:val="20"/>
              </w:rPr>
              <w:t>Life years (undiscounted)</w:t>
            </w:r>
          </w:p>
        </w:tc>
        <w:tc>
          <w:tcPr>
            <w:tcW w:w="786" w:type="pct"/>
            <w:noWrap/>
            <w:vAlign w:val="center"/>
          </w:tcPr>
          <w:p w14:paraId="19BA2A77"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1.35</w:t>
            </w:r>
          </w:p>
        </w:tc>
        <w:tc>
          <w:tcPr>
            <w:tcW w:w="472" w:type="pct"/>
            <w:noWrap/>
            <w:vAlign w:val="center"/>
          </w:tcPr>
          <w:p w14:paraId="15FBE4B6"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1.26</w:t>
            </w:r>
          </w:p>
        </w:tc>
        <w:tc>
          <w:tcPr>
            <w:tcW w:w="629" w:type="pct"/>
            <w:noWrap/>
            <w:vAlign w:val="center"/>
          </w:tcPr>
          <w:p w14:paraId="7B81C68C" w14:textId="77777777" w:rsidR="00763EF2" w:rsidRPr="00985104" w:rsidRDefault="00763EF2" w:rsidP="00CB4A1F">
            <w:pPr>
              <w:keepNext/>
              <w:jc w:val="center"/>
              <w:rPr>
                <w:rFonts w:ascii="Arial Narrow" w:eastAsia="Calibri" w:hAnsi="Arial Narrow"/>
                <w:sz w:val="20"/>
                <w:szCs w:val="20"/>
                <w:vertAlign w:val="superscript"/>
              </w:rPr>
            </w:pPr>
            <w:r w:rsidRPr="00985104">
              <w:rPr>
                <w:rFonts w:ascii="Arial Narrow" w:eastAsia="Calibri" w:hAnsi="Arial Narrow"/>
                <w:sz w:val="20"/>
                <w:szCs w:val="20"/>
              </w:rPr>
              <w:t>0.09</w:t>
            </w:r>
            <w:r w:rsidRPr="00985104">
              <w:rPr>
                <w:rFonts w:ascii="Arial Narrow" w:eastAsia="Calibri" w:hAnsi="Arial Narrow"/>
                <w:sz w:val="20"/>
                <w:szCs w:val="20"/>
                <w:vertAlign w:val="superscript"/>
              </w:rPr>
              <w:t>a</w:t>
            </w:r>
          </w:p>
        </w:tc>
        <w:tc>
          <w:tcPr>
            <w:tcW w:w="1543" w:type="pct"/>
          </w:tcPr>
          <w:p w14:paraId="3CAADE0C" w14:textId="77777777" w:rsidR="00763EF2" w:rsidRPr="00985104" w:rsidRDefault="00763EF2" w:rsidP="00CB4A1F">
            <w:pPr>
              <w:keepNext/>
              <w:jc w:val="center"/>
              <w:rPr>
                <w:rFonts w:ascii="Arial Narrow" w:eastAsia="Calibri" w:hAnsi="Arial Narrow"/>
                <w:sz w:val="20"/>
                <w:szCs w:val="20"/>
              </w:rPr>
            </w:pPr>
            <w:r w:rsidRPr="00985104">
              <w:rPr>
                <w:rFonts w:ascii="Arial Narrow" w:hAnsi="Arial Narrow"/>
                <w:sz w:val="20"/>
                <w:szCs w:val="20"/>
              </w:rPr>
              <w:t>15.9 months – NE = NE</w:t>
            </w:r>
          </w:p>
        </w:tc>
      </w:tr>
      <w:tr w:rsidR="00763EF2" w:rsidRPr="00985104" w14:paraId="78E79693" w14:textId="77777777" w:rsidTr="00CB4A1F">
        <w:trPr>
          <w:trHeight w:val="70"/>
        </w:trPr>
        <w:tc>
          <w:tcPr>
            <w:tcW w:w="1570" w:type="pct"/>
            <w:noWrap/>
            <w:vAlign w:val="center"/>
          </w:tcPr>
          <w:p w14:paraId="06978C83" w14:textId="77777777" w:rsidR="00763EF2" w:rsidRPr="00985104" w:rsidRDefault="00763EF2" w:rsidP="00CB4A1F">
            <w:pPr>
              <w:keepNext/>
              <w:jc w:val="left"/>
              <w:rPr>
                <w:rFonts w:ascii="Arial Narrow" w:eastAsia="Calibri" w:hAnsi="Arial Narrow"/>
                <w:sz w:val="20"/>
                <w:szCs w:val="20"/>
              </w:rPr>
            </w:pPr>
            <w:r w:rsidRPr="00985104">
              <w:rPr>
                <w:rFonts w:ascii="Arial Narrow" w:eastAsia="Calibri" w:hAnsi="Arial Narrow"/>
                <w:sz w:val="20"/>
                <w:szCs w:val="20"/>
              </w:rPr>
              <w:t>Quality-adjusted life-years</w:t>
            </w:r>
          </w:p>
        </w:tc>
        <w:tc>
          <w:tcPr>
            <w:tcW w:w="786" w:type="pct"/>
            <w:noWrap/>
            <w:vAlign w:val="center"/>
          </w:tcPr>
          <w:p w14:paraId="7EF63B1B"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0.93</w:t>
            </w:r>
          </w:p>
        </w:tc>
        <w:tc>
          <w:tcPr>
            <w:tcW w:w="472" w:type="pct"/>
            <w:noWrap/>
            <w:vAlign w:val="center"/>
          </w:tcPr>
          <w:p w14:paraId="47467083"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0.76</w:t>
            </w:r>
          </w:p>
        </w:tc>
        <w:tc>
          <w:tcPr>
            <w:tcW w:w="629" w:type="pct"/>
            <w:noWrap/>
            <w:vAlign w:val="center"/>
          </w:tcPr>
          <w:p w14:paraId="745729ED"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0.18</w:t>
            </w:r>
          </w:p>
        </w:tc>
        <w:tc>
          <w:tcPr>
            <w:tcW w:w="1543" w:type="pct"/>
          </w:tcPr>
          <w:p w14:paraId="4EF06F38" w14:textId="15E92258" w:rsidR="00763EF2" w:rsidRPr="00985104" w:rsidRDefault="00554129" w:rsidP="00CB4A1F">
            <w:pPr>
              <w:keepNext/>
              <w:jc w:val="center"/>
              <w:rPr>
                <w:rFonts w:ascii="Arial Narrow" w:eastAsia="Calibri" w:hAnsi="Arial Narrow"/>
                <w:sz w:val="20"/>
                <w:szCs w:val="20"/>
              </w:rPr>
            </w:pPr>
            <w:r w:rsidRPr="00985104">
              <w:rPr>
                <w:rFonts w:ascii="Arial Narrow" w:eastAsia="Calibri" w:hAnsi="Arial Narrow"/>
                <w:sz w:val="20"/>
                <w:szCs w:val="20"/>
              </w:rPr>
              <w:t>-</w:t>
            </w:r>
          </w:p>
        </w:tc>
      </w:tr>
      <w:tr w:rsidR="00763EF2" w:rsidRPr="00985104" w14:paraId="7AB4060D" w14:textId="77777777" w:rsidTr="00CB4A1F">
        <w:trPr>
          <w:trHeight w:val="149"/>
        </w:trPr>
        <w:tc>
          <w:tcPr>
            <w:tcW w:w="5000" w:type="pct"/>
            <w:gridSpan w:val="5"/>
            <w:noWrap/>
            <w:vAlign w:val="center"/>
          </w:tcPr>
          <w:p w14:paraId="6788806F" w14:textId="77777777" w:rsidR="00763EF2" w:rsidRPr="00985104" w:rsidRDefault="00763EF2" w:rsidP="00CB4A1F">
            <w:pPr>
              <w:keepNext/>
              <w:jc w:val="left"/>
              <w:rPr>
                <w:rFonts w:ascii="Arial Narrow" w:hAnsi="Arial Narrow"/>
                <w:sz w:val="20"/>
                <w:szCs w:val="20"/>
              </w:rPr>
            </w:pPr>
            <w:r w:rsidRPr="00985104">
              <w:rPr>
                <w:rFonts w:ascii="Arial Narrow" w:eastAsia="Calibri" w:hAnsi="Arial Narrow"/>
                <w:b/>
                <w:bCs/>
                <w:sz w:val="20"/>
                <w:szCs w:val="20"/>
              </w:rPr>
              <w:t>Additional analysis (full COSMIC-311 population)</w:t>
            </w:r>
          </w:p>
        </w:tc>
      </w:tr>
      <w:tr w:rsidR="00763EF2" w:rsidRPr="00985104" w14:paraId="620F8B79" w14:textId="77777777" w:rsidTr="00CB4A1F">
        <w:trPr>
          <w:trHeight w:val="149"/>
        </w:trPr>
        <w:tc>
          <w:tcPr>
            <w:tcW w:w="1570" w:type="pct"/>
            <w:noWrap/>
            <w:vAlign w:val="center"/>
            <w:hideMark/>
          </w:tcPr>
          <w:p w14:paraId="675917DB" w14:textId="77777777" w:rsidR="00763EF2" w:rsidRPr="00985104" w:rsidRDefault="00763EF2" w:rsidP="00CB4A1F">
            <w:pPr>
              <w:keepNext/>
              <w:jc w:val="left"/>
              <w:rPr>
                <w:rFonts w:ascii="Arial Narrow" w:eastAsia="Calibri" w:hAnsi="Arial Narrow"/>
                <w:sz w:val="20"/>
                <w:szCs w:val="20"/>
              </w:rPr>
            </w:pPr>
            <w:r w:rsidRPr="00985104">
              <w:rPr>
                <w:rFonts w:ascii="Arial Narrow" w:eastAsia="Calibri" w:hAnsi="Arial Narrow"/>
                <w:sz w:val="20"/>
                <w:szCs w:val="20"/>
              </w:rPr>
              <w:t>Pre-progression</w:t>
            </w:r>
          </w:p>
        </w:tc>
        <w:tc>
          <w:tcPr>
            <w:tcW w:w="786" w:type="pct"/>
            <w:noWrap/>
            <w:vAlign w:val="center"/>
            <w:hideMark/>
          </w:tcPr>
          <w:p w14:paraId="5FF52591" w14:textId="77777777" w:rsidR="00763EF2" w:rsidRPr="00985104" w:rsidRDefault="00763EF2" w:rsidP="00CB4A1F">
            <w:pPr>
              <w:keepNext/>
              <w:jc w:val="center"/>
              <w:rPr>
                <w:rFonts w:ascii="Arial Narrow" w:eastAsia="Calibri" w:hAnsi="Arial Narrow"/>
                <w:sz w:val="20"/>
                <w:szCs w:val="20"/>
              </w:rPr>
            </w:pPr>
            <w:r w:rsidRPr="00985104">
              <w:rPr>
                <w:rFonts w:ascii="Arial Narrow" w:hAnsi="Arial Narrow"/>
                <w:sz w:val="20"/>
                <w:szCs w:val="20"/>
              </w:rPr>
              <w:t>1.32</w:t>
            </w:r>
          </w:p>
        </w:tc>
        <w:tc>
          <w:tcPr>
            <w:tcW w:w="472" w:type="pct"/>
            <w:noWrap/>
            <w:vAlign w:val="center"/>
            <w:hideMark/>
          </w:tcPr>
          <w:p w14:paraId="5AAF12ED" w14:textId="77777777" w:rsidR="00763EF2" w:rsidRPr="00985104" w:rsidRDefault="00763EF2" w:rsidP="00CB4A1F">
            <w:pPr>
              <w:keepNext/>
              <w:jc w:val="center"/>
              <w:rPr>
                <w:rFonts w:ascii="Arial Narrow" w:eastAsia="Calibri" w:hAnsi="Arial Narrow"/>
                <w:sz w:val="20"/>
                <w:szCs w:val="20"/>
              </w:rPr>
            </w:pPr>
            <w:r w:rsidRPr="00985104">
              <w:rPr>
                <w:rFonts w:ascii="Arial Narrow" w:hAnsi="Arial Narrow"/>
                <w:sz w:val="20"/>
                <w:szCs w:val="20"/>
              </w:rPr>
              <w:t>0.39</w:t>
            </w:r>
          </w:p>
        </w:tc>
        <w:tc>
          <w:tcPr>
            <w:tcW w:w="629" w:type="pct"/>
            <w:noWrap/>
            <w:vAlign w:val="center"/>
            <w:hideMark/>
          </w:tcPr>
          <w:p w14:paraId="0975F37B" w14:textId="77777777" w:rsidR="00763EF2" w:rsidRPr="00985104" w:rsidRDefault="00763EF2" w:rsidP="00CB4A1F">
            <w:pPr>
              <w:keepNext/>
              <w:jc w:val="center"/>
              <w:rPr>
                <w:rFonts w:ascii="Arial Narrow" w:eastAsia="Calibri" w:hAnsi="Arial Narrow"/>
                <w:sz w:val="20"/>
                <w:szCs w:val="20"/>
              </w:rPr>
            </w:pPr>
            <w:r w:rsidRPr="00985104">
              <w:rPr>
                <w:rFonts w:ascii="Arial Narrow" w:hAnsi="Arial Narrow"/>
                <w:sz w:val="20"/>
                <w:szCs w:val="20"/>
              </w:rPr>
              <w:t>0.93</w:t>
            </w:r>
          </w:p>
        </w:tc>
        <w:tc>
          <w:tcPr>
            <w:tcW w:w="1543" w:type="pct"/>
          </w:tcPr>
          <w:p w14:paraId="0D0A5FF2" w14:textId="77777777" w:rsidR="00763EF2" w:rsidRPr="00985104" w:rsidRDefault="00763EF2" w:rsidP="00CB4A1F">
            <w:pPr>
              <w:keepNext/>
              <w:jc w:val="center"/>
              <w:rPr>
                <w:rFonts w:ascii="Arial Narrow" w:hAnsi="Arial Narrow"/>
                <w:sz w:val="20"/>
                <w:szCs w:val="20"/>
              </w:rPr>
            </w:pPr>
            <w:r w:rsidRPr="00985104">
              <w:rPr>
                <w:rFonts w:ascii="Arial Narrow" w:hAnsi="Arial Narrow"/>
                <w:sz w:val="20"/>
                <w:szCs w:val="20"/>
              </w:rPr>
              <w:t>11.0 – 1.9 = 9.1 months</w:t>
            </w:r>
          </w:p>
        </w:tc>
      </w:tr>
      <w:tr w:rsidR="00763EF2" w:rsidRPr="00985104" w14:paraId="37365F3A" w14:textId="77777777" w:rsidTr="00CB4A1F">
        <w:trPr>
          <w:trHeight w:val="70"/>
        </w:trPr>
        <w:tc>
          <w:tcPr>
            <w:tcW w:w="1570" w:type="pct"/>
            <w:noWrap/>
            <w:vAlign w:val="center"/>
            <w:hideMark/>
          </w:tcPr>
          <w:p w14:paraId="09668284" w14:textId="77777777" w:rsidR="00763EF2" w:rsidRPr="00985104" w:rsidRDefault="00763EF2" w:rsidP="00CB4A1F">
            <w:pPr>
              <w:keepNext/>
              <w:jc w:val="left"/>
              <w:rPr>
                <w:rFonts w:ascii="Arial Narrow" w:eastAsia="Calibri" w:hAnsi="Arial Narrow"/>
                <w:sz w:val="20"/>
                <w:szCs w:val="20"/>
              </w:rPr>
            </w:pPr>
            <w:r w:rsidRPr="00985104">
              <w:rPr>
                <w:rFonts w:ascii="Arial Narrow" w:eastAsia="Calibri" w:hAnsi="Arial Narrow"/>
                <w:sz w:val="20"/>
                <w:szCs w:val="20"/>
              </w:rPr>
              <w:t>Time on treatment</w:t>
            </w:r>
          </w:p>
        </w:tc>
        <w:tc>
          <w:tcPr>
            <w:tcW w:w="786" w:type="pct"/>
            <w:noWrap/>
            <w:vAlign w:val="center"/>
            <w:hideMark/>
          </w:tcPr>
          <w:p w14:paraId="3CA9C876" w14:textId="77777777" w:rsidR="00763EF2" w:rsidRPr="00985104" w:rsidRDefault="00763EF2" w:rsidP="00CB4A1F">
            <w:pPr>
              <w:keepNext/>
              <w:jc w:val="center"/>
              <w:rPr>
                <w:rFonts w:ascii="Arial Narrow" w:eastAsia="Calibri" w:hAnsi="Arial Narrow"/>
                <w:sz w:val="20"/>
                <w:szCs w:val="20"/>
              </w:rPr>
            </w:pPr>
            <w:r w:rsidRPr="00985104">
              <w:rPr>
                <w:rFonts w:ascii="Arial Narrow" w:hAnsi="Arial Narrow"/>
                <w:sz w:val="20"/>
                <w:szCs w:val="20"/>
              </w:rPr>
              <w:t>1.26</w:t>
            </w:r>
          </w:p>
        </w:tc>
        <w:tc>
          <w:tcPr>
            <w:tcW w:w="472" w:type="pct"/>
            <w:noWrap/>
            <w:vAlign w:val="center"/>
            <w:hideMark/>
          </w:tcPr>
          <w:p w14:paraId="587C2DC8" w14:textId="77777777" w:rsidR="00763EF2" w:rsidRPr="00985104" w:rsidRDefault="00763EF2" w:rsidP="00CB4A1F">
            <w:pPr>
              <w:keepNext/>
              <w:jc w:val="center"/>
              <w:rPr>
                <w:rFonts w:ascii="Arial Narrow" w:eastAsia="Calibri" w:hAnsi="Arial Narrow"/>
                <w:sz w:val="20"/>
                <w:szCs w:val="20"/>
              </w:rPr>
            </w:pPr>
            <w:r w:rsidRPr="00985104">
              <w:rPr>
                <w:rFonts w:ascii="Arial Narrow" w:hAnsi="Arial Narrow"/>
                <w:sz w:val="20"/>
                <w:szCs w:val="20"/>
              </w:rPr>
              <w:t>0.39</w:t>
            </w:r>
          </w:p>
        </w:tc>
        <w:tc>
          <w:tcPr>
            <w:tcW w:w="629" w:type="pct"/>
            <w:noWrap/>
            <w:vAlign w:val="center"/>
            <w:hideMark/>
          </w:tcPr>
          <w:p w14:paraId="2EF54679" w14:textId="77777777" w:rsidR="00763EF2" w:rsidRPr="00985104" w:rsidRDefault="00763EF2" w:rsidP="00CB4A1F">
            <w:pPr>
              <w:keepNext/>
              <w:jc w:val="center"/>
              <w:rPr>
                <w:rFonts w:ascii="Arial Narrow" w:eastAsia="Calibri" w:hAnsi="Arial Narrow"/>
                <w:sz w:val="20"/>
                <w:szCs w:val="20"/>
              </w:rPr>
            </w:pPr>
            <w:r w:rsidRPr="00985104">
              <w:rPr>
                <w:rFonts w:ascii="Arial Narrow" w:hAnsi="Arial Narrow"/>
                <w:sz w:val="20"/>
                <w:szCs w:val="20"/>
              </w:rPr>
              <w:t>0.87</w:t>
            </w:r>
          </w:p>
        </w:tc>
        <w:tc>
          <w:tcPr>
            <w:tcW w:w="1543" w:type="pct"/>
          </w:tcPr>
          <w:p w14:paraId="129D4A41" w14:textId="77777777" w:rsidR="00763EF2" w:rsidRPr="00985104" w:rsidRDefault="00763EF2" w:rsidP="00CB4A1F">
            <w:pPr>
              <w:keepNext/>
              <w:jc w:val="center"/>
              <w:rPr>
                <w:rFonts w:ascii="Arial Narrow" w:hAnsi="Arial Narrow"/>
                <w:sz w:val="20"/>
                <w:szCs w:val="20"/>
              </w:rPr>
            </w:pPr>
            <w:r w:rsidRPr="00985104">
              <w:rPr>
                <w:rFonts w:ascii="Arial Narrow" w:hAnsi="Arial Narrow"/>
                <w:sz w:val="20"/>
                <w:szCs w:val="20"/>
              </w:rPr>
              <w:t>6.03 – 2.64 = 3.39 months</w:t>
            </w:r>
          </w:p>
        </w:tc>
      </w:tr>
      <w:tr w:rsidR="00763EF2" w:rsidRPr="00985104" w14:paraId="15B879FB" w14:textId="77777777" w:rsidTr="00CB4A1F">
        <w:trPr>
          <w:trHeight w:val="70"/>
        </w:trPr>
        <w:tc>
          <w:tcPr>
            <w:tcW w:w="1570" w:type="pct"/>
            <w:noWrap/>
            <w:vAlign w:val="center"/>
            <w:hideMark/>
          </w:tcPr>
          <w:p w14:paraId="3BF01614" w14:textId="77777777" w:rsidR="00763EF2" w:rsidRPr="00985104" w:rsidRDefault="00763EF2" w:rsidP="00CB4A1F">
            <w:pPr>
              <w:keepNext/>
              <w:jc w:val="left"/>
              <w:rPr>
                <w:rFonts w:ascii="Arial Narrow" w:eastAsia="Calibri" w:hAnsi="Arial Narrow"/>
                <w:sz w:val="20"/>
                <w:szCs w:val="20"/>
              </w:rPr>
            </w:pPr>
            <w:r w:rsidRPr="00985104">
              <w:rPr>
                <w:rFonts w:ascii="Arial Narrow" w:eastAsia="Calibri" w:hAnsi="Arial Narrow"/>
                <w:sz w:val="20"/>
                <w:szCs w:val="20"/>
              </w:rPr>
              <w:t>Post-progression</w:t>
            </w:r>
          </w:p>
        </w:tc>
        <w:tc>
          <w:tcPr>
            <w:tcW w:w="786" w:type="pct"/>
            <w:noWrap/>
            <w:vAlign w:val="center"/>
            <w:hideMark/>
          </w:tcPr>
          <w:p w14:paraId="048BC739" w14:textId="77777777" w:rsidR="00763EF2" w:rsidRPr="00985104" w:rsidRDefault="00763EF2" w:rsidP="00CB4A1F">
            <w:pPr>
              <w:keepNext/>
              <w:jc w:val="center"/>
              <w:rPr>
                <w:rFonts w:ascii="Arial Narrow" w:eastAsia="Calibri" w:hAnsi="Arial Narrow"/>
                <w:sz w:val="20"/>
                <w:szCs w:val="20"/>
              </w:rPr>
            </w:pPr>
            <w:r w:rsidRPr="00985104">
              <w:rPr>
                <w:rFonts w:ascii="Arial Narrow" w:hAnsi="Arial Narrow"/>
                <w:sz w:val="20"/>
                <w:szCs w:val="20"/>
              </w:rPr>
              <w:t>0.65</w:t>
            </w:r>
          </w:p>
        </w:tc>
        <w:tc>
          <w:tcPr>
            <w:tcW w:w="472" w:type="pct"/>
            <w:noWrap/>
            <w:vAlign w:val="center"/>
            <w:hideMark/>
          </w:tcPr>
          <w:p w14:paraId="016693E7" w14:textId="77777777" w:rsidR="00763EF2" w:rsidRPr="00985104" w:rsidRDefault="00763EF2" w:rsidP="00CB4A1F">
            <w:pPr>
              <w:keepNext/>
              <w:jc w:val="center"/>
              <w:rPr>
                <w:rFonts w:ascii="Arial Narrow" w:eastAsia="Calibri" w:hAnsi="Arial Narrow"/>
                <w:sz w:val="20"/>
                <w:szCs w:val="20"/>
              </w:rPr>
            </w:pPr>
            <w:r w:rsidRPr="00985104">
              <w:rPr>
                <w:rFonts w:ascii="Arial Narrow" w:hAnsi="Arial Narrow"/>
                <w:sz w:val="20"/>
                <w:szCs w:val="20"/>
              </w:rPr>
              <w:t>1.41</w:t>
            </w:r>
          </w:p>
        </w:tc>
        <w:tc>
          <w:tcPr>
            <w:tcW w:w="629" w:type="pct"/>
            <w:noWrap/>
            <w:vAlign w:val="center"/>
            <w:hideMark/>
          </w:tcPr>
          <w:p w14:paraId="5744AF40" w14:textId="77777777" w:rsidR="00763EF2" w:rsidRPr="00985104" w:rsidRDefault="00763EF2" w:rsidP="00CB4A1F">
            <w:pPr>
              <w:keepNext/>
              <w:jc w:val="center"/>
              <w:rPr>
                <w:rFonts w:ascii="Arial Narrow" w:eastAsia="Calibri" w:hAnsi="Arial Narrow"/>
                <w:sz w:val="20"/>
                <w:szCs w:val="20"/>
              </w:rPr>
            </w:pPr>
            <w:r w:rsidRPr="00985104">
              <w:rPr>
                <w:rFonts w:ascii="Arial Narrow" w:hAnsi="Arial Narrow"/>
                <w:sz w:val="20"/>
                <w:szCs w:val="20"/>
              </w:rPr>
              <w:t>-0.76</w:t>
            </w:r>
          </w:p>
        </w:tc>
        <w:tc>
          <w:tcPr>
            <w:tcW w:w="1543" w:type="pct"/>
            <w:shd w:val="clear" w:color="auto" w:fill="auto"/>
          </w:tcPr>
          <w:p w14:paraId="01041C25" w14:textId="77777777" w:rsidR="00763EF2" w:rsidRPr="00985104" w:rsidRDefault="00763EF2" w:rsidP="00CB4A1F">
            <w:pPr>
              <w:keepNext/>
              <w:jc w:val="center"/>
              <w:rPr>
                <w:rFonts w:ascii="Arial Narrow" w:hAnsi="Arial Narrow"/>
                <w:sz w:val="20"/>
                <w:szCs w:val="20"/>
              </w:rPr>
            </w:pPr>
            <w:r w:rsidRPr="00985104">
              <w:rPr>
                <w:rFonts w:ascii="Arial Narrow" w:hAnsi="Arial Narrow"/>
                <w:sz w:val="20"/>
                <w:szCs w:val="20"/>
              </w:rPr>
              <w:t>NR</w:t>
            </w:r>
          </w:p>
        </w:tc>
      </w:tr>
      <w:tr w:rsidR="00763EF2" w:rsidRPr="00985104" w14:paraId="4CE14348" w14:textId="77777777" w:rsidTr="00CB4A1F">
        <w:trPr>
          <w:trHeight w:val="105"/>
        </w:trPr>
        <w:tc>
          <w:tcPr>
            <w:tcW w:w="1570" w:type="pct"/>
            <w:noWrap/>
            <w:vAlign w:val="center"/>
            <w:hideMark/>
          </w:tcPr>
          <w:p w14:paraId="612C510C" w14:textId="77777777" w:rsidR="00763EF2" w:rsidRPr="00985104" w:rsidRDefault="00763EF2" w:rsidP="00CB4A1F">
            <w:pPr>
              <w:keepNext/>
              <w:jc w:val="left"/>
              <w:rPr>
                <w:rFonts w:ascii="Arial Narrow" w:eastAsia="Calibri" w:hAnsi="Arial Narrow"/>
                <w:sz w:val="20"/>
                <w:szCs w:val="20"/>
              </w:rPr>
            </w:pPr>
            <w:r w:rsidRPr="00985104">
              <w:rPr>
                <w:rFonts w:ascii="Arial Narrow" w:eastAsia="Calibri" w:hAnsi="Arial Narrow"/>
                <w:sz w:val="20"/>
                <w:szCs w:val="20"/>
              </w:rPr>
              <w:t>Dead</w:t>
            </w:r>
          </w:p>
        </w:tc>
        <w:tc>
          <w:tcPr>
            <w:tcW w:w="786" w:type="pct"/>
            <w:noWrap/>
            <w:vAlign w:val="center"/>
            <w:hideMark/>
          </w:tcPr>
          <w:p w14:paraId="7C2E2DE8" w14:textId="77777777" w:rsidR="00763EF2" w:rsidRPr="00985104" w:rsidRDefault="00763EF2" w:rsidP="00CB4A1F">
            <w:pPr>
              <w:keepNext/>
              <w:jc w:val="center"/>
              <w:rPr>
                <w:rFonts w:ascii="Arial Narrow" w:eastAsia="Calibri" w:hAnsi="Arial Narrow"/>
                <w:sz w:val="20"/>
                <w:szCs w:val="20"/>
              </w:rPr>
            </w:pPr>
            <w:r w:rsidRPr="00985104">
              <w:rPr>
                <w:rFonts w:ascii="Arial Narrow" w:hAnsi="Arial Narrow"/>
                <w:sz w:val="20"/>
                <w:szCs w:val="20"/>
              </w:rPr>
              <w:t>3.01</w:t>
            </w:r>
          </w:p>
        </w:tc>
        <w:tc>
          <w:tcPr>
            <w:tcW w:w="472" w:type="pct"/>
            <w:noWrap/>
            <w:vAlign w:val="center"/>
            <w:hideMark/>
          </w:tcPr>
          <w:p w14:paraId="12A41F0F" w14:textId="77777777" w:rsidR="00763EF2" w:rsidRPr="00985104" w:rsidRDefault="00763EF2" w:rsidP="00CB4A1F">
            <w:pPr>
              <w:keepNext/>
              <w:jc w:val="center"/>
              <w:rPr>
                <w:rFonts w:ascii="Arial Narrow" w:eastAsia="Calibri" w:hAnsi="Arial Narrow"/>
                <w:sz w:val="20"/>
                <w:szCs w:val="20"/>
              </w:rPr>
            </w:pPr>
            <w:r w:rsidRPr="00985104">
              <w:rPr>
                <w:rFonts w:ascii="Arial Narrow" w:hAnsi="Arial Narrow"/>
                <w:sz w:val="20"/>
                <w:szCs w:val="20"/>
              </w:rPr>
              <w:t>3.18</w:t>
            </w:r>
          </w:p>
        </w:tc>
        <w:tc>
          <w:tcPr>
            <w:tcW w:w="629" w:type="pct"/>
            <w:noWrap/>
            <w:vAlign w:val="center"/>
            <w:hideMark/>
          </w:tcPr>
          <w:p w14:paraId="3D484D01" w14:textId="77777777" w:rsidR="00763EF2" w:rsidRPr="00985104" w:rsidRDefault="00763EF2" w:rsidP="00CB4A1F">
            <w:pPr>
              <w:keepNext/>
              <w:jc w:val="center"/>
              <w:rPr>
                <w:rFonts w:ascii="Arial Narrow" w:eastAsia="Calibri" w:hAnsi="Arial Narrow"/>
                <w:sz w:val="20"/>
                <w:szCs w:val="20"/>
              </w:rPr>
            </w:pPr>
            <w:r w:rsidRPr="00985104">
              <w:rPr>
                <w:rFonts w:ascii="Arial Narrow" w:hAnsi="Arial Narrow"/>
                <w:sz w:val="20"/>
                <w:szCs w:val="20"/>
              </w:rPr>
              <w:t>-0.17</w:t>
            </w:r>
          </w:p>
        </w:tc>
        <w:tc>
          <w:tcPr>
            <w:tcW w:w="1543" w:type="pct"/>
          </w:tcPr>
          <w:p w14:paraId="19BEEEF1" w14:textId="77777777" w:rsidR="00763EF2" w:rsidRPr="00985104" w:rsidRDefault="00763EF2" w:rsidP="00CB4A1F">
            <w:pPr>
              <w:keepNext/>
              <w:jc w:val="center"/>
              <w:rPr>
                <w:rFonts w:ascii="Arial Narrow" w:hAnsi="Arial Narrow"/>
                <w:sz w:val="20"/>
                <w:szCs w:val="20"/>
              </w:rPr>
            </w:pPr>
            <w:r w:rsidRPr="00985104">
              <w:rPr>
                <w:rFonts w:ascii="Arial Narrow" w:hAnsi="Arial Narrow"/>
                <w:sz w:val="20"/>
                <w:szCs w:val="20"/>
              </w:rPr>
              <w:t>-</w:t>
            </w:r>
          </w:p>
        </w:tc>
      </w:tr>
      <w:tr w:rsidR="00763EF2" w:rsidRPr="00985104" w14:paraId="2B6A7069" w14:textId="77777777" w:rsidTr="00CB4A1F">
        <w:trPr>
          <w:trHeight w:val="70"/>
        </w:trPr>
        <w:tc>
          <w:tcPr>
            <w:tcW w:w="1570" w:type="pct"/>
            <w:noWrap/>
            <w:vAlign w:val="center"/>
            <w:hideMark/>
          </w:tcPr>
          <w:p w14:paraId="78DEEFAE" w14:textId="77777777" w:rsidR="00763EF2" w:rsidRPr="00985104" w:rsidRDefault="00763EF2" w:rsidP="00CB4A1F">
            <w:pPr>
              <w:keepNext/>
              <w:jc w:val="left"/>
              <w:rPr>
                <w:rFonts w:ascii="Arial Narrow" w:eastAsia="Calibri" w:hAnsi="Arial Narrow"/>
                <w:sz w:val="20"/>
                <w:szCs w:val="20"/>
              </w:rPr>
            </w:pPr>
            <w:r w:rsidRPr="00985104">
              <w:rPr>
                <w:rFonts w:ascii="Arial Narrow" w:eastAsia="Calibri" w:hAnsi="Arial Narrow"/>
                <w:sz w:val="20"/>
                <w:szCs w:val="20"/>
              </w:rPr>
              <w:t>Overall</w:t>
            </w:r>
          </w:p>
        </w:tc>
        <w:tc>
          <w:tcPr>
            <w:tcW w:w="786" w:type="pct"/>
            <w:noWrap/>
            <w:vAlign w:val="center"/>
            <w:hideMark/>
          </w:tcPr>
          <w:p w14:paraId="1B9DCDD7"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5.0</w:t>
            </w:r>
          </w:p>
        </w:tc>
        <w:tc>
          <w:tcPr>
            <w:tcW w:w="472" w:type="pct"/>
            <w:noWrap/>
            <w:vAlign w:val="center"/>
            <w:hideMark/>
          </w:tcPr>
          <w:p w14:paraId="0FEE6CAD"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5.0</w:t>
            </w:r>
          </w:p>
        </w:tc>
        <w:tc>
          <w:tcPr>
            <w:tcW w:w="629" w:type="pct"/>
            <w:noWrap/>
            <w:vAlign w:val="center"/>
            <w:hideMark/>
          </w:tcPr>
          <w:p w14:paraId="48CBEBD5"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0.0</w:t>
            </w:r>
          </w:p>
        </w:tc>
        <w:tc>
          <w:tcPr>
            <w:tcW w:w="1543" w:type="pct"/>
          </w:tcPr>
          <w:p w14:paraId="5223330E"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w:t>
            </w:r>
          </w:p>
        </w:tc>
      </w:tr>
      <w:tr w:rsidR="00763EF2" w:rsidRPr="00985104" w14:paraId="7F6596A9" w14:textId="77777777" w:rsidTr="00CB4A1F">
        <w:trPr>
          <w:trHeight w:val="70"/>
        </w:trPr>
        <w:tc>
          <w:tcPr>
            <w:tcW w:w="1570" w:type="pct"/>
            <w:noWrap/>
            <w:vAlign w:val="center"/>
          </w:tcPr>
          <w:p w14:paraId="2D673B32" w14:textId="77777777" w:rsidR="00763EF2" w:rsidRPr="00985104" w:rsidRDefault="00763EF2" w:rsidP="00CB4A1F">
            <w:pPr>
              <w:keepNext/>
              <w:jc w:val="left"/>
              <w:rPr>
                <w:rFonts w:ascii="Arial Narrow" w:eastAsia="Calibri" w:hAnsi="Arial Narrow"/>
                <w:sz w:val="20"/>
                <w:szCs w:val="20"/>
              </w:rPr>
            </w:pPr>
            <w:r w:rsidRPr="00985104">
              <w:rPr>
                <w:rFonts w:ascii="Arial Narrow" w:eastAsia="Calibri" w:hAnsi="Arial Narrow"/>
                <w:sz w:val="20"/>
                <w:szCs w:val="20"/>
              </w:rPr>
              <w:t>Life years (undiscounted)</w:t>
            </w:r>
          </w:p>
        </w:tc>
        <w:tc>
          <w:tcPr>
            <w:tcW w:w="786" w:type="pct"/>
            <w:noWrap/>
            <w:vAlign w:val="center"/>
          </w:tcPr>
          <w:p w14:paraId="6C56B8D7"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2.05</w:t>
            </w:r>
          </w:p>
        </w:tc>
        <w:tc>
          <w:tcPr>
            <w:tcW w:w="472" w:type="pct"/>
            <w:noWrap/>
            <w:vAlign w:val="center"/>
          </w:tcPr>
          <w:p w14:paraId="55FDFB7A"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1.88</w:t>
            </w:r>
          </w:p>
        </w:tc>
        <w:tc>
          <w:tcPr>
            <w:tcW w:w="629" w:type="pct"/>
            <w:noWrap/>
            <w:vAlign w:val="center"/>
          </w:tcPr>
          <w:p w14:paraId="0BA55C67" w14:textId="77777777" w:rsidR="00763EF2" w:rsidRPr="00985104" w:rsidRDefault="00763EF2" w:rsidP="00CB4A1F">
            <w:pPr>
              <w:keepNext/>
              <w:jc w:val="center"/>
              <w:rPr>
                <w:rFonts w:ascii="Arial Narrow" w:eastAsia="Calibri" w:hAnsi="Arial Narrow"/>
                <w:sz w:val="20"/>
                <w:szCs w:val="20"/>
                <w:vertAlign w:val="superscript"/>
              </w:rPr>
            </w:pPr>
            <w:r w:rsidRPr="00985104">
              <w:rPr>
                <w:rFonts w:ascii="Arial Narrow" w:eastAsia="Calibri" w:hAnsi="Arial Narrow"/>
                <w:sz w:val="20"/>
                <w:szCs w:val="20"/>
              </w:rPr>
              <w:t>0.17</w:t>
            </w:r>
            <w:r w:rsidRPr="00985104">
              <w:rPr>
                <w:rFonts w:ascii="Arial Narrow" w:eastAsia="Calibri" w:hAnsi="Arial Narrow"/>
                <w:sz w:val="20"/>
                <w:szCs w:val="20"/>
                <w:vertAlign w:val="superscript"/>
              </w:rPr>
              <w:t>a</w:t>
            </w:r>
          </w:p>
        </w:tc>
        <w:tc>
          <w:tcPr>
            <w:tcW w:w="1543" w:type="pct"/>
          </w:tcPr>
          <w:p w14:paraId="61D6902A" w14:textId="77777777" w:rsidR="00763EF2" w:rsidRPr="00985104" w:rsidRDefault="00763EF2" w:rsidP="00CB4A1F">
            <w:pPr>
              <w:keepNext/>
              <w:jc w:val="center"/>
              <w:rPr>
                <w:rFonts w:ascii="Arial Narrow" w:eastAsia="Calibri" w:hAnsi="Arial Narrow"/>
                <w:sz w:val="20"/>
                <w:szCs w:val="20"/>
              </w:rPr>
            </w:pPr>
            <w:r w:rsidRPr="00985104">
              <w:rPr>
                <w:rFonts w:ascii="Arial Narrow" w:hAnsi="Arial Narrow"/>
                <w:sz w:val="20"/>
                <w:szCs w:val="20"/>
              </w:rPr>
              <w:t>19.4 months – NE = NE</w:t>
            </w:r>
          </w:p>
        </w:tc>
      </w:tr>
      <w:tr w:rsidR="00763EF2" w:rsidRPr="00985104" w14:paraId="42BB0BE6" w14:textId="77777777" w:rsidTr="00CB4A1F">
        <w:trPr>
          <w:trHeight w:val="70"/>
        </w:trPr>
        <w:tc>
          <w:tcPr>
            <w:tcW w:w="1570" w:type="pct"/>
            <w:noWrap/>
            <w:vAlign w:val="center"/>
          </w:tcPr>
          <w:p w14:paraId="7751D7D0" w14:textId="77777777" w:rsidR="00763EF2" w:rsidRPr="00985104" w:rsidRDefault="00763EF2" w:rsidP="00CB4A1F">
            <w:pPr>
              <w:keepNext/>
              <w:jc w:val="left"/>
              <w:rPr>
                <w:rFonts w:ascii="Arial Narrow" w:eastAsia="Calibri" w:hAnsi="Arial Narrow"/>
                <w:sz w:val="20"/>
                <w:szCs w:val="20"/>
              </w:rPr>
            </w:pPr>
            <w:r w:rsidRPr="00985104">
              <w:rPr>
                <w:rFonts w:ascii="Arial Narrow" w:eastAsia="Calibri" w:hAnsi="Arial Narrow"/>
                <w:sz w:val="20"/>
                <w:szCs w:val="20"/>
              </w:rPr>
              <w:t>Quality-adjusted life-years</w:t>
            </w:r>
          </w:p>
        </w:tc>
        <w:tc>
          <w:tcPr>
            <w:tcW w:w="786" w:type="pct"/>
            <w:noWrap/>
            <w:vAlign w:val="center"/>
          </w:tcPr>
          <w:p w14:paraId="19D141AC"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1.45</w:t>
            </w:r>
          </w:p>
        </w:tc>
        <w:tc>
          <w:tcPr>
            <w:tcW w:w="472" w:type="pct"/>
            <w:noWrap/>
            <w:vAlign w:val="center"/>
          </w:tcPr>
          <w:p w14:paraId="0BD127BF"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1.07</w:t>
            </w:r>
          </w:p>
        </w:tc>
        <w:tc>
          <w:tcPr>
            <w:tcW w:w="629" w:type="pct"/>
            <w:noWrap/>
            <w:vAlign w:val="center"/>
          </w:tcPr>
          <w:p w14:paraId="71EE9011" w14:textId="77777777" w:rsidR="00763EF2" w:rsidRPr="00985104" w:rsidRDefault="00763EF2" w:rsidP="00CB4A1F">
            <w:pPr>
              <w:keepNext/>
              <w:jc w:val="center"/>
              <w:rPr>
                <w:rFonts w:ascii="Arial Narrow" w:eastAsia="Calibri" w:hAnsi="Arial Narrow"/>
                <w:sz w:val="20"/>
                <w:szCs w:val="20"/>
              </w:rPr>
            </w:pPr>
            <w:r w:rsidRPr="00985104">
              <w:rPr>
                <w:rFonts w:ascii="Arial Narrow" w:eastAsia="Calibri" w:hAnsi="Arial Narrow"/>
                <w:sz w:val="20"/>
                <w:szCs w:val="20"/>
              </w:rPr>
              <w:t>0.38</w:t>
            </w:r>
          </w:p>
        </w:tc>
        <w:tc>
          <w:tcPr>
            <w:tcW w:w="1543" w:type="pct"/>
          </w:tcPr>
          <w:p w14:paraId="6819D987" w14:textId="2A5F592D" w:rsidR="00763EF2" w:rsidRPr="00985104" w:rsidRDefault="00554129" w:rsidP="00CB4A1F">
            <w:pPr>
              <w:keepNext/>
              <w:jc w:val="center"/>
              <w:rPr>
                <w:rFonts w:ascii="Arial Narrow" w:eastAsia="Calibri" w:hAnsi="Arial Narrow"/>
                <w:sz w:val="20"/>
                <w:szCs w:val="20"/>
              </w:rPr>
            </w:pPr>
            <w:r w:rsidRPr="00985104">
              <w:rPr>
                <w:rFonts w:ascii="Arial Narrow" w:eastAsia="Calibri" w:hAnsi="Arial Narrow"/>
                <w:sz w:val="20"/>
                <w:szCs w:val="20"/>
              </w:rPr>
              <w:t>-</w:t>
            </w:r>
          </w:p>
        </w:tc>
      </w:tr>
    </w:tbl>
    <w:p w14:paraId="1CC45A10" w14:textId="77777777" w:rsidR="00763EF2" w:rsidRPr="003B5F84" w:rsidRDefault="00763EF2" w:rsidP="00763EF2">
      <w:pPr>
        <w:pStyle w:val="TableFigureFooter"/>
        <w:rPr>
          <w:rFonts w:eastAsia="Calibri"/>
        </w:rPr>
      </w:pPr>
      <w:r w:rsidRPr="003B5F84">
        <w:rPr>
          <w:rFonts w:eastAsia="Calibri"/>
        </w:rPr>
        <w:t>Source: Tab titled ‘3A. Control Panel’ in the Excel workbook titled ‘Attachment 10 – DTC economic evaluation – Section 3 – FINAL’ of the submission.</w:t>
      </w:r>
    </w:p>
    <w:p w14:paraId="33BFD3AE" w14:textId="77777777" w:rsidR="00763EF2" w:rsidRPr="003B5F84" w:rsidRDefault="00763EF2" w:rsidP="00763EF2">
      <w:pPr>
        <w:pStyle w:val="TableFigureFooter"/>
        <w:rPr>
          <w:rFonts w:eastAsia="Calibri"/>
        </w:rPr>
      </w:pPr>
      <w:r w:rsidRPr="003B5F84">
        <w:rPr>
          <w:rFonts w:eastAsia="Calibri"/>
        </w:rPr>
        <w:t>BSC = best supportive care</w:t>
      </w:r>
      <w:r>
        <w:rPr>
          <w:rFonts w:eastAsia="Calibri"/>
        </w:rPr>
        <w:t xml:space="preserve">; </w:t>
      </w:r>
      <w:r w:rsidRPr="00E17D2B">
        <w:rPr>
          <w:rFonts w:eastAsia="Calibri"/>
        </w:rPr>
        <w:t>NR = not reported; NE = not evaluable</w:t>
      </w:r>
      <w:r w:rsidRPr="003B5F84">
        <w:rPr>
          <w:rFonts w:eastAsia="Calibri"/>
        </w:rPr>
        <w:t>.</w:t>
      </w:r>
    </w:p>
    <w:p w14:paraId="61289912" w14:textId="77777777" w:rsidR="00763EF2" w:rsidRPr="00E120DC" w:rsidRDefault="00763EF2" w:rsidP="00763EF2">
      <w:pPr>
        <w:pStyle w:val="TableFigureFooter"/>
        <w:rPr>
          <w:rFonts w:eastAsia="Calibri"/>
        </w:rPr>
      </w:pPr>
      <w:r w:rsidRPr="00E120DC">
        <w:rPr>
          <w:rFonts w:eastAsia="Calibri"/>
          <w:vertAlign w:val="superscript"/>
        </w:rPr>
        <w:t>a</w:t>
      </w:r>
      <w:r w:rsidRPr="00E120DC">
        <w:rPr>
          <w:rFonts w:eastAsia="Calibri"/>
        </w:rPr>
        <w:t xml:space="preserve"> The incremental life year (undiscounted) gained matched the estimated life years gained in the model. However, the modelled means of time in pre-progression and time in post-progression do not sum to the life years experienced, and this may be due to the taking of averages across two time periods.</w:t>
      </w:r>
    </w:p>
    <w:p w14:paraId="6F2F8037" w14:textId="77777777" w:rsidR="00475880" w:rsidRPr="0023484B" w:rsidRDefault="00763EF2" w:rsidP="004A52A9">
      <w:pPr>
        <w:numPr>
          <w:ilvl w:val="1"/>
          <w:numId w:val="1"/>
        </w:numPr>
        <w:spacing w:after="120"/>
        <w:ind w:left="720"/>
      </w:pPr>
      <w:r w:rsidRPr="0023484B">
        <w:rPr>
          <w:rFonts w:eastAsia="Calibri" w:cs="Calibri"/>
        </w:rPr>
        <w:t xml:space="preserve">The absolute difference in the time </w:t>
      </w:r>
      <w:r w:rsidR="00BC3C8F" w:rsidRPr="0023484B">
        <w:rPr>
          <w:rFonts w:eastAsia="Calibri" w:cs="Calibri"/>
        </w:rPr>
        <w:t xml:space="preserve">in the </w:t>
      </w:r>
      <w:r w:rsidRPr="0023484B">
        <w:rPr>
          <w:rFonts w:eastAsia="Calibri" w:cs="Calibri"/>
        </w:rPr>
        <w:t xml:space="preserve">pre-progression </w:t>
      </w:r>
      <w:r w:rsidR="00BC3C8F" w:rsidRPr="0023484B">
        <w:rPr>
          <w:rFonts w:eastAsia="Calibri" w:cs="Calibri"/>
        </w:rPr>
        <w:t xml:space="preserve">health state (0.40 and 0.93) </w:t>
      </w:r>
      <w:r w:rsidRPr="0023484B">
        <w:rPr>
          <w:rFonts w:eastAsia="Calibri" w:cs="Calibri"/>
        </w:rPr>
        <w:t xml:space="preserve">and </w:t>
      </w:r>
      <w:r w:rsidR="00BC3C8F" w:rsidRPr="0023484B">
        <w:rPr>
          <w:rFonts w:eastAsia="Calibri" w:cs="Calibri"/>
        </w:rPr>
        <w:t xml:space="preserve">the total </w:t>
      </w:r>
      <w:r w:rsidRPr="0023484B">
        <w:rPr>
          <w:rFonts w:eastAsia="Calibri" w:cs="Calibri"/>
        </w:rPr>
        <w:t>life-years</w:t>
      </w:r>
      <w:r w:rsidR="00BC3C8F" w:rsidRPr="0023484B">
        <w:rPr>
          <w:rFonts w:eastAsia="Calibri" w:cs="Calibri"/>
        </w:rPr>
        <w:t xml:space="preserve"> gained</w:t>
      </w:r>
      <w:r w:rsidRPr="0023484B">
        <w:rPr>
          <w:rFonts w:eastAsia="Calibri" w:cs="Calibri"/>
        </w:rPr>
        <w:t xml:space="preserve"> </w:t>
      </w:r>
      <w:r w:rsidR="00BC3C8F" w:rsidRPr="0023484B">
        <w:rPr>
          <w:rFonts w:eastAsia="Calibri" w:cs="Calibri"/>
        </w:rPr>
        <w:t xml:space="preserve">(0.09 and 0.17) </w:t>
      </w:r>
      <w:r w:rsidRPr="0023484B">
        <w:rPr>
          <w:rFonts w:eastAsia="Calibri" w:cs="Calibri"/>
        </w:rPr>
        <w:t xml:space="preserve">between the </w:t>
      </w:r>
      <w:r w:rsidR="004F7B9A" w:rsidRPr="0023484B">
        <w:rPr>
          <w:rFonts w:eastAsia="Calibri" w:cs="Calibri"/>
        </w:rPr>
        <w:t>subgroup</w:t>
      </w:r>
      <w:r w:rsidRPr="0023484B">
        <w:rPr>
          <w:rFonts w:eastAsia="Calibri" w:cs="Calibri"/>
        </w:rPr>
        <w:t xml:space="preserve"> of patients previously treated with lenvatinib only </w:t>
      </w:r>
      <w:r w:rsidR="00BC3C8F" w:rsidRPr="0023484B">
        <w:rPr>
          <w:rFonts w:eastAsia="Calibri" w:cs="Calibri"/>
        </w:rPr>
        <w:t>and</w:t>
      </w:r>
      <w:r w:rsidRPr="0023484B">
        <w:rPr>
          <w:rFonts w:eastAsia="Calibri" w:cs="Calibri"/>
        </w:rPr>
        <w:t xml:space="preserve"> the full COSMIC</w:t>
      </w:r>
      <w:r w:rsidRPr="0023484B">
        <w:rPr>
          <w:rFonts w:eastAsia="Calibri" w:cs="Calibri"/>
        </w:rPr>
        <w:noBreakHyphen/>
        <w:t xml:space="preserve">311 population reflected the less conservative choice of parametric function used for extrapolation for the full COSMIC-311 population. </w:t>
      </w:r>
    </w:p>
    <w:p w14:paraId="271F1AC2" w14:textId="79D9795B" w:rsidR="00763EF2" w:rsidRPr="0023484B" w:rsidRDefault="00763EF2" w:rsidP="004A52A9">
      <w:pPr>
        <w:numPr>
          <w:ilvl w:val="1"/>
          <w:numId w:val="1"/>
        </w:numPr>
        <w:spacing w:after="120"/>
        <w:ind w:left="720"/>
      </w:pPr>
      <w:r w:rsidRPr="0023484B">
        <w:rPr>
          <w:rFonts w:eastAsia="Calibri" w:cs="Calibri"/>
        </w:rPr>
        <w:t xml:space="preserve">Consequently, there was less of a difference between the modelled results and trial results for the </w:t>
      </w:r>
      <w:r w:rsidR="004F7B9A" w:rsidRPr="0023484B">
        <w:rPr>
          <w:rFonts w:eastAsia="Calibri" w:cs="Calibri"/>
        </w:rPr>
        <w:t>subgroup</w:t>
      </w:r>
      <w:r w:rsidR="007A6FA5" w:rsidRPr="0023484B">
        <w:rPr>
          <w:rFonts w:eastAsia="Calibri" w:cs="Calibri"/>
        </w:rPr>
        <w:t xml:space="preserve"> previously treated with lenvatinib only</w:t>
      </w:r>
      <w:r w:rsidRPr="0023484B">
        <w:rPr>
          <w:rFonts w:eastAsia="Calibri" w:cs="Calibri"/>
        </w:rPr>
        <w:t>:</w:t>
      </w:r>
    </w:p>
    <w:p w14:paraId="6F524570" w14:textId="4038B899" w:rsidR="00763EF2" w:rsidRPr="00AE408C" w:rsidRDefault="00763EF2" w:rsidP="00427986">
      <w:pPr>
        <w:numPr>
          <w:ilvl w:val="1"/>
          <w:numId w:val="16"/>
        </w:numPr>
        <w:spacing w:after="120"/>
        <w:ind w:left="1080"/>
      </w:pPr>
      <w:r>
        <w:t xml:space="preserve">For the subgroup, the modelled PFS was expected to increase by 0.4 years (or 4.8 months). </w:t>
      </w:r>
      <w:r w:rsidRPr="00026828">
        <w:t xml:space="preserve">In the COSMIC-311 trial, the median PFS was estimated to increase by 3.88 months. </w:t>
      </w:r>
      <w:r w:rsidRPr="00AE408C">
        <w:t xml:space="preserve">It was not possible to compare the estimated improvement in TTD as these were not reported for the subgroup. </w:t>
      </w:r>
    </w:p>
    <w:p w14:paraId="7D4013EB" w14:textId="47A015BF" w:rsidR="00763EF2" w:rsidRPr="00340E7B" w:rsidRDefault="00E12300" w:rsidP="00427986">
      <w:pPr>
        <w:numPr>
          <w:ilvl w:val="1"/>
          <w:numId w:val="16"/>
        </w:numPr>
        <w:spacing w:after="120"/>
        <w:ind w:left="1080"/>
      </w:pPr>
      <w:r>
        <w:t>Whereas, f</w:t>
      </w:r>
      <w:r w:rsidR="00763EF2">
        <w:t>or the full ITT population, the modelled PFS was expected to increase by 0.93 years (</w:t>
      </w:r>
      <w:r>
        <w:t xml:space="preserve">or </w:t>
      </w:r>
      <w:r w:rsidR="00763EF2">
        <w:t>11.2 months</w:t>
      </w:r>
      <w:r>
        <w:t xml:space="preserve">) and the </w:t>
      </w:r>
      <w:r w:rsidR="00763EF2">
        <w:t>modelled time on treatment was expected to increase by 0.87 years (</w:t>
      </w:r>
      <w:r>
        <w:t xml:space="preserve">or </w:t>
      </w:r>
      <w:r w:rsidR="00763EF2">
        <w:t xml:space="preserve">10.4 months). </w:t>
      </w:r>
      <w:r w:rsidR="00763EF2" w:rsidRPr="00677FD7">
        <w:t xml:space="preserve">In the COSMIC-311 trial, the median PFS was estimated to increase by 9.1 months and median TTD was estimated to increase by 3.4 months. </w:t>
      </w:r>
    </w:p>
    <w:p w14:paraId="1E49179C" w14:textId="4CF39FD0" w:rsidR="00763EF2" w:rsidRPr="003B5F84" w:rsidRDefault="00763EF2" w:rsidP="004A52A9">
      <w:pPr>
        <w:numPr>
          <w:ilvl w:val="1"/>
          <w:numId w:val="1"/>
        </w:numPr>
        <w:spacing w:after="120"/>
        <w:ind w:left="720"/>
        <w:rPr>
          <w:rFonts w:asciiTheme="minorHAnsi" w:hAnsiTheme="minorHAnsi"/>
          <w:snapToGrid w:val="0"/>
        </w:rPr>
      </w:pPr>
      <w:r w:rsidRPr="00AE408C">
        <w:rPr>
          <w:rFonts w:asciiTheme="minorHAnsi" w:hAnsiTheme="minorHAnsi"/>
          <w:snapToGrid w:val="0"/>
        </w:rPr>
        <w:fldChar w:fldCharType="begin" w:fldLock="1"/>
      </w:r>
      <w:r w:rsidRPr="00AE408C">
        <w:rPr>
          <w:rFonts w:asciiTheme="minorHAnsi" w:hAnsiTheme="minorHAnsi"/>
          <w:snapToGrid w:val="0"/>
        </w:rPr>
        <w:instrText xml:space="preserve"> REF _Ref104804865 \h  \* MERGEFORMAT </w:instrText>
      </w:r>
      <w:r w:rsidRPr="00AE408C">
        <w:rPr>
          <w:rFonts w:asciiTheme="minorHAnsi" w:hAnsiTheme="minorHAnsi"/>
          <w:snapToGrid w:val="0"/>
        </w:rPr>
      </w:r>
      <w:r w:rsidRPr="00AE408C">
        <w:rPr>
          <w:rFonts w:asciiTheme="minorHAnsi" w:hAnsiTheme="minorHAnsi"/>
          <w:snapToGrid w:val="0"/>
        </w:rPr>
        <w:fldChar w:fldCharType="separate"/>
      </w:r>
      <w:r w:rsidR="008760F8" w:rsidRPr="008760F8">
        <w:rPr>
          <w:rFonts w:asciiTheme="minorHAnsi" w:hAnsiTheme="minorHAnsi"/>
          <w:snapToGrid w:val="0"/>
        </w:rPr>
        <w:t xml:space="preserve">Table </w:t>
      </w:r>
      <w:r w:rsidR="008760F8" w:rsidRPr="008760F8">
        <w:rPr>
          <w:rFonts w:asciiTheme="minorHAnsi" w:hAnsiTheme="minorHAnsi"/>
          <w:noProof/>
          <w:snapToGrid w:val="0"/>
        </w:rPr>
        <w:t>20</w:t>
      </w:r>
      <w:r w:rsidRPr="00AE408C">
        <w:rPr>
          <w:rFonts w:asciiTheme="minorHAnsi" w:hAnsiTheme="minorHAnsi"/>
          <w:snapToGrid w:val="0"/>
        </w:rPr>
        <w:fldChar w:fldCharType="end"/>
      </w:r>
      <w:r w:rsidRPr="00AE408C">
        <w:rPr>
          <w:rFonts w:asciiTheme="minorHAnsi" w:hAnsiTheme="minorHAnsi"/>
          <w:snapToGrid w:val="0"/>
        </w:rPr>
        <w:t xml:space="preserve"> presents the results of sensitivity analyses conducted during the evaluation</w:t>
      </w:r>
      <w:r w:rsidR="00AF1E6C">
        <w:rPr>
          <w:rFonts w:asciiTheme="minorHAnsi" w:hAnsiTheme="minorHAnsi"/>
          <w:snapToGrid w:val="0"/>
        </w:rPr>
        <w:t xml:space="preserve"> for the base case (subgroup previously treated with lenvatinib only)</w:t>
      </w:r>
      <w:r w:rsidRPr="00AE408C">
        <w:rPr>
          <w:rFonts w:asciiTheme="minorHAnsi" w:hAnsiTheme="minorHAnsi"/>
          <w:snapToGrid w:val="0"/>
        </w:rPr>
        <w:t>.</w:t>
      </w:r>
      <w:r w:rsidRPr="0564460C">
        <w:rPr>
          <w:rFonts w:asciiTheme="minorHAnsi" w:hAnsiTheme="minorHAnsi"/>
          <w:snapToGrid w:val="0"/>
        </w:rPr>
        <w:t xml:space="preserve"> </w:t>
      </w:r>
    </w:p>
    <w:p w14:paraId="751B6B40" w14:textId="574BB745" w:rsidR="00763EF2" w:rsidRPr="003B5F84" w:rsidRDefault="00763EF2" w:rsidP="00763EF2">
      <w:pPr>
        <w:keepNext/>
        <w:keepLines/>
        <w:rPr>
          <w:rFonts w:ascii="Arial Narrow" w:hAnsi="Arial Narrow"/>
          <w:b/>
          <w:bCs/>
          <w:sz w:val="20"/>
        </w:rPr>
      </w:pPr>
      <w:bookmarkStart w:id="88" w:name="_Ref104804865"/>
      <w:r w:rsidRPr="003B5F84">
        <w:rPr>
          <w:rFonts w:ascii="Arial Narrow" w:hAnsi="Arial Narrow"/>
          <w:b/>
          <w:bCs/>
          <w:sz w:val="20"/>
          <w:szCs w:val="18"/>
        </w:rPr>
        <w:lastRenderedPageBreak/>
        <w:t xml:space="preserve">Table </w:t>
      </w:r>
      <w:r w:rsidRPr="003B5F84">
        <w:rPr>
          <w:rFonts w:ascii="Arial Narrow" w:hAnsi="Arial Narrow"/>
          <w:b/>
          <w:bCs/>
          <w:sz w:val="20"/>
          <w:szCs w:val="18"/>
        </w:rPr>
        <w:fldChar w:fldCharType="begin" w:fldLock="1"/>
      </w:r>
      <w:r w:rsidRPr="003B5F84">
        <w:rPr>
          <w:rFonts w:ascii="Arial Narrow" w:hAnsi="Arial Narrow"/>
          <w:b/>
          <w:bCs/>
          <w:sz w:val="20"/>
          <w:szCs w:val="18"/>
        </w:rPr>
        <w:instrText xml:space="preserve"> SEQ Table \* ARABIC </w:instrText>
      </w:r>
      <w:r w:rsidRPr="003B5F84">
        <w:rPr>
          <w:rFonts w:ascii="Arial Narrow" w:hAnsi="Arial Narrow"/>
          <w:b/>
          <w:bCs/>
          <w:sz w:val="20"/>
          <w:szCs w:val="18"/>
        </w:rPr>
        <w:fldChar w:fldCharType="separate"/>
      </w:r>
      <w:r w:rsidR="008760F8">
        <w:rPr>
          <w:rFonts w:ascii="Arial Narrow" w:hAnsi="Arial Narrow"/>
          <w:b/>
          <w:bCs/>
          <w:noProof/>
          <w:sz w:val="20"/>
          <w:szCs w:val="18"/>
        </w:rPr>
        <w:t>20</w:t>
      </w:r>
      <w:r w:rsidRPr="003B5F84">
        <w:rPr>
          <w:rFonts w:ascii="Arial Narrow" w:hAnsi="Arial Narrow"/>
          <w:b/>
          <w:bCs/>
          <w:noProof/>
          <w:sz w:val="20"/>
          <w:szCs w:val="18"/>
        </w:rPr>
        <w:fldChar w:fldCharType="end"/>
      </w:r>
      <w:bookmarkEnd w:id="88"/>
      <w:r w:rsidRPr="003B5F84">
        <w:rPr>
          <w:rFonts w:ascii="Arial Narrow" w:hAnsi="Arial Narrow"/>
          <w:b/>
          <w:bCs/>
          <w:sz w:val="20"/>
          <w:szCs w:val="18"/>
        </w:rPr>
        <w:t>:</w:t>
      </w:r>
      <w:r w:rsidRPr="003B5F84">
        <w:rPr>
          <w:rFonts w:ascii="Arial Narrow" w:hAnsi="Arial Narrow"/>
          <w:b/>
          <w:bCs/>
          <w:sz w:val="20"/>
        </w:rPr>
        <w:t xml:space="preserve"> Sensitivity analyses (base case: sub</w:t>
      </w:r>
      <w:r>
        <w:rPr>
          <w:rFonts w:ascii="Arial Narrow" w:hAnsi="Arial Narrow"/>
          <w:b/>
          <w:bCs/>
          <w:sz w:val="20"/>
        </w:rPr>
        <w:t>group</w:t>
      </w:r>
      <w:r w:rsidRPr="003B5F84">
        <w:rPr>
          <w:rFonts w:ascii="Arial Narrow" w:hAnsi="Arial Narrow"/>
          <w:b/>
          <w:bCs/>
          <w:sz w:val="20"/>
        </w:rPr>
        <w:t xml:space="preserve"> previously treated with lenvatinib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6"/>
        <w:gridCol w:w="1199"/>
        <w:gridCol w:w="1201"/>
        <w:gridCol w:w="1078"/>
        <w:gridCol w:w="983"/>
      </w:tblGrid>
      <w:tr w:rsidR="00763EF2" w:rsidRPr="00427986" w14:paraId="799869A9" w14:textId="77777777" w:rsidTr="00E120DC">
        <w:trPr>
          <w:cantSplit/>
          <w:tblHeader/>
        </w:trPr>
        <w:tc>
          <w:tcPr>
            <w:tcW w:w="2526" w:type="pct"/>
            <w:tcMar>
              <w:left w:w="20" w:type="dxa"/>
              <w:right w:w="20" w:type="dxa"/>
            </w:tcMar>
            <w:vAlign w:val="center"/>
          </w:tcPr>
          <w:p w14:paraId="37EE5D34" w14:textId="77777777" w:rsidR="00763EF2" w:rsidRPr="00427986" w:rsidRDefault="00763EF2" w:rsidP="00CB4A1F">
            <w:pPr>
              <w:keepNext/>
              <w:jc w:val="left"/>
              <w:rPr>
                <w:rFonts w:ascii="Arial Narrow" w:eastAsiaTheme="majorEastAsia" w:hAnsi="Arial Narrow" w:cs="Times New Roman"/>
                <w:b/>
                <w:sz w:val="20"/>
                <w:lang w:val="en-US"/>
              </w:rPr>
            </w:pPr>
            <w:r w:rsidRPr="00427986">
              <w:rPr>
                <w:rFonts w:ascii="Arial Narrow" w:eastAsiaTheme="majorEastAsia" w:hAnsi="Arial Narrow" w:cs="Times New Roman"/>
                <w:b/>
                <w:sz w:val="20"/>
                <w:lang w:val="en-US"/>
              </w:rPr>
              <w:t>Analyses</w:t>
            </w:r>
          </w:p>
        </w:tc>
        <w:tc>
          <w:tcPr>
            <w:tcW w:w="665" w:type="pct"/>
            <w:tcMar>
              <w:left w:w="20" w:type="dxa"/>
              <w:right w:w="20" w:type="dxa"/>
            </w:tcMar>
            <w:vAlign w:val="center"/>
          </w:tcPr>
          <w:p w14:paraId="4E7A5D8B" w14:textId="0B3C7BDF" w:rsidR="00763EF2" w:rsidRPr="00427986" w:rsidRDefault="00763EF2" w:rsidP="00CB4A1F">
            <w:pPr>
              <w:keepNext/>
              <w:jc w:val="center"/>
              <w:rPr>
                <w:rFonts w:ascii="Arial Narrow" w:eastAsiaTheme="majorEastAsia" w:hAnsi="Arial Narrow" w:cs="Times New Roman"/>
                <w:b/>
                <w:sz w:val="20"/>
                <w:lang w:val="en-US"/>
              </w:rPr>
            </w:pPr>
            <w:r w:rsidRPr="00427986">
              <w:rPr>
                <w:rFonts w:ascii="Arial Narrow" w:eastAsiaTheme="majorEastAsia" w:hAnsi="Arial Narrow" w:cs="Times New Roman"/>
                <w:b/>
                <w:sz w:val="20"/>
                <w:lang w:val="en-US"/>
              </w:rPr>
              <w:t>Incremental cost</w:t>
            </w:r>
            <w:r w:rsidR="00E447AE">
              <w:rPr>
                <w:rFonts w:ascii="Arial Narrow" w:eastAsiaTheme="majorEastAsia" w:hAnsi="Arial Narrow" w:cs="Times New Roman"/>
                <w:b/>
                <w:sz w:val="20"/>
                <w:lang w:val="en-US"/>
              </w:rPr>
              <w:t xml:space="preserve"> ($)</w:t>
            </w:r>
          </w:p>
        </w:tc>
        <w:tc>
          <w:tcPr>
            <w:tcW w:w="666" w:type="pct"/>
            <w:tcMar>
              <w:left w:w="20" w:type="dxa"/>
              <w:right w:w="20" w:type="dxa"/>
            </w:tcMar>
            <w:vAlign w:val="center"/>
          </w:tcPr>
          <w:p w14:paraId="47638C8A" w14:textId="77777777" w:rsidR="00763EF2" w:rsidRPr="00427986" w:rsidRDefault="00763EF2" w:rsidP="00CB4A1F">
            <w:pPr>
              <w:keepNext/>
              <w:jc w:val="center"/>
              <w:rPr>
                <w:rFonts w:ascii="Arial Narrow" w:eastAsiaTheme="majorEastAsia" w:hAnsi="Arial Narrow" w:cs="Times New Roman"/>
                <w:b/>
                <w:sz w:val="20"/>
                <w:lang w:val="en-US"/>
              </w:rPr>
            </w:pPr>
            <w:r w:rsidRPr="00427986">
              <w:rPr>
                <w:rFonts w:ascii="Arial Narrow" w:eastAsiaTheme="majorEastAsia" w:hAnsi="Arial Narrow" w:cs="Times New Roman"/>
                <w:b/>
                <w:sz w:val="20"/>
                <w:lang w:val="en-US"/>
              </w:rPr>
              <w:t>Incremental QALY</w:t>
            </w:r>
          </w:p>
        </w:tc>
        <w:tc>
          <w:tcPr>
            <w:tcW w:w="598" w:type="pct"/>
            <w:tcMar>
              <w:left w:w="20" w:type="dxa"/>
              <w:right w:w="20" w:type="dxa"/>
            </w:tcMar>
            <w:vAlign w:val="center"/>
          </w:tcPr>
          <w:p w14:paraId="51136B50" w14:textId="77777777" w:rsidR="00763EF2" w:rsidRPr="00427986" w:rsidRDefault="00763EF2" w:rsidP="00CB4A1F">
            <w:pPr>
              <w:keepNext/>
              <w:jc w:val="center"/>
              <w:rPr>
                <w:rFonts w:ascii="Arial Narrow" w:eastAsiaTheme="majorEastAsia" w:hAnsi="Arial Narrow" w:cs="Times New Roman"/>
                <w:b/>
                <w:sz w:val="20"/>
                <w:lang w:val="en-US"/>
              </w:rPr>
            </w:pPr>
            <w:r w:rsidRPr="00427986">
              <w:rPr>
                <w:rFonts w:ascii="Arial Narrow" w:eastAsiaTheme="majorEastAsia" w:hAnsi="Arial Narrow" w:cs="Times New Roman"/>
                <w:b/>
                <w:sz w:val="20"/>
                <w:lang w:val="en-US"/>
              </w:rPr>
              <w:t>ICER</w:t>
            </w:r>
          </w:p>
        </w:tc>
        <w:tc>
          <w:tcPr>
            <w:tcW w:w="545" w:type="pct"/>
            <w:tcMar>
              <w:left w:w="20" w:type="dxa"/>
              <w:right w:w="20" w:type="dxa"/>
            </w:tcMar>
            <w:vAlign w:val="center"/>
          </w:tcPr>
          <w:p w14:paraId="7108CC74" w14:textId="77777777" w:rsidR="00763EF2" w:rsidRPr="00427986" w:rsidRDefault="00763EF2" w:rsidP="00CB4A1F">
            <w:pPr>
              <w:keepNext/>
              <w:jc w:val="center"/>
              <w:rPr>
                <w:rFonts w:ascii="Arial Narrow" w:eastAsiaTheme="majorEastAsia" w:hAnsi="Arial Narrow" w:cs="Times New Roman"/>
                <w:b/>
                <w:sz w:val="20"/>
                <w:lang w:val="en-US"/>
              </w:rPr>
            </w:pPr>
            <w:r w:rsidRPr="00427986">
              <w:rPr>
                <w:rFonts w:ascii="Arial Narrow" w:eastAsiaTheme="majorEastAsia" w:hAnsi="Arial Narrow" w:cs="Times New Roman"/>
                <w:b/>
                <w:sz w:val="20"/>
                <w:lang w:val="en-US"/>
              </w:rPr>
              <w:t>% change to ICER</w:t>
            </w:r>
          </w:p>
        </w:tc>
      </w:tr>
      <w:tr w:rsidR="00763EF2" w:rsidRPr="00427986" w14:paraId="2F4E8223" w14:textId="77777777" w:rsidTr="00E120DC">
        <w:trPr>
          <w:cantSplit/>
        </w:trPr>
        <w:tc>
          <w:tcPr>
            <w:tcW w:w="2526" w:type="pct"/>
            <w:tcBorders>
              <w:bottom w:val="single" w:sz="4" w:space="0" w:color="auto"/>
            </w:tcBorders>
            <w:tcMar>
              <w:left w:w="20" w:type="dxa"/>
              <w:right w:w="20" w:type="dxa"/>
            </w:tcMar>
            <w:vAlign w:val="center"/>
          </w:tcPr>
          <w:p w14:paraId="671A6B68" w14:textId="77777777" w:rsidR="00763EF2" w:rsidRPr="00427986" w:rsidRDefault="00763EF2" w:rsidP="00CB4A1F">
            <w:pPr>
              <w:keepNext/>
              <w:jc w:val="left"/>
              <w:rPr>
                <w:rFonts w:ascii="Arial Narrow" w:eastAsiaTheme="majorEastAsia" w:hAnsi="Arial Narrow" w:cstheme="majorBidi"/>
                <w:b/>
                <w:bCs/>
                <w:sz w:val="20"/>
              </w:rPr>
            </w:pPr>
            <w:r w:rsidRPr="00427986">
              <w:rPr>
                <w:rFonts w:ascii="Arial Narrow" w:eastAsiaTheme="majorEastAsia" w:hAnsi="Arial Narrow" w:cstheme="majorBidi"/>
                <w:b/>
                <w:bCs/>
                <w:sz w:val="20"/>
              </w:rPr>
              <w:t>Base case</w:t>
            </w:r>
          </w:p>
        </w:tc>
        <w:tc>
          <w:tcPr>
            <w:tcW w:w="665" w:type="pct"/>
            <w:tcBorders>
              <w:bottom w:val="single" w:sz="4" w:space="0" w:color="auto"/>
            </w:tcBorders>
            <w:tcMar>
              <w:left w:w="20" w:type="dxa"/>
              <w:right w:w="20" w:type="dxa"/>
            </w:tcMar>
            <w:vAlign w:val="center"/>
          </w:tcPr>
          <w:p w14:paraId="7B976E16" w14:textId="01902DFA" w:rsidR="00763EF2" w:rsidRPr="00427986" w:rsidRDefault="005860C6" w:rsidP="00CB4A1F">
            <w:pPr>
              <w:keepNext/>
              <w:jc w:val="center"/>
              <w:rPr>
                <w:rFonts w:ascii="Arial Narrow" w:eastAsiaTheme="majorEastAsia" w:hAnsi="Arial Narrow" w:cstheme="majorBidi"/>
                <w:b/>
                <w:bCs/>
                <w:sz w:val="20"/>
                <w:highlight w:val="black"/>
              </w:rPr>
            </w:pPr>
            <w:r>
              <w:rPr>
                <w:rFonts w:ascii="Arial Narrow" w:eastAsia="Calibri" w:hAnsi="Arial Narrow" w:cstheme="majorBidi"/>
                <w:b/>
                <w:bCs/>
                <w:sz w:val="20"/>
                <w:szCs w:val="20"/>
              </w:rPr>
              <w:t xml:space="preserve"> </w:t>
            </w:r>
            <w:r w:rsidRPr="005860C6">
              <w:rPr>
                <w:rFonts w:ascii="Arial Narrow" w:eastAsia="Calibri" w:hAnsi="Arial Narrow" w:cstheme="majorBidi" w:hint="eastAsia"/>
                <w:b/>
                <w:bCs/>
                <w:color w:val="000000"/>
                <w:w w:val="15"/>
                <w:sz w:val="20"/>
                <w:szCs w:val="20"/>
                <w:shd w:val="solid" w:color="000000" w:fill="000000"/>
                <w:fitText w:val="40" w:id="-1032107252"/>
                <w14:textFill>
                  <w14:solidFill>
                    <w14:srgbClr w14:val="000000">
                      <w14:alpha w14:val="100000"/>
                    </w14:srgbClr>
                  </w14:solidFill>
                </w14:textFill>
              </w:rPr>
              <w:t xml:space="preserve">　</w:t>
            </w:r>
            <w:r w:rsidRPr="005860C6">
              <w:rPr>
                <w:rFonts w:ascii="Arial Narrow" w:eastAsia="Calibri" w:hAnsi="Arial Narrow" w:cstheme="majorBidi"/>
                <w:b/>
                <w:bCs/>
                <w:color w:val="000000"/>
                <w:w w:val="15"/>
                <w:sz w:val="20"/>
                <w:szCs w:val="20"/>
                <w:shd w:val="solid" w:color="000000" w:fill="000000"/>
                <w:fitText w:val="40" w:id="-1032107252"/>
                <w14:textFill>
                  <w14:solidFill>
                    <w14:srgbClr w14:val="000000">
                      <w14:alpha w14:val="100000"/>
                    </w14:srgbClr>
                  </w14:solidFill>
                </w14:textFill>
              </w:rPr>
              <w:t>|</w:t>
            </w:r>
            <w:r w:rsidRPr="005860C6">
              <w:rPr>
                <w:rFonts w:ascii="Arial Narrow" w:eastAsia="Calibri" w:hAnsi="Arial Narrow" w:cstheme="majorBidi" w:hint="eastAsia"/>
                <w:b/>
                <w:bCs/>
                <w:color w:val="000000"/>
                <w:spacing w:val="-26"/>
                <w:w w:val="15"/>
                <w:sz w:val="20"/>
                <w:szCs w:val="20"/>
                <w:shd w:val="solid" w:color="000000" w:fill="000000"/>
                <w:fitText w:val="40" w:id="-1032107252"/>
                <w14:textFill>
                  <w14:solidFill>
                    <w14:srgbClr w14:val="000000">
                      <w14:alpha w14:val="100000"/>
                    </w14:srgbClr>
                  </w14:solidFill>
                </w14:textFill>
              </w:rPr>
              <w:t xml:space="preserve">　</w:t>
            </w:r>
            <w:r w:rsidR="00B058EE">
              <w:rPr>
                <w:rFonts w:ascii="Arial Narrow" w:eastAsia="Calibri" w:hAnsi="Arial Narrow" w:cstheme="majorBidi"/>
                <w:b/>
                <w:bCs/>
                <w:sz w:val="20"/>
                <w:szCs w:val="20"/>
              </w:rPr>
              <w:t xml:space="preserve"> </w:t>
            </w:r>
          </w:p>
        </w:tc>
        <w:tc>
          <w:tcPr>
            <w:tcW w:w="666" w:type="pct"/>
            <w:tcBorders>
              <w:bottom w:val="single" w:sz="4" w:space="0" w:color="auto"/>
            </w:tcBorders>
            <w:tcMar>
              <w:left w:w="20" w:type="dxa"/>
              <w:right w:w="20" w:type="dxa"/>
            </w:tcMar>
            <w:vAlign w:val="center"/>
          </w:tcPr>
          <w:p w14:paraId="7B67451D" w14:textId="77777777" w:rsidR="00763EF2" w:rsidRPr="00427986" w:rsidRDefault="00763EF2" w:rsidP="00CB4A1F">
            <w:pPr>
              <w:keepNext/>
              <w:jc w:val="center"/>
              <w:rPr>
                <w:rFonts w:ascii="Arial Narrow" w:eastAsiaTheme="majorEastAsia" w:hAnsi="Arial Narrow" w:cstheme="majorBidi"/>
                <w:b/>
                <w:bCs/>
                <w:sz w:val="20"/>
              </w:rPr>
            </w:pPr>
            <w:r w:rsidRPr="00427986">
              <w:rPr>
                <w:rFonts w:ascii="Arial Narrow" w:eastAsia="Calibri" w:hAnsi="Arial Narrow" w:cstheme="majorBidi"/>
                <w:b/>
                <w:bCs/>
                <w:sz w:val="20"/>
                <w:szCs w:val="20"/>
              </w:rPr>
              <w:t>0.18</w:t>
            </w:r>
          </w:p>
        </w:tc>
        <w:tc>
          <w:tcPr>
            <w:tcW w:w="598" w:type="pct"/>
            <w:tcBorders>
              <w:bottom w:val="single" w:sz="4" w:space="0" w:color="auto"/>
            </w:tcBorders>
            <w:tcMar>
              <w:left w:w="20" w:type="dxa"/>
              <w:right w:w="20" w:type="dxa"/>
            </w:tcMar>
            <w:vAlign w:val="center"/>
          </w:tcPr>
          <w:p w14:paraId="43D364F1" w14:textId="3CE54EB9" w:rsidR="00763EF2" w:rsidRPr="00427986" w:rsidRDefault="005860C6" w:rsidP="00CB4A1F">
            <w:pPr>
              <w:keepNext/>
              <w:jc w:val="center"/>
              <w:rPr>
                <w:rFonts w:ascii="Arial Narrow" w:eastAsiaTheme="majorEastAsia" w:hAnsi="Arial Narrow" w:cstheme="majorBidi"/>
                <w:b/>
                <w:bCs/>
                <w:sz w:val="20"/>
                <w:highlight w:val="black"/>
              </w:rPr>
            </w:pPr>
            <w:r>
              <w:rPr>
                <w:rFonts w:ascii="Arial Narrow" w:eastAsia="Calibri" w:hAnsi="Arial Narrow" w:cstheme="majorBidi"/>
                <w:b/>
                <w:bCs/>
                <w:sz w:val="20"/>
                <w:szCs w:val="20"/>
              </w:rPr>
              <w:t xml:space="preserve"> </w:t>
            </w:r>
            <w:r w:rsidRPr="005860C6">
              <w:rPr>
                <w:rFonts w:ascii="Arial Narrow" w:eastAsia="Calibri" w:hAnsi="Arial Narrow" w:cstheme="majorBidi" w:hint="eastAsia"/>
                <w:b/>
                <w:bCs/>
                <w:color w:val="000000"/>
                <w:w w:val="29"/>
                <w:sz w:val="20"/>
                <w:szCs w:val="20"/>
                <w:shd w:val="solid" w:color="000000" w:fill="000000"/>
                <w:fitText w:val="130" w:id="-1032107251"/>
                <w14:textFill>
                  <w14:solidFill>
                    <w14:srgbClr w14:val="000000">
                      <w14:alpha w14:val="100000"/>
                    </w14:srgbClr>
                  </w14:solidFill>
                </w14:textFill>
              </w:rPr>
              <w:t xml:space="preserve">　</w:t>
            </w:r>
            <w:r w:rsidRPr="005860C6">
              <w:rPr>
                <w:rFonts w:ascii="Arial Narrow" w:eastAsia="Calibri" w:hAnsi="Arial Narrow" w:cstheme="majorBidi"/>
                <w:b/>
                <w:bCs/>
                <w:color w:val="000000"/>
                <w:w w:val="29"/>
                <w:sz w:val="20"/>
                <w:szCs w:val="20"/>
                <w:shd w:val="solid" w:color="000000" w:fill="000000"/>
                <w:fitText w:val="130" w:id="-1032107251"/>
                <w14:textFill>
                  <w14:solidFill>
                    <w14:srgbClr w14:val="000000">
                      <w14:alpha w14:val="100000"/>
                    </w14:srgbClr>
                  </w14:solidFill>
                </w14:textFill>
              </w:rPr>
              <w:t>|</w:t>
            </w:r>
            <w:r w:rsidRPr="005860C6">
              <w:rPr>
                <w:rFonts w:ascii="Arial Narrow" w:eastAsia="Calibri" w:hAnsi="Arial Narrow" w:cstheme="majorBidi" w:hint="eastAsia"/>
                <w:b/>
                <w:bCs/>
                <w:color w:val="000000"/>
                <w:spacing w:val="1"/>
                <w:w w:val="29"/>
                <w:sz w:val="20"/>
                <w:szCs w:val="20"/>
                <w:shd w:val="solid" w:color="000000" w:fill="000000"/>
                <w:fitText w:val="130" w:id="-1032107251"/>
                <w14:textFill>
                  <w14:solidFill>
                    <w14:srgbClr w14:val="000000">
                      <w14:alpha w14:val="100000"/>
                    </w14:srgbClr>
                  </w14:solidFill>
                </w14:textFill>
              </w:rPr>
              <w:t xml:space="preserve">　</w:t>
            </w:r>
            <w:r w:rsidR="002001F2">
              <w:rPr>
                <w:rFonts w:ascii="Arial Narrow" w:eastAsiaTheme="majorEastAsia" w:hAnsi="Arial Narrow" w:cstheme="majorBidi"/>
                <w:bCs/>
                <w:sz w:val="20"/>
                <w:szCs w:val="20"/>
                <w:vertAlign w:val="superscript"/>
              </w:rPr>
              <w:t>1</w:t>
            </w:r>
          </w:p>
        </w:tc>
        <w:tc>
          <w:tcPr>
            <w:tcW w:w="545" w:type="pct"/>
            <w:tcBorders>
              <w:bottom w:val="single" w:sz="4" w:space="0" w:color="auto"/>
            </w:tcBorders>
            <w:tcMar>
              <w:left w:w="20" w:type="dxa"/>
              <w:right w:w="20" w:type="dxa"/>
            </w:tcMar>
            <w:vAlign w:val="center"/>
          </w:tcPr>
          <w:p w14:paraId="1FD451B0" w14:textId="77777777" w:rsidR="00763EF2" w:rsidRPr="00427986" w:rsidRDefault="00763EF2" w:rsidP="00CB4A1F">
            <w:pPr>
              <w:keepNext/>
              <w:jc w:val="center"/>
              <w:rPr>
                <w:rFonts w:ascii="Arial Narrow" w:eastAsia="Calibri" w:hAnsi="Arial Narrow" w:cstheme="majorBidi"/>
                <w:b/>
                <w:bCs/>
                <w:sz w:val="20"/>
                <w:szCs w:val="20"/>
              </w:rPr>
            </w:pPr>
            <w:r w:rsidRPr="00427986">
              <w:rPr>
                <w:rFonts w:ascii="Arial Narrow" w:eastAsia="Calibri" w:hAnsi="Arial Narrow" w:cstheme="majorBidi"/>
                <w:b/>
                <w:bCs/>
                <w:sz w:val="20"/>
                <w:szCs w:val="20"/>
              </w:rPr>
              <w:t>−</w:t>
            </w:r>
          </w:p>
        </w:tc>
      </w:tr>
      <w:tr w:rsidR="006923D6" w:rsidRPr="00427986" w14:paraId="46EBC762" w14:textId="77777777" w:rsidTr="00E120DC">
        <w:trPr>
          <w:cantSplit/>
        </w:trPr>
        <w:tc>
          <w:tcPr>
            <w:tcW w:w="5000" w:type="pct"/>
            <w:gridSpan w:val="5"/>
            <w:tcBorders>
              <w:bottom w:val="single" w:sz="4" w:space="0" w:color="auto"/>
            </w:tcBorders>
            <w:tcMar>
              <w:left w:w="20" w:type="dxa"/>
              <w:right w:w="20" w:type="dxa"/>
            </w:tcMar>
            <w:vAlign w:val="center"/>
          </w:tcPr>
          <w:p w14:paraId="4FE608C8" w14:textId="044C4B4D" w:rsidR="006923D6" w:rsidRPr="00427986" w:rsidRDefault="006923D6" w:rsidP="006923D6">
            <w:pPr>
              <w:keepNext/>
              <w:jc w:val="left"/>
              <w:rPr>
                <w:rFonts w:ascii="Arial Narrow" w:eastAsia="Calibri" w:hAnsi="Arial Narrow" w:cstheme="majorBidi"/>
                <w:b/>
                <w:bCs/>
                <w:sz w:val="20"/>
                <w:szCs w:val="20"/>
              </w:rPr>
            </w:pPr>
            <w:r w:rsidRPr="00427986">
              <w:rPr>
                <w:rFonts w:ascii="Arial Narrow" w:eastAsiaTheme="majorEastAsia" w:hAnsi="Arial Narrow" w:cstheme="majorBidi"/>
                <w:b/>
                <w:bCs/>
                <w:sz w:val="20"/>
              </w:rPr>
              <w:t>Univariate sensitivity analyses</w:t>
            </w:r>
          </w:p>
        </w:tc>
      </w:tr>
      <w:tr w:rsidR="00AF1E6C" w:rsidRPr="00427986" w14:paraId="0292B1FD" w14:textId="77777777" w:rsidTr="00E120DC">
        <w:trPr>
          <w:cantSplit/>
        </w:trPr>
        <w:tc>
          <w:tcPr>
            <w:tcW w:w="5000" w:type="pct"/>
            <w:gridSpan w:val="5"/>
            <w:tcBorders>
              <w:bottom w:val="nil"/>
            </w:tcBorders>
            <w:tcMar>
              <w:left w:w="20" w:type="dxa"/>
              <w:right w:w="20" w:type="dxa"/>
            </w:tcMar>
            <w:vAlign w:val="center"/>
          </w:tcPr>
          <w:p w14:paraId="1FC924BA" w14:textId="52363461" w:rsidR="00AF1E6C" w:rsidRPr="00427986" w:rsidRDefault="00AF1E6C" w:rsidP="00E120DC">
            <w:pPr>
              <w:keepNext/>
              <w:jc w:val="left"/>
              <w:rPr>
                <w:rFonts w:ascii="Arial Narrow" w:eastAsiaTheme="majorEastAsia" w:hAnsi="Arial Narrow" w:cstheme="majorBidi"/>
                <w:bCs/>
                <w:sz w:val="20"/>
              </w:rPr>
            </w:pPr>
            <w:r w:rsidRPr="00427986">
              <w:rPr>
                <w:rFonts w:ascii="Arial Narrow" w:eastAsiaTheme="majorEastAsia" w:hAnsi="Arial Narrow" w:cstheme="majorBidi"/>
                <w:bCs/>
                <w:sz w:val="20"/>
              </w:rPr>
              <w:t>Utilities (base case: literature-based using Fordham 2015: pre-progression = 0.87, post-progression = 0.520)</w:t>
            </w:r>
          </w:p>
        </w:tc>
      </w:tr>
      <w:tr w:rsidR="00763EF2" w:rsidRPr="00427986" w14:paraId="1374DD38" w14:textId="77777777" w:rsidTr="00E120DC">
        <w:trPr>
          <w:cantSplit/>
        </w:trPr>
        <w:tc>
          <w:tcPr>
            <w:tcW w:w="2526" w:type="pct"/>
            <w:tcBorders>
              <w:top w:val="nil"/>
              <w:bottom w:val="nil"/>
            </w:tcBorders>
            <w:tcMar>
              <w:left w:w="20" w:type="dxa"/>
              <w:right w:w="20" w:type="dxa"/>
            </w:tcMar>
            <w:vAlign w:val="center"/>
          </w:tcPr>
          <w:p w14:paraId="50C2F626" w14:textId="1BAB04F1" w:rsidR="00763EF2" w:rsidRPr="00427986" w:rsidRDefault="00763EF2" w:rsidP="00CB4A1F">
            <w:pPr>
              <w:keepNext/>
              <w:ind w:left="113"/>
              <w:jc w:val="left"/>
              <w:rPr>
                <w:rFonts w:ascii="Arial Narrow" w:eastAsiaTheme="majorEastAsia" w:hAnsi="Arial Narrow" w:cstheme="majorBidi"/>
                <w:bCs/>
                <w:sz w:val="20"/>
              </w:rPr>
            </w:pPr>
            <w:r w:rsidRPr="00427986">
              <w:rPr>
                <w:rFonts w:ascii="Arial Narrow" w:eastAsiaTheme="majorEastAsia" w:hAnsi="Arial Narrow" w:cstheme="majorBidi"/>
                <w:bCs/>
                <w:sz w:val="20"/>
              </w:rPr>
              <w:t xml:space="preserve">Trial-based (pre </w:t>
            </w:r>
            <w:r w:rsidR="000A280B" w:rsidRPr="00427986">
              <w:rPr>
                <w:rFonts w:ascii="Arial Narrow" w:eastAsiaTheme="majorEastAsia" w:hAnsi="Arial Narrow" w:cstheme="majorBidi"/>
                <w:bCs/>
                <w:sz w:val="20"/>
              </w:rPr>
              <w:t xml:space="preserve">= </w:t>
            </w:r>
            <w:r w:rsidRPr="00427986">
              <w:rPr>
                <w:rFonts w:ascii="Arial Narrow" w:eastAsiaTheme="majorEastAsia" w:hAnsi="Arial Narrow" w:cstheme="majorBidi"/>
                <w:bCs/>
                <w:sz w:val="20"/>
              </w:rPr>
              <w:t xml:space="preserve">0.692, </w:t>
            </w:r>
            <w:r w:rsidR="00AF1E6C" w:rsidRPr="00427986">
              <w:rPr>
                <w:rFonts w:ascii="Arial Narrow" w:eastAsiaTheme="majorEastAsia" w:hAnsi="Arial Narrow" w:cstheme="majorBidi"/>
                <w:bCs/>
                <w:sz w:val="20"/>
              </w:rPr>
              <w:t xml:space="preserve">post </w:t>
            </w:r>
            <w:r w:rsidR="000A280B" w:rsidRPr="00427986">
              <w:rPr>
                <w:rFonts w:ascii="Arial Narrow" w:eastAsiaTheme="majorEastAsia" w:hAnsi="Arial Narrow" w:cstheme="majorBidi"/>
                <w:bCs/>
                <w:sz w:val="20"/>
              </w:rPr>
              <w:t xml:space="preserve">= </w:t>
            </w:r>
            <w:r w:rsidRPr="00427986">
              <w:rPr>
                <w:rFonts w:ascii="Arial Narrow" w:eastAsiaTheme="majorEastAsia" w:hAnsi="Arial Narrow" w:cstheme="majorBidi"/>
                <w:bCs/>
                <w:sz w:val="20"/>
              </w:rPr>
              <w:t>0.674) [A]</w:t>
            </w:r>
          </w:p>
        </w:tc>
        <w:tc>
          <w:tcPr>
            <w:tcW w:w="665" w:type="pct"/>
            <w:tcBorders>
              <w:top w:val="nil"/>
              <w:bottom w:val="nil"/>
            </w:tcBorders>
            <w:tcMar>
              <w:left w:w="20" w:type="dxa"/>
              <w:right w:w="20" w:type="dxa"/>
            </w:tcMar>
            <w:vAlign w:val="center"/>
          </w:tcPr>
          <w:p w14:paraId="6269F555" w14:textId="7454BCDC"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66" w:type="pct"/>
            <w:tcBorders>
              <w:top w:val="nil"/>
              <w:bottom w:val="nil"/>
            </w:tcBorders>
            <w:tcMar>
              <w:left w:w="20" w:type="dxa"/>
              <w:right w:w="20" w:type="dxa"/>
            </w:tcMar>
            <w:vAlign w:val="center"/>
          </w:tcPr>
          <w:p w14:paraId="15F5B372" w14:textId="77777777" w:rsidR="00763EF2" w:rsidRPr="00427986" w:rsidRDefault="00763EF2" w:rsidP="00CB4A1F">
            <w:pPr>
              <w:keepNext/>
              <w:jc w:val="center"/>
              <w:rPr>
                <w:rFonts w:ascii="Arial Narrow" w:eastAsiaTheme="majorEastAsia" w:hAnsi="Arial Narrow" w:cstheme="majorBidi"/>
                <w:bCs/>
                <w:sz w:val="20"/>
              </w:rPr>
            </w:pPr>
            <w:r w:rsidRPr="00427986">
              <w:rPr>
                <w:rFonts w:ascii="Arial Narrow" w:eastAsiaTheme="majorEastAsia" w:hAnsi="Arial Narrow" w:cstheme="majorBidi"/>
                <w:bCs/>
                <w:sz w:val="20"/>
                <w:szCs w:val="20"/>
              </w:rPr>
              <w:t>0.063</w:t>
            </w:r>
          </w:p>
        </w:tc>
        <w:tc>
          <w:tcPr>
            <w:tcW w:w="598" w:type="pct"/>
            <w:tcBorders>
              <w:top w:val="nil"/>
              <w:bottom w:val="nil"/>
            </w:tcBorders>
            <w:tcMar>
              <w:left w:w="20" w:type="dxa"/>
              <w:right w:w="20" w:type="dxa"/>
            </w:tcMar>
            <w:vAlign w:val="center"/>
          </w:tcPr>
          <w:p w14:paraId="0DF1CFAB" w14:textId="2CEEBB88"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8"/>
                <w:sz w:val="20"/>
                <w:szCs w:val="20"/>
                <w:shd w:val="solid" w:color="000000" w:fill="000000"/>
                <w:fitText w:val="80" w:id="-1032107250"/>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8"/>
                <w:sz w:val="20"/>
                <w:szCs w:val="20"/>
                <w:shd w:val="solid" w:color="000000" w:fill="000000"/>
                <w:fitText w:val="80" w:id="-1032107250"/>
                <w14:textFill>
                  <w14:solidFill>
                    <w14:srgbClr w14:val="000000">
                      <w14:alpha w14:val="100000"/>
                    </w14:srgbClr>
                  </w14:solidFill>
                </w14:textFill>
              </w:rPr>
              <w:t>|</w:t>
            </w:r>
            <w:r w:rsidRPr="005860C6">
              <w:rPr>
                <w:rFonts w:ascii="Arial Narrow" w:eastAsiaTheme="majorEastAsia" w:hAnsi="Arial Narrow" w:cstheme="majorBidi" w:hint="eastAsia"/>
                <w:bCs/>
                <w:color w:val="000000"/>
                <w:w w:val="18"/>
                <w:sz w:val="20"/>
                <w:szCs w:val="20"/>
                <w:shd w:val="solid" w:color="000000" w:fill="000000"/>
                <w:fitText w:val="80" w:id="-1032107250"/>
                <w14:textFill>
                  <w14:solidFill>
                    <w14:srgbClr w14:val="000000">
                      <w14:alpha w14:val="100000"/>
                    </w14:srgbClr>
                  </w14:solidFill>
                </w14:textFill>
              </w:rPr>
              <w:t xml:space="preserve">　</w:t>
            </w:r>
            <w:r w:rsidR="002001F2">
              <w:rPr>
                <w:rFonts w:ascii="Arial Narrow" w:eastAsiaTheme="majorEastAsia" w:hAnsi="Arial Narrow" w:cstheme="majorBidi"/>
                <w:bCs/>
                <w:sz w:val="20"/>
                <w:szCs w:val="20"/>
                <w:vertAlign w:val="superscript"/>
              </w:rPr>
              <w:t>2</w:t>
            </w:r>
          </w:p>
        </w:tc>
        <w:tc>
          <w:tcPr>
            <w:tcW w:w="545" w:type="pct"/>
            <w:tcBorders>
              <w:top w:val="nil"/>
              <w:bottom w:val="nil"/>
            </w:tcBorders>
            <w:tcMar>
              <w:left w:w="20" w:type="dxa"/>
              <w:right w:w="20" w:type="dxa"/>
            </w:tcMar>
            <w:vAlign w:val="center"/>
          </w:tcPr>
          <w:p w14:paraId="10B88FE4" w14:textId="032479E2" w:rsidR="00763EF2" w:rsidRPr="00D22B13" w:rsidRDefault="005860C6" w:rsidP="00CB4A1F">
            <w:pPr>
              <w:keepNext/>
              <w:jc w:val="center"/>
              <w:rPr>
                <w:rFonts w:ascii="Arial Narrow" w:eastAsia="Calibri" w:hAnsi="Arial Narrow" w:cstheme="majorBidi"/>
                <w:bCs/>
                <w:sz w:val="20"/>
                <w:szCs w:val="20"/>
                <w:highlight w:val="darkGray"/>
              </w:rPr>
            </w:pPr>
            <w:r>
              <w:rPr>
                <w:rFonts w:ascii="Arial Narrow" w:eastAsia="Calibri" w:hAnsi="Arial Narrow" w:cstheme="majorBidi"/>
                <w:bCs/>
                <w:sz w:val="20"/>
                <w:szCs w:val="20"/>
              </w:rPr>
              <w:t xml:space="preserve"> </w:t>
            </w:r>
            <w:r w:rsidRPr="005860C6">
              <w:rPr>
                <w:rFonts w:ascii="Arial Narrow" w:eastAsia="Calibri" w:hAnsi="Arial Narrow" w:cstheme="majorBidi" w:hint="eastAsia"/>
                <w:bCs/>
                <w:color w:val="000000"/>
                <w:w w:val="22"/>
                <w:sz w:val="20"/>
                <w:szCs w:val="20"/>
                <w:shd w:val="solid" w:color="000000" w:fill="000000"/>
                <w:fitText w:val="100" w:id="-1032107249"/>
                <w14:textFill>
                  <w14:solidFill>
                    <w14:srgbClr w14:val="000000">
                      <w14:alpha w14:val="100000"/>
                    </w14:srgbClr>
                  </w14:solidFill>
                </w14:textFill>
              </w:rPr>
              <w:t xml:space="preserve">　</w:t>
            </w:r>
            <w:r w:rsidRPr="005860C6">
              <w:rPr>
                <w:rFonts w:ascii="Arial Narrow" w:eastAsia="Calibri" w:hAnsi="Arial Narrow" w:cstheme="majorBidi"/>
                <w:bCs/>
                <w:color w:val="000000"/>
                <w:w w:val="22"/>
                <w:sz w:val="20"/>
                <w:szCs w:val="20"/>
                <w:shd w:val="solid" w:color="000000" w:fill="000000"/>
                <w:fitText w:val="100" w:id="-1032107249"/>
                <w14:textFill>
                  <w14:solidFill>
                    <w14:srgbClr w14:val="000000">
                      <w14:alpha w14:val="100000"/>
                    </w14:srgbClr>
                  </w14:solidFill>
                </w14:textFill>
              </w:rPr>
              <w:t>|</w:t>
            </w:r>
            <w:r w:rsidRPr="005860C6">
              <w:rPr>
                <w:rFonts w:ascii="Arial Narrow" w:eastAsia="Calibri" w:hAnsi="Arial Narrow" w:cstheme="majorBidi" w:hint="eastAsia"/>
                <w:bCs/>
                <w:color w:val="000000"/>
                <w:spacing w:val="3"/>
                <w:w w:val="22"/>
                <w:sz w:val="20"/>
                <w:szCs w:val="20"/>
                <w:shd w:val="solid" w:color="000000" w:fill="000000"/>
                <w:fitText w:val="100" w:id="-1032107249"/>
                <w14:textFill>
                  <w14:solidFill>
                    <w14:srgbClr w14:val="000000">
                      <w14:alpha w14:val="100000"/>
                    </w14:srgbClr>
                  </w14:solidFill>
                </w14:textFill>
              </w:rPr>
              <w:t xml:space="preserve">　</w:t>
            </w:r>
          </w:p>
        </w:tc>
      </w:tr>
      <w:tr w:rsidR="00763EF2" w:rsidRPr="00427986" w14:paraId="53B4316C" w14:textId="77777777" w:rsidTr="00E120DC">
        <w:trPr>
          <w:cantSplit/>
          <w:trHeight w:val="70"/>
        </w:trPr>
        <w:tc>
          <w:tcPr>
            <w:tcW w:w="2526" w:type="pct"/>
            <w:tcBorders>
              <w:top w:val="nil"/>
              <w:bottom w:val="nil"/>
            </w:tcBorders>
            <w:tcMar>
              <w:left w:w="20" w:type="dxa"/>
              <w:right w:w="20" w:type="dxa"/>
            </w:tcMar>
            <w:vAlign w:val="center"/>
          </w:tcPr>
          <w:p w14:paraId="05577A73" w14:textId="0AE95D62" w:rsidR="00763EF2" w:rsidRPr="00427986" w:rsidRDefault="00763EF2" w:rsidP="00CB4A1F">
            <w:pPr>
              <w:keepNext/>
              <w:ind w:left="113"/>
              <w:jc w:val="left"/>
              <w:rPr>
                <w:rFonts w:ascii="Arial Narrow" w:eastAsiaTheme="majorEastAsia" w:hAnsi="Arial Narrow" w:cstheme="majorBidi"/>
                <w:bCs/>
                <w:sz w:val="20"/>
                <w:vertAlign w:val="superscript"/>
              </w:rPr>
            </w:pPr>
            <w:r w:rsidRPr="00427986">
              <w:rPr>
                <w:rFonts w:ascii="Arial Narrow" w:eastAsiaTheme="majorEastAsia" w:hAnsi="Arial Narrow" w:cstheme="majorBidi"/>
                <w:bCs/>
                <w:sz w:val="20"/>
              </w:rPr>
              <w:t>NICE TA535 (</w:t>
            </w:r>
            <w:r w:rsidR="00AF1E6C" w:rsidRPr="00427986">
              <w:rPr>
                <w:rFonts w:ascii="Arial Narrow" w:eastAsiaTheme="majorEastAsia" w:hAnsi="Arial Narrow" w:cstheme="majorBidi"/>
                <w:bCs/>
                <w:sz w:val="20"/>
              </w:rPr>
              <w:t>pre</w:t>
            </w:r>
            <w:r w:rsidRPr="00427986">
              <w:rPr>
                <w:rFonts w:ascii="Arial Narrow" w:eastAsiaTheme="majorEastAsia" w:hAnsi="Arial Narrow" w:cstheme="majorBidi"/>
                <w:bCs/>
                <w:sz w:val="20"/>
              </w:rPr>
              <w:t xml:space="preserve"> </w:t>
            </w:r>
            <w:r w:rsidR="000A280B" w:rsidRPr="00427986">
              <w:rPr>
                <w:rFonts w:ascii="Arial Narrow" w:eastAsiaTheme="majorEastAsia" w:hAnsi="Arial Narrow" w:cstheme="majorBidi"/>
                <w:bCs/>
                <w:sz w:val="20"/>
              </w:rPr>
              <w:t xml:space="preserve">= </w:t>
            </w:r>
            <w:r w:rsidRPr="00427986">
              <w:rPr>
                <w:rFonts w:ascii="Arial Narrow" w:eastAsiaTheme="majorEastAsia" w:hAnsi="Arial Narrow" w:cstheme="majorBidi"/>
                <w:bCs/>
                <w:sz w:val="20"/>
              </w:rPr>
              <w:t xml:space="preserve">0.720, </w:t>
            </w:r>
            <w:r w:rsidR="00AF1E6C" w:rsidRPr="00427986">
              <w:rPr>
                <w:rFonts w:ascii="Arial Narrow" w:eastAsiaTheme="majorEastAsia" w:hAnsi="Arial Narrow" w:cstheme="majorBidi"/>
                <w:bCs/>
                <w:sz w:val="20"/>
              </w:rPr>
              <w:t xml:space="preserve">post </w:t>
            </w:r>
            <w:r w:rsidR="000A280B" w:rsidRPr="00427986">
              <w:rPr>
                <w:rFonts w:ascii="Arial Narrow" w:eastAsiaTheme="majorEastAsia" w:hAnsi="Arial Narrow" w:cstheme="majorBidi"/>
                <w:bCs/>
                <w:sz w:val="20"/>
              </w:rPr>
              <w:t xml:space="preserve">= </w:t>
            </w:r>
            <w:r w:rsidRPr="00427986">
              <w:rPr>
                <w:rFonts w:ascii="Arial Narrow" w:eastAsiaTheme="majorEastAsia" w:hAnsi="Arial Narrow" w:cstheme="majorBidi"/>
                <w:bCs/>
                <w:sz w:val="20"/>
              </w:rPr>
              <w:t>0.640)</w:t>
            </w:r>
          </w:p>
        </w:tc>
        <w:tc>
          <w:tcPr>
            <w:tcW w:w="665" w:type="pct"/>
            <w:tcBorders>
              <w:top w:val="nil"/>
              <w:bottom w:val="nil"/>
            </w:tcBorders>
            <w:tcMar>
              <w:left w:w="20" w:type="dxa"/>
              <w:right w:w="20" w:type="dxa"/>
            </w:tcMar>
            <w:vAlign w:val="center"/>
          </w:tcPr>
          <w:p w14:paraId="08013DBC" w14:textId="4B526CC9"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66" w:type="pct"/>
            <w:tcBorders>
              <w:top w:val="nil"/>
              <w:bottom w:val="nil"/>
            </w:tcBorders>
            <w:tcMar>
              <w:left w:w="20" w:type="dxa"/>
              <w:right w:w="20" w:type="dxa"/>
            </w:tcMar>
            <w:vAlign w:val="center"/>
          </w:tcPr>
          <w:p w14:paraId="32AA125D" w14:textId="77777777" w:rsidR="00763EF2" w:rsidRPr="00427986" w:rsidRDefault="00763EF2" w:rsidP="00CB4A1F">
            <w:pPr>
              <w:keepNext/>
              <w:jc w:val="center"/>
              <w:rPr>
                <w:rFonts w:ascii="Arial Narrow" w:eastAsiaTheme="majorEastAsia" w:hAnsi="Arial Narrow" w:cstheme="majorBidi"/>
                <w:bCs/>
                <w:sz w:val="20"/>
              </w:rPr>
            </w:pPr>
            <w:r w:rsidRPr="00427986">
              <w:rPr>
                <w:rFonts w:ascii="Arial Narrow" w:eastAsiaTheme="majorEastAsia" w:hAnsi="Arial Narrow" w:cstheme="majorBidi"/>
                <w:bCs/>
                <w:sz w:val="20"/>
                <w:szCs w:val="20"/>
              </w:rPr>
              <w:t>0.084</w:t>
            </w:r>
          </w:p>
        </w:tc>
        <w:tc>
          <w:tcPr>
            <w:tcW w:w="598" w:type="pct"/>
            <w:tcBorders>
              <w:top w:val="nil"/>
              <w:bottom w:val="nil"/>
            </w:tcBorders>
            <w:tcMar>
              <w:left w:w="20" w:type="dxa"/>
              <w:right w:w="20" w:type="dxa"/>
            </w:tcMar>
            <w:vAlign w:val="center"/>
          </w:tcPr>
          <w:p w14:paraId="418F550C" w14:textId="10E11D76"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8"/>
                <w:sz w:val="20"/>
                <w:szCs w:val="20"/>
                <w:shd w:val="solid" w:color="000000" w:fill="000000"/>
                <w:fitText w:val="80" w:id="-1032107248"/>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8"/>
                <w:sz w:val="20"/>
                <w:szCs w:val="20"/>
                <w:shd w:val="solid" w:color="000000" w:fill="000000"/>
                <w:fitText w:val="80" w:id="-1032107248"/>
                <w14:textFill>
                  <w14:solidFill>
                    <w14:srgbClr w14:val="000000">
                      <w14:alpha w14:val="100000"/>
                    </w14:srgbClr>
                  </w14:solidFill>
                </w14:textFill>
              </w:rPr>
              <w:t>|</w:t>
            </w:r>
            <w:r w:rsidRPr="005860C6">
              <w:rPr>
                <w:rFonts w:ascii="Arial Narrow" w:eastAsiaTheme="majorEastAsia" w:hAnsi="Arial Narrow" w:cstheme="majorBidi" w:hint="eastAsia"/>
                <w:bCs/>
                <w:color w:val="000000"/>
                <w:w w:val="18"/>
                <w:sz w:val="20"/>
                <w:szCs w:val="20"/>
                <w:shd w:val="solid" w:color="000000" w:fill="000000"/>
                <w:fitText w:val="80" w:id="-1032107248"/>
                <w14:textFill>
                  <w14:solidFill>
                    <w14:srgbClr w14:val="000000">
                      <w14:alpha w14:val="100000"/>
                    </w14:srgbClr>
                  </w14:solidFill>
                </w14:textFill>
              </w:rPr>
              <w:t xml:space="preserve">　</w:t>
            </w:r>
            <w:r w:rsidR="002001F2">
              <w:rPr>
                <w:rFonts w:ascii="Arial Narrow" w:eastAsiaTheme="majorEastAsia" w:hAnsi="Arial Narrow" w:cstheme="majorBidi"/>
                <w:bCs/>
                <w:sz w:val="20"/>
                <w:szCs w:val="20"/>
                <w:vertAlign w:val="superscript"/>
              </w:rPr>
              <w:t>3</w:t>
            </w:r>
          </w:p>
        </w:tc>
        <w:tc>
          <w:tcPr>
            <w:tcW w:w="545" w:type="pct"/>
            <w:tcBorders>
              <w:top w:val="nil"/>
              <w:bottom w:val="nil"/>
            </w:tcBorders>
            <w:tcMar>
              <w:left w:w="20" w:type="dxa"/>
              <w:right w:w="20" w:type="dxa"/>
            </w:tcMar>
            <w:vAlign w:val="center"/>
          </w:tcPr>
          <w:p w14:paraId="32BE9057" w14:textId="2B506FF0" w:rsidR="00763EF2" w:rsidRPr="00D22B13" w:rsidRDefault="005860C6" w:rsidP="00CB4A1F">
            <w:pPr>
              <w:keepNext/>
              <w:jc w:val="center"/>
              <w:rPr>
                <w:rFonts w:ascii="Arial Narrow" w:eastAsia="Calibri" w:hAnsi="Arial Narrow" w:cstheme="majorBidi"/>
                <w:bCs/>
                <w:sz w:val="20"/>
                <w:szCs w:val="20"/>
                <w:highlight w:val="darkGray"/>
              </w:rPr>
            </w:pPr>
            <w:r>
              <w:rPr>
                <w:rFonts w:ascii="Arial Narrow" w:eastAsia="Calibri" w:hAnsi="Arial Narrow" w:cstheme="majorBidi"/>
                <w:bCs/>
                <w:sz w:val="20"/>
                <w:szCs w:val="20"/>
              </w:rPr>
              <w:t xml:space="preserve"> </w:t>
            </w:r>
            <w:r w:rsidRPr="005860C6">
              <w:rPr>
                <w:rFonts w:ascii="Arial Narrow" w:eastAsia="Calibri" w:hAnsi="Arial Narrow" w:cstheme="majorBidi" w:hint="eastAsia"/>
                <w:bCs/>
                <w:color w:val="000000"/>
                <w:w w:val="22"/>
                <w:sz w:val="20"/>
                <w:szCs w:val="20"/>
                <w:shd w:val="solid" w:color="000000" w:fill="000000"/>
                <w:fitText w:val="100" w:id="-1032107264"/>
                <w14:textFill>
                  <w14:solidFill>
                    <w14:srgbClr w14:val="000000">
                      <w14:alpha w14:val="100000"/>
                    </w14:srgbClr>
                  </w14:solidFill>
                </w14:textFill>
              </w:rPr>
              <w:t xml:space="preserve">　</w:t>
            </w:r>
            <w:r w:rsidRPr="005860C6">
              <w:rPr>
                <w:rFonts w:ascii="Arial Narrow" w:eastAsia="Calibri" w:hAnsi="Arial Narrow" w:cstheme="majorBidi"/>
                <w:bCs/>
                <w:color w:val="000000"/>
                <w:w w:val="22"/>
                <w:sz w:val="20"/>
                <w:szCs w:val="20"/>
                <w:shd w:val="solid" w:color="000000" w:fill="000000"/>
                <w:fitText w:val="100" w:id="-1032107264"/>
                <w14:textFill>
                  <w14:solidFill>
                    <w14:srgbClr w14:val="000000">
                      <w14:alpha w14:val="100000"/>
                    </w14:srgbClr>
                  </w14:solidFill>
                </w14:textFill>
              </w:rPr>
              <w:t>|</w:t>
            </w:r>
            <w:r w:rsidRPr="005860C6">
              <w:rPr>
                <w:rFonts w:ascii="Arial Narrow" w:eastAsia="Calibri" w:hAnsi="Arial Narrow" w:cstheme="majorBidi" w:hint="eastAsia"/>
                <w:bCs/>
                <w:color w:val="000000"/>
                <w:spacing w:val="3"/>
                <w:w w:val="22"/>
                <w:sz w:val="20"/>
                <w:szCs w:val="20"/>
                <w:shd w:val="solid" w:color="000000" w:fill="000000"/>
                <w:fitText w:val="100" w:id="-1032107264"/>
                <w14:textFill>
                  <w14:solidFill>
                    <w14:srgbClr w14:val="000000">
                      <w14:alpha w14:val="100000"/>
                    </w14:srgbClr>
                  </w14:solidFill>
                </w14:textFill>
              </w:rPr>
              <w:t xml:space="preserve">　</w:t>
            </w:r>
          </w:p>
        </w:tc>
      </w:tr>
      <w:tr w:rsidR="000A4AC7" w:rsidRPr="00427986" w14:paraId="4879749E" w14:textId="77777777" w:rsidTr="00E120DC">
        <w:trPr>
          <w:cantSplit/>
        </w:trPr>
        <w:tc>
          <w:tcPr>
            <w:tcW w:w="2526" w:type="pct"/>
            <w:tcBorders>
              <w:top w:val="nil"/>
              <w:bottom w:val="single" w:sz="4" w:space="0" w:color="auto"/>
            </w:tcBorders>
            <w:tcMar>
              <w:left w:w="20" w:type="dxa"/>
              <w:right w:w="20" w:type="dxa"/>
            </w:tcMar>
            <w:vAlign w:val="center"/>
          </w:tcPr>
          <w:p w14:paraId="6BB6519F" w14:textId="27009C96" w:rsidR="000A4AC7" w:rsidRPr="00427986" w:rsidRDefault="000A4AC7" w:rsidP="009C4F81">
            <w:pPr>
              <w:widowControl w:val="0"/>
              <w:ind w:left="113"/>
              <w:jc w:val="left"/>
              <w:rPr>
                <w:rFonts w:ascii="Arial Narrow" w:eastAsiaTheme="majorEastAsia" w:hAnsi="Arial Narrow" w:cstheme="majorBidi"/>
                <w:bCs/>
                <w:sz w:val="20"/>
              </w:rPr>
            </w:pPr>
            <w:r w:rsidRPr="00427986">
              <w:rPr>
                <w:rFonts w:ascii="Arial Narrow" w:eastAsiaTheme="majorEastAsia" w:hAnsi="Arial Narrow" w:cstheme="majorBidi"/>
                <w:bCs/>
                <w:sz w:val="20"/>
              </w:rPr>
              <w:t xml:space="preserve">Pre = 0.692 (trial-based), </w:t>
            </w:r>
            <w:r w:rsidR="00AF1E6C" w:rsidRPr="00427986">
              <w:rPr>
                <w:rFonts w:ascii="Arial Narrow" w:eastAsiaTheme="majorEastAsia" w:hAnsi="Arial Narrow" w:cstheme="majorBidi"/>
                <w:bCs/>
                <w:sz w:val="20"/>
              </w:rPr>
              <w:t xml:space="preserve">post </w:t>
            </w:r>
            <w:r w:rsidRPr="00427986">
              <w:rPr>
                <w:rFonts w:ascii="Arial Narrow" w:eastAsiaTheme="majorEastAsia" w:hAnsi="Arial Narrow" w:cstheme="majorBidi"/>
                <w:bCs/>
                <w:sz w:val="20"/>
              </w:rPr>
              <w:t>= 0.520 (Fordham 2015) [</w:t>
            </w:r>
            <w:r w:rsidR="007F29A0" w:rsidRPr="00427986">
              <w:rPr>
                <w:rFonts w:ascii="Arial Narrow" w:eastAsiaTheme="majorEastAsia" w:hAnsi="Arial Narrow" w:cstheme="majorBidi"/>
                <w:bCs/>
                <w:sz w:val="20"/>
              </w:rPr>
              <w:t>B</w:t>
            </w:r>
            <w:r w:rsidRPr="00427986">
              <w:rPr>
                <w:rFonts w:ascii="Arial Narrow" w:eastAsiaTheme="majorEastAsia" w:hAnsi="Arial Narrow" w:cstheme="majorBidi"/>
                <w:bCs/>
                <w:sz w:val="20"/>
              </w:rPr>
              <w:t>]</w:t>
            </w:r>
          </w:p>
          <w:p w14:paraId="189A7F6B" w14:textId="1EDFC9FD" w:rsidR="00AF1E6C" w:rsidRPr="00427986" w:rsidRDefault="00AF1E6C" w:rsidP="009C4F81">
            <w:pPr>
              <w:widowControl w:val="0"/>
              <w:ind w:left="113"/>
              <w:jc w:val="left"/>
              <w:rPr>
                <w:rFonts w:ascii="Arial Narrow" w:eastAsiaTheme="majorEastAsia" w:hAnsi="Arial Narrow" w:cstheme="majorBidi"/>
                <w:bCs/>
                <w:sz w:val="20"/>
              </w:rPr>
            </w:pPr>
            <w:r w:rsidRPr="00427986">
              <w:rPr>
                <w:rFonts w:ascii="Arial Narrow" w:eastAsiaTheme="majorEastAsia" w:hAnsi="Arial Narrow" w:cstheme="majorBidi"/>
                <w:bCs/>
                <w:sz w:val="20"/>
              </w:rPr>
              <w:t>Pre = 0.692 (trial-based), post = 0.414 (relative Fordham 2015 decrement) [C]</w:t>
            </w:r>
          </w:p>
          <w:p w14:paraId="77A7B50E" w14:textId="65D9AB37" w:rsidR="00AF1E6C" w:rsidRPr="00427986" w:rsidRDefault="00AF1E6C" w:rsidP="009C4F81">
            <w:pPr>
              <w:widowControl w:val="0"/>
              <w:ind w:left="113"/>
              <w:jc w:val="left"/>
              <w:rPr>
                <w:rFonts w:ascii="Arial Narrow" w:eastAsiaTheme="majorEastAsia" w:hAnsi="Arial Narrow" w:cstheme="majorBidi"/>
                <w:bCs/>
                <w:sz w:val="20"/>
              </w:rPr>
            </w:pPr>
            <w:r w:rsidRPr="00427986">
              <w:rPr>
                <w:rFonts w:ascii="Arial Narrow" w:eastAsiaTheme="majorEastAsia" w:hAnsi="Arial Narrow" w:cstheme="majorBidi"/>
                <w:bCs/>
                <w:sz w:val="20"/>
              </w:rPr>
              <w:t>Pre = 0.692 (trial-based), post = 0.342 (absolute Fordham 2015 decrement) [D]</w:t>
            </w:r>
          </w:p>
        </w:tc>
        <w:tc>
          <w:tcPr>
            <w:tcW w:w="665" w:type="pct"/>
            <w:tcBorders>
              <w:top w:val="nil"/>
              <w:bottom w:val="single" w:sz="4" w:space="0" w:color="auto"/>
            </w:tcBorders>
            <w:tcMar>
              <w:left w:w="20" w:type="dxa"/>
              <w:right w:w="20" w:type="dxa"/>
            </w:tcMar>
          </w:tcPr>
          <w:p w14:paraId="0F473E9E" w14:textId="131F1782" w:rsidR="00AF1E6C" w:rsidRPr="00D22B13" w:rsidRDefault="005860C6" w:rsidP="00AF1E6C">
            <w:pPr>
              <w:widowControl w:val="0"/>
              <w:jc w:val="center"/>
              <w:rPr>
                <w:rFonts w:ascii="Arial Narrow" w:eastAsiaTheme="majorEastAsia" w:hAnsi="Arial Narrow" w:cstheme="majorBidi"/>
                <w:bCs/>
                <w:sz w:val="20"/>
                <w:szCs w:val="20"/>
                <w:vertAlign w:val="superscript"/>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p w14:paraId="77D9C169" w14:textId="3D455D82" w:rsidR="00AF1E6C" w:rsidRPr="00D22B13" w:rsidRDefault="005860C6" w:rsidP="00AF1E6C">
            <w:pPr>
              <w:widowControl w:val="0"/>
              <w:jc w:val="center"/>
              <w:rPr>
                <w:rFonts w:ascii="Arial Narrow" w:eastAsiaTheme="majorEastAsia" w:hAnsi="Arial Narrow" w:cstheme="majorBidi"/>
                <w:bCs/>
                <w:sz w:val="20"/>
                <w:szCs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66" w:type="pct"/>
            <w:tcBorders>
              <w:top w:val="nil"/>
              <w:bottom w:val="single" w:sz="4" w:space="0" w:color="auto"/>
            </w:tcBorders>
            <w:tcMar>
              <w:left w:w="20" w:type="dxa"/>
              <w:right w:w="20" w:type="dxa"/>
            </w:tcMar>
          </w:tcPr>
          <w:p w14:paraId="23EB6E17" w14:textId="77777777" w:rsidR="000A4AC7" w:rsidRPr="00427986" w:rsidRDefault="000A4AC7" w:rsidP="00AF1E6C">
            <w:pPr>
              <w:widowControl w:val="0"/>
              <w:jc w:val="center"/>
              <w:rPr>
                <w:rFonts w:ascii="Arial Narrow" w:eastAsiaTheme="majorEastAsia" w:hAnsi="Arial Narrow" w:cstheme="majorBidi"/>
                <w:bCs/>
                <w:sz w:val="20"/>
                <w:szCs w:val="20"/>
              </w:rPr>
            </w:pPr>
            <w:r w:rsidRPr="00427986">
              <w:rPr>
                <w:rFonts w:ascii="Arial Narrow" w:eastAsiaTheme="majorEastAsia" w:hAnsi="Arial Narrow" w:cstheme="majorBidi"/>
                <w:bCs/>
                <w:sz w:val="20"/>
                <w:szCs w:val="20"/>
              </w:rPr>
              <w:t>0.11</w:t>
            </w:r>
          </w:p>
          <w:p w14:paraId="4DC117D7" w14:textId="77777777" w:rsidR="00AF1E6C" w:rsidRPr="00427986" w:rsidRDefault="00AF1E6C" w:rsidP="00AF1E6C">
            <w:pPr>
              <w:widowControl w:val="0"/>
              <w:jc w:val="center"/>
              <w:rPr>
                <w:rFonts w:ascii="Arial Narrow" w:eastAsiaTheme="majorEastAsia" w:hAnsi="Arial Narrow" w:cstheme="majorBidi"/>
                <w:bCs/>
                <w:sz w:val="20"/>
                <w:szCs w:val="20"/>
              </w:rPr>
            </w:pPr>
            <w:r w:rsidRPr="00427986">
              <w:rPr>
                <w:rFonts w:ascii="Arial Narrow" w:eastAsiaTheme="majorEastAsia" w:hAnsi="Arial Narrow" w:cstheme="majorBidi"/>
                <w:bCs/>
                <w:sz w:val="20"/>
                <w:szCs w:val="20"/>
              </w:rPr>
              <w:t>0.14</w:t>
            </w:r>
          </w:p>
          <w:p w14:paraId="6761E49D" w14:textId="77777777" w:rsidR="00AF1E6C" w:rsidRPr="00427986" w:rsidRDefault="00AF1E6C" w:rsidP="00AF1E6C">
            <w:pPr>
              <w:widowControl w:val="0"/>
              <w:jc w:val="center"/>
              <w:rPr>
                <w:rFonts w:ascii="Arial Narrow" w:eastAsiaTheme="majorEastAsia" w:hAnsi="Arial Narrow" w:cstheme="majorBidi"/>
                <w:bCs/>
                <w:sz w:val="20"/>
                <w:szCs w:val="20"/>
              </w:rPr>
            </w:pPr>
          </w:p>
          <w:p w14:paraId="77DDDC7E" w14:textId="25341AAA" w:rsidR="00AF1E6C" w:rsidRPr="00427986" w:rsidRDefault="00AF1E6C" w:rsidP="00AF1E6C">
            <w:pPr>
              <w:widowControl w:val="0"/>
              <w:jc w:val="center"/>
              <w:rPr>
                <w:rFonts w:ascii="Arial Narrow" w:eastAsiaTheme="majorEastAsia" w:hAnsi="Arial Narrow" w:cstheme="majorBidi"/>
                <w:bCs/>
                <w:sz w:val="20"/>
                <w:szCs w:val="20"/>
              </w:rPr>
            </w:pPr>
            <w:r w:rsidRPr="00427986">
              <w:rPr>
                <w:rFonts w:ascii="Arial Narrow" w:eastAsiaTheme="majorEastAsia" w:hAnsi="Arial Narrow" w:cstheme="majorBidi"/>
                <w:bCs/>
                <w:sz w:val="20"/>
                <w:szCs w:val="20"/>
              </w:rPr>
              <w:t>0.16</w:t>
            </w:r>
          </w:p>
        </w:tc>
        <w:tc>
          <w:tcPr>
            <w:tcW w:w="598" w:type="pct"/>
            <w:tcBorders>
              <w:top w:val="nil"/>
              <w:bottom w:val="single" w:sz="4" w:space="0" w:color="auto"/>
            </w:tcBorders>
            <w:tcMar>
              <w:left w:w="20" w:type="dxa"/>
              <w:right w:w="20" w:type="dxa"/>
            </w:tcMar>
          </w:tcPr>
          <w:p w14:paraId="4CE8315B" w14:textId="77777777" w:rsidR="00FC479C" w:rsidRDefault="005860C6" w:rsidP="00AF1E6C">
            <w:pPr>
              <w:widowControl w:val="0"/>
              <w:jc w:val="center"/>
              <w:rPr>
                <w:rFonts w:ascii="Arial Narrow" w:eastAsiaTheme="majorEastAsia" w:hAnsi="Arial Narrow" w:cstheme="majorBidi"/>
                <w:bCs/>
                <w:sz w:val="20"/>
                <w:szCs w:val="20"/>
                <w:vertAlign w:val="superscript"/>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bCs/>
                <w:color w:val="000000"/>
                <w:spacing w:val="174"/>
                <w:sz w:val="20"/>
                <w:szCs w:val="20"/>
                <w:shd w:val="solid" w:color="000000" w:fill="000000"/>
                <w:fitText w:val="260" w:id="-1032107263"/>
                <w14:textFill>
                  <w14:solidFill>
                    <w14:srgbClr w14:val="000000">
                      <w14:alpha w14:val="100000"/>
                    </w14:srgbClr>
                  </w14:solidFill>
                </w14:textFill>
              </w:rPr>
              <w:t>|</w:t>
            </w:r>
            <w:r w:rsidRPr="005860C6">
              <w:rPr>
                <w:rFonts w:ascii="Arial Narrow" w:eastAsiaTheme="majorEastAsia" w:hAnsi="Arial Narrow" w:cstheme="majorBidi"/>
                <w:bCs/>
                <w:color w:val="000000"/>
                <w:spacing w:val="1"/>
                <w:sz w:val="20"/>
                <w:szCs w:val="20"/>
                <w:shd w:val="solid" w:color="000000" w:fill="000000"/>
                <w:fitText w:val="260" w:id="-1032107263"/>
                <w14:textFill>
                  <w14:solidFill>
                    <w14:srgbClr w14:val="000000">
                      <w14:alpha w14:val="100000"/>
                    </w14:srgbClr>
                  </w14:solidFill>
                </w14:textFill>
              </w:rPr>
              <w:t>|</w:t>
            </w:r>
            <w:r w:rsidR="002001F2">
              <w:rPr>
                <w:rFonts w:ascii="Arial Narrow" w:eastAsiaTheme="majorEastAsia" w:hAnsi="Arial Narrow" w:cstheme="majorBidi"/>
                <w:bCs/>
                <w:sz w:val="20"/>
                <w:szCs w:val="20"/>
                <w:vertAlign w:val="superscript"/>
              </w:rPr>
              <w:t>4</w:t>
            </w:r>
          </w:p>
          <w:p w14:paraId="376C4465" w14:textId="77777777" w:rsidR="00FC479C" w:rsidRDefault="005860C6" w:rsidP="00AF1E6C">
            <w:pPr>
              <w:widowControl w:val="0"/>
              <w:jc w:val="center"/>
              <w:rPr>
                <w:rFonts w:ascii="Arial Narrow" w:eastAsiaTheme="majorEastAsia" w:hAnsi="Arial Narrow" w:cstheme="majorBidi"/>
                <w:bCs/>
                <w:sz w:val="20"/>
                <w:szCs w:val="20"/>
                <w:vertAlign w:val="superscript"/>
              </w:rPr>
            </w:pPr>
            <w:r>
              <w:rPr>
                <w:rFonts w:ascii="Arial Narrow" w:eastAsiaTheme="majorEastAsia" w:hAnsi="Arial Narrow" w:cstheme="majorBidi"/>
                <w:bCs/>
                <w:sz w:val="20"/>
                <w:szCs w:val="20"/>
                <w:vertAlign w:val="superscript"/>
              </w:rPr>
              <w:t xml:space="preserve"> </w:t>
            </w:r>
            <w:r w:rsidRPr="00FC479C">
              <w:rPr>
                <w:rFonts w:ascii="Arial Narrow" w:eastAsiaTheme="majorEastAsia" w:hAnsi="Arial Narrow" w:cstheme="majorBidi" w:hint="eastAsia"/>
                <w:bCs/>
                <w:color w:val="000000"/>
                <w:w w:val="22"/>
                <w:sz w:val="20"/>
                <w:szCs w:val="20"/>
                <w:shd w:val="solid" w:color="000000" w:fill="000000"/>
                <w:fitText w:val="60" w:id="-1032107262"/>
                <w:vertAlign w:val="superscript"/>
                <w14:textFill>
                  <w14:solidFill>
                    <w14:srgbClr w14:val="000000">
                      <w14:alpha w14:val="100000"/>
                    </w14:srgbClr>
                  </w14:solidFill>
                </w14:textFill>
              </w:rPr>
              <w:t xml:space="preserve">　</w:t>
            </w:r>
            <w:r w:rsidRPr="00FC479C">
              <w:rPr>
                <w:rFonts w:ascii="Arial Narrow" w:eastAsiaTheme="majorEastAsia" w:hAnsi="Arial Narrow" w:cstheme="majorBidi"/>
                <w:bCs/>
                <w:color w:val="000000"/>
                <w:w w:val="22"/>
                <w:sz w:val="20"/>
                <w:szCs w:val="20"/>
                <w:shd w:val="solid" w:color="000000" w:fill="000000"/>
                <w:fitText w:val="60" w:id="-1032107262"/>
                <w:vertAlign w:val="superscript"/>
                <w14:textFill>
                  <w14:solidFill>
                    <w14:srgbClr w14:val="000000">
                      <w14:alpha w14:val="100000"/>
                    </w14:srgbClr>
                  </w14:solidFill>
                </w14:textFill>
              </w:rPr>
              <w:t>|</w:t>
            </w:r>
            <w:r w:rsidRPr="00FC479C">
              <w:rPr>
                <w:rFonts w:ascii="Arial Narrow" w:eastAsiaTheme="majorEastAsia" w:hAnsi="Arial Narrow" w:cstheme="majorBidi" w:hint="eastAsia"/>
                <w:bCs/>
                <w:color w:val="000000"/>
                <w:w w:val="22"/>
                <w:sz w:val="20"/>
                <w:szCs w:val="20"/>
                <w:shd w:val="solid" w:color="000000" w:fill="000000"/>
                <w:fitText w:val="60" w:id="-1032107262"/>
                <w:vertAlign w:val="superscript"/>
                <w14:textFill>
                  <w14:solidFill>
                    <w14:srgbClr w14:val="000000">
                      <w14:alpha w14:val="100000"/>
                    </w14:srgbClr>
                  </w14:solidFill>
                </w14:textFill>
              </w:rPr>
              <w:t xml:space="preserve">　</w:t>
            </w:r>
            <w:r w:rsidR="00845EC6">
              <w:rPr>
                <w:rFonts w:ascii="Arial Narrow" w:eastAsiaTheme="majorEastAsia" w:hAnsi="Arial Narrow" w:cstheme="majorBidi"/>
                <w:bCs/>
                <w:sz w:val="20"/>
                <w:szCs w:val="20"/>
                <w:vertAlign w:val="superscript"/>
              </w:rPr>
              <w:t>5</w:t>
            </w:r>
          </w:p>
          <w:p w14:paraId="1A43B33B" w14:textId="77777777" w:rsidR="00FC479C" w:rsidRDefault="00FC479C" w:rsidP="00AF1E6C">
            <w:pPr>
              <w:widowControl w:val="0"/>
              <w:jc w:val="center"/>
              <w:rPr>
                <w:rFonts w:ascii="Arial Narrow" w:eastAsiaTheme="majorEastAsia" w:hAnsi="Arial Narrow" w:cstheme="majorBidi"/>
                <w:bCs/>
                <w:sz w:val="20"/>
                <w:szCs w:val="20"/>
              </w:rPr>
            </w:pPr>
          </w:p>
          <w:p w14:paraId="1560B7A6" w14:textId="22E3DA8A" w:rsidR="00AF1E6C" w:rsidRPr="00D22B13" w:rsidRDefault="005860C6" w:rsidP="00AF1E6C">
            <w:pPr>
              <w:widowControl w:val="0"/>
              <w:jc w:val="center"/>
              <w:rPr>
                <w:rFonts w:ascii="Arial Narrow" w:eastAsiaTheme="majorEastAsia" w:hAnsi="Arial Narrow" w:cstheme="majorBidi"/>
                <w:bCs/>
                <w:sz w:val="20"/>
                <w:szCs w:val="20"/>
                <w:highlight w:val="darkGray"/>
              </w:rPr>
            </w:pPr>
            <w:r>
              <w:rPr>
                <w:rFonts w:ascii="Arial Narrow" w:eastAsiaTheme="majorEastAsia" w:hAnsi="Arial Narrow" w:cstheme="majorBidi"/>
                <w:bCs/>
                <w:sz w:val="20"/>
                <w:szCs w:val="20"/>
              </w:rPr>
              <w:t xml:space="preserve"> </w:t>
            </w:r>
            <w:r w:rsidRPr="00FC479C">
              <w:rPr>
                <w:rFonts w:ascii="Arial Narrow" w:eastAsiaTheme="majorEastAsia" w:hAnsi="Arial Narrow" w:cstheme="majorBidi" w:hint="eastAsia"/>
                <w:bCs/>
                <w:color w:val="000000"/>
                <w:w w:val="15"/>
                <w:sz w:val="20"/>
                <w:szCs w:val="20"/>
                <w:shd w:val="solid" w:color="000000" w:fill="000000"/>
                <w:fitText w:val="60" w:id="-1032107261"/>
                <w14:textFill>
                  <w14:solidFill>
                    <w14:srgbClr w14:val="000000">
                      <w14:alpha w14:val="100000"/>
                    </w14:srgbClr>
                  </w14:solidFill>
                </w14:textFill>
              </w:rPr>
              <w:t xml:space="preserve">　</w:t>
            </w:r>
            <w:r w:rsidRPr="00FC479C">
              <w:rPr>
                <w:rFonts w:ascii="Arial Narrow" w:eastAsiaTheme="majorEastAsia" w:hAnsi="Arial Narrow" w:cstheme="majorBidi"/>
                <w:bCs/>
                <w:color w:val="000000"/>
                <w:w w:val="15"/>
                <w:sz w:val="20"/>
                <w:szCs w:val="20"/>
                <w:shd w:val="solid" w:color="000000" w:fill="000000"/>
                <w:fitText w:val="60" w:id="-1032107261"/>
                <w14:textFill>
                  <w14:solidFill>
                    <w14:srgbClr w14:val="000000">
                      <w14:alpha w14:val="100000"/>
                    </w14:srgbClr>
                  </w14:solidFill>
                </w14:textFill>
              </w:rPr>
              <w:t>|</w:t>
            </w:r>
            <w:r w:rsidRPr="00FC479C">
              <w:rPr>
                <w:rFonts w:ascii="Arial Narrow" w:eastAsiaTheme="majorEastAsia" w:hAnsi="Arial Narrow" w:cstheme="majorBidi" w:hint="eastAsia"/>
                <w:bCs/>
                <w:color w:val="000000"/>
                <w:spacing w:val="-5"/>
                <w:w w:val="15"/>
                <w:sz w:val="20"/>
                <w:szCs w:val="20"/>
                <w:shd w:val="solid" w:color="000000" w:fill="000000"/>
                <w:fitText w:val="60" w:id="-1032107261"/>
                <w14:textFill>
                  <w14:solidFill>
                    <w14:srgbClr w14:val="000000">
                      <w14:alpha w14:val="100000"/>
                    </w14:srgbClr>
                  </w14:solidFill>
                </w14:textFill>
              </w:rPr>
              <w:t xml:space="preserve">　</w:t>
            </w:r>
            <w:r w:rsidR="00845EC6">
              <w:rPr>
                <w:rFonts w:ascii="Arial Narrow" w:eastAsiaTheme="majorEastAsia" w:hAnsi="Arial Narrow" w:cstheme="majorBidi"/>
                <w:bCs/>
                <w:sz w:val="20"/>
                <w:szCs w:val="20"/>
                <w:vertAlign w:val="superscript"/>
              </w:rPr>
              <w:t>5</w:t>
            </w:r>
          </w:p>
        </w:tc>
        <w:tc>
          <w:tcPr>
            <w:tcW w:w="545" w:type="pct"/>
            <w:tcBorders>
              <w:top w:val="nil"/>
              <w:bottom w:val="single" w:sz="4" w:space="0" w:color="auto"/>
            </w:tcBorders>
            <w:tcMar>
              <w:left w:w="20" w:type="dxa"/>
              <w:right w:w="20" w:type="dxa"/>
            </w:tcMar>
          </w:tcPr>
          <w:p w14:paraId="3A72281B" w14:textId="5A5A7715" w:rsidR="00AF1E6C" w:rsidRPr="00D22B13" w:rsidRDefault="005860C6" w:rsidP="00AF1E6C">
            <w:pPr>
              <w:widowControl w:val="0"/>
              <w:jc w:val="center"/>
              <w:rPr>
                <w:rFonts w:ascii="Arial Narrow" w:eastAsia="Calibri" w:hAnsi="Arial Narrow" w:cstheme="majorBidi"/>
                <w:bCs/>
                <w:sz w:val="20"/>
                <w:szCs w:val="20"/>
                <w:highlight w:val="darkGray"/>
              </w:rPr>
            </w:pPr>
            <w:r>
              <w:rPr>
                <w:rFonts w:ascii="Arial Narrow" w:eastAsia="Calibri" w:hAnsi="Arial Narrow" w:cstheme="majorBidi"/>
                <w:bCs/>
                <w:sz w:val="20"/>
                <w:szCs w:val="20"/>
              </w:rPr>
              <w:t xml:space="preserve"> </w:t>
            </w:r>
            <w:r w:rsidRPr="005860C6">
              <w:rPr>
                <w:rFonts w:ascii="Arial Narrow" w:eastAsia="Calibri" w:hAnsi="Arial Narrow" w:cstheme="majorBidi" w:hint="eastAsia"/>
                <w:bCs/>
                <w:color w:val="000000"/>
                <w:w w:val="22"/>
                <w:sz w:val="20"/>
                <w:szCs w:val="20"/>
                <w:shd w:val="solid" w:color="000000" w:fill="000000"/>
                <w:fitText w:val="100" w:id="-1032107260"/>
                <w14:textFill>
                  <w14:solidFill>
                    <w14:srgbClr w14:val="000000">
                      <w14:alpha w14:val="100000"/>
                    </w14:srgbClr>
                  </w14:solidFill>
                </w14:textFill>
              </w:rPr>
              <w:t xml:space="preserve">　</w:t>
            </w:r>
            <w:r w:rsidRPr="005860C6">
              <w:rPr>
                <w:rFonts w:ascii="Arial Narrow" w:eastAsia="Calibri" w:hAnsi="Arial Narrow" w:cstheme="majorBidi"/>
                <w:bCs/>
                <w:color w:val="000000"/>
                <w:w w:val="22"/>
                <w:sz w:val="20"/>
                <w:szCs w:val="20"/>
                <w:shd w:val="solid" w:color="000000" w:fill="000000"/>
                <w:fitText w:val="100" w:id="-1032107260"/>
                <w14:textFill>
                  <w14:solidFill>
                    <w14:srgbClr w14:val="000000">
                      <w14:alpha w14:val="100000"/>
                    </w14:srgbClr>
                  </w14:solidFill>
                </w14:textFill>
              </w:rPr>
              <w:t>|</w:t>
            </w:r>
            <w:r w:rsidRPr="005860C6">
              <w:rPr>
                <w:rFonts w:ascii="Arial Narrow" w:eastAsia="Calibri" w:hAnsi="Arial Narrow" w:cstheme="majorBidi" w:hint="eastAsia"/>
                <w:bCs/>
                <w:color w:val="000000"/>
                <w:spacing w:val="3"/>
                <w:w w:val="22"/>
                <w:sz w:val="20"/>
                <w:szCs w:val="20"/>
                <w:shd w:val="solid" w:color="000000" w:fill="000000"/>
                <w:fitText w:val="100" w:id="-1032107260"/>
                <w14:textFill>
                  <w14:solidFill>
                    <w14:srgbClr w14:val="000000">
                      <w14:alpha w14:val="100000"/>
                    </w14:srgbClr>
                  </w14:solidFill>
                </w14:textFill>
              </w:rPr>
              <w:t xml:space="preserve">　</w:t>
            </w:r>
          </w:p>
        </w:tc>
      </w:tr>
      <w:tr w:rsidR="000A280B" w:rsidRPr="00427986" w14:paraId="72D4AA60" w14:textId="77777777" w:rsidTr="00E120DC">
        <w:trPr>
          <w:cantSplit/>
          <w:trHeight w:val="70"/>
        </w:trPr>
        <w:tc>
          <w:tcPr>
            <w:tcW w:w="2526" w:type="pct"/>
            <w:tcBorders>
              <w:top w:val="single" w:sz="4" w:space="0" w:color="auto"/>
              <w:left w:val="single" w:sz="4" w:space="0" w:color="auto"/>
              <w:bottom w:val="nil"/>
              <w:right w:val="nil"/>
            </w:tcBorders>
            <w:tcMar>
              <w:left w:w="20" w:type="dxa"/>
              <w:right w:w="20" w:type="dxa"/>
            </w:tcMar>
            <w:vAlign w:val="center"/>
          </w:tcPr>
          <w:p w14:paraId="42D8D194" w14:textId="6E31412B" w:rsidR="00763EF2" w:rsidRPr="00427986" w:rsidRDefault="00763EF2" w:rsidP="00CB4A1F">
            <w:pPr>
              <w:widowControl w:val="0"/>
              <w:jc w:val="left"/>
              <w:rPr>
                <w:rFonts w:ascii="Arial Narrow" w:eastAsia="MS Gothic" w:hAnsi="Arial Narrow" w:cs="Times New Roman"/>
                <w:bCs/>
                <w:sz w:val="20"/>
              </w:rPr>
            </w:pPr>
            <w:r w:rsidRPr="00427986">
              <w:rPr>
                <w:rFonts w:ascii="Arial Narrow" w:eastAsia="MS Gothic" w:hAnsi="Arial Narrow" w:cs="Times New Roman"/>
                <w:bCs/>
                <w:sz w:val="20"/>
              </w:rPr>
              <w:t>Time horizon (base case</w:t>
            </w:r>
            <w:r w:rsidR="007F57A9" w:rsidRPr="00427986">
              <w:rPr>
                <w:rFonts w:ascii="Arial Narrow" w:eastAsia="MS Gothic" w:hAnsi="Arial Narrow" w:cs="Times New Roman"/>
                <w:bCs/>
                <w:sz w:val="20"/>
              </w:rPr>
              <w:t>:</w:t>
            </w:r>
            <w:r w:rsidRPr="00427986">
              <w:rPr>
                <w:rFonts w:ascii="Arial Narrow" w:eastAsia="MS Gothic" w:hAnsi="Arial Narrow" w:cs="Times New Roman"/>
                <w:bCs/>
                <w:sz w:val="20"/>
              </w:rPr>
              <w:t xml:space="preserve"> 5 years)</w:t>
            </w:r>
          </w:p>
        </w:tc>
        <w:tc>
          <w:tcPr>
            <w:tcW w:w="665" w:type="pct"/>
            <w:tcBorders>
              <w:top w:val="single" w:sz="4" w:space="0" w:color="auto"/>
              <w:left w:val="nil"/>
              <w:bottom w:val="nil"/>
              <w:right w:val="nil"/>
            </w:tcBorders>
            <w:tcMar>
              <w:left w:w="20" w:type="dxa"/>
              <w:right w:w="20" w:type="dxa"/>
            </w:tcMar>
            <w:vAlign w:val="center"/>
          </w:tcPr>
          <w:p w14:paraId="12ECF056" w14:textId="77777777" w:rsidR="00763EF2" w:rsidRPr="00427986" w:rsidRDefault="00763EF2" w:rsidP="00CB4A1F">
            <w:pPr>
              <w:widowControl w:val="0"/>
              <w:jc w:val="center"/>
              <w:rPr>
                <w:rFonts w:ascii="Arial Narrow" w:eastAsiaTheme="majorEastAsia" w:hAnsi="Arial Narrow" w:cstheme="majorBidi"/>
                <w:bCs/>
                <w:sz w:val="20"/>
                <w:szCs w:val="20"/>
              </w:rPr>
            </w:pPr>
          </w:p>
        </w:tc>
        <w:tc>
          <w:tcPr>
            <w:tcW w:w="666" w:type="pct"/>
            <w:tcBorders>
              <w:top w:val="single" w:sz="4" w:space="0" w:color="auto"/>
              <w:left w:val="nil"/>
              <w:bottom w:val="nil"/>
              <w:right w:val="nil"/>
            </w:tcBorders>
            <w:tcMar>
              <w:left w:w="20" w:type="dxa"/>
              <w:right w:w="20" w:type="dxa"/>
            </w:tcMar>
            <w:vAlign w:val="center"/>
          </w:tcPr>
          <w:p w14:paraId="26CCD75B" w14:textId="77777777" w:rsidR="00763EF2" w:rsidRPr="00427986" w:rsidRDefault="00763EF2" w:rsidP="00CB4A1F">
            <w:pPr>
              <w:widowControl w:val="0"/>
              <w:jc w:val="center"/>
              <w:rPr>
                <w:rFonts w:ascii="Arial Narrow" w:eastAsiaTheme="majorEastAsia" w:hAnsi="Arial Narrow" w:cstheme="majorBidi"/>
                <w:bCs/>
                <w:sz w:val="20"/>
                <w:szCs w:val="20"/>
              </w:rPr>
            </w:pPr>
          </w:p>
        </w:tc>
        <w:tc>
          <w:tcPr>
            <w:tcW w:w="598" w:type="pct"/>
            <w:tcBorders>
              <w:top w:val="single" w:sz="4" w:space="0" w:color="auto"/>
              <w:left w:val="nil"/>
              <w:bottom w:val="nil"/>
              <w:right w:val="nil"/>
            </w:tcBorders>
            <w:tcMar>
              <w:left w:w="20" w:type="dxa"/>
              <w:right w:w="20" w:type="dxa"/>
            </w:tcMar>
            <w:vAlign w:val="center"/>
          </w:tcPr>
          <w:p w14:paraId="1B6E75CF" w14:textId="77777777" w:rsidR="00763EF2" w:rsidRPr="00427986" w:rsidRDefault="00763EF2" w:rsidP="00CB4A1F">
            <w:pPr>
              <w:widowControl w:val="0"/>
              <w:jc w:val="center"/>
              <w:rPr>
                <w:rFonts w:ascii="Arial Narrow" w:eastAsiaTheme="majorEastAsia" w:hAnsi="Arial Narrow" w:cstheme="majorBidi"/>
                <w:bCs/>
                <w:sz w:val="20"/>
                <w:szCs w:val="20"/>
              </w:rPr>
            </w:pPr>
          </w:p>
        </w:tc>
        <w:tc>
          <w:tcPr>
            <w:tcW w:w="545" w:type="pct"/>
            <w:tcBorders>
              <w:top w:val="single" w:sz="4" w:space="0" w:color="auto"/>
              <w:left w:val="nil"/>
              <w:bottom w:val="nil"/>
            </w:tcBorders>
            <w:tcMar>
              <w:left w:w="20" w:type="dxa"/>
              <w:right w:w="20" w:type="dxa"/>
            </w:tcMar>
            <w:vAlign w:val="center"/>
          </w:tcPr>
          <w:p w14:paraId="77AA3F11" w14:textId="77777777" w:rsidR="00763EF2" w:rsidRPr="00427986" w:rsidRDefault="00763EF2" w:rsidP="00CB4A1F">
            <w:pPr>
              <w:widowControl w:val="0"/>
              <w:jc w:val="center"/>
              <w:rPr>
                <w:rFonts w:ascii="Arial Narrow" w:eastAsia="Calibri" w:hAnsi="Arial Narrow" w:cstheme="majorBidi"/>
                <w:bCs/>
                <w:sz w:val="20"/>
                <w:szCs w:val="20"/>
              </w:rPr>
            </w:pPr>
          </w:p>
        </w:tc>
      </w:tr>
      <w:tr w:rsidR="006923D6" w:rsidRPr="00427986" w14:paraId="6C658465" w14:textId="77777777" w:rsidTr="00E120DC">
        <w:trPr>
          <w:cantSplit/>
        </w:trPr>
        <w:tc>
          <w:tcPr>
            <w:tcW w:w="2526" w:type="pct"/>
            <w:tcBorders>
              <w:top w:val="nil"/>
              <w:bottom w:val="nil"/>
            </w:tcBorders>
            <w:tcMar>
              <w:left w:w="20" w:type="dxa"/>
              <w:right w:w="20" w:type="dxa"/>
            </w:tcMar>
            <w:vAlign w:val="center"/>
          </w:tcPr>
          <w:p w14:paraId="02F4DF60" w14:textId="5430F110" w:rsidR="006923D6" w:rsidRPr="00427986" w:rsidRDefault="006923D6" w:rsidP="009C4F81">
            <w:pPr>
              <w:widowControl w:val="0"/>
              <w:ind w:left="113"/>
              <w:jc w:val="left"/>
              <w:rPr>
                <w:rFonts w:ascii="Arial Narrow" w:eastAsiaTheme="majorEastAsia" w:hAnsi="Arial Narrow" w:cstheme="majorBidi"/>
                <w:bCs/>
                <w:sz w:val="20"/>
              </w:rPr>
            </w:pPr>
            <w:r w:rsidRPr="00427986">
              <w:rPr>
                <w:rFonts w:ascii="Arial Narrow" w:eastAsiaTheme="majorEastAsia" w:hAnsi="Arial Narrow" w:cstheme="majorBidi"/>
                <w:bCs/>
                <w:sz w:val="20"/>
              </w:rPr>
              <w:t>1 year</w:t>
            </w:r>
          </w:p>
        </w:tc>
        <w:tc>
          <w:tcPr>
            <w:tcW w:w="665" w:type="pct"/>
            <w:tcBorders>
              <w:top w:val="nil"/>
              <w:bottom w:val="nil"/>
            </w:tcBorders>
            <w:tcMar>
              <w:left w:w="20" w:type="dxa"/>
              <w:right w:w="20" w:type="dxa"/>
            </w:tcMar>
            <w:vAlign w:val="center"/>
          </w:tcPr>
          <w:p w14:paraId="072A20B3" w14:textId="04C9CD01" w:rsidR="006923D6" w:rsidRPr="00D22B13" w:rsidRDefault="005860C6" w:rsidP="009C4F81">
            <w:pPr>
              <w:widowControl w:val="0"/>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66" w:type="pct"/>
            <w:tcBorders>
              <w:top w:val="nil"/>
              <w:bottom w:val="nil"/>
            </w:tcBorders>
            <w:tcMar>
              <w:left w:w="20" w:type="dxa"/>
              <w:right w:w="20" w:type="dxa"/>
            </w:tcMar>
            <w:vAlign w:val="center"/>
          </w:tcPr>
          <w:p w14:paraId="763516B1" w14:textId="77777777" w:rsidR="006923D6" w:rsidRPr="00427986" w:rsidRDefault="006923D6" w:rsidP="009C4F81">
            <w:pPr>
              <w:widowControl w:val="0"/>
              <w:jc w:val="center"/>
              <w:rPr>
                <w:rFonts w:ascii="Arial Narrow" w:eastAsiaTheme="majorEastAsia" w:hAnsi="Arial Narrow" w:cstheme="majorBidi"/>
                <w:bCs/>
                <w:sz w:val="20"/>
              </w:rPr>
            </w:pPr>
            <w:r w:rsidRPr="00427986">
              <w:rPr>
                <w:rFonts w:ascii="Arial Narrow" w:eastAsiaTheme="majorEastAsia" w:hAnsi="Arial Narrow" w:cstheme="majorBidi"/>
                <w:bCs/>
                <w:sz w:val="20"/>
                <w:szCs w:val="20"/>
              </w:rPr>
              <w:t>0.13</w:t>
            </w:r>
          </w:p>
        </w:tc>
        <w:tc>
          <w:tcPr>
            <w:tcW w:w="598" w:type="pct"/>
            <w:tcBorders>
              <w:top w:val="nil"/>
              <w:bottom w:val="nil"/>
            </w:tcBorders>
            <w:tcMar>
              <w:left w:w="20" w:type="dxa"/>
              <w:right w:w="20" w:type="dxa"/>
            </w:tcMar>
            <w:vAlign w:val="center"/>
          </w:tcPr>
          <w:p w14:paraId="6DB486D0" w14:textId="5F361346" w:rsidR="006923D6" w:rsidRPr="00D22B13" w:rsidRDefault="005860C6" w:rsidP="009C4F81">
            <w:pPr>
              <w:widowControl w:val="0"/>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8"/>
                <w:sz w:val="20"/>
                <w:szCs w:val="20"/>
                <w:shd w:val="solid" w:color="000000" w:fill="000000"/>
                <w:fitText w:val="80" w:id="-1032107259"/>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8"/>
                <w:sz w:val="20"/>
                <w:szCs w:val="20"/>
                <w:shd w:val="solid" w:color="000000" w:fill="000000"/>
                <w:fitText w:val="80" w:id="-1032107259"/>
                <w14:textFill>
                  <w14:solidFill>
                    <w14:srgbClr w14:val="000000">
                      <w14:alpha w14:val="100000"/>
                    </w14:srgbClr>
                  </w14:solidFill>
                </w14:textFill>
              </w:rPr>
              <w:t>|</w:t>
            </w:r>
            <w:r w:rsidRPr="005860C6">
              <w:rPr>
                <w:rFonts w:ascii="Arial Narrow" w:eastAsiaTheme="majorEastAsia" w:hAnsi="Arial Narrow" w:cstheme="majorBidi" w:hint="eastAsia"/>
                <w:bCs/>
                <w:color w:val="000000"/>
                <w:w w:val="18"/>
                <w:sz w:val="20"/>
                <w:szCs w:val="20"/>
                <w:shd w:val="solid" w:color="000000" w:fill="000000"/>
                <w:fitText w:val="80" w:id="-1032107259"/>
                <w14:textFill>
                  <w14:solidFill>
                    <w14:srgbClr w14:val="000000">
                      <w14:alpha w14:val="100000"/>
                    </w14:srgbClr>
                  </w14:solidFill>
                </w14:textFill>
              </w:rPr>
              <w:t xml:space="preserve">　</w:t>
            </w:r>
            <w:r w:rsidR="00845EC6">
              <w:rPr>
                <w:rFonts w:ascii="Arial Narrow" w:eastAsiaTheme="majorEastAsia" w:hAnsi="Arial Narrow" w:cstheme="majorBidi"/>
                <w:bCs/>
                <w:sz w:val="20"/>
                <w:szCs w:val="20"/>
                <w:vertAlign w:val="superscript"/>
              </w:rPr>
              <w:t>6</w:t>
            </w:r>
          </w:p>
        </w:tc>
        <w:tc>
          <w:tcPr>
            <w:tcW w:w="545" w:type="pct"/>
            <w:tcBorders>
              <w:top w:val="nil"/>
              <w:bottom w:val="nil"/>
            </w:tcBorders>
            <w:tcMar>
              <w:left w:w="20" w:type="dxa"/>
              <w:right w:w="20" w:type="dxa"/>
            </w:tcMar>
            <w:vAlign w:val="center"/>
          </w:tcPr>
          <w:p w14:paraId="41A4DAAA" w14:textId="596CBCAE" w:rsidR="006923D6" w:rsidRPr="00D22B13" w:rsidRDefault="005860C6" w:rsidP="009C4F81">
            <w:pPr>
              <w:widowControl w:val="0"/>
              <w:jc w:val="center"/>
              <w:rPr>
                <w:rFonts w:ascii="Arial Narrow" w:eastAsia="Calibri" w:hAnsi="Arial Narrow" w:cstheme="majorBidi"/>
                <w:bCs/>
                <w:sz w:val="20"/>
                <w:szCs w:val="20"/>
                <w:highlight w:val="darkGray"/>
              </w:rPr>
            </w:pPr>
            <w:r>
              <w:rPr>
                <w:rFonts w:ascii="Arial Narrow" w:eastAsia="Calibri" w:hAnsi="Arial Narrow" w:cstheme="majorBidi"/>
                <w:bCs/>
                <w:sz w:val="20"/>
                <w:szCs w:val="20"/>
              </w:rPr>
              <w:t xml:space="preserve"> </w:t>
            </w:r>
            <w:r w:rsidRPr="005860C6">
              <w:rPr>
                <w:rFonts w:ascii="Arial Narrow" w:eastAsia="Calibri" w:hAnsi="Arial Narrow" w:cstheme="majorBidi" w:hint="eastAsia"/>
                <w:bCs/>
                <w:color w:val="000000"/>
                <w:w w:val="22"/>
                <w:sz w:val="20"/>
                <w:szCs w:val="20"/>
                <w:shd w:val="solid" w:color="000000" w:fill="000000"/>
                <w:fitText w:val="100" w:id="-1032107258"/>
                <w14:textFill>
                  <w14:solidFill>
                    <w14:srgbClr w14:val="000000">
                      <w14:alpha w14:val="100000"/>
                    </w14:srgbClr>
                  </w14:solidFill>
                </w14:textFill>
              </w:rPr>
              <w:t xml:space="preserve">　</w:t>
            </w:r>
            <w:r w:rsidRPr="005860C6">
              <w:rPr>
                <w:rFonts w:ascii="Arial Narrow" w:eastAsia="Calibri" w:hAnsi="Arial Narrow" w:cstheme="majorBidi"/>
                <w:bCs/>
                <w:color w:val="000000"/>
                <w:w w:val="22"/>
                <w:sz w:val="20"/>
                <w:szCs w:val="20"/>
                <w:shd w:val="solid" w:color="000000" w:fill="000000"/>
                <w:fitText w:val="100" w:id="-1032107258"/>
                <w14:textFill>
                  <w14:solidFill>
                    <w14:srgbClr w14:val="000000">
                      <w14:alpha w14:val="100000"/>
                    </w14:srgbClr>
                  </w14:solidFill>
                </w14:textFill>
              </w:rPr>
              <w:t>|</w:t>
            </w:r>
            <w:r w:rsidRPr="005860C6">
              <w:rPr>
                <w:rFonts w:ascii="Arial Narrow" w:eastAsia="Calibri" w:hAnsi="Arial Narrow" w:cstheme="majorBidi" w:hint="eastAsia"/>
                <w:bCs/>
                <w:color w:val="000000"/>
                <w:spacing w:val="3"/>
                <w:w w:val="22"/>
                <w:sz w:val="20"/>
                <w:szCs w:val="20"/>
                <w:shd w:val="solid" w:color="000000" w:fill="000000"/>
                <w:fitText w:val="100" w:id="-1032107258"/>
                <w14:textFill>
                  <w14:solidFill>
                    <w14:srgbClr w14:val="000000">
                      <w14:alpha w14:val="100000"/>
                    </w14:srgbClr>
                  </w14:solidFill>
                </w14:textFill>
              </w:rPr>
              <w:t xml:space="preserve">　</w:t>
            </w:r>
          </w:p>
        </w:tc>
      </w:tr>
      <w:tr w:rsidR="000A280B" w:rsidRPr="00427986" w14:paraId="610BCD37" w14:textId="77777777" w:rsidTr="00E120DC">
        <w:trPr>
          <w:cantSplit/>
          <w:trHeight w:val="70"/>
        </w:trPr>
        <w:tc>
          <w:tcPr>
            <w:tcW w:w="2526" w:type="pct"/>
            <w:tcBorders>
              <w:top w:val="nil"/>
              <w:left w:val="single" w:sz="4" w:space="0" w:color="auto"/>
              <w:bottom w:val="single" w:sz="4" w:space="0" w:color="auto"/>
              <w:right w:val="nil"/>
            </w:tcBorders>
            <w:tcMar>
              <w:left w:w="20" w:type="dxa"/>
              <w:right w:w="20" w:type="dxa"/>
            </w:tcMar>
            <w:vAlign w:val="center"/>
          </w:tcPr>
          <w:p w14:paraId="63F156FB" w14:textId="77777777" w:rsidR="00763EF2" w:rsidRPr="00427986" w:rsidRDefault="00763EF2" w:rsidP="00CB4A1F">
            <w:pPr>
              <w:widowControl w:val="0"/>
              <w:ind w:left="113"/>
              <w:jc w:val="left"/>
              <w:rPr>
                <w:rFonts w:ascii="Arial Narrow" w:eastAsia="MS Gothic" w:hAnsi="Arial Narrow" w:cs="Times New Roman"/>
                <w:bCs/>
                <w:sz w:val="20"/>
              </w:rPr>
            </w:pPr>
            <w:r w:rsidRPr="00427986">
              <w:rPr>
                <w:rFonts w:ascii="Arial Narrow" w:eastAsia="MS Gothic" w:hAnsi="Arial Narrow" w:cs="Times New Roman"/>
                <w:bCs/>
                <w:sz w:val="20"/>
              </w:rPr>
              <w:t>2 years</w:t>
            </w:r>
          </w:p>
        </w:tc>
        <w:tc>
          <w:tcPr>
            <w:tcW w:w="665" w:type="pct"/>
            <w:tcBorders>
              <w:top w:val="nil"/>
              <w:left w:val="single" w:sz="4" w:space="0" w:color="auto"/>
              <w:bottom w:val="single" w:sz="4" w:space="0" w:color="auto"/>
              <w:right w:val="single" w:sz="4" w:space="0" w:color="auto"/>
            </w:tcBorders>
            <w:tcMar>
              <w:left w:w="20" w:type="dxa"/>
              <w:right w:w="20" w:type="dxa"/>
            </w:tcMar>
            <w:vAlign w:val="center"/>
          </w:tcPr>
          <w:p w14:paraId="3CA2D252" w14:textId="035505A9" w:rsidR="00763EF2" w:rsidRPr="00D22B13" w:rsidRDefault="005860C6" w:rsidP="00CB4A1F">
            <w:pPr>
              <w:widowControl w:val="0"/>
              <w:jc w:val="center"/>
              <w:rPr>
                <w:rFonts w:ascii="Arial Narrow" w:eastAsiaTheme="majorEastAsia" w:hAnsi="Arial Narrow" w:cstheme="majorBidi"/>
                <w:bCs/>
                <w:sz w:val="20"/>
                <w:szCs w:val="20"/>
                <w:highlight w:val="darkGray"/>
              </w:rPr>
            </w:pPr>
            <w:r>
              <w:rPr>
                <w:rFonts w:ascii="Arial Narrow" w:eastAsia="MS Gothic" w:hAnsi="Arial Narrow" w:cs="Times New Roman"/>
                <w:bCs/>
                <w:sz w:val="20"/>
                <w:szCs w:val="20"/>
              </w:rPr>
              <w:t xml:space="preserve"> </w:t>
            </w:r>
            <w:r w:rsidRPr="005860C6">
              <w:rPr>
                <w:rFonts w:ascii="Arial Narrow" w:eastAsia="MS Gothic" w:hAnsi="Arial Narrow" w:cs="Times New Roman"/>
                <w:bCs/>
                <w:color w:val="000000"/>
                <w:sz w:val="20"/>
                <w:szCs w:val="20"/>
                <w:shd w:val="solid" w:color="000000" w:fill="000000"/>
                <w14:textFill>
                  <w14:solidFill>
                    <w14:srgbClr w14:val="000000">
                      <w14:alpha w14:val="100000"/>
                    </w14:srgbClr>
                  </w14:solidFill>
                </w14:textFill>
              </w:rPr>
              <w:t>|</w:t>
            </w:r>
          </w:p>
        </w:tc>
        <w:tc>
          <w:tcPr>
            <w:tcW w:w="666" w:type="pct"/>
            <w:tcBorders>
              <w:top w:val="nil"/>
              <w:left w:val="single" w:sz="4" w:space="0" w:color="auto"/>
              <w:bottom w:val="single" w:sz="4" w:space="0" w:color="auto"/>
              <w:right w:val="single" w:sz="4" w:space="0" w:color="auto"/>
            </w:tcBorders>
            <w:tcMar>
              <w:left w:w="20" w:type="dxa"/>
              <w:right w:w="20" w:type="dxa"/>
            </w:tcMar>
            <w:vAlign w:val="center"/>
          </w:tcPr>
          <w:p w14:paraId="4D6B6649" w14:textId="77777777" w:rsidR="00763EF2" w:rsidRPr="00427986" w:rsidRDefault="00763EF2" w:rsidP="00CB4A1F">
            <w:pPr>
              <w:widowControl w:val="0"/>
              <w:jc w:val="center"/>
              <w:rPr>
                <w:rFonts w:ascii="Arial Narrow" w:eastAsiaTheme="majorEastAsia" w:hAnsi="Arial Narrow" w:cstheme="majorBidi"/>
                <w:bCs/>
                <w:sz w:val="20"/>
                <w:szCs w:val="20"/>
              </w:rPr>
            </w:pPr>
            <w:r w:rsidRPr="00427986">
              <w:rPr>
                <w:rFonts w:ascii="Arial Narrow" w:eastAsia="MS Gothic" w:hAnsi="Arial Narrow" w:cs="Times New Roman"/>
                <w:bCs/>
                <w:sz w:val="20"/>
                <w:szCs w:val="20"/>
              </w:rPr>
              <w:t>0.17</w:t>
            </w:r>
          </w:p>
        </w:tc>
        <w:tc>
          <w:tcPr>
            <w:tcW w:w="598" w:type="pct"/>
            <w:tcBorders>
              <w:top w:val="nil"/>
              <w:left w:val="single" w:sz="4" w:space="0" w:color="auto"/>
              <w:bottom w:val="single" w:sz="4" w:space="0" w:color="auto"/>
              <w:right w:val="single" w:sz="4" w:space="0" w:color="auto"/>
            </w:tcBorders>
            <w:tcMar>
              <w:left w:w="20" w:type="dxa"/>
              <w:right w:w="20" w:type="dxa"/>
            </w:tcMar>
            <w:vAlign w:val="center"/>
          </w:tcPr>
          <w:p w14:paraId="2C3FD7D6" w14:textId="0834669F" w:rsidR="00763EF2" w:rsidRPr="00D22B13" w:rsidRDefault="005860C6" w:rsidP="00CB4A1F">
            <w:pPr>
              <w:widowControl w:val="0"/>
              <w:jc w:val="center"/>
              <w:rPr>
                <w:rFonts w:ascii="Arial Narrow" w:eastAsiaTheme="majorEastAsia" w:hAnsi="Arial Narrow" w:cstheme="majorBidi"/>
                <w:bCs/>
                <w:sz w:val="20"/>
                <w:szCs w:val="20"/>
                <w:highlight w:val="darkGray"/>
              </w:rPr>
            </w:pPr>
            <w:r>
              <w:rPr>
                <w:rFonts w:ascii="Arial Narrow" w:eastAsia="MS Gothic" w:hAnsi="Arial Narrow" w:cs="Times New Roman"/>
                <w:bCs/>
                <w:sz w:val="20"/>
                <w:szCs w:val="20"/>
              </w:rPr>
              <w:t xml:space="preserve"> </w:t>
            </w:r>
            <w:r w:rsidRPr="005860C6">
              <w:rPr>
                <w:rFonts w:ascii="Arial Narrow" w:eastAsia="MS Gothic" w:hAnsi="Arial Narrow" w:cs="Times New Roman" w:hint="eastAsia"/>
                <w:bCs/>
                <w:color w:val="000000"/>
                <w:w w:val="18"/>
                <w:sz w:val="20"/>
                <w:szCs w:val="20"/>
                <w:shd w:val="solid" w:color="000000" w:fill="000000"/>
                <w:fitText w:val="80" w:id="-1032107257"/>
                <w14:textFill>
                  <w14:solidFill>
                    <w14:srgbClr w14:val="000000">
                      <w14:alpha w14:val="100000"/>
                    </w14:srgbClr>
                  </w14:solidFill>
                </w14:textFill>
              </w:rPr>
              <w:t xml:space="preserve">　</w:t>
            </w:r>
            <w:r w:rsidRPr="005860C6">
              <w:rPr>
                <w:rFonts w:ascii="Arial Narrow" w:eastAsia="MS Gothic" w:hAnsi="Arial Narrow" w:cs="Times New Roman"/>
                <w:bCs/>
                <w:color w:val="000000"/>
                <w:w w:val="18"/>
                <w:sz w:val="20"/>
                <w:szCs w:val="20"/>
                <w:shd w:val="solid" w:color="000000" w:fill="000000"/>
                <w:fitText w:val="80" w:id="-1032107257"/>
                <w14:textFill>
                  <w14:solidFill>
                    <w14:srgbClr w14:val="000000">
                      <w14:alpha w14:val="100000"/>
                    </w14:srgbClr>
                  </w14:solidFill>
                </w14:textFill>
              </w:rPr>
              <w:t>|</w:t>
            </w:r>
            <w:r w:rsidRPr="005860C6">
              <w:rPr>
                <w:rFonts w:ascii="Arial Narrow" w:eastAsia="MS Gothic" w:hAnsi="Arial Narrow" w:cs="Times New Roman" w:hint="eastAsia"/>
                <w:bCs/>
                <w:color w:val="000000"/>
                <w:w w:val="18"/>
                <w:sz w:val="20"/>
                <w:szCs w:val="20"/>
                <w:shd w:val="solid" w:color="000000" w:fill="000000"/>
                <w:fitText w:val="80" w:id="-1032107257"/>
                <w14:textFill>
                  <w14:solidFill>
                    <w14:srgbClr w14:val="000000">
                      <w14:alpha w14:val="100000"/>
                    </w14:srgbClr>
                  </w14:solidFill>
                </w14:textFill>
              </w:rPr>
              <w:t xml:space="preserve">　</w:t>
            </w:r>
            <w:r w:rsidR="002001F2">
              <w:rPr>
                <w:rFonts w:ascii="Arial Narrow" w:eastAsiaTheme="majorEastAsia" w:hAnsi="Arial Narrow" w:cstheme="majorBidi"/>
                <w:bCs/>
                <w:sz w:val="20"/>
                <w:szCs w:val="20"/>
                <w:vertAlign w:val="superscript"/>
              </w:rPr>
              <w:t>1</w:t>
            </w:r>
          </w:p>
        </w:tc>
        <w:tc>
          <w:tcPr>
            <w:tcW w:w="545" w:type="pct"/>
            <w:tcBorders>
              <w:top w:val="nil"/>
              <w:left w:val="nil"/>
              <w:bottom w:val="single" w:sz="4" w:space="0" w:color="auto"/>
            </w:tcBorders>
            <w:tcMar>
              <w:left w:w="20" w:type="dxa"/>
              <w:right w:w="20" w:type="dxa"/>
            </w:tcMar>
            <w:vAlign w:val="center"/>
          </w:tcPr>
          <w:p w14:paraId="2847F400" w14:textId="4C8DB0E0" w:rsidR="00763EF2" w:rsidRPr="00D22B13" w:rsidRDefault="005860C6" w:rsidP="00CB4A1F">
            <w:pPr>
              <w:widowControl w:val="0"/>
              <w:jc w:val="center"/>
              <w:rPr>
                <w:rFonts w:ascii="Arial Narrow" w:eastAsia="Calibri" w:hAnsi="Arial Narrow" w:cstheme="majorBidi"/>
                <w:bCs/>
                <w:sz w:val="20"/>
                <w:szCs w:val="20"/>
                <w:highlight w:val="darkGray"/>
              </w:rPr>
            </w:pPr>
            <w:r>
              <w:rPr>
                <w:rFonts w:ascii="Arial Narrow" w:eastAsia="Calibri" w:hAnsi="Arial Narrow" w:cstheme="majorBidi"/>
                <w:bCs/>
                <w:sz w:val="20"/>
                <w:szCs w:val="20"/>
              </w:rPr>
              <w:t xml:space="preserve"> </w:t>
            </w:r>
            <w:r w:rsidRPr="005860C6">
              <w:rPr>
                <w:rFonts w:ascii="Arial Narrow" w:eastAsia="Calibri" w:hAnsi="Arial Narrow" w:cstheme="majorBidi" w:hint="eastAsia"/>
                <w:bCs/>
                <w:color w:val="000000"/>
                <w:w w:val="22"/>
                <w:sz w:val="20"/>
                <w:szCs w:val="20"/>
                <w:shd w:val="solid" w:color="000000" w:fill="000000"/>
                <w:fitText w:val="100" w:id="-1032107256"/>
                <w14:textFill>
                  <w14:solidFill>
                    <w14:srgbClr w14:val="000000">
                      <w14:alpha w14:val="100000"/>
                    </w14:srgbClr>
                  </w14:solidFill>
                </w14:textFill>
              </w:rPr>
              <w:t xml:space="preserve">　</w:t>
            </w:r>
            <w:r w:rsidRPr="005860C6">
              <w:rPr>
                <w:rFonts w:ascii="Arial Narrow" w:eastAsia="Calibri" w:hAnsi="Arial Narrow" w:cstheme="majorBidi"/>
                <w:bCs/>
                <w:color w:val="000000"/>
                <w:w w:val="22"/>
                <w:sz w:val="20"/>
                <w:szCs w:val="20"/>
                <w:shd w:val="solid" w:color="000000" w:fill="000000"/>
                <w:fitText w:val="100" w:id="-1032107256"/>
                <w14:textFill>
                  <w14:solidFill>
                    <w14:srgbClr w14:val="000000">
                      <w14:alpha w14:val="100000"/>
                    </w14:srgbClr>
                  </w14:solidFill>
                </w14:textFill>
              </w:rPr>
              <w:t>|</w:t>
            </w:r>
            <w:r w:rsidRPr="005860C6">
              <w:rPr>
                <w:rFonts w:ascii="Arial Narrow" w:eastAsia="Calibri" w:hAnsi="Arial Narrow" w:cstheme="majorBidi" w:hint="eastAsia"/>
                <w:bCs/>
                <w:color w:val="000000"/>
                <w:spacing w:val="3"/>
                <w:w w:val="22"/>
                <w:sz w:val="20"/>
                <w:szCs w:val="20"/>
                <w:shd w:val="solid" w:color="000000" w:fill="000000"/>
                <w:fitText w:val="100" w:id="-1032107256"/>
                <w14:textFill>
                  <w14:solidFill>
                    <w14:srgbClr w14:val="000000">
                      <w14:alpha w14:val="100000"/>
                    </w14:srgbClr>
                  </w14:solidFill>
                </w14:textFill>
              </w:rPr>
              <w:t xml:space="preserve">　</w:t>
            </w:r>
          </w:p>
        </w:tc>
      </w:tr>
      <w:tr w:rsidR="000A280B" w:rsidRPr="00427986" w14:paraId="047C0771" w14:textId="77777777" w:rsidTr="00E120DC">
        <w:trPr>
          <w:cantSplit/>
          <w:trHeight w:val="70"/>
        </w:trPr>
        <w:tc>
          <w:tcPr>
            <w:tcW w:w="2526" w:type="pct"/>
            <w:tcBorders>
              <w:top w:val="single" w:sz="4" w:space="0" w:color="auto"/>
              <w:left w:val="single" w:sz="4" w:space="0" w:color="auto"/>
              <w:bottom w:val="nil"/>
              <w:right w:val="nil"/>
            </w:tcBorders>
            <w:tcMar>
              <w:left w:w="20" w:type="dxa"/>
              <w:right w:w="20" w:type="dxa"/>
            </w:tcMar>
            <w:vAlign w:val="center"/>
          </w:tcPr>
          <w:p w14:paraId="213223FB" w14:textId="45986A53" w:rsidR="00763EF2" w:rsidRPr="00427986" w:rsidRDefault="00763EF2" w:rsidP="00CB4A1F">
            <w:pPr>
              <w:widowControl w:val="0"/>
              <w:jc w:val="left"/>
              <w:rPr>
                <w:rFonts w:ascii="Arial Narrow" w:eastAsiaTheme="majorEastAsia" w:hAnsi="Arial Narrow" w:cstheme="majorBidi"/>
                <w:bCs/>
                <w:sz w:val="20"/>
              </w:rPr>
            </w:pPr>
            <w:r w:rsidRPr="00427986">
              <w:rPr>
                <w:rFonts w:ascii="Arial Narrow" w:eastAsia="MS Gothic" w:hAnsi="Arial Narrow" w:cs="Times New Roman"/>
                <w:bCs/>
                <w:sz w:val="20"/>
              </w:rPr>
              <w:t>Discount rate (base case</w:t>
            </w:r>
            <w:r w:rsidR="007F57A9" w:rsidRPr="00427986">
              <w:rPr>
                <w:rFonts w:ascii="Arial Narrow" w:eastAsia="MS Gothic" w:hAnsi="Arial Narrow" w:cs="Times New Roman"/>
                <w:bCs/>
                <w:sz w:val="20"/>
              </w:rPr>
              <w:t>:</w:t>
            </w:r>
            <w:r w:rsidRPr="00427986">
              <w:rPr>
                <w:rFonts w:ascii="Arial Narrow" w:eastAsia="MS Gothic" w:hAnsi="Arial Narrow" w:cs="Times New Roman"/>
                <w:bCs/>
                <w:sz w:val="20"/>
              </w:rPr>
              <w:t xml:space="preserve"> 5% costs and outcomes)</w:t>
            </w:r>
          </w:p>
        </w:tc>
        <w:tc>
          <w:tcPr>
            <w:tcW w:w="665" w:type="pct"/>
            <w:tcBorders>
              <w:top w:val="single" w:sz="4" w:space="0" w:color="auto"/>
              <w:left w:val="nil"/>
              <w:bottom w:val="nil"/>
              <w:right w:val="nil"/>
            </w:tcBorders>
            <w:tcMar>
              <w:left w:w="20" w:type="dxa"/>
              <w:right w:w="20" w:type="dxa"/>
            </w:tcMar>
            <w:vAlign w:val="center"/>
          </w:tcPr>
          <w:p w14:paraId="1B9B124D" w14:textId="77777777" w:rsidR="00763EF2" w:rsidRPr="00427986" w:rsidRDefault="00763EF2" w:rsidP="00CB4A1F">
            <w:pPr>
              <w:widowControl w:val="0"/>
              <w:jc w:val="center"/>
              <w:rPr>
                <w:rFonts w:ascii="Arial Narrow" w:eastAsiaTheme="majorEastAsia" w:hAnsi="Arial Narrow" w:cstheme="majorBidi"/>
                <w:bCs/>
                <w:sz w:val="20"/>
                <w:szCs w:val="20"/>
              </w:rPr>
            </w:pPr>
          </w:p>
        </w:tc>
        <w:tc>
          <w:tcPr>
            <w:tcW w:w="666" w:type="pct"/>
            <w:tcBorders>
              <w:top w:val="single" w:sz="4" w:space="0" w:color="auto"/>
              <w:left w:val="nil"/>
              <w:bottom w:val="nil"/>
              <w:right w:val="nil"/>
            </w:tcBorders>
            <w:tcMar>
              <w:left w:w="20" w:type="dxa"/>
              <w:right w:w="20" w:type="dxa"/>
            </w:tcMar>
            <w:vAlign w:val="center"/>
          </w:tcPr>
          <w:p w14:paraId="2719DDB4" w14:textId="77777777" w:rsidR="00763EF2" w:rsidRPr="00427986" w:rsidRDefault="00763EF2" w:rsidP="00CB4A1F">
            <w:pPr>
              <w:widowControl w:val="0"/>
              <w:jc w:val="center"/>
              <w:rPr>
                <w:rFonts w:ascii="Arial Narrow" w:eastAsiaTheme="majorEastAsia" w:hAnsi="Arial Narrow" w:cstheme="majorBidi"/>
                <w:bCs/>
                <w:sz w:val="20"/>
                <w:szCs w:val="20"/>
              </w:rPr>
            </w:pPr>
          </w:p>
        </w:tc>
        <w:tc>
          <w:tcPr>
            <w:tcW w:w="598" w:type="pct"/>
            <w:tcBorders>
              <w:top w:val="single" w:sz="4" w:space="0" w:color="auto"/>
              <w:left w:val="nil"/>
              <w:bottom w:val="nil"/>
              <w:right w:val="nil"/>
            </w:tcBorders>
            <w:tcMar>
              <w:left w:w="20" w:type="dxa"/>
              <w:right w:w="20" w:type="dxa"/>
            </w:tcMar>
            <w:vAlign w:val="center"/>
          </w:tcPr>
          <w:p w14:paraId="265B120B" w14:textId="77777777" w:rsidR="00763EF2" w:rsidRPr="00427986" w:rsidRDefault="00763EF2" w:rsidP="00CB4A1F">
            <w:pPr>
              <w:widowControl w:val="0"/>
              <w:jc w:val="center"/>
              <w:rPr>
                <w:rFonts w:ascii="Arial Narrow" w:eastAsiaTheme="majorEastAsia" w:hAnsi="Arial Narrow" w:cstheme="majorBidi"/>
                <w:bCs/>
                <w:sz w:val="20"/>
                <w:szCs w:val="20"/>
              </w:rPr>
            </w:pPr>
          </w:p>
        </w:tc>
        <w:tc>
          <w:tcPr>
            <w:tcW w:w="545" w:type="pct"/>
            <w:tcBorders>
              <w:top w:val="single" w:sz="4" w:space="0" w:color="auto"/>
              <w:left w:val="nil"/>
              <w:bottom w:val="nil"/>
            </w:tcBorders>
            <w:tcMar>
              <w:left w:w="20" w:type="dxa"/>
              <w:right w:w="20" w:type="dxa"/>
            </w:tcMar>
            <w:vAlign w:val="center"/>
          </w:tcPr>
          <w:p w14:paraId="0ECFE6B2" w14:textId="77777777" w:rsidR="00763EF2" w:rsidRPr="00427986" w:rsidRDefault="00763EF2" w:rsidP="00CB4A1F">
            <w:pPr>
              <w:widowControl w:val="0"/>
              <w:jc w:val="center"/>
              <w:rPr>
                <w:rFonts w:ascii="Arial Narrow" w:eastAsia="Calibri" w:hAnsi="Arial Narrow" w:cstheme="majorBidi"/>
                <w:bCs/>
                <w:sz w:val="20"/>
                <w:szCs w:val="20"/>
              </w:rPr>
            </w:pPr>
          </w:p>
        </w:tc>
      </w:tr>
      <w:tr w:rsidR="000A280B" w:rsidRPr="00427986" w14:paraId="47D8C76A" w14:textId="77777777" w:rsidTr="00E120DC">
        <w:trPr>
          <w:cantSplit/>
          <w:trHeight w:val="70"/>
        </w:trPr>
        <w:tc>
          <w:tcPr>
            <w:tcW w:w="2526" w:type="pct"/>
            <w:tcBorders>
              <w:top w:val="nil"/>
              <w:left w:val="single" w:sz="4" w:space="0" w:color="auto"/>
              <w:bottom w:val="nil"/>
              <w:right w:val="single" w:sz="4" w:space="0" w:color="auto"/>
            </w:tcBorders>
            <w:tcMar>
              <w:left w:w="20" w:type="dxa"/>
              <w:right w:w="20" w:type="dxa"/>
            </w:tcMar>
            <w:vAlign w:val="center"/>
          </w:tcPr>
          <w:p w14:paraId="0C19452E" w14:textId="77777777" w:rsidR="00763EF2" w:rsidRPr="00427986" w:rsidRDefault="00763EF2" w:rsidP="00CB4A1F">
            <w:pPr>
              <w:widowControl w:val="0"/>
              <w:ind w:left="113"/>
              <w:jc w:val="left"/>
              <w:rPr>
                <w:rFonts w:ascii="Arial Narrow" w:eastAsiaTheme="majorEastAsia" w:hAnsi="Arial Narrow" w:cstheme="majorBidi"/>
                <w:bCs/>
                <w:sz w:val="20"/>
              </w:rPr>
            </w:pPr>
            <w:r w:rsidRPr="00427986">
              <w:rPr>
                <w:rFonts w:ascii="Arial Narrow" w:eastAsia="MS Gothic" w:hAnsi="Arial Narrow" w:cs="Times New Roman"/>
                <w:bCs/>
                <w:sz w:val="20"/>
              </w:rPr>
              <w:t>0% costs and outcomes</w:t>
            </w:r>
          </w:p>
        </w:tc>
        <w:tc>
          <w:tcPr>
            <w:tcW w:w="665" w:type="pct"/>
            <w:tcBorders>
              <w:top w:val="nil"/>
              <w:left w:val="single" w:sz="4" w:space="0" w:color="auto"/>
              <w:bottom w:val="nil"/>
              <w:right w:val="single" w:sz="4" w:space="0" w:color="auto"/>
            </w:tcBorders>
            <w:tcMar>
              <w:left w:w="20" w:type="dxa"/>
              <w:right w:w="20" w:type="dxa"/>
            </w:tcMar>
            <w:vAlign w:val="center"/>
          </w:tcPr>
          <w:p w14:paraId="407FADAF" w14:textId="612CAD46" w:rsidR="00763EF2" w:rsidRPr="00D22B13" w:rsidRDefault="005860C6" w:rsidP="00CB4A1F">
            <w:pPr>
              <w:widowControl w:val="0"/>
              <w:jc w:val="center"/>
              <w:rPr>
                <w:rFonts w:ascii="Arial Narrow" w:eastAsiaTheme="majorEastAsia" w:hAnsi="Arial Narrow" w:cstheme="majorBidi"/>
                <w:bCs/>
                <w:sz w:val="20"/>
                <w:szCs w:val="20"/>
                <w:highlight w:val="darkGray"/>
              </w:rPr>
            </w:pPr>
            <w:r>
              <w:rPr>
                <w:rFonts w:ascii="Arial Narrow" w:eastAsia="MS Gothic" w:hAnsi="Arial Narrow" w:cs="Times New Roman"/>
                <w:bCs/>
                <w:sz w:val="20"/>
              </w:rPr>
              <w:t xml:space="preserve"> </w:t>
            </w:r>
            <w:r w:rsidRPr="005860C6">
              <w:rPr>
                <w:rFonts w:ascii="Arial Narrow" w:eastAsia="MS Gothic" w:hAnsi="Arial Narrow" w:cs="Times New Roman"/>
                <w:bCs/>
                <w:color w:val="000000"/>
                <w:sz w:val="20"/>
                <w:shd w:val="solid" w:color="000000" w:fill="000000"/>
                <w14:textFill>
                  <w14:solidFill>
                    <w14:srgbClr w14:val="000000">
                      <w14:alpha w14:val="100000"/>
                    </w14:srgbClr>
                  </w14:solidFill>
                </w14:textFill>
              </w:rPr>
              <w:t>|</w:t>
            </w:r>
          </w:p>
        </w:tc>
        <w:tc>
          <w:tcPr>
            <w:tcW w:w="666" w:type="pct"/>
            <w:tcBorders>
              <w:top w:val="nil"/>
              <w:left w:val="single" w:sz="4" w:space="0" w:color="auto"/>
              <w:bottom w:val="nil"/>
              <w:right w:val="single" w:sz="4" w:space="0" w:color="auto"/>
            </w:tcBorders>
            <w:tcMar>
              <w:left w:w="20" w:type="dxa"/>
              <w:right w:w="20" w:type="dxa"/>
            </w:tcMar>
            <w:vAlign w:val="center"/>
          </w:tcPr>
          <w:p w14:paraId="7D36E059" w14:textId="77777777" w:rsidR="00763EF2" w:rsidRPr="00427986" w:rsidRDefault="00763EF2" w:rsidP="00CB4A1F">
            <w:pPr>
              <w:widowControl w:val="0"/>
              <w:jc w:val="center"/>
              <w:rPr>
                <w:rFonts w:ascii="Arial Narrow" w:eastAsiaTheme="majorEastAsia" w:hAnsi="Arial Narrow" w:cstheme="majorBidi"/>
                <w:bCs/>
                <w:sz w:val="20"/>
                <w:szCs w:val="20"/>
              </w:rPr>
            </w:pPr>
            <w:r w:rsidRPr="00427986">
              <w:rPr>
                <w:rFonts w:ascii="Arial Narrow" w:eastAsia="MS Gothic" w:hAnsi="Arial Narrow" w:cs="Times New Roman"/>
                <w:bCs/>
                <w:sz w:val="20"/>
              </w:rPr>
              <w:t>0.18</w:t>
            </w:r>
          </w:p>
        </w:tc>
        <w:tc>
          <w:tcPr>
            <w:tcW w:w="598" w:type="pct"/>
            <w:tcBorders>
              <w:top w:val="nil"/>
              <w:left w:val="single" w:sz="4" w:space="0" w:color="auto"/>
              <w:bottom w:val="nil"/>
              <w:right w:val="single" w:sz="4" w:space="0" w:color="auto"/>
            </w:tcBorders>
            <w:tcMar>
              <w:left w:w="20" w:type="dxa"/>
              <w:right w:w="20" w:type="dxa"/>
            </w:tcMar>
            <w:vAlign w:val="center"/>
          </w:tcPr>
          <w:p w14:paraId="3D49A500" w14:textId="1810BCEB" w:rsidR="00763EF2" w:rsidRPr="00D22B13" w:rsidRDefault="005860C6" w:rsidP="00CB4A1F">
            <w:pPr>
              <w:widowControl w:val="0"/>
              <w:jc w:val="center"/>
              <w:rPr>
                <w:rFonts w:ascii="Arial Narrow" w:eastAsiaTheme="majorEastAsia" w:hAnsi="Arial Narrow" w:cstheme="majorBidi"/>
                <w:bCs/>
                <w:sz w:val="20"/>
                <w:szCs w:val="20"/>
                <w:highlight w:val="darkGray"/>
              </w:rPr>
            </w:pPr>
            <w:r>
              <w:rPr>
                <w:rFonts w:ascii="Arial Narrow" w:eastAsia="MS Gothic" w:hAnsi="Arial Narrow" w:cs="Times New Roman"/>
                <w:bCs/>
                <w:sz w:val="20"/>
              </w:rPr>
              <w:t xml:space="preserve"> </w:t>
            </w:r>
            <w:r w:rsidRPr="005860C6">
              <w:rPr>
                <w:rFonts w:ascii="Arial Narrow" w:eastAsia="MS Gothic" w:hAnsi="Arial Narrow" w:cs="Times New Roman" w:hint="eastAsia"/>
                <w:bCs/>
                <w:color w:val="000000"/>
                <w:w w:val="18"/>
                <w:sz w:val="20"/>
                <w:shd w:val="solid" w:color="000000" w:fill="000000"/>
                <w:fitText w:val="80" w:id="-1032107255"/>
                <w14:textFill>
                  <w14:solidFill>
                    <w14:srgbClr w14:val="000000">
                      <w14:alpha w14:val="100000"/>
                    </w14:srgbClr>
                  </w14:solidFill>
                </w14:textFill>
              </w:rPr>
              <w:t xml:space="preserve">　</w:t>
            </w:r>
            <w:r w:rsidRPr="005860C6">
              <w:rPr>
                <w:rFonts w:ascii="Arial Narrow" w:eastAsia="MS Gothic" w:hAnsi="Arial Narrow" w:cs="Times New Roman"/>
                <w:bCs/>
                <w:color w:val="000000"/>
                <w:w w:val="18"/>
                <w:sz w:val="20"/>
                <w:shd w:val="solid" w:color="000000" w:fill="000000"/>
                <w:fitText w:val="80" w:id="-1032107255"/>
                <w14:textFill>
                  <w14:solidFill>
                    <w14:srgbClr w14:val="000000">
                      <w14:alpha w14:val="100000"/>
                    </w14:srgbClr>
                  </w14:solidFill>
                </w14:textFill>
              </w:rPr>
              <w:t>|</w:t>
            </w:r>
            <w:r w:rsidRPr="005860C6">
              <w:rPr>
                <w:rFonts w:ascii="Arial Narrow" w:eastAsia="MS Gothic" w:hAnsi="Arial Narrow" w:cs="Times New Roman" w:hint="eastAsia"/>
                <w:bCs/>
                <w:color w:val="000000"/>
                <w:w w:val="18"/>
                <w:sz w:val="20"/>
                <w:shd w:val="solid" w:color="000000" w:fill="000000"/>
                <w:fitText w:val="80" w:id="-1032107255"/>
                <w14:textFill>
                  <w14:solidFill>
                    <w14:srgbClr w14:val="000000">
                      <w14:alpha w14:val="100000"/>
                    </w14:srgbClr>
                  </w14:solidFill>
                </w14:textFill>
              </w:rPr>
              <w:t xml:space="preserve">　</w:t>
            </w:r>
            <w:r w:rsidR="002001F2">
              <w:rPr>
                <w:rFonts w:ascii="Arial Narrow" w:eastAsiaTheme="majorEastAsia" w:hAnsi="Arial Narrow" w:cstheme="majorBidi"/>
                <w:bCs/>
                <w:sz w:val="20"/>
                <w:szCs w:val="20"/>
                <w:vertAlign w:val="superscript"/>
              </w:rPr>
              <w:t>1</w:t>
            </w:r>
          </w:p>
        </w:tc>
        <w:tc>
          <w:tcPr>
            <w:tcW w:w="545" w:type="pct"/>
            <w:tcBorders>
              <w:top w:val="nil"/>
              <w:bottom w:val="nil"/>
            </w:tcBorders>
            <w:tcMar>
              <w:left w:w="20" w:type="dxa"/>
              <w:right w:w="20" w:type="dxa"/>
            </w:tcMar>
            <w:vAlign w:val="center"/>
          </w:tcPr>
          <w:p w14:paraId="4D4BD5C7" w14:textId="33454157" w:rsidR="00763EF2" w:rsidRPr="00427986" w:rsidRDefault="00763EF2" w:rsidP="00CB4A1F">
            <w:pPr>
              <w:widowControl w:val="0"/>
              <w:jc w:val="center"/>
              <w:rPr>
                <w:rFonts w:ascii="Arial Narrow" w:eastAsia="Calibri" w:hAnsi="Arial Narrow" w:cstheme="majorBidi"/>
                <w:bCs/>
                <w:sz w:val="20"/>
                <w:szCs w:val="20"/>
              </w:rPr>
            </w:pPr>
            <w:r w:rsidRPr="00427986">
              <w:rPr>
                <w:rFonts w:ascii="Arial Narrow" w:eastAsia="Calibri" w:hAnsi="Arial Narrow" w:cstheme="majorBidi"/>
                <w:bCs/>
                <w:sz w:val="20"/>
                <w:szCs w:val="20"/>
              </w:rPr>
              <w:t>-</w:t>
            </w:r>
            <w:r w:rsidR="005860C6">
              <w:rPr>
                <w:rFonts w:ascii="Arial Narrow" w:eastAsia="Calibri" w:hAnsi="Arial Narrow" w:cstheme="majorBidi"/>
                <w:bCs/>
                <w:sz w:val="20"/>
                <w:szCs w:val="20"/>
              </w:rPr>
              <w:t xml:space="preserve"> </w:t>
            </w:r>
            <w:r w:rsidR="005860C6" w:rsidRPr="005860C6">
              <w:rPr>
                <w:rFonts w:ascii="Arial Narrow" w:eastAsia="Calibri" w:hAnsi="Arial Narrow" w:cstheme="majorBidi" w:hint="eastAsia"/>
                <w:bCs/>
                <w:color w:val="000000"/>
                <w:w w:val="29"/>
                <w:sz w:val="20"/>
                <w:szCs w:val="20"/>
                <w:shd w:val="solid" w:color="000000" w:fill="000000"/>
                <w:fitText w:val="130" w:id="-1032107254"/>
                <w14:textFill>
                  <w14:solidFill>
                    <w14:srgbClr w14:val="000000">
                      <w14:alpha w14:val="100000"/>
                    </w14:srgbClr>
                  </w14:solidFill>
                </w14:textFill>
              </w:rPr>
              <w:t xml:space="preserve">　</w:t>
            </w:r>
            <w:r w:rsidR="005860C6" w:rsidRPr="005860C6">
              <w:rPr>
                <w:rFonts w:ascii="Arial Narrow" w:eastAsia="Calibri" w:hAnsi="Arial Narrow" w:cstheme="majorBidi"/>
                <w:bCs/>
                <w:color w:val="000000"/>
                <w:w w:val="29"/>
                <w:sz w:val="20"/>
                <w:szCs w:val="20"/>
                <w:shd w:val="solid" w:color="000000" w:fill="000000"/>
                <w:fitText w:val="130" w:id="-1032107254"/>
                <w14:textFill>
                  <w14:solidFill>
                    <w14:srgbClr w14:val="000000">
                      <w14:alpha w14:val="100000"/>
                    </w14:srgbClr>
                  </w14:solidFill>
                </w14:textFill>
              </w:rPr>
              <w:t>|</w:t>
            </w:r>
            <w:r w:rsidR="005860C6" w:rsidRPr="005860C6">
              <w:rPr>
                <w:rFonts w:ascii="Arial Narrow" w:eastAsia="Calibri" w:hAnsi="Arial Narrow" w:cstheme="majorBidi" w:hint="eastAsia"/>
                <w:bCs/>
                <w:color w:val="000000"/>
                <w:spacing w:val="2"/>
                <w:w w:val="29"/>
                <w:sz w:val="20"/>
                <w:szCs w:val="20"/>
                <w:shd w:val="solid" w:color="000000" w:fill="000000"/>
                <w:fitText w:val="130" w:id="-1032107254"/>
                <w14:textFill>
                  <w14:solidFill>
                    <w14:srgbClr w14:val="000000">
                      <w14:alpha w14:val="100000"/>
                    </w14:srgbClr>
                  </w14:solidFill>
                </w14:textFill>
              </w:rPr>
              <w:t xml:space="preserve">　</w:t>
            </w:r>
          </w:p>
        </w:tc>
      </w:tr>
      <w:tr w:rsidR="000A280B" w:rsidRPr="00427986" w14:paraId="72860196" w14:textId="77777777" w:rsidTr="00E120DC">
        <w:trPr>
          <w:cantSplit/>
          <w:trHeight w:val="70"/>
        </w:trPr>
        <w:tc>
          <w:tcPr>
            <w:tcW w:w="2526" w:type="pct"/>
            <w:tcBorders>
              <w:top w:val="nil"/>
              <w:left w:val="single" w:sz="4" w:space="0" w:color="auto"/>
              <w:bottom w:val="single" w:sz="4" w:space="0" w:color="auto"/>
              <w:right w:val="single" w:sz="4" w:space="0" w:color="auto"/>
            </w:tcBorders>
            <w:tcMar>
              <w:left w:w="20" w:type="dxa"/>
              <w:right w:w="20" w:type="dxa"/>
            </w:tcMar>
            <w:vAlign w:val="center"/>
          </w:tcPr>
          <w:p w14:paraId="68A8EEB8" w14:textId="77777777" w:rsidR="00763EF2" w:rsidRPr="00427986" w:rsidRDefault="00763EF2" w:rsidP="00CB4A1F">
            <w:pPr>
              <w:widowControl w:val="0"/>
              <w:ind w:left="113"/>
              <w:jc w:val="left"/>
              <w:rPr>
                <w:rFonts w:ascii="Arial Narrow" w:eastAsiaTheme="majorEastAsia" w:hAnsi="Arial Narrow" w:cstheme="majorBidi"/>
                <w:bCs/>
                <w:sz w:val="20"/>
              </w:rPr>
            </w:pPr>
            <w:r w:rsidRPr="00427986">
              <w:rPr>
                <w:rFonts w:ascii="Arial Narrow" w:eastAsia="MS Gothic" w:hAnsi="Arial Narrow" w:cs="Times New Roman"/>
                <w:bCs/>
                <w:sz w:val="20"/>
              </w:rPr>
              <w:t>3.5% costs and outcomes</w:t>
            </w:r>
          </w:p>
        </w:tc>
        <w:tc>
          <w:tcPr>
            <w:tcW w:w="665" w:type="pct"/>
            <w:tcBorders>
              <w:top w:val="nil"/>
              <w:left w:val="single" w:sz="4" w:space="0" w:color="auto"/>
              <w:bottom w:val="single" w:sz="4" w:space="0" w:color="auto"/>
              <w:right w:val="single" w:sz="4" w:space="0" w:color="auto"/>
            </w:tcBorders>
            <w:tcMar>
              <w:left w:w="20" w:type="dxa"/>
              <w:right w:w="20" w:type="dxa"/>
            </w:tcMar>
            <w:vAlign w:val="center"/>
          </w:tcPr>
          <w:p w14:paraId="33DAE77B" w14:textId="207E5328" w:rsidR="00763EF2" w:rsidRPr="00D22B13" w:rsidRDefault="005860C6" w:rsidP="00CB4A1F">
            <w:pPr>
              <w:widowControl w:val="0"/>
              <w:jc w:val="center"/>
              <w:rPr>
                <w:rFonts w:ascii="Arial Narrow" w:eastAsiaTheme="majorEastAsia" w:hAnsi="Arial Narrow" w:cstheme="majorBidi"/>
                <w:bCs/>
                <w:sz w:val="20"/>
                <w:szCs w:val="20"/>
                <w:highlight w:val="darkGray"/>
              </w:rPr>
            </w:pPr>
            <w:r>
              <w:rPr>
                <w:rFonts w:ascii="Arial Narrow" w:eastAsia="MS Gothic" w:hAnsi="Arial Narrow" w:cs="Times New Roman"/>
                <w:bCs/>
                <w:sz w:val="20"/>
              </w:rPr>
              <w:t xml:space="preserve"> </w:t>
            </w:r>
            <w:r w:rsidRPr="005860C6">
              <w:rPr>
                <w:rFonts w:ascii="Arial Narrow" w:eastAsia="MS Gothic" w:hAnsi="Arial Narrow" w:cs="Times New Roman"/>
                <w:bCs/>
                <w:color w:val="000000"/>
                <w:sz w:val="20"/>
                <w:shd w:val="solid" w:color="000000" w:fill="000000"/>
                <w14:textFill>
                  <w14:solidFill>
                    <w14:srgbClr w14:val="000000">
                      <w14:alpha w14:val="100000"/>
                    </w14:srgbClr>
                  </w14:solidFill>
                </w14:textFill>
              </w:rPr>
              <w:t>|</w:t>
            </w:r>
          </w:p>
        </w:tc>
        <w:tc>
          <w:tcPr>
            <w:tcW w:w="666" w:type="pct"/>
            <w:tcBorders>
              <w:top w:val="nil"/>
              <w:left w:val="single" w:sz="4" w:space="0" w:color="auto"/>
              <w:bottom w:val="single" w:sz="4" w:space="0" w:color="auto"/>
              <w:right w:val="single" w:sz="4" w:space="0" w:color="auto"/>
            </w:tcBorders>
            <w:tcMar>
              <w:left w:w="20" w:type="dxa"/>
              <w:right w:w="20" w:type="dxa"/>
            </w:tcMar>
            <w:vAlign w:val="center"/>
          </w:tcPr>
          <w:p w14:paraId="6FEF1CF7" w14:textId="77777777" w:rsidR="00763EF2" w:rsidRPr="00427986" w:rsidRDefault="00763EF2" w:rsidP="00CB4A1F">
            <w:pPr>
              <w:widowControl w:val="0"/>
              <w:jc w:val="center"/>
              <w:rPr>
                <w:rFonts w:ascii="Arial Narrow" w:eastAsiaTheme="majorEastAsia" w:hAnsi="Arial Narrow" w:cstheme="majorBidi"/>
                <w:bCs/>
                <w:sz w:val="20"/>
                <w:szCs w:val="20"/>
              </w:rPr>
            </w:pPr>
            <w:r w:rsidRPr="00427986">
              <w:rPr>
                <w:rFonts w:ascii="Arial Narrow" w:eastAsia="MS Gothic" w:hAnsi="Arial Narrow" w:cs="Times New Roman"/>
                <w:bCs/>
                <w:sz w:val="20"/>
              </w:rPr>
              <w:t>0.18</w:t>
            </w:r>
          </w:p>
        </w:tc>
        <w:tc>
          <w:tcPr>
            <w:tcW w:w="598" w:type="pct"/>
            <w:tcBorders>
              <w:top w:val="nil"/>
              <w:left w:val="single" w:sz="4" w:space="0" w:color="auto"/>
              <w:bottom w:val="single" w:sz="4" w:space="0" w:color="auto"/>
              <w:right w:val="single" w:sz="4" w:space="0" w:color="auto"/>
            </w:tcBorders>
            <w:tcMar>
              <w:left w:w="20" w:type="dxa"/>
              <w:right w:w="20" w:type="dxa"/>
            </w:tcMar>
            <w:vAlign w:val="center"/>
          </w:tcPr>
          <w:p w14:paraId="43373447" w14:textId="65E4B963" w:rsidR="00763EF2" w:rsidRPr="00D22B13" w:rsidRDefault="005860C6" w:rsidP="00CB4A1F">
            <w:pPr>
              <w:widowControl w:val="0"/>
              <w:jc w:val="center"/>
              <w:rPr>
                <w:rFonts w:ascii="Arial Narrow" w:eastAsiaTheme="majorEastAsia" w:hAnsi="Arial Narrow" w:cstheme="majorBidi"/>
                <w:bCs/>
                <w:sz w:val="20"/>
                <w:szCs w:val="20"/>
                <w:highlight w:val="darkGray"/>
              </w:rPr>
            </w:pPr>
            <w:r>
              <w:rPr>
                <w:rFonts w:ascii="Arial Narrow" w:eastAsia="MS Gothic" w:hAnsi="Arial Narrow" w:cs="Times New Roman"/>
                <w:bCs/>
                <w:sz w:val="20"/>
              </w:rPr>
              <w:t xml:space="preserve"> </w:t>
            </w:r>
            <w:r w:rsidRPr="005860C6">
              <w:rPr>
                <w:rFonts w:ascii="Arial Narrow" w:eastAsia="MS Gothic" w:hAnsi="Arial Narrow" w:cs="Times New Roman" w:hint="eastAsia"/>
                <w:bCs/>
                <w:color w:val="000000"/>
                <w:w w:val="18"/>
                <w:sz w:val="20"/>
                <w:shd w:val="solid" w:color="000000" w:fill="000000"/>
                <w:fitText w:val="80" w:id="-1032107253"/>
                <w14:textFill>
                  <w14:solidFill>
                    <w14:srgbClr w14:val="000000">
                      <w14:alpha w14:val="100000"/>
                    </w14:srgbClr>
                  </w14:solidFill>
                </w14:textFill>
              </w:rPr>
              <w:t xml:space="preserve">　</w:t>
            </w:r>
            <w:r w:rsidRPr="005860C6">
              <w:rPr>
                <w:rFonts w:ascii="Arial Narrow" w:eastAsia="MS Gothic" w:hAnsi="Arial Narrow" w:cs="Times New Roman"/>
                <w:bCs/>
                <w:color w:val="000000"/>
                <w:w w:val="18"/>
                <w:sz w:val="20"/>
                <w:shd w:val="solid" w:color="000000" w:fill="000000"/>
                <w:fitText w:val="80" w:id="-1032107253"/>
                <w14:textFill>
                  <w14:solidFill>
                    <w14:srgbClr w14:val="000000">
                      <w14:alpha w14:val="100000"/>
                    </w14:srgbClr>
                  </w14:solidFill>
                </w14:textFill>
              </w:rPr>
              <w:t>|</w:t>
            </w:r>
            <w:r w:rsidRPr="005860C6">
              <w:rPr>
                <w:rFonts w:ascii="Arial Narrow" w:eastAsia="MS Gothic" w:hAnsi="Arial Narrow" w:cs="Times New Roman" w:hint="eastAsia"/>
                <w:bCs/>
                <w:color w:val="000000"/>
                <w:w w:val="18"/>
                <w:sz w:val="20"/>
                <w:shd w:val="solid" w:color="000000" w:fill="000000"/>
                <w:fitText w:val="80" w:id="-1032107253"/>
                <w14:textFill>
                  <w14:solidFill>
                    <w14:srgbClr w14:val="000000">
                      <w14:alpha w14:val="100000"/>
                    </w14:srgbClr>
                  </w14:solidFill>
                </w14:textFill>
              </w:rPr>
              <w:t xml:space="preserve">　</w:t>
            </w:r>
            <w:r w:rsidR="002001F2">
              <w:rPr>
                <w:rFonts w:ascii="Arial Narrow" w:eastAsiaTheme="majorEastAsia" w:hAnsi="Arial Narrow" w:cstheme="majorBidi"/>
                <w:bCs/>
                <w:sz w:val="20"/>
                <w:szCs w:val="20"/>
                <w:vertAlign w:val="superscript"/>
              </w:rPr>
              <w:t>1</w:t>
            </w:r>
          </w:p>
        </w:tc>
        <w:tc>
          <w:tcPr>
            <w:tcW w:w="545" w:type="pct"/>
            <w:tcBorders>
              <w:top w:val="nil"/>
              <w:bottom w:val="single" w:sz="4" w:space="0" w:color="auto"/>
            </w:tcBorders>
            <w:tcMar>
              <w:left w:w="20" w:type="dxa"/>
              <w:right w:w="20" w:type="dxa"/>
            </w:tcMar>
            <w:vAlign w:val="center"/>
          </w:tcPr>
          <w:p w14:paraId="37DD6E12" w14:textId="41733830" w:rsidR="00763EF2" w:rsidRPr="00427986" w:rsidRDefault="00763EF2" w:rsidP="00CB4A1F">
            <w:pPr>
              <w:widowControl w:val="0"/>
              <w:jc w:val="center"/>
              <w:rPr>
                <w:rFonts w:ascii="Arial Narrow" w:eastAsia="Calibri" w:hAnsi="Arial Narrow" w:cstheme="majorBidi"/>
                <w:bCs/>
                <w:sz w:val="20"/>
                <w:szCs w:val="20"/>
              </w:rPr>
            </w:pPr>
            <w:r w:rsidRPr="00427986">
              <w:rPr>
                <w:rFonts w:ascii="Arial Narrow" w:eastAsia="Calibri" w:hAnsi="Arial Narrow" w:cstheme="majorBidi"/>
                <w:bCs/>
                <w:sz w:val="20"/>
                <w:szCs w:val="20"/>
              </w:rPr>
              <w:t>-</w:t>
            </w:r>
            <w:r w:rsidR="005860C6">
              <w:rPr>
                <w:rFonts w:ascii="Arial Narrow" w:eastAsia="Calibri" w:hAnsi="Arial Narrow" w:cstheme="majorBidi"/>
                <w:bCs/>
                <w:sz w:val="20"/>
                <w:szCs w:val="20"/>
              </w:rPr>
              <w:t xml:space="preserve"> </w:t>
            </w:r>
            <w:r w:rsidR="005860C6" w:rsidRPr="005860C6">
              <w:rPr>
                <w:rFonts w:ascii="Arial Narrow" w:eastAsia="Calibri" w:hAnsi="Arial Narrow" w:cstheme="majorBidi" w:hint="eastAsia"/>
                <w:bCs/>
                <w:color w:val="000000"/>
                <w:w w:val="29"/>
                <w:sz w:val="20"/>
                <w:szCs w:val="20"/>
                <w:shd w:val="solid" w:color="000000" w:fill="000000"/>
                <w:fitText w:val="130" w:id="-1032107252"/>
                <w14:textFill>
                  <w14:solidFill>
                    <w14:srgbClr w14:val="000000">
                      <w14:alpha w14:val="100000"/>
                    </w14:srgbClr>
                  </w14:solidFill>
                </w14:textFill>
              </w:rPr>
              <w:t xml:space="preserve">　</w:t>
            </w:r>
            <w:r w:rsidR="005860C6" w:rsidRPr="005860C6">
              <w:rPr>
                <w:rFonts w:ascii="Arial Narrow" w:eastAsia="Calibri" w:hAnsi="Arial Narrow" w:cstheme="majorBidi"/>
                <w:bCs/>
                <w:color w:val="000000"/>
                <w:w w:val="29"/>
                <w:sz w:val="20"/>
                <w:szCs w:val="20"/>
                <w:shd w:val="solid" w:color="000000" w:fill="000000"/>
                <w:fitText w:val="130" w:id="-1032107252"/>
                <w14:textFill>
                  <w14:solidFill>
                    <w14:srgbClr w14:val="000000">
                      <w14:alpha w14:val="100000"/>
                    </w14:srgbClr>
                  </w14:solidFill>
                </w14:textFill>
              </w:rPr>
              <w:t>|</w:t>
            </w:r>
            <w:r w:rsidR="005860C6" w:rsidRPr="005860C6">
              <w:rPr>
                <w:rFonts w:ascii="Arial Narrow" w:eastAsia="Calibri" w:hAnsi="Arial Narrow" w:cstheme="majorBidi" w:hint="eastAsia"/>
                <w:bCs/>
                <w:color w:val="000000"/>
                <w:spacing w:val="2"/>
                <w:w w:val="29"/>
                <w:sz w:val="20"/>
                <w:szCs w:val="20"/>
                <w:shd w:val="solid" w:color="000000" w:fill="000000"/>
                <w:fitText w:val="130" w:id="-1032107252"/>
                <w14:textFill>
                  <w14:solidFill>
                    <w14:srgbClr w14:val="000000">
                      <w14:alpha w14:val="100000"/>
                    </w14:srgbClr>
                  </w14:solidFill>
                </w14:textFill>
              </w:rPr>
              <w:t xml:space="preserve">　</w:t>
            </w:r>
          </w:p>
        </w:tc>
      </w:tr>
      <w:tr w:rsidR="00763EF2" w:rsidRPr="00427986" w14:paraId="13F4EB30" w14:textId="77777777" w:rsidTr="00E120DC">
        <w:trPr>
          <w:cantSplit/>
        </w:trPr>
        <w:tc>
          <w:tcPr>
            <w:tcW w:w="2526" w:type="pct"/>
            <w:tcBorders>
              <w:bottom w:val="single" w:sz="4" w:space="0" w:color="auto"/>
              <w:right w:val="single" w:sz="4" w:space="0" w:color="auto"/>
            </w:tcBorders>
            <w:tcMar>
              <w:left w:w="20" w:type="dxa"/>
              <w:right w:w="20" w:type="dxa"/>
            </w:tcMar>
            <w:vAlign w:val="center"/>
          </w:tcPr>
          <w:p w14:paraId="1B98D34E" w14:textId="77D38CC7" w:rsidR="00763EF2" w:rsidRPr="00427986" w:rsidRDefault="00763EF2" w:rsidP="00CB4A1F">
            <w:pPr>
              <w:widowControl w:val="0"/>
              <w:jc w:val="left"/>
              <w:rPr>
                <w:rFonts w:ascii="Arial Narrow" w:eastAsiaTheme="majorEastAsia" w:hAnsi="Arial Narrow" w:cstheme="majorBidi"/>
                <w:sz w:val="20"/>
              </w:rPr>
            </w:pPr>
            <w:r w:rsidRPr="00427986">
              <w:rPr>
                <w:rFonts w:ascii="Arial Narrow" w:eastAsiaTheme="majorEastAsia" w:hAnsi="Arial Narrow" w:cstheme="majorBidi"/>
                <w:sz w:val="20"/>
              </w:rPr>
              <w:t>Unadjusted OS (</w:t>
            </w:r>
            <w:r w:rsidR="007F57A9" w:rsidRPr="00427986">
              <w:rPr>
                <w:rFonts w:ascii="Arial Narrow" w:eastAsiaTheme="majorEastAsia" w:hAnsi="Arial Narrow" w:cstheme="majorBidi"/>
                <w:sz w:val="20"/>
              </w:rPr>
              <w:t>base case</w:t>
            </w:r>
            <w:r w:rsidRPr="00427986">
              <w:rPr>
                <w:rFonts w:ascii="Arial Narrow" w:eastAsiaTheme="majorEastAsia" w:hAnsi="Arial Narrow" w:cstheme="majorBidi"/>
                <w:sz w:val="20"/>
              </w:rPr>
              <w:t>: RPSFT- adjusted OS)</w:t>
            </w:r>
          </w:p>
        </w:tc>
        <w:tc>
          <w:tcPr>
            <w:tcW w:w="665" w:type="pct"/>
            <w:tcBorders>
              <w:left w:val="single" w:sz="4" w:space="0" w:color="auto"/>
              <w:bottom w:val="single" w:sz="4" w:space="0" w:color="auto"/>
              <w:right w:val="single" w:sz="4" w:space="0" w:color="auto"/>
            </w:tcBorders>
            <w:tcMar>
              <w:left w:w="20" w:type="dxa"/>
              <w:right w:w="20" w:type="dxa"/>
            </w:tcMar>
            <w:vAlign w:val="center"/>
          </w:tcPr>
          <w:p w14:paraId="50EF106E" w14:textId="0649CDC6" w:rsidR="00763EF2" w:rsidRPr="00D22B13" w:rsidRDefault="005860C6" w:rsidP="00CB4A1F">
            <w:pPr>
              <w:widowControl w:val="0"/>
              <w:jc w:val="center"/>
              <w:rPr>
                <w:rFonts w:ascii="Arial Narrow" w:eastAsia="Calibri" w:hAnsi="Arial Narrow" w:cstheme="majorBidi"/>
                <w:sz w:val="20"/>
                <w:szCs w:val="20"/>
                <w:highlight w:val="darkGray"/>
              </w:rPr>
            </w:pPr>
            <w:r>
              <w:rPr>
                <w:rFonts w:ascii="Arial Narrow" w:eastAsia="Calibri" w:hAnsi="Arial Narrow" w:cstheme="majorBidi"/>
                <w:sz w:val="20"/>
                <w:szCs w:val="20"/>
              </w:rPr>
              <w:t xml:space="preserve"> </w:t>
            </w:r>
            <w:r w:rsidRPr="005860C6">
              <w:rPr>
                <w:rFonts w:ascii="Arial Narrow" w:eastAsia="Calibri" w:hAnsi="Arial Narrow" w:cstheme="majorBidi"/>
                <w:color w:val="000000"/>
                <w:sz w:val="20"/>
                <w:szCs w:val="20"/>
                <w:shd w:val="solid" w:color="000000" w:fill="000000"/>
                <w14:textFill>
                  <w14:solidFill>
                    <w14:srgbClr w14:val="000000">
                      <w14:alpha w14:val="100000"/>
                    </w14:srgbClr>
                  </w14:solidFill>
                </w14:textFill>
              </w:rPr>
              <w:t>|</w:t>
            </w:r>
          </w:p>
        </w:tc>
        <w:tc>
          <w:tcPr>
            <w:tcW w:w="666" w:type="pct"/>
            <w:tcBorders>
              <w:left w:val="single" w:sz="4" w:space="0" w:color="auto"/>
              <w:bottom w:val="single" w:sz="4" w:space="0" w:color="auto"/>
              <w:right w:val="single" w:sz="4" w:space="0" w:color="auto"/>
            </w:tcBorders>
            <w:tcMar>
              <w:left w:w="20" w:type="dxa"/>
              <w:right w:w="20" w:type="dxa"/>
            </w:tcMar>
            <w:vAlign w:val="center"/>
          </w:tcPr>
          <w:p w14:paraId="7E563588" w14:textId="77777777" w:rsidR="00763EF2" w:rsidRPr="00427986" w:rsidRDefault="00763EF2" w:rsidP="00CB4A1F">
            <w:pPr>
              <w:widowControl w:val="0"/>
              <w:jc w:val="center"/>
              <w:rPr>
                <w:rFonts w:ascii="Arial Narrow" w:eastAsia="Calibri" w:hAnsi="Arial Narrow" w:cstheme="majorBidi"/>
                <w:sz w:val="20"/>
                <w:szCs w:val="20"/>
              </w:rPr>
            </w:pPr>
            <w:r w:rsidRPr="00427986">
              <w:rPr>
                <w:rFonts w:ascii="Arial Narrow" w:eastAsia="Calibri" w:hAnsi="Arial Narrow" w:cstheme="majorBidi"/>
                <w:sz w:val="20"/>
                <w:szCs w:val="20"/>
              </w:rPr>
              <w:t>0.16</w:t>
            </w:r>
          </w:p>
        </w:tc>
        <w:tc>
          <w:tcPr>
            <w:tcW w:w="598" w:type="pct"/>
            <w:tcBorders>
              <w:left w:val="single" w:sz="4" w:space="0" w:color="auto"/>
              <w:bottom w:val="single" w:sz="4" w:space="0" w:color="auto"/>
              <w:right w:val="single" w:sz="4" w:space="0" w:color="auto"/>
            </w:tcBorders>
            <w:tcMar>
              <w:left w:w="20" w:type="dxa"/>
              <w:right w:w="20" w:type="dxa"/>
            </w:tcMar>
            <w:vAlign w:val="center"/>
          </w:tcPr>
          <w:p w14:paraId="4C509FFC" w14:textId="462D96CC" w:rsidR="00763EF2" w:rsidRPr="00D22B13" w:rsidRDefault="005860C6" w:rsidP="00CB4A1F">
            <w:pPr>
              <w:widowControl w:val="0"/>
              <w:jc w:val="center"/>
              <w:rPr>
                <w:rFonts w:ascii="Arial Narrow" w:eastAsia="Calibri" w:hAnsi="Arial Narrow" w:cstheme="majorBidi"/>
                <w:sz w:val="20"/>
                <w:szCs w:val="20"/>
                <w:highlight w:val="darkGray"/>
              </w:rPr>
            </w:pPr>
            <w:r>
              <w:rPr>
                <w:rFonts w:ascii="Arial Narrow" w:eastAsia="Calibri" w:hAnsi="Arial Narrow" w:cstheme="majorBidi"/>
                <w:sz w:val="20"/>
                <w:szCs w:val="20"/>
              </w:rPr>
              <w:t xml:space="preserve"> </w:t>
            </w:r>
            <w:r w:rsidRPr="005860C6">
              <w:rPr>
                <w:rFonts w:ascii="Arial Narrow" w:eastAsia="Calibri" w:hAnsi="Arial Narrow" w:cstheme="majorBidi" w:hint="eastAsia"/>
                <w:color w:val="000000"/>
                <w:w w:val="18"/>
                <w:sz w:val="20"/>
                <w:szCs w:val="20"/>
                <w:shd w:val="solid" w:color="000000" w:fill="000000"/>
                <w:fitText w:val="80" w:id="-1032107251"/>
                <w14:textFill>
                  <w14:solidFill>
                    <w14:srgbClr w14:val="000000">
                      <w14:alpha w14:val="100000"/>
                    </w14:srgbClr>
                  </w14:solidFill>
                </w14:textFill>
              </w:rPr>
              <w:t xml:space="preserve">　</w:t>
            </w:r>
            <w:r w:rsidRPr="005860C6">
              <w:rPr>
                <w:rFonts w:ascii="Arial Narrow" w:eastAsia="Calibri" w:hAnsi="Arial Narrow" w:cstheme="majorBidi"/>
                <w:color w:val="000000"/>
                <w:w w:val="18"/>
                <w:sz w:val="20"/>
                <w:szCs w:val="20"/>
                <w:shd w:val="solid" w:color="000000" w:fill="000000"/>
                <w:fitText w:val="80" w:id="-1032107251"/>
                <w14:textFill>
                  <w14:solidFill>
                    <w14:srgbClr w14:val="000000">
                      <w14:alpha w14:val="100000"/>
                    </w14:srgbClr>
                  </w14:solidFill>
                </w14:textFill>
              </w:rPr>
              <w:t>|</w:t>
            </w:r>
            <w:r w:rsidRPr="005860C6">
              <w:rPr>
                <w:rFonts w:ascii="Arial Narrow" w:eastAsia="Calibri" w:hAnsi="Arial Narrow" w:cstheme="majorBidi" w:hint="eastAsia"/>
                <w:color w:val="000000"/>
                <w:w w:val="18"/>
                <w:sz w:val="20"/>
                <w:szCs w:val="20"/>
                <w:shd w:val="solid" w:color="000000" w:fill="000000"/>
                <w:fitText w:val="80" w:id="-1032107251"/>
                <w14:textFill>
                  <w14:solidFill>
                    <w14:srgbClr w14:val="000000">
                      <w14:alpha w14:val="100000"/>
                    </w14:srgbClr>
                  </w14:solidFill>
                </w14:textFill>
              </w:rPr>
              <w:t xml:space="preserve">　</w:t>
            </w:r>
            <w:r w:rsidR="002001F2">
              <w:rPr>
                <w:rFonts w:ascii="Arial Narrow" w:eastAsiaTheme="majorEastAsia" w:hAnsi="Arial Narrow" w:cstheme="majorBidi"/>
                <w:bCs/>
                <w:sz w:val="20"/>
                <w:szCs w:val="20"/>
                <w:vertAlign w:val="superscript"/>
              </w:rPr>
              <w:t>1</w:t>
            </w:r>
          </w:p>
        </w:tc>
        <w:tc>
          <w:tcPr>
            <w:tcW w:w="545" w:type="pct"/>
            <w:tcBorders>
              <w:left w:val="single" w:sz="4" w:space="0" w:color="auto"/>
              <w:bottom w:val="single" w:sz="4" w:space="0" w:color="auto"/>
            </w:tcBorders>
            <w:tcMar>
              <w:left w:w="20" w:type="dxa"/>
              <w:right w:w="20" w:type="dxa"/>
            </w:tcMar>
            <w:vAlign w:val="center"/>
          </w:tcPr>
          <w:p w14:paraId="4C1670DF" w14:textId="6BEECC92" w:rsidR="00763EF2" w:rsidRPr="00427986" w:rsidRDefault="00763EF2" w:rsidP="00CB4A1F">
            <w:pPr>
              <w:widowControl w:val="0"/>
              <w:jc w:val="center"/>
              <w:rPr>
                <w:rFonts w:ascii="Arial Narrow" w:eastAsia="Calibri" w:hAnsi="Arial Narrow" w:cstheme="majorBidi"/>
                <w:sz w:val="20"/>
                <w:szCs w:val="20"/>
              </w:rPr>
            </w:pPr>
            <w:r w:rsidRPr="00427986">
              <w:rPr>
                <w:rFonts w:ascii="Arial Narrow" w:eastAsia="Calibri" w:hAnsi="Arial Narrow" w:cstheme="majorBidi"/>
                <w:sz w:val="20"/>
                <w:szCs w:val="20"/>
              </w:rPr>
              <w:t>-</w:t>
            </w:r>
            <w:r w:rsidR="005860C6">
              <w:rPr>
                <w:rFonts w:ascii="Arial Narrow" w:eastAsia="Calibri" w:hAnsi="Arial Narrow" w:cstheme="majorBidi"/>
                <w:sz w:val="20"/>
                <w:szCs w:val="20"/>
              </w:rPr>
              <w:t xml:space="preserve"> </w:t>
            </w:r>
            <w:r w:rsidR="005860C6" w:rsidRPr="005860C6">
              <w:rPr>
                <w:rFonts w:ascii="Arial Narrow" w:eastAsia="Calibri" w:hAnsi="Arial Narrow" w:cstheme="majorBidi" w:hint="eastAsia"/>
                <w:color w:val="000000"/>
                <w:w w:val="29"/>
                <w:sz w:val="20"/>
                <w:szCs w:val="20"/>
                <w:shd w:val="solid" w:color="000000" w:fill="000000"/>
                <w:fitText w:val="130" w:id="-1032107250"/>
                <w14:textFill>
                  <w14:solidFill>
                    <w14:srgbClr w14:val="000000">
                      <w14:alpha w14:val="100000"/>
                    </w14:srgbClr>
                  </w14:solidFill>
                </w14:textFill>
              </w:rPr>
              <w:t xml:space="preserve">　</w:t>
            </w:r>
            <w:r w:rsidR="005860C6" w:rsidRPr="005860C6">
              <w:rPr>
                <w:rFonts w:ascii="Arial Narrow" w:eastAsia="Calibri" w:hAnsi="Arial Narrow" w:cstheme="majorBidi"/>
                <w:color w:val="000000"/>
                <w:w w:val="29"/>
                <w:sz w:val="20"/>
                <w:szCs w:val="20"/>
                <w:shd w:val="solid" w:color="000000" w:fill="000000"/>
                <w:fitText w:val="130" w:id="-1032107250"/>
                <w14:textFill>
                  <w14:solidFill>
                    <w14:srgbClr w14:val="000000">
                      <w14:alpha w14:val="100000"/>
                    </w14:srgbClr>
                  </w14:solidFill>
                </w14:textFill>
              </w:rPr>
              <w:t>|</w:t>
            </w:r>
            <w:r w:rsidR="005860C6" w:rsidRPr="005860C6">
              <w:rPr>
                <w:rFonts w:ascii="Arial Narrow" w:eastAsia="Calibri" w:hAnsi="Arial Narrow" w:cstheme="majorBidi" w:hint="eastAsia"/>
                <w:color w:val="000000"/>
                <w:spacing w:val="2"/>
                <w:w w:val="29"/>
                <w:sz w:val="20"/>
                <w:szCs w:val="20"/>
                <w:shd w:val="solid" w:color="000000" w:fill="000000"/>
                <w:fitText w:val="130" w:id="-1032107250"/>
                <w14:textFill>
                  <w14:solidFill>
                    <w14:srgbClr w14:val="000000">
                      <w14:alpha w14:val="100000"/>
                    </w14:srgbClr>
                  </w14:solidFill>
                </w14:textFill>
              </w:rPr>
              <w:t xml:space="preserve">　</w:t>
            </w:r>
          </w:p>
        </w:tc>
      </w:tr>
      <w:tr w:rsidR="00763EF2" w:rsidRPr="00427986" w14:paraId="06DAEB1D" w14:textId="77777777" w:rsidTr="00E120DC">
        <w:trPr>
          <w:cantSplit/>
        </w:trPr>
        <w:tc>
          <w:tcPr>
            <w:tcW w:w="5000" w:type="pct"/>
            <w:gridSpan w:val="5"/>
            <w:tcBorders>
              <w:bottom w:val="nil"/>
            </w:tcBorders>
            <w:tcMar>
              <w:left w:w="20" w:type="dxa"/>
              <w:right w:w="20" w:type="dxa"/>
            </w:tcMar>
            <w:vAlign w:val="center"/>
          </w:tcPr>
          <w:p w14:paraId="17E35259" w14:textId="6CDAA6F5" w:rsidR="00763EF2" w:rsidRPr="00427986" w:rsidRDefault="00763EF2" w:rsidP="00CB4A1F">
            <w:pPr>
              <w:widowControl w:val="0"/>
              <w:jc w:val="left"/>
              <w:rPr>
                <w:rFonts w:ascii="Arial Narrow" w:eastAsiaTheme="majorEastAsia" w:hAnsi="Arial Narrow" w:cstheme="majorBidi"/>
                <w:bCs/>
                <w:sz w:val="20"/>
              </w:rPr>
            </w:pPr>
            <w:r w:rsidRPr="00427986">
              <w:rPr>
                <w:rFonts w:ascii="Arial Narrow" w:eastAsiaTheme="majorEastAsia" w:hAnsi="Arial Narrow" w:cstheme="majorBidi"/>
                <w:bCs/>
                <w:sz w:val="20"/>
              </w:rPr>
              <w:t>Costs of post-progression (subsequent line) therapies (</w:t>
            </w:r>
            <w:r w:rsidR="007F57A9" w:rsidRPr="00427986">
              <w:rPr>
                <w:rFonts w:ascii="Arial Narrow" w:eastAsiaTheme="majorEastAsia" w:hAnsi="Arial Narrow" w:cstheme="majorBidi"/>
                <w:bCs/>
                <w:sz w:val="20"/>
              </w:rPr>
              <w:t>b</w:t>
            </w:r>
            <w:r w:rsidRPr="00427986">
              <w:rPr>
                <w:rFonts w:ascii="Arial Narrow" w:eastAsiaTheme="majorEastAsia" w:hAnsi="Arial Narrow" w:cstheme="majorBidi"/>
                <w:bCs/>
                <w:sz w:val="20"/>
              </w:rPr>
              <w:t xml:space="preserve">ase case: included administration, monitoring and treatment of drugs </w:t>
            </w:r>
            <w:r w:rsidR="00066661" w:rsidRPr="00427986">
              <w:rPr>
                <w:rFonts w:ascii="Arial Narrow" w:eastAsiaTheme="majorEastAsia" w:hAnsi="Arial Narrow" w:cstheme="majorBidi"/>
                <w:bCs/>
                <w:sz w:val="20"/>
              </w:rPr>
              <w:t>PBS-</w:t>
            </w:r>
            <w:r w:rsidRPr="00427986">
              <w:rPr>
                <w:rFonts w:ascii="Arial Narrow" w:eastAsiaTheme="majorEastAsia" w:hAnsi="Arial Narrow" w:cstheme="majorBidi"/>
                <w:bCs/>
                <w:sz w:val="20"/>
              </w:rPr>
              <w:t>listed for other conditions/indications)</w:t>
            </w:r>
          </w:p>
        </w:tc>
      </w:tr>
      <w:tr w:rsidR="00763EF2" w:rsidRPr="00427986" w14:paraId="16BDB80B" w14:textId="77777777" w:rsidTr="00E120DC">
        <w:trPr>
          <w:cantSplit/>
        </w:trPr>
        <w:tc>
          <w:tcPr>
            <w:tcW w:w="2526" w:type="pct"/>
            <w:tcBorders>
              <w:top w:val="nil"/>
              <w:bottom w:val="single" w:sz="4" w:space="0" w:color="auto"/>
            </w:tcBorders>
            <w:tcMar>
              <w:left w:w="20" w:type="dxa"/>
              <w:right w:w="20" w:type="dxa"/>
            </w:tcMar>
            <w:vAlign w:val="center"/>
          </w:tcPr>
          <w:p w14:paraId="2AFC65EE" w14:textId="11B7E1F5" w:rsidR="00763EF2" w:rsidRPr="00427986" w:rsidRDefault="00763EF2" w:rsidP="00CB4A1F">
            <w:pPr>
              <w:widowControl w:val="0"/>
              <w:ind w:left="113"/>
              <w:jc w:val="left"/>
              <w:rPr>
                <w:rFonts w:ascii="Arial Narrow" w:eastAsiaTheme="majorEastAsia" w:hAnsi="Arial Narrow" w:cstheme="majorBidi"/>
                <w:bCs/>
                <w:sz w:val="20"/>
              </w:rPr>
            </w:pPr>
            <w:r w:rsidRPr="00427986">
              <w:rPr>
                <w:rFonts w:ascii="Arial Narrow" w:eastAsiaTheme="majorEastAsia" w:hAnsi="Arial Narrow" w:cstheme="majorBidi"/>
                <w:bCs/>
                <w:sz w:val="20"/>
              </w:rPr>
              <w:t xml:space="preserve">Remove all </w:t>
            </w:r>
            <w:r w:rsidR="00B54FFE">
              <w:rPr>
                <w:rFonts w:ascii="Arial Narrow" w:eastAsiaTheme="majorEastAsia" w:hAnsi="Arial Narrow" w:cstheme="majorBidi"/>
                <w:bCs/>
                <w:sz w:val="20"/>
              </w:rPr>
              <w:t>post-progression treatment costs</w:t>
            </w:r>
            <w:r w:rsidRPr="00427986">
              <w:rPr>
                <w:rFonts w:ascii="Arial Narrow" w:eastAsiaTheme="majorEastAsia" w:hAnsi="Arial Narrow" w:cstheme="majorBidi"/>
                <w:bCs/>
                <w:sz w:val="20"/>
              </w:rPr>
              <w:t xml:space="preserve"> [</w:t>
            </w:r>
            <w:r w:rsidR="00AF1E6C" w:rsidRPr="00427986">
              <w:rPr>
                <w:rFonts w:ascii="Arial Narrow" w:eastAsiaTheme="majorEastAsia" w:hAnsi="Arial Narrow" w:cstheme="majorBidi"/>
                <w:bCs/>
                <w:sz w:val="20"/>
              </w:rPr>
              <w:t>E</w:t>
            </w:r>
            <w:r w:rsidRPr="00427986">
              <w:rPr>
                <w:rFonts w:ascii="Arial Narrow" w:eastAsiaTheme="majorEastAsia" w:hAnsi="Arial Narrow" w:cstheme="majorBidi"/>
                <w:bCs/>
                <w:sz w:val="20"/>
              </w:rPr>
              <w:t>]</w:t>
            </w:r>
          </w:p>
        </w:tc>
        <w:tc>
          <w:tcPr>
            <w:tcW w:w="665" w:type="pct"/>
            <w:tcBorders>
              <w:top w:val="nil"/>
              <w:bottom w:val="single" w:sz="4" w:space="0" w:color="auto"/>
            </w:tcBorders>
            <w:tcMar>
              <w:left w:w="20" w:type="dxa"/>
              <w:right w:w="20" w:type="dxa"/>
            </w:tcMar>
            <w:vAlign w:val="center"/>
          </w:tcPr>
          <w:p w14:paraId="2FDF1B60" w14:textId="296F1B9A" w:rsidR="00763EF2" w:rsidRPr="00D22B13" w:rsidRDefault="005860C6" w:rsidP="00CB4A1F">
            <w:pPr>
              <w:widowControl w:val="0"/>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666" w:type="pct"/>
            <w:tcBorders>
              <w:top w:val="nil"/>
              <w:bottom w:val="single" w:sz="4" w:space="0" w:color="auto"/>
            </w:tcBorders>
            <w:tcMar>
              <w:left w:w="20" w:type="dxa"/>
              <w:right w:w="20" w:type="dxa"/>
            </w:tcMar>
            <w:vAlign w:val="center"/>
          </w:tcPr>
          <w:p w14:paraId="1D2A0965" w14:textId="77777777" w:rsidR="00763EF2" w:rsidRPr="00427986" w:rsidRDefault="00763EF2" w:rsidP="00CB4A1F">
            <w:pPr>
              <w:widowControl w:val="0"/>
              <w:jc w:val="center"/>
              <w:rPr>
                <w:rFonts w:ascii="Arial Narrow" w:eastAsiaTheme="majorEastAsia" w:hAnsi="Arial Narrow" w:cstheme="majorBidi"/>
                <w:bCs/>
                <w:sz w:val="20"/>
              </w:rPr>
            </w:pPr>
            <w:r w:rsidRPr="00427986">
              <w:rPr>
                <w:rFonts w:ascii="Arial Narrow" w:eastAsiaTheme="majorEastAsia" w:hAnsi="Arial Narrow" w:cstheme="majorBidi"/>
                <w:bCs/>
                <w:sz w:val="20"/>
              </w:rPr>
              <w:t>0.18</w:t>
            </w:r>
          </w:p>
        </w:tc>
        <w:tc>
          <w:tcPr>
            <w:tcW w:w="598" w:type="pct"/>
            <w:tcBorders>
              <w:top w:val="nil"/>
              <w:bottom w:val="single" w:sz="4" w:space="0" w:color="auto"/>
            </w:tcBorders>
            <w:tcMar>
              <w:left w:w="20" w:type="dxa"/>
              <w:right w:w="20" w:type="dxa"/>
            </w:tcMar>
            <w:vAlign w:val="center"/>
          </w:tcPr>
          <w:p w14:paraId="70B72129" w14:textId="29DB0C28" w:rsidR="00763EF2" w:rsidRPr="00427986" w:rsidRDefault="005860C6" w:rsidP="00CB4A1F">
            <w:pPr>
              <w:widowControl w:val="0"/>
              <w:jc w:val="center"/>
              <w:rPr>
                <w:rFonts w:ascii="Arial Narrow" w:eastAsiaTheme="majorEastAsia" w:hAnsi="Arial Narrow" w:cstheme="majorBidi"/>
                <w:bCs/>
                <w:sz w:val="20"/>
              </w:rPr>
            </w:pPr>
            <w:r>
              <w:rPr>
                <w:rFonts w:ascii="Arial Narrow" w:eastAsiaTheme="majorEastAsia" w:hAnsi="Arial Narrow" w:cstheme="majorBidi"/>
                <w:bCs/>
                <w:sz w:val="20"/>
              </w:rPr>
              <w:t xml:space="preserve"> </w:t>
            </w:r>
            <w:r w:rsidRPr="005860C6">
              <w:rPr>
                <w:rFonts w:ascii="Arial Narrow" w:eastAsiaTheme="majorEastAsia" w:hAnsi="Arial Narrow" w:cstheme="majorBidi" w:hint="eastAsia"/>
                <w:bCs/>
                <w:color w:val="000000"/>
                <w:w w:val="22"/>
                <w:sz w:val="20"/>
                <w:shd w:val="solid" w:color="000000" w:fill="000000"/>
                <w:fitText w:val="100" w:id="-1032107249"/>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22"/>
                <w:sz w:val="20"/>
                <w:shd w:val="solid" w:color="000000" w:fill="000000"/>
                <w:fitText w:val="100" w:id="-1032107249"/>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3"/>
                <w:w w:val="22"/>
                <w:sz w:val="20"/>
                <w:shd w:val="solid" w:color="000000" w:fill="000000"/>
                <w:fitText w:val="100" w:id="-1032107249"/>
                <w14:textFill>
                  <w14:solidFill>
                    <w14:srgbClr w14:val="000000">
                      <w14:alpha w14:val="100000"/>
                    </w14:srgbClr>
                  </w14:solidFill>
                </w14:textFill>
              </w:rPr>
              <w:t xml:space="preserve">　</w:t>
            </w:r>
            <w:r w:rsidR="00F64AFD">
              <w:rPr>
                <w:rFonts w:ascii="Arial Narrow" w:eastAsiaTheme="majorEastAsia" w:hAnsi="Arial Narrow" w:cstheme="majorBidi"/>
                <w:bCs/>
                <w:sz w:val="20"/>
              </w:rPr>
              <w:t xml:space="preserve"> </w:t>
            </w:r>
            <w:r w:rsidR="002001F2">
              <w:rPr>
                <w:rFonts w:ascii="Arial Narrow" w:eastAsiaTheme="majorEastAsia" w:hAnsi="Arial Narrow" w:cstheme="majorBidi"/>
                <w:bCs/>
                <w:sz w:val="20"/>
                <w:szCs w:val="20"/>
                <w:vertAlign w:val="superscript"/>
              </w:rPr>
              <w:t>2</w:t>
            </w:r>
          </w:p>
        </w:tc>
        <w:tc>
          <w:tcPr>
            <w:tcW w:w="545" w:type="pct"/>
            <w:tcBorders>
              <w:top w:val="nil"/>
              <w:bottom w:val="single" w:sz="4" w:space="0" w:color="auto"/>
            </w:tcBorders>
            <w:tcMar>
              <w:left w:w="20" w:type="dxa"/>
              <w:right w:w="20" w:type="dxa"/>
            </w:tcMar>
            <w:vAlign w:val="center"/>
          </w:tcPr>
          <w:p w14:paraId="3C8007F3" w14:textId="7CD71F1B" w:rsidR="00763EF2" w:rsidRPr="00427986" w:rsidRDefault="005860C6" w:rsidP="00CB4A1F">
            <w:pPr>
              <w:widowControl w:val="0"/>
              <w:jc w:val="center"/>
              <w:rPr>
                <w:rFonts w:ascii="Arial Narrow" w:eastAsia="Calibri" w:hAnsi="Arial Narrow" w:cstheme="majorBidi"/>
                <w:bCs/>
                <w:sz w:val="20"/>
                <w:szCs w:val="20"/>
              </w:rPr>
            </w:pPr>
            <w:r>
              <w:rPr>
                <w:rFonts w:ascii="Arial Narrow" w:eastAsia="Calibri" w:hAnsi="Arial Narrow" w:cstheme="majorBidi"/>
                <w:bCs/>
                <w:sz w:val="20"/>
                <w:szCs w:val="20"/>
              </w:rPr>
              <w:t xml:space="preserve"> </w:t>
            </w:r>
            <w:r w:rsidRPr="005860C6">
              <w:rPr>
                <w:rFonts w:ascii="Arial Narrow" w:eastAsia="Calibri" w:hAnsi="Arial Narrow" w:cstheme="majorBidi" w:hint="eastAsia"/>
                <w:bCs/>
                <w:color w:val="000000"/>
                <w:w w:val="22"/>
                <w:sz w:val="20"/>
                <w:szCs w:val="20"/>
                <w:shd w:val="solid" w:color="000000" w:fill="000000"/>
                <w:fitText w:val="100" w:id="-1032107248"/>
                <w14:textFill>
                  <w14:solidFill>
                    <w14:srgbClr w14:val="000000">
                      <w14:alpha w14:val="100000"/>
                    </w14:srgbClr>
                  </w14:solidFill>
                </w14:textFill>
              </w:rPr>
              <w:t xml:space="preserve">　</w:t>
            </w:r>
            <w:r w:rsidRPr="005860C6">
              <w:rPr>
                <w:rFonts w:ascii="Arial Narrow" w:eastAsia="Calibri" w:hAnsi="Arial Narrow" w:cstheme="majorBidi"/>
                <w:bCs/>
                <w:color w:val="000000"/>
                <w:w w:val="22"/>
                <w:sz w:val="20"/>
                <w:szCs w:val="20"/>
                <w:shd w:val="solid" w:color="000000" w:fill="000000"/>
                <w:fitText w:val="100" w:id="-1032107248"/>
                <w14:textFill>
                  <w14:solidFill>
                    <w14:srgbClr w14:val="000000">
                      <w14:alpha w14:val="100000"/>
                    </w14:srgbClr>
                  </w14:solidFill>
                </w14:textFill>
              </w:rPr>
              <w:t>|</w:t>
            </w:r>
            <w:r w:rsidRPr="005860C6">
              <w:rPr>
                <w:rFonts w:ascii="Arial Narrow" w:eastAsia="Calibri" w:hAnsi="Arial Narrow" w:cstheme="majorBidi" w:hint="eastAsia"/>
                <w:bCs/>
                <w:color w:val="000000"/>
                <w:spacing w:val="3"/>
                <w:w w:val="22"/>
                <w:sz w:val="20"/>
                <w:szCs w:val="20"/>
                <w:shd w:val="solid" w:color="000000" w:fill="000000"/>
                <w:fitText w:val="100" w:id="-1032107248"/>
                <w14:textFill>
                  <w14:solidFill>
                    <w14:srgbClr w14:val="000000">
                      <w14:alpha w14:val="100000"/>
                    </w14:srgbClr>
                  </w14:solidFill>
                </w14:textFill>
              </w:rPr>
              <w:t xml:space="preserve">　</w:t>
            </w:r>
          </w:p>
        </w:tc>
      </w:tr>
      <w:tr w:rsidR="00763EF2" w:rsidRPr="00427986" w14:paraId="436FEB1B" w14:textId="77777777" w:rsidTr="00E120DC">
        <w:trPr>
          <w:cantSplit/>
        </w:trPr>
        <w:tc>
          <w:tcPr>
            <w:tcW w:w="5000" w:type="pct"/>
            <w:gridSpan w:val="5"/>
            <w:tcBorders>
              <w:bottom w:val="nil"/>
            </w:tcBorders>
            <w:tcMar>
              <w:left w:w="20" w:type="dxa"/>
              <w:right w:w="20" w:type="dxa"/>
            </w:tcMar>
            <w:vAlign w:val="center"/>
          </w:tcPr>
          <w:p w14:paraId="074A2B68" w14:textId="60DFD7A6" w:rsidR="00763EF2" w:rsidRPr="00427986" w:rsidRDefault="00763EF2" w:rsidP="00CB4A1F">
            <w:pPr>
              <w:widowControl w:val="0"/>
              <w:jc w:val="left"/>
              <w:rPr>
                <w:rFonts w:ascii="Arial Narrow" w:eastAsiaTheme="majorEastAsia" w:hAnsi="Arial Narrow" w:cstheme="majorBidi"/>
                <w:bCs/>
                <w:sz w:val="20"/>
              </w:rPr>
            </w:pPr>
            <w:r w:rsidRPr="00427986">
              <w:rPr>
                <w:rFonts w:ascii="Arial Narrow" w:eastAsiaTheme="majorEastAsia" w:hAnsi="Arial Narrow" w:cstheme="majorBidi"/>
                <w:bCs/>
                <w:sz w:val="20"/>
                <w:szCs w:val="20"/>
              </w:rPr>
              <w:t>Parametric function, PFS (</w:t>
            </w:r>
            <w:r w:rsidR="000E2D4A" w:rsidRPr="00427986">
              <w:rPr>
                <w:rFonts w:ascii="Arial Narrow" w:eastAsiaTheme="majorEastAsia" w:hAnsi="Arial Narrow" w:cstheme="majorBidi"/>
                <w:bCs/>
                <w:sz w:val="20"/>
                <w:szCs w:val="20"/>
              </w:rPr>
              <w:t>base case</w:t>
            </w:r>
            <w:r w:rsidRPr="00427986">
              <w:rPr>
                <w:rFonts w:ascii="Arial Narrow" w:eastAsiaTheme="majorEastAsia" w:hAnsi="Arial Narrow" w:cstheme="majorBidi"/>
                <w:bCs/>
                <w:sz w:val="20"/>
                <w:szCs w:val="20"/>
              </w:rPr>
              <w:t xml:space="preserve">: cabozantinib </w:t>
            </w:r>
            <w:r w:rsidR="000E2D4A" w:rsidRPr="00427986">
              <w:rPr>
                <w:rFonts w:ascii="Arial Narrow" w:eastAsiaTheme="majorEastAsia" w:hAnsi="Arial Narrow" w:cstheme="majorBidi"/>
                <w:bCs/>
                <w:sz w:val="20"/>
                <w:szCs w:val="20"/>
              </w:rPr>
              <w:t xml:space="preserve">= </w:t>
            </w:r>
            <w:r w:rsidRPr="00427986">
              <w:rPr>
                <w:rFonts w:ascii="Arial Narrow" w:eastAsiaTheme="majorEastAsia" w:hAnsi="Arial Narrow" w:cstheme="majorBidi"/>
                <w:bCs/>
                <w:sz w:val="20"/>
                <w:szCs w:val="20"/>
              </w:rPr>
              <w:t>Weibull)</w:t>
            </w:r>
          </w:p>
        </w:tc>
      </w:tr>
      <w:tr w:rsidR="00763EF2" w:rsidRPr="00427986" w14:paraId="35D4DC90" w14:textId="77777777" w:rsidTr="00E120DC">
        <w:trPr>
          <w:cantSplit/>
        </w:trPr>
        <w:tc>
          <w:tcPr>
            <w:tcW w:w="2526" w:type="pct"/>
            <w:tcBorders>
              <w:top w:val="nil"/>
              <w:bottom w:val="single" w:sz="4" w:space="0" w:color="auto"/>
            </w:tcBorders>
            <w:tcMar>
              <w:left w:w="20" w:type="dxa"/>
              <w:right w:w="20" w:type="dxa"/>
            </w:tcMar>
          </w:tcPr>
          <w:p w14:paraId="379B38BC" w14:textId="77777777" w:rsidR="00763EF2" w:rsidRPr="00427986" w:rsidRDefault="00763EF2" w:rsidP="00CB4A1F">
            <w:pPr>
              <w:widowControl w:val="0"/>
              <w:ind w:left="113"/>
              <w:jc w:val="left"/>
              <w:rPr>
                <w:rFonts w:ascii="Arial Narrow" w:eastAsiaTheme="majorEastAsia" w:hAnsi="Arial Narrow" w:cstheme="majorBidi"/>
                <w:bCs/>
                <w:sz w:val="20"/>
              </w:rPr>
            </w:pPr>
            <w:r w:rsidRPr="00427986">
              <w:rPr>
                <w:rFonts w:ascii="Arial Narrow" w:eastAsiaTheme="majorEastAsia" w:hAnsi="Arial Narrow" w:cstheme="majorBidi"/>
                <w:bCs/>
                <w:sz w:val="20"/>
                <w:szCs w:val="20"/>
              </w:rPr>
              <w:t>Log-Normal</w:t>
            </w:r>
          </w:p>
        </w:tc>
        <w:tc>
          <w:tcPr>
            <w:tcW w:w="665" w:type="pct"/>
            <w:tcBorders>
              <w:top w:val="nil"/>
              <w:bottom w:val="single" w:sz="4" w:space="0" w:color="auto"/>
            </w:tcBorders>
            <w:tcMar>
              <w:left w:w="20" w:type="dxa"/>
              <w:right w:w="20" w:type="dxa"/>
            </w:tcMar>
          </w:tcPr>
          <w:p w14:paraId="58DC5A8A" w14:textId="1189BF93" w:rsidR="00763EF2" w:rsidRPr="00427986" w:rsidRDefault="005860C6" w:rsidP="00CB4A1F">
            <w:pPr>
              <w:widowControl w:val="0"/>
              <w:jc w:val="center"/>
              <w:rPr>
                <w:rFonts w:ascii="Arial Narrow" w:eastAsiaTheme="majorEastAsia" w:hAnsi="Arial Narrow" w:cstheme="majorBidi"/>
                <w:bCs/>
                <w:sz w:val="20"/>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r w:rsidR="00B058EE">
              <w:rPr>
                <w:rFonts w:ascii="Arial Narrow" w:eastAsiaTheme="majorEastAsia" w:hAnsi="Arial Narrow" w:cstheme="majorBidi"/>
                <w:bCs/>
                <w:sz w:val="20"/>
                <w:szCs w:val="20"/>
              </w:rPr>
              <w:t xml:space="preserve"> </w:t>
            </w:r>
          </w:p>
        </w:tc>
        <w:tc>
          <w:tcPr>
            <w:tcW w:w="666" w:type="pct"/>
            <w:tcBorders>
              <w:top w:val="nil"/>
              <w:bottom w:val="single" w:sz="4" w:space="0" w:color="auto"/>
            </w:tcBorders>
            <w:tcMar>
              <w:left w:w="20" w:type="dxa"/>
              <w:right w:w="20" w:type="dxa"/>
            </w:tcMar>
          </w:tcPr>
          <w:p w14:paraId="188A3C99" w14:textId="77777777" w:rsidR="00763EF2" w:rsidRPr="00427986" w:rsidRDefault="00763EF2" w:rsidP="00CB4A1F">
            <w:pPr>
              <w:widowControl w:val="0"/>
              <w:jc w:val="center"/>
              <w:rPr>
                <w:rFonts w:ascii="Arial Narrow" w:eastAsiaTheme="majorEastAsia" w:hAnsi="Arial Narrow" w:cstheme="majorBidi"/>
                <w:bCs/>
                <w:sz w:val="20"/>
              </w:rPr>
            </w:pPr>
            <w:r w:rsidRPr="00427986">
              <w:rPr>
                <w:rFonts w:ascii="Arial Narrow" w:eastAsiaTheme="majorEastAsia" w:hAnsi="Arial Narrow" w:cstheme="majorBidi"/>
                <w:bCs/>
                <w:sz w:val="20"/>
                <w:szCs w:val="20"/>
              </w:rPr>
              <w:t>0.24</w:t>
            </w:r>
          </w:p>
        </w:tc>
        <w:tc>
          <w:tcPr>
            <w:tcW w:w="598" w:type="pct"/>
            <w:tcBorders>
              <w:top w:val="nil"/>
              <w:bottom w:val="single" w:sz="4" w:space="0" w:color="auto"/>
            </w:tcBorders>
            <w:tcMar>
              <w:left w:w="20" w:type="dxa"/>
              <w:right w:w="20" w:type="dxa"/>
            </w:tcMar>
          </w:tcPr>
          <w:p w14:paraId="0A43729B" w14:textId="2E4F38B7" w:rsidR="00763EF2" w:rsidRPr="00427986" w:rsidRDefault="005860C6" w:rsidP="00CB4A1F">
            <w:pPr>
              <w:widowControl w:val="0"/>
              <w:jc w:val="center"/>
              <w:rPr>
                <w:rFonts w:ascii="Arial Narrow" w:eastAsiaTheme="majorEastAsia" w:hAnsi="Arial Narrow" w:cstheme="majorBidi"/>
                <w:bCs/>
                <w:sz w:val="20"/>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22"/>
                <w:sz w:val="20"/>
                <w:szCs w:val="20"/>
                <w:shd w:val="solid" w:color="000000" w:fill="000000"/>
                <w:fitText w:val="100" w:id="-1032107264"/>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22"/>
                <w:sz w:val="20"/>
                <w:szCs w:val="20"/>
                <w:shd w:val="solid" w:color="000000" w:fill="000000"/>
                <w:fitText w:val="100" w:id="-1032107264"/>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3"/>
                <w:w w:val="22"/>
                <w:sz w:val="20"/>
                <w:szCs w:val="20"/>
                <w:shd w:val="solid" w:color="000000" w:fill="000000"/>
                <w:fitText w:val="100" w:id="-1032107264"/>
                <w14:textFill>
                  <w14:solidFill>
                    <w14:srgbClr w14:val="000000">
                      <w14:alpha w14:val="100000"/>
                    </w14:srgbClr>
                  </w14:solidFill>
                </w14:textFill>
              </w:rPr>
              <w:t xml:space="preserve">　</w:t>
            </w:r>
            <w:r w:rsidR="002A42DB">
              <w:rPr>
                <w:rFonts w:ascii="Arial Narrow" w:eastAsiaTheme="majorEastAsia" w:hAnsi="Arial Narrow" w:cstheme="majorBidi"/>
                <w:bCs/>
                <w:sz w:val="20"/>
                <w:szCs w:val="20"/>
              </w:rPr>
              <w:t xml:space="preserve"> </w:t>
            </w:r>
            <w:r w:rsidR="00CC0FD2">
              <w:rPr>
                <w:rFonts w:ascii="Arial Narrow" w:eastAsiaTheme="majorEastAsia" w:hAnsi="Arial Narrow" w:cstheme="majorBidi"/>
                <w:bCs/>
                <w:sz w:val="20"/>
                <w:szCs w:val="20"/>
                <w:vertAlign w:val="superscript"/>
              </w:rPr>
              <w:t>7</w:t>
            </w:r>
          </w:p>
        </w:tc>
        <w:tc>
          <w:tcPr>
            <w:tcW w:w="545" w:type="pct"/>
            <w:tcBorders>
              <w:top w:val="nil"/>
              <w:bottom w:val="single" w:sz="4" w:space="0" w:color="auto"/>
            </w:tcBorders>
            <w:tcMar>
              <w:left w:w="20" w:type="dxa"/>
              <w:right w:w="20" w:type="dxa"/>
            </w:tcMar>
            <w:vAlign w:val="center"/>
          </w:tcPr>
          <w:p w14:paraId="5890608D" w14:textId="620D75AA" w:rsidR="00763EF2" w:rsidRPr="00427986" w:rsidRDefault="00763EF2" w:rsidP="00CB4A1F">
            <w:pPr>
              <w:widowControl w:val="0"/>
              <w:jc w:val="center"/>
              <w:rPr>
                <w:rFonts w:ascii="Arial Narrow" w:eastAsia="Calibri" w:hAnsi="Arial Narrow" w:cstheme="majorBidi"/>
                <w:bCs/>
                <w:sz w:val="20"/>
                <w:szCs w:val="20"/>
              </w:rPr>
            </w:pPr>
            <w:r w:rsidRPr="00427986">
              <w:rPr>
                <w:rFonts w:ascii="Arial Narrow" w:eastAsia="Calibri" w:hAnsi="Arial Narrow" w:cstheme="majorBidi"/>
                <w:bCs/>
                <w:sz w:val="20"/>
                <w:szCs w:val="20"/>
              </w:rPr>
              <w:t>-</w:t>
            </w:r>
            <w:r w:rsidR="005860C6">
              <w:rPr>
                <w:rFonts w:ascii="Arial Narrow" w:eastAsia="Calibri" w:hAnsi="Arial Narrow" w:cstheme="majorBidi"/>
                <w:bCs/>
                <w:sz w:val="20"/>
                <w:szCs w:val="20"/>
              </w:rPr>
              <w:t xml:space="preserve"> </w:t>
            </w:r>
            <w:r w:rsidR="005860C6" w:rsidRPr="005860C6">
              <w:rPr>
                <w:rFonts w:ascii="Arial Narrow" w:eastAsia="Calibri" w:hAnsi="Arial Narrow" w:cstheme="majorBidi" w:hint="eastAsia"/>
                <w:bCs/>
                <w:color w:val="000000"/>
                <w:w w:val="29"/>
                <w:sz w:val="20"/>
                <w:szCs w:val="20"/>
                <w:shd w:val="solid" w:color="000000" w:fill="000000"/>
                <w:fitText w:val="130" w:id="-1032107263"/>
                <w14:textFill>
                  <w14:solidFill>
                    <w14:srgbClr w14:val="000000">
                      <w14:alpha w14:val="100000"/>
                    </w14:srgbClr>
                  </w14:solidFill>
                </w14:textFill>
              </w:rPr>
              <w:t xml:space="preserve">　</w:t>
            </w:r>
            <w:r w:rsidR="005860C6" w:rsidRPr="005860C6">
              <w:rPr>
                <w:rFonts w:ascii="Arial Narrow" w:eastAsia="Calibri" w:hAnsi="Arial Narrow" w:cstheme="majorBidi"/>
                <w:bCs/>
                <w:color w:val="000000"/>
                <w:w w:val="29"/>
                <w:sz w:val="20"/>
                <w:szCs w:val="20"/>
                <w:shd w:val="solid" w:color="000000" w:fill="000000"/>
                <w:fitText w:val="130" w:id="-1032107263"/>
                <w14:textFill>
                  <w14:solidFill>
                    <w14:srgbClr w14:val="000000">
                      <w14:alpha w14:val="100000"/>
                    </w14:srgbClr>
                  </w14:solidFill>
                </w14:textFill>
              </w:rPr>
              <w:t>|</w:t>
            </w:r>
            <w:r w:rsidR="005860C6" w:rsidRPr="005860C6">
              <w:rPr>
                <w:rFonts w:ascii="Arial Narrow" w:eastAsia="Calibri" w:hAnsi="Arial Narrow" w:cstheme="majorBidi" w:hint="eastAsia"/>
                <w:bCs/>
                <w:color w:val="000000"/>
                <w:spacing w:val="2"/>
                <w:w w:val="29"/>
                <w:sz w:val="20"/>
                <w:szCs w:val="20"/>
                <w:shd w:val="solid" w:color="000000" w:fill="000000"/>
                <w:fitText w:val="130" w:id="-1032107263"/>
                <w14:textFill>
                  <w14:solidFill>
                    <w14:srgbClr w14:val="000000">
                      <w14:alpha w14:val="100000"/>
                    </w14:srgbClr>
                  </w14:solidFill>
                </w14:textFill>
              </w:rPr>
              <w:t xml:space="preserve">　</w:t>
            </w:r>
          </w:p>
        </w:tc>
      </w:tr>
      <w:tr w:rsidR="00763EF2" w:rsidRPr="00427986" w14:paraId="1E1FA241" w14:textId="77777777" w:rsidTr="00E120DC">
        <w:trPr>
          <w:cantSplit/>
        </w:trPr>
        <w:tc>
          <w:tcPr>
            <w:tcW w:w="5000" w:type="pct"/>
            <w:gridSpan w:val="5"/>
            <w:tcBorders>
              <w:bottom w:val="nil"/>
            </w:tcBorders>
            <w:tcMar>
              <w:left w:w="20" w:type="dxa"/>
              <w:right w:w="20" w:type="dxa"/>
            </w:tcMar>
            <w:vAlign w:val="center"/>
          </w:tcPr>
          <w:p w14:paraId="421E43E6" w14:textId="266042A0" w:rsidR="00763EF2" w:rsidRPr="00427986" w:rsidRDefault="00763EF2" w:rsidP="00CB4A1F">
            <w:pPr>
              <w:widowControl w:val="0"/>
              <w:jc w:val="left"/>
              <w:rPr>
                <w:rFonts w:ascii="Arial Narrow" w:eastAsiaTheme="majorEastAsia" w:hAnsi="Arial Narrow" w:cstheme="majorBidi"/>
                <w:bCs/>
                <w:sz w:val="20"/>
              </w:rPr>
            </w:pPr>
            <w:r w:rsidRPr="00427986">
              <w:rPr>
                <w:rFonts w:ascii="Arial Narrow" w:eastAsiaTheme="majorEastAsia" w:hAnsi="Arial Narrow" w:cstheme="majorBidi"/>
                <w:bCs/>
                <w:sz w:val="20"/>
                <w:szCs w:val="20"/>
              </w:rPr>
              <w:t>Parametric function, O</w:t>
            </w:r>
            <w:r w:rsidR="0083012B" w:rsidRPr="00427986">
              <w:rPr>
                <w:rFonts w:ascii="Arial Narrow" w:eastAsiaTheme="majorEastAsia" w:hAnsi="Arial Narrow" w:cstheme="majorBidi"/>
                <w:bCs/>
                <w:sz w:val="20"/>
                <w:szCs w:val="20"/>
              </w:rPr>
              <w:t>S</w:t>
            </w:r>
            <w:r w:rsidRPr="00427986">
              <w:rPr>
                <w:rFonts w:ascii="Arial Narrow" w:eastAsiaTheme="majorEastAsia" w:hAnsi="Arial Narrow" w:cstheme="majorBidi"/>
                <w:bCs/>
                <w:sz w:val="20"/>
                <w:szCs w:val="20"/>
              </w:rPr>
              <w:t xml:space="preserve"> (</w:t>
            </w:r>
            <w:r w:rsidR="0083012B" w:rsidRPr="00427986">
              <w:rPr>
                <w:rFonts w:ascii="Arial Narrow" w:eastAsiaTheme="majorEastAsia" w:hAnsi="Arial Narrow" w:cstheme="majorBidi"/>
                <w:bCs/>
                <w:sz w:val="20"/>
                <w:szCs w:val="20"/>
              </w:rPr>
              <w:t xml:space="preserve">base case: </w:t>
            </w:r>
            <w:r w:rsidRPr="00427986">
              <w:rPr>
                <w:rFonts w:ascii="Arial Narrow" w:eastAsiaTheme="majorEastAsia" w:hAnsi="Arial Narrow" w:cstheme="majorBidi"/>
                <w:bCs/>
                <w:sz w:val="20"/>
                <w:szCs w:val="20"/>
              </w:rPr>
              <w:t xml:space="preserve">cabozantinib </w:t>
            </w:r>
            <w:r w:rsidR="0083012B" w:rsidRPr="00427986">
              <w:rPr>
                <w:rFonts w:ascii="Arial Narrow" w:eastAsiaTheme="majorEastAsia" w:hAnsi="Arial Narrow" w:cstheme="majorBidi"/>
                <w:bCs/>
                <w:sz w:val="20"/>
                <w:szCs w:val="20"/>
              </w:rPr>
              <w:t xml:space="preserve">= </w:t>
            </w:r>
            <w:r w:rsidRPr="00427986">
              <w:rPr>
                <w:rFonts w:ascii="Arial Narrow" w:eastAsiaTheme="majorEastAsia" w:hAnsi="Arial Narrow" w:cstheme="majorBidi"/>
                <w:bCs/>
                <w:sz w:val="20"/>
                <w:szCs w:val="20"/>
              </w:rPr>
              <w:t>Gompertz)</w:t>
            </w:r>
          </w:p>
        </w:tc>
      </w:tr>
      <w:tr w:rsidR="00763EF2" w:rsidRPr="00427986" w14:paraId="618FFD71" w14:textId="77777777" w:rsidTr="00E120DC">
        <w:trPr>
          <w:cantSplit/>
        </w:trPr>
        <w:tc>
          <w:tcPr>
            <w:tcW w:w="2526" w:type="pct"/>
            <w:tcBorders>
              <w:top w:val="nil"/>
              <w:bottom w:val="nil"/>
            </w:tcBorders>
            <w:tcMar>
              <w:left w:w="20" w:type="dxa"/>
              <w:right w:w="20" w:type="dxa"/>
            </w:tcMar>
          </w:tcPr>
          <w:p w14:paraId="3EA046F8" w14:textId="77777777" w:rsidR="00763EF2" w:rsidRPr="00427986" w:rsidRDefault="00763EF2" w:rsidP="00CB4A1F">
            <w:pPr>
              <w:widowControl w:val="0"/>
              <w:ind w:left="113"/>
              <w:jc w:val="left"/>
              <w:rPr>
                <w:rFonts w:ascii="Arial Narrow" w:eastAsiaTheme="majorEastAsia" w:hAnsi="Arial Narrow" w:cstheme="majorBidi"/>
                <w:bCs/>
                <w:sz w:val="20"/>
              </w:rPr>
            </w:pPr>
            <w:r w:rsidRPr="00427986">
              <w:rPr>
                <w:rFonts w:ascii="Arial Narrow" w:eastAsiaTheme="majorEastAsia" w:hAnsi="Arial Narrow" w:cstheme="majorBidi"/>
                <w:bCs/>
                <w:sz w:val="20"/>
                <w:szCs w:val="20"/>
              </w:rPr>
              <w:t>Log-Normal</w:t>
            </w:r>
          </w:p>
        </w:tc>
        <w:tc>
          <w:tcPr>
            <w:tcW w:w="665" w:type="pct"/>
            <w:tcBorders>
              <w:top w:val="nil"/>
              <w:bottom w:val="nil"/>
            </w:tcBorders>
            <w:tcMar>
              <w:left w:w="20" w:type="dxa"/>
              <w:right w:w="20" w:type="dxa"/>
            </w:tcMar>
          </w:tcPr>
          <w:p w14:paraId="25CF6A24" w14:textId="638C454B" w:rsidR="00763EF2" w:rsidRPr="00427986" w:rsidRDefault="005860C6" w:rsidP="00CB4A1F">
            <w:pPr>
              <w:widowControl w:val="0"/>
              <w:jc w:val="center"/>
              <w:rPr>
                <w:rFonts w:ascii="Arial Narrow" w:eastAsiaTheme="majorEastAsia" w:hAnsi="Arial Narrow" w:cstheme="majorBidi"/>
                <w:bCs/>
                <w:sz w:val="20"/>
                <w:highlight w:val="black"/>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66" w:type="pct"/>
            <w:tcBorders>
              <w:top w:val="nil"/>
              <w:bottom w:val="nil"/>
            </w:tcBorders>
            <w:tcMar>
              <w:left w:w="20" w:type="dxa"/>
              <w:right w:w="20" w:type="dxa"/>
            </w:tcMar>
          </w:tcPr>
          <w:p w14:paraId="2127BCF3" w14:textId="77777777" w:rsidR="00763EF2" w:rsidRPr="00427986" w:rsidRDefault="00763EF2" w:rsidP="00CB4A1F">
            <w:pPr>
              <w:widowControl w:val="0"/>
              <w:jc w:val="center"/>
              <w:rPr>
                <w:rFonts w:ascii="Arial Narrow" w:eastAsiaTheme="majorEastAsia" w:hAnsi="Arial Narrow" w:cstheme="majorBidi"/>
                <w:bCs/>
                <w:sz w:val="20"/>
              </w:rPr>
            </w:pPr>
            <w:r w:rsidRPr="00427986">
              <w:rPr>
                <w:rFonts w:ascii="Arial Narrow" w:eastAsiaTheme="majorEastAsia" w:hAnsi="Arial Narrow" w:cstheme="majorBidi"/>
                <w:bCs/>
                <w:sz w:val="20"/>
                <w:szCs w:val="20"/>
              </w:rPr>
              <w:t>0.24</w:t>
            </w:r>
          </w:p>
        </w:tc>
        <w:tc>
          <w:tcPr>
            <w:tcW w:w="598" w:type="pct"/>
            <w:tcBorders>
              <w:top w:val="nil"/>
              <w:bottom w:val="nil"/>
            </w:tcBorders>
            <w:tcMar>
              <w:left w:w="20" w:type="dxa"/>
              <w:right w:w="20" w:type="dxa"/>
            </w:tcMar>
          </w:tcPr>
          <w:p w14:paraId="0C886FE7" w14:textId="7D8E3898" w:rsidR="00763EF2" w:rsidRPr="00427986" w:rsidRDefault="005860C6" w:rsidP="00CB4A1F">
            <w:pPr>
              <w:widowControl w:val="0"/>
              <w:jc w:val="center"/>
              <w:rPr>
                <w:rFonts w:ascii="Arial Narrow" w:eastAsiaTheme="majorEastAsia" w:hAnsi="Arial Narrow" w:cstheme="majorBidi"/>
                <w:bCs/>
                <w:sz w:val="20"/>
                <w:highlight w:val="black"/>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8"/>
                <w:sz w:val="20"/>
                <w:szCs w:val="20"/>
                <w:shd w:val="solid" w:color="000000" w:fill="000000"/>
                <w:fitText w:val="80" w:id="-1032107262"/>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8"/>
                <w:sz w:val="20"/>
                <w:szCs w:val="20"/>
                <w:shd w:val="solid" w:color="000000" w:fill="000000"/>
                <w:fitText w:val="80" w:id="-1032107262"/>
                <w14:textFill>
                  <w14:solidFill>
                    <w14:srgbClr w14:val="000000">
                      <w14:alpha w14:val="100000"/>
                    </w14:srgbClr>
                  </w14:solidFill>
                </w14:textFill>
              </w:rPr>
              <w:t>|</w:t>
            </w:r>
            <w:r w:rsidRPr="005860C6">
              <w:rPr>
                <w:rFonts w:ascii="Arial Narrow" w:eastAsiaTheme="majorEastAsia" w:hAnsi="Arial Narrow" w:cstheme="majorBidi" w:hint="eastAsia"/>
                <w:bCs/>
                <w:color w:val="000000"/>
                <w:w w:val="18"/>
                <w:sz w:val="20"/>
                <w:szCs w:val="20"/>
                <w:shd w:val="solid" w:color="000000" w:fill="000000"/>
                <w:fitText w:val="80" w:id="-1032107262"/>
                <w14:textFill>
                  <w14:solidFill>
                    <w14:srgbClr w14:val="000000">
                      <w14:alpha w14:val="100000"/>
                    </w14:srgbClr>
                  </w14:solidFill>
                </w14:textFill>
              </w:rPr>
              <w:t xml:space="preserve">　</w:t>
            </w:r>
            <w:r w:rsidR="00CC0FD2">
              <w:rPr>
                <w:rFonts w:ascii="Arial Narrow" w:eastAsiaTheme="majorEastAsia" w:hAnsi="Arial Narrow" w:cstheme="majorBidi"/>
                <w:bCs/>
                <w:sz w:val="20"/>
                <w:szCs w:val="20"/>
                <w:vertAlign w:val="superscript"/>
              </w:rPr>
              <w:t>8</w:t>
            </w:r>
          </w:p>
        </w:tc>
        <w:tc>
          <w:tcPr>
            <w:tcW w:w="545" w:type="pct"/>
            <w:tcBorders>
              <w:top w:val="nil"/>
              <w:bottom w:val="nil"/>
            </w:tcBorders>
            <w:tcMar>
              <w:left w:w="20" w:type="dxa"/>
              <w:right w:w="20" w:type="dxa"/>
            </w:tcMar>
            <w:vAlign w:val="center"/>
          </w:tcPr>
          <w:p w14:paraId="6939982E" w14:textId="4D619814" w:rsidR="00763EF2" w:rsidRPr="00427986" w:rsidRDefault="00763EF2" w:rsidP="00CB4A1F">
            <w:pPr>
              <w:widowControl w:val="0"/>
              <w:jc w:val="center"/>
              <w:rPr>
                <w:rFonts w:ascii="Arial Narrow" w:eastAsia="Calibri" w:hAnsi="Arial Narrow" w:cstheme="majorBidi"/>
                <w:bCs/>
                <w:sz w:val="20"/>
                <w:szCs w:val="20"/>
              </w:rPr>
            </w:pPr>
            <w:r w:rsidRPr="00427986">
              <w:rPr>
                <w:rFonts w:ascii="Arial Narrow" w:eastAsia="Calibri" w:hAnsi="Arial Narrow" w:cstheme="majorBidi"/>
                <w:bCs/>
                <w:sz w:val="20"/>
                <w:szCs w:val="20"/>
              </w:rPr>
              <w:t>-</w:t>
            </w:r>
            <w:r w:rsidR="005860C6">
              <w:rPr>
                <w:rFonts w:ascii="Arial Narrow" w:eastAsia="Calibri" w:hAnsi="Arial Narrow" w:cstheme="majorBidi"/>
                <w:bCs/>
                <w:sz w:val="20"/>
                <w:szCs w:val="20"/>
              </w:rPr>
              <w:t xml:space="preserve"> </w:t>
            </w:r>
            <w:r w:rsidR="005860C6" w:rsidRPr="005860C6">
              <w:rPr>
                <w:rFonts w:ascii="Arial Narrow" w:eastAsia="Calibri" w:hAnsi="Arial Narrow" w:cstheme="majorBidi" w:hint="eastAsia"/>
                <w:bCs/>
                <w:color w:val="000000"/>
                <w:w w:val="29"/>
                <w:sz w:val="20"/>
                <w:szCs w:val="20"/>
                <w:shd w:val="solid" w:color="000000" w:fill="000000"/>
                <w:fitText w:val="130" w:id="-1032107261"/>
                <w14:textFill>
                  <w14:solidFill>
                    <w14:srgbClr w14:val="000000">
                      <w14:alpha w14:val="100000"/>
                    </w14:srgbClr>
                  </w14:solidFill>
                </w14:textFill>
              </w:rPr>
              <w:t xml:space="preserve">　</w:t>
            </w:r>
            <w:r w:rsidR="005860C6" w:rsidRPr="005860C6">
              <w:rPr>
                <w:rFonts w:ascii="Arial Narrow" w:eastAsia="Calibri" w:hAnsi="Arial Narrow" w:cstheme="majorBidi"/>
                <w:bCs/>
                <w:color w:val="000000"/>
                <w:w w:val="29"/>
                <w:sz w:val="20"/>
                <w:szCs w:val="20"/>
                <w:shd w:val="solid" w:color="000000" w:fill="000000"/>
                <w:fitText w:val="130" w:id="-1032107261"/>
                <w14:textFill>
                  <w14:solidFill>
                    <w14:srgbClr w14:val="000000">
                      <w14:alpha w14:val="100000"/>
                    </w14:srgbClr>
                  </w14:solidFill>
                </w14:textFill>
              </w:rPr>
              <w:t>|</w:t>
            </w:r>
            <w:r w:rsidR="005860C6" w:rsidRPr="005860C6">
              <w:rPr>
                <w:rFonts w:ascii="Arial Narrow" w:eastAsia="Calibri" w:hAnsi="Arial Narrow" w:cstheme="majorBidi" w:hint="eastAsia"/>
                <w:bCs/>
                <w:color w:val="000000"/>
                <w:spacing w:val="2"/>
                <w:w w:val="29"/>
                <w:sz w:val="20"/>
                <w:szCs w:val="20"/>
                <w:shd w:val="solid" w:color="000000" w:fill="000000"/>
                <w:fitText w:val="130" w:id="-1032107261"/>
                <w14:textFill>
                  <w14:solidFill>
                    <w14:srgbClr w14:val="000000">
                      <w14:alpha w14:val="100000"/>
                    </w14:srgbClr>
                  </w14:solidFill>
                </w14:textFill>
              </w:rPr>
              <w:t xml:space="preserve">　</w:t>
            </w:r>
          </w:p>
        </w:tc>
      </w:tr>
      <w:tr w:rsidR="00763EF2" w:rsidRPr="00427986" w14:paraId="0E644886" w14:textId="77777777" w:rsidTr="00E120DC">
        <w:trPr>
          <w:cantSplit/>
        </w:trPr>
        <w:tc>
          <w:tcPr>
            <w:tcW w:w="5000" w:type="pct"/>
            <w:gridSpan w:val="5"/>
            <w:tcBorders>
              <w:top w:val="single" w:sz="4" w:space="0" w:color="auto"/>
              <w:bottom w:val="nil"/>
            </w:tcBorders>
            <w:tcMar>
              <w:left w:w="20" w:type="dxa"/>
              <w:right w:w="20" w:type="dxa"/>
            </w:tcMar>
            <w:vAlign w:val="center"/>
          </w:tcPr>
          <w:p w14:paraId="6BFAC4FF" w14:textId="3DA30421" w:rsidR="00763EF2" w:rsidRPr="00427986" w:rsidRDefault="00763EF2" w:rsidP="00CB4A1F">
            <w:pPr>
              <w:widowControl w:val="0"/>
              <w:jc w:val="left"/>
              <w:rPr>
                <w:rFonts w:ascii="Arial Narrow" w:eastAsia="Calibri" w:hAnsi="Arial Narrow" w:cstheme="majorBidi"/>
                <w:bCs/>
                <w:sz w:val="20"/>
                <w:szCs w:val="20"/>
              </w:rPr>
            </w:pPr>
            <w:r w:rsidRPr="00427986">
              <w:rPr>
                <w:rFonts w:ascii="Arial Narrow" w:eastAsiaTheme="majorEastAsia" w:hAnsi="Arial Narrow" w:cstheme="majorBidi"/>
                <w:bCs/>
                <w:sz w:val="20"/>
                <w:szCs w:val="20"/>
              </w:rPr>
              <w:t>Parametric function, TTD (</w:t>
            </w:r>
            <w:r w:rsidR="0083012B" w:rsidRPr="00427986">
              <w:rPr>
                <w:rFonts w:ascii="Arial Narrow" w:eastAsiaTheme="majorEastAsia" w:hAnsi="Arial Narrow" w:cstheme="majorBidi"/>
                <w:bCs/>
                <w:sz w:val="20"/>
                <w:szCs w:val="20"/>
              </w:rPr>
              <w:t>base case</w:t>
            </w:r>
            <w:r w:rsidRPr="00427986">
              <w:rPr>
                <w:rFonts w:ascii="Arial Narrow" w:eastAsiaTheme="majorEastAsia" w:hAnsi="Arial Narrow" w:cstheme="majorBidi"/>
                <w:bCs/>
                <w:sz w:val="20"/>
                <w:szCs w:val="20"/>
              </w:rPr>
              <w:t xml:space="preserve">: cabozantinib </w:t>
            </w:r>
            <w:r w:rsidR="0083012B" w:rsidRPr="00427986">
              <w:rPr>
                <w:rFonts w:ascii="Arial Narrow" w:eastAsiaTheme="majorEastAsia" w:hAnsi="Arial Narrow" w:cstheme="majorBidi"/>
                <w:bCs/>
                <w:sz w:val="20"/>
                <w:szCs w:val="20"/>
              </w:rPr>
              <w:t xml:space="preserve">= </w:t>
            </w:r>
            <w:r w:rsidRPr="00427986">
              <w:rPr>
                <w:rFonts w:ascii="Arial Narrow" w:eastAsiaTheme="majorEastAsia" w:hAnsi="Arial Narrow" w:cstheme="majorBidi"/>
                <w:bCs/>
                <w:sz w:val="20"/>
                <w:szCs w:val="20"/>
              </w:rPr>
              <w:t>Gompertz)</w:t>
            </w:r>
          </w:p>
        </w:tc>
      </w:tr>
      <w:tr w:rsidR="00763EF2" w:rsidRPr="00427986" w14:paraId="4A0BB437" w14:textId="77777777" w:rsidTr="00E120DC">
        <w:trPr>
          <w:cantSplit/>
        </w:trPr>
        <w:tc>
          <w:tcPr>
            <w:tcW w:w="2526" w:type="pct"/>
            <w:tcBorders>
              <w:top w:val="nil"/>
              <w:bottom w:val="nil"/>
            </w:tcBorders>
            <w:tcMar>
              <w:left w:w="20" w:type="dxa"/>
              <w:right w:w="20" w:type="dxa"/>
            </w:tcMar>
          </w:tcPr>
          <w:p w14:paraId="10AEAB6B" w14:textId="77777777" w:rsidR="00763EF2" w:rsidRPr="00427986" w:rsidRDefault="00763EF2" w:rsidP="00CB4A1F">
            <w:pPr>
              <w:widowControl w:val="0"/>
              <w:ind w:left="113"/>
              <w:jc w:val="left"/>
              <w:rPr>
                <w:rFonts w:ascii="Arial Narrow" w:eastAsiaTheme="majorEastAsia" w:hAnsi="Arial Narrow" w:cstheme="majorBidi"/>
                <w:bCs/>
                <w:sz w:val="20"/>
              </w:rPr>
            </w:pPr>
            <w:r w:rsidRPr="00427986">
              <w:rPr>
                <w:rFonts w:ascii="Arial Narrow" w:eastAsiaTheme="majorEastAsia" w:hAnsi="Arial Narrow" w:cstheme="majorBidi"/>
                <w:bCs/>
                <w:sz w:val="20"/>
                <w:szCs w:val="20"/>
              </w:rPr>
              <w:t>Log-Logistic</w:t>
            </w:r>
          </w:p>
        </w:tc>
        <w:tc>
          <w:tcPr>
            <w:tcW w:w="665" w:type="pct"/>
            <w:tcBorders>
              <w:top w:val="nil"/>
              <w:bottom w:val="nil"/>
            </w:tcBorders>
            <w:tcMar>
              <w:left w:w="20" w:type="dxa"/>
              <w:right w:w="20" w:type="dxa"/>
            </w:tcMar>
            <w:vAlign w:val="center"/>
          </w:tcPr>
          <w:p w14:paraId="17F2EB29" w14:textId="172920E8" w:rsidR="00763EF2" w:rsidRPr="00D22B13" w:rsidRDefault="005860C6" w:rsidP="00CB4A1F">
            <w:pPr>
              <w:widowControl w:val="0"/>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66" w:type="pct"/>
            <w:tcBorders>
              <w:top w:val="nil"/>
              <w:bottom w:val="nil"/>
            </w:tcBorders>
            <w:tcMar>
              <w:left w:w="20" w:type="dxa"/>
              <w:right w:w="20" w:type="dxa"/>
            </w:tcMar>
            <w:vAlign w:val="center"/>
          </w:tcPr>
          <w:p w14:paraId="5D343BB7" w14:textId="77777777" w:rsidR="00763EF2" w:rsidRPr="00427986" w:rsidRDefault="00763EF2" w:rsidP="00CB4A1F">
            <w:pPr>
              <w:widowControl w:val="0"/>
              <w:jc w:val="center"/>
              <w:rPr>
                <w:rFonts w:ascii="Arial Narrow" w:eastAsiaTheme="majorEastAsia" w:hAnsi="Arial Narrow" w:cstheme="majorBidi"/>
                <w:bCs/>
                <w:sz w:val="20"/>
              </w:rPr>
            </w:pPr>
            <w:r w:rsidRPr="00427986">
              <w:rPr>
                <w:rFonts w:ascii="Arial Narrow" w:eastAsiaTheme="majorEastAsia" w:hAnsi="Arial Narrow" w:cstheme="majorBidi"/>
                <w:bCs/>
                <w:sz w:val="20"/>
                <w:szCs w:val="20"/>
              </w:rPr>
              <w:t>0.18</w:t>
            </w:r>
          </w:p>
        </w:tc>
        <w:tc>
          <w:tcPr>
            <w:tcW w:w="598" w:type="pct"/>
            <w:tcBorders>
              <w:top w:val="nil"/>
              <w:bottom w:val="nil"/>
            </w:tcBorders>
            <w:tcMar>
              <w:left w:w="20" w:type="dxa"/>
              <w:right w:w="20" w:type="dxa"/>
            </w:tcMar>
            <w:vAlign w:val="center"/>
          </w:tcPr>
          <w:p w14:paraId="37E3C1AF" w14:textId="55936874" w:rsidR="00763EF2" w:rsidRPr="00D22B13" w:rsidRDefault="005860C6" w:rsidP="00CB4A1F">
            <w:pPr>
              <w:widowControl w:val="0"/>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8"/>
                <w:sz w:val="20"/>
                <w:szCs w:val="20"/>
                <w:shd w:val="solid" w:color="000000" w:fill="000000"/>
                <w:fitText w:val="80" w:id="-1032107260"/>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8"/>
                <w:sz w:val="20"/>
                <w:szCs w:val="20"/>
                <w:shd w:val="solid" w:color="000000" w:fill="000000"/>
                <w:fitText w:val="80" w:id="-1032107260"/>
                <w14:textFill>
                  <w14:solidFill>
                    <w14:srgbClr w14:val="000000">
                      <w14:alpha w14:val="100000"/>
                    </w14:srgbClr>
                  </w14:solidFill>
                </w14:textFill>
              </w:rPr>
              <w:t>|</w:t>
            </w:r>
            <w:r w:rsidRPr="005860C6">
              <w:rPr>
                <w:rFonts w:ascii="Arial Narrow" w:eastAsiaTheme="majorEastAsia" w:hAnsi="Arial Narrow" w:cstheme="majorBidi" w:hint="eastAsia"/>
                <w:bCs/>
                <w:color w:val="000000"/>
                <w:w w:val="18"/>
                <w:sz w:val="20"/>
                <w:szCs w:val="20"/>
                <w:shd w:val="solid" w:color="000000" w:fill="000000"/>
                <w:fitText w:val="80" w:id="-1032107260"/>
                <w14:textFill>
                  <w14:solidFill>
                    <w14:srgbClr w14:val="000000">
                      <w14:alpha w14:val="100000"/>
                    </w14:srgbClr>
                  </w14:solidFill>
                </w14:textFill>
              </w:rPr>
              <w:t xml:space="preserve">　</w:t>
            </w:r>
            <w:r w:rsidR="00CC0FD2">
              <w:rPr>
                <w:rFonts w:ascii="Arial Narrow" w:eastAsiaTheme="majorEastAsia" w:hAnsi="Arial Narrow" w:cstheme="majorBidi"/>
                <w:bCs/>
                <w:sz w:val="20"/>
                <w:szCs w:val="20"/>
                <w:vertAlign w:val="superscript"/>
              </w:rPr>
              <w:t>5</w:t>
            </w:r>
          </w:p>
        </w:tc>
        <w:tc>
          <w:tcPr>
            <w:tcW w:w="545" w:type="pct"/>
            <w:tcBorders>
              <w:top w:val="nil"/>
              <w:bottom w:val="nil"/>
            </w:tcBorders>
            <w:tcMar>
              <w:left w:w="20" w:type="dxa"/>
              <w:right w:w="20" w:type="dxa"/>
            </w:tcMar>
            <w:vAlign w:val="center"/>
          </w:tcPr>
          <w:p w14:paraId="378A271F" w14:textId="1C843F53" w:rsidR="00763EF2" w:rsidRPr="00427986" w:rsidRDefault="005860C6" w:rsidP="00CB4A1F">
            <w:pPr>
              <w:widowControl w:val="0"/>
              <w:jc w:val="center"/>
              <w:rPr>
                <w:rFonts w:ascii="Arial Narrow" w:eastAsia="Calibri" w:hAnsi="Arial Narrow" w:cstheme="majorBidi"/>
                <w:bCs/>
                <w:sz w:val="20"/>
                <w:szCs w:val="20"/>
              </w:rPr>
            </w:pPr>
            <w:r>
              <w:rPr>
                <w:rFonts w:ascii="Arial Narrow" w:eastAsia="Calibri" w:hAnsi="Arial Narrow" w:cstheme="majorBidi"/>
                <w:bCs/>
                <w:sz w:val="20"/>
                <w:szCs w:val="20"/>
              </w:rPr>
              <w:t xml:space="preserve"> </w:t>
            </w:r>
            <w:r w:rsidRPr="005860C6">
              <w:rPr>
                <w:rFonts w:ascii="Arial Narrow" w:eastAsia="Calibri" w:hAnsi="Arial Narrow" w:cstheme="majorBidi" w:hint="eastAsia"/>
                <w:bCs/>
                <w:color w:val="000000"/>
                <w:w w:val="22"/>
                <w:sz w:val="20"/>
                <w:szCs w:val="20"/>
                <w:shd w:val="solid" w:color="000000" w:fill="000000"/>
                <w:fitText w:val="100" w:id="-1032107259"/>
                <w14:textFill>
                  <w14:solidFill>
                    <w14:srgbClr w14:val="000000">
                      <w14:alpha w14:val="100000"/>
                    </w14:srgbClr>
                  </w14:solidFill>
                </w14:textFill>
              </w:rPr>
              <w:t xml:space="preserve">　</w:t>
            </w:r>
            <w:r w:rsidRPr="005860C6">
              <w:rPr>
                <w:rFonts w:ascii="Arial Narrow" w:eastAsia="Calibri" w:hAnsi="Arial Narrow" w:cstheme="majorBidi"/>
                <w:bCs/>
                <w:color w:val="000000"/>
                <w:w w:val="22"/>
                <w:sz w:val="20"/>
                <w:szCs w:val="20"/>
                <w:shd w:val="solid" w:color="000000" w:fill="000000"/>
                <w:fitText w:val="100" w:id="-1032107259"/>
                <w14:textFill>
                  <w14:solidFill>
                    <w14:srgbClr w14:val="000000">
                      <w14:alpha w14:val="100000"/>
                    </w14:srgbClr>
                  </w14:solidFill>
                </w14:textFill>
              </w:rPr>
              <w:t>|</w:t>
            </w:r>
            <w:r w:rsidRPr="005860C6">
              <w:rPr>
                <w:rFonts w:ascii="Arial Narrow" w:eastAsia="Calibri" w:hAnsi="Arial Narrow" w:cstheme="majorBidi" w:hint="eastAsia"/>
                <w:bCs/>
                <w:color w:val="000000"/>
                <w:spacing w:val="3"/>
                <w:w w:val="22"/>
                <w:sz w:val="20"/>
                <w:szCs w:val="20"/>
                <w:shd w:val="solid" w:color="000000" w:fill="000000"/>
                <w:fitText w:val="100" w:id="-1032107259"/>
                <w14:textFill>
                  <w14:solidFill>
                    <w14:srgbClr w14:val="000000">
                      <w14:alpha w14:val="100000"/>
                    </w14:srgbClr>
                  </w14:solidFill>
                </w14:textFill>
              </w:rPr>
              <w:t xml:space="preserve">　</w:t>
            </w:r>
          </w:p>
        </w:tc>
      </w:tr>
      <w:tr w:rsidR="0083012B" w:rsidRPr="00427986" w14:paraId="40C082BA" w14:textId="77777777" w:rsidTr="00E120DC">
        <w:trPr>
          <w:cantSplit/>
        </w:trPr>
        <w:tc>
          <w:tcPr>
            <w:tcW w:w="2526" w:type="pct"/>
            <w:tcBorders>
              <w:top w:val="nil"/>
              <w:bottom w:val="single" w:sz="4" w:space="0" w:color="auto"/>
            </w:tcBorders>
            <w:tcMar>
              <w:left w:w="20" w:type="dxa"/>
              <w:right w:w="20" w:type="dxa"/>
            </w:tcMar>
          </w:tcPr>
          <w:p w14:paraId="3E0D87A9" w14:textId="77777777" w:rsidR="00763EF2" w:rsidRPr="00427986" w:rsidRDefault="00763EF2" w:rsidP="00CB4A1F">
            <w:pPr>
              <w:widowControl w:val="0"/>
              <w:ind w:left="113"/>
              <w:jc w:val="left"/>
              <w:rPr>
                <w:rFonts w:ascii="Arial Narrow" w:eastAsiaTheme="majorEastAsia" w:hAnsi="Arial Narrow" w:cstheme="majorBidi"/>
                <w:bCs/>
                <w:sz w:val="20"/>
                <w:szCs w:val="20"/>
              </w:rPr>
            </w:pPr>
            <w:r w:rsidRPr="00427986">
              <w:rPr>
                <w:rFonts w:ascii="Arial Narrow" w:eastAsiaTheme="majorEastAsia" w:hAnsi="Arial Narrow" w:cstheme="majorBidi"/>
                <w:bCs/>
                <w:sz w:val="20"/>
                <w:szCs w:val="20"/>
              </w:rPr>
              <w:t>Generalised Gamma</w:t>
            </w:r>
          </w:p>
        </w:tc>
        <w:tc>
          <w:tcPr>
            <w:tcW w:w="665" w:type="pct"/>
            <w:tcBorders>
              <w:top w:val="nil"/>
              <w:left w:val="single" w:sz="4" w:space="0" w:color="auto"/>
              <w:bottom w:val="single" w:sz="4" w:space="0" w:color="auto"/>
              <w:right w:val="single" w:sz="4" w:space="0" w:color="auto"/>
            </w:tcBorders>
            <w:tcMar>
              <w:left w:w="20" w:type="dxa"/>
              <w:right w:w="20" w:type="dxa"/>
            </w:tcMar>
            <w:vAlign w:val="center"/>
          </w:tcPr>
          <w:p w14:paraId="281A2487" w14:textId="04C33026" w:rsidR="00763EF2" w:rsidRPr="00E447AE" w:rsidRDefault="005860C6" w:rsidP="00CB4A1F">
            <w:pPr>
              <w:widowControl w:val="0"/>
              <w:jc w:val="center"/>
              <w:rPr>
                <w:rFonts w:ascii="Arial Narrow" w:eastAsiaTheme="majorEastAsia" w:hAnsi="Arial Narrow" w:cstheme="majorBidi"/>
                <w:bCs/>
                <w:sz w:val="20"/>
                <w:szCs w:val="20"/>
                <w:highlight w:val="darkGray"/>
              </w:rPr>
            </w:pPr>
            <w:r>
              <w:rPr>
                <w:rFonts w:ascii="Arial Narrow" w:eastAsia="MS Gothic" w:hAnsi="Arial Narrow" w:cs="Times New Roman"/>
                <w:bCs/>
                <w:sz w:val="20"/>
                <w:szCs w:val="20"/>
              </w:rPr>
              <w:t xml:space="preserve"> </w:t>
            </w:r>
            <w:r w:rsidRPr="005860C6">
              <w:rPr>
                <w:rFonts w:ascii="Arial Narrow" w:eastAsia="MS Gothic" w:hAnsi="Arial Narrow" w:cs="Times New Roman"/>
                <w:bCs/>
                <w:color w:val="000000"/>
                <w:sz w:val="20"/>
                <w:szCs w:val="20"/>
                <w:shd w:val="solid" w:color="000000" w:fill="000000"/>
                <w14:textFill>
                  <w14:solidFill>
                    <w14:srgbClr w14:val="000000">
                      <w14:alpha w14:val="100000"/>
                    </w14:srgbClr>
                  </w14:solidFill>
                </w14:textFill>
              </w:rPr>
              <w:t>|</w:t>
            </w:r>
          </w:p>
        </w:tc>
        <w:tc>
          <w:tcPr>
            <w:tcW w:w="666" w:type="pct"/>
            <w:tcBorders>
              <w:top w:val="nil"/>
              <w:left w:val="single" w:sz="4" w:space="0" w:color="auto"/>
              <w:bottom w:val="single" w:sz="4" w:space="0" w:color="auto"/>
              <w:right w:val="single" w:sz="4" w:space="0" w:color="auto"/>
            </w:tcBorders>
            <w:tcMar>
              <w:left w:w="20" w:type="dxa"/>
              <w:right w:w="20" w:type="dxa"/>
            </w:tcMar>
            <w:vAlign w:val="center"/>
          </w:tcPr>
          <w:p w14:paraId="0DF8297C" w14:textId="77777777" w:rsidR="00763EF2" w:rsidRPr="00427986" w:rsidRDefault="00763EF2" w:rsidP="00CB4A1F">
            <w:pPr>
              <w:widowControl w:val="0"/>
              <w:jc w:val="center"/>
              <w:rPr>
                <w:rFonts w:ascii="Arial Narrow" w:eastAsiaTheme="majorEastAsia" w:hAnsi="Arial Narrow" w:cstheme="majorBidi"/>
                <w:bCs/>
                <w:sz w:val="20"/>
                <w:szCs w:val="20"/>
              </w:rPr>
            </w:pPr>
            <w:r w:rsidRPr="00427986">
              <w:rPr>
                <w:rFonts w:ascii="Arial Narrow" w:eastAsia="MS Gothic" w:hAnsi="Arial Narrow" w:cs="Times New Roman"/>
                <w:bCs/>
                <w:sz w:val="20"/>
                <w:szCs w:val="20"/>
              </w:rPr>
              <w:t>0.18</w:t>
            </w:r>
          </w:p>
        </w:tc>
        <w:tc>
          <w:tcPr>
            <w:tcW w:w="598" w:type="pct"/>
            <w:tcBorders>
              <w:top w:val="nil"/>
              <w:left w:val="single" w:sz="4" w:space="0" w:color="auto"/>
              <w:bottom w:val="single" w:sz="4" w:space="0" w:color="auto"/>
              <w:right w:val="single" w:sz="4" w:space="0" w:color="auto"/>
            </w:tcBorders>
            <w:tcMar>
              <w:left w:w="20" w:type="dxa"/>
              <w:right w:w="20" w:type="dxa"/>
            </w:tcMar>
            <w:vAlign w:val="center"/>
          </w:tcPr>
          <w:p w14:paraId="045C36BE" w14:textId="55A6D089" w:rsidR="00763EF2" w:rsidRPr="00E447AE" w:rsidRDefault="005860C6" w:rsidP="00CB4A1F">
            <w:pPr>
              <w:widowControl w:val="0"/>
              <w:jc w:val="center"/>
              <w:rPr>
                <w:rFonts w:ascii="Arial Narrow" w:eastAsiaTheme="majorEastAsia" w:hAnsi="Arial Narrow" w:cstheme="majorBidi"/>
                <w:bCs/>
                <w:sz w:val="20"/>
                <w:szCs w:val="20"/>
                <w:highlight w:val="darkGray"/>
              </w:rPr>
            </w:pPr>
            <w:r>
              <w:rPr>
                <w:rFonts w:ascii="Arial Narrow" w:eastAsia="MS Gothic" w:hAnsi="Arial Narrow" w:cs="Times New Roman"/>
                <w:bCs/>
                <w:sz w:val="20"/>
                <w:szCs w:val="20"/>
              </w:rPr>
              <w:t xml:space="preserve"> </w:t>
            </w:r>
            <w:r w:rsidRPr="005860C6">
              <w:rPr>
                <w:rFonts w:ascii="Arial Narrow" w:eastAsia="MS Gothic" w:hAnsi="Arial Narrow" w:cs="Times New Roman" w:hint="eastAsia"/>
                <w:bCs/>
                <w:color w:val="000000"/>
                <w:w w:val="18"/>
                <w:sz w:val="20"/>
                <w:szCs w:val="20"/>
                <w:shd w:val="solid" w:color="000000" w:fill="000000"/>
                <w:fitText w:val="80" w:id="-1032107258"/>
                <w14:textFill>
                  <w14:solidFill>
                    <w14:srgbClr w14:val="000000">
                      <w14:alpha w14:val="100000"/>
                    </w14:srgbClr>
                  </w14:solidFill>
                </w14:textFill>
              </w:rPr>
              <w:t xml:space="preserve">　</w:t>
            </w:r>
            <w:r w:rsidRPr="005860C6">
              <w:rPr>
                <w:rFonts w:ascii="Arial Narrow" w:eastAsia="MS Gothic" w:hAnsi="Arial Narrow" w:cs="Times New Roman"/>
                <w:bCs/>
                <w:color w:val="000000"/>
                <w:w w:val="18"/>
                <w:sz w:val="20"/>
                <w:szCs w:val="20"/>
                <w:shd w:val="solid" w:color="000000" w:fill="000000"/>
                <w:fitText w:val="80" w:id="-1032107258"/>
                <w14:textFill>
                  <w14:solidFill>
                    <w14:srgbClr w14:val="000000">
                      <w14:alpha w14:val="100000"/>
                    </w14:srgbClr>
                  </w14:solidFill>
                </w14:textFill>
              </w:rPr>
              <w:t>|</w:t>
            </w:r>
            <w:r w:rsidRPr="005860C6">
              <w:rPr>
                <w:rFonts w:ascii="Arial Narrow" w:eastAsia="MS Gothic" w:hAnsi="Arial Narrow" w:cs="Times New Roman" w:hint="eastAsia"/>
                <w:bCs/>
                <w:color w:val="000000"/>
                <w:w w:val="18"/>
                <w:sz w:val="20"/>
                <w:szCs w:val="20"/>
                <w:shd w:val="solid" w:color="000000" w:fill="000000"/>
                <w:fitText w:val="80" w:id="-1032107258"/>
                <w14:textFill>
                  <w14:solidFill>
                    <w14:srgbClr w14:val="000000">
                      <w14:alpha w14:val="100000"/>
                    </w14:srgbClr>
                  </w14:solidFill>
                </w14:textFill>
              </w:rPr>
              <w:t xml:space="preserve">　</w:t>
            </w:r>
            <w:r w:rsidR="002001F2">
              <w:rPr>
                <w:rFonts w:ascii="Arial Narrow" w:eastAsiaTheme="majorEastAsia" w:hAnsi="Arial Narrow" w:cstheme="majorBidi"/>
                <w:bCs/>
                <w:sz w:val="20"/>
                <w:szCs w:val="20"/>
                <w:vertAlign w:val="superscript"/>
              </w:rPr>
              <w:t>1</w:t>
            </w:r>
          </w:p>
        </w:tc>
        <w:tc>
          <w:tcPr>
            <w:tcW w:w="545" w:type="pct"/>
            <w:tcBorders>
              <w:top w:val="nil"/>
              <w:bottom w:val="single" w:sz="4" w:space="0" w:color="auto"/>
            </w:tcBorders>
            <w:tcMar>
              <w:left w:w="20" w:type="dxa"/>
              <w:right w:w="20" w:type="dxa"/>
            </w:tcMar>
            <w:vAlign w:val="center"/>
          </w:tcPr>
          <w:p w14:paraId="60ACCF71" w14:textId="56B8F7CA" w:rsidR="00763EF2" w:rsidRPr="00427986" w:rsidRDefault="00763EF2" w:rsidP="00CB4A1F">
            <w:pPr>
              <w:widowControl w:val="0"/>
              <w:jc w:val="center"/>
              <w:rPr>
                <w:rFonts w:ascii="Arial Narrow" w:eastAsia="Calibri" w:hAnsi="Arial Narrow" w:cstheme="majorBidi"/>
                <w:bCs/>
                <w:sz w:val="20"/>
                <w:szCs w:val="20"/>
              </w:rPr>
            </w:pPr>
            <w:r w:rsidRPr="00427986">
              <w:rPr>
                <w:rFonts w:ascii="Arial Narrow" w:eastAsia="Calibri" w:hAnsi="Arial Narrow" w:cstheme="majorBidi"/>
                <w:bCs/>
                <w:sz w:val="20"/>
                <w:szCs w:val="20"/>
              </w:rPr>
              <w:t>-</w:t>
            </w:r>
            <w:r w:rsidR="005860C6">
              <w:rPr>
                <w:rFonts w:ascii="Arial Narrow" w:eastAsia="Calibri" w:hAnsi="Arial Narrow" w:cstheme="majorBidi"/>
                <w:bCs/>
                <w:sz w:val="20"/>
                <w:szCs w:val="20"/>
              </w:rPr>
              <w:t xml:space="preserve"> </w:t>
            </w:r>
            <w:r w:rsidR="005860C6" w:rsidRPr="005860C6">
              <w:rPr>
                <w:rFonts w:ascii="Arial Narrow" w:eastAsia="Calibri" w:hAnsi="Arial Narrow" w:cstheme="majorBidi" w:hint="eastAsia"/>
                <w:bCs/>
                <w:color w:val="000000"/>
                <w:w w:val="29"/>
                <w:sz w:val="20"/>
                <w:szCs w:val="20"/>
                <w:shd w:val="solid" w:color="000000" w:fill="000000"/>
                <w:fitText w:val="130" w:id="-1032107257"/>
                <w14:textFill>
                  <w14:solidFill>
                    <w14:srgbClr w14:val="000000">
                      <w14:alpha w14:val="100000"/>
                    </w14:srgbClr>
                  </w14:solidFill>
                </w14:textFill>
              </w:rPr>
              <w:t xml:space="preserve">　</w:t>
            </w:r>
            <w:r w:rsidR="005860C6" w:rsidRPr="005860C6">
              <w:rPr>
                <w:rFonts w:ascii="Arial Narrow" w:eastAsia="Calibri" w:hAnsi="Arial Narrow" w:cstheme="majorBidi"/>
                <w:bCs/>
                <w:color w:val="000000"/>
                <w:w w:val="29"/>
                <w:sz w:val="20"/>
                <w:szCs w:val="20"/>
                <w:shd w:val="solid" w:color="000000" w:fill="000000"/>
                <w:fitText w:val="130" w:id="-1032107257"/>
                <w14:textFill>
                  <w14:solidFill>
                    <w14:srgbClr w14:val="000000">
                      <w14:alpha w14:val="100000"/>
                    </w14:srgbClr>
                  </w14:solidFill>
                </w14:textFill>
              </w:rPr>
              <w:t>|</w:t>
            </w:r>
            <w:r w:rsidR="005860C6" w:rsidRPr="005860C6">
              <w:rPr>
                <w:rFonts w:ascii="Arial Narrow" w:eastAsia="Calibri" w:hAnsi="Arial Narrow" w:cstheme="majorBidi" w:hint="eastAsia"/>
                <w:bCs/>
                <w:color w:val="000000"/>
                <w:spacing w:val="2"/>
                <w:w w:val="29"/>
                <w:sz w:val="20"/>
                <w:szCs w:val="20"/>
                <w:shd w:val="solid" w:color="000000" w:fill="000000"/>
                <w:fitText w:val="130" w:id="-1032107257"/>
                <w14:textFill>
                  <w14:solidFill>
                    <w14:srgbClr w14:val="000000">
                      <w14:alpha w14:val="100000"/>
                    </w14:srgbClr>
                  </w14:solidFill>
                </w14:textFill>
              </w:rPr>
              <w:t xml:space="preserve">　</w:t>
            </w:r>
          </w:p>
        </w:tc>
      </w:tr>
      <w:tr w:rsidR="00763EF2" w:rsidRPr="00427986" w14:paraId="78EDDD7B" w14:textId="77777777" w:rsidTr="00E120DC">
        <w:trPr>
          <w:cantSplit/>
        </w:trPr>
        <w:tc>
          <w:tcPr>
            <w:tcW w:w="5000" w:type="pct"/>
            <w:gridSpan w:val="5"/>
            <w:tcBorders>
              <w:bottom w:val="nil"/>
            </w:tcBorders>
            <w:tcMar>
              <w:left w:w="20" w:type="dxa"/>
              <w:right w:w="20" w:type="dxa"/>
            </w:tcMar>
            <w:vAlign w:val="center"/>
          </w:tcPr>
          <w:p w14:paraId="52A75828" w14:textId="5004F6BB" w:rsidR="00763EF2" w:rsidRPr="00427986" w:rsidRDefault="00763EF2" w:rsidP="00CB4A1F">
            <w:pPr>
              <w:widowControl w:val="0"/>
              <w:jc w:val="left"/>
              <w:rPr>
                <w:rFonts w:ascii="Arial Narrow" w:eastAsia="Calibri" w:hAnsi="Arial Narrow" w:cstheme="majorBidi"/>
                <w:bCs/>
                <w:sz w:val="20"/>
                <w:szCs w:val="20"/>
              </w:rPr>
            </w:pPr>
            <w:r w:rsidRPr="00427986">
              <w:rPr>
                <w:rFonts w:ascii="Arial Narrow" w:hAnsi="Arial Narrow"/>
                <w:sz w:val="20"/>
                <w:szCs w:val="20"/>
              </w:rPr>
              <w:t>Parametric function, PFS (</w:t>
            </w:r>
            <w:r w:rsidR="007F57A9" w:rsidRPr="00427986">
              <w:rPr>
                <w:rFonts w:ascii="Arial Narrow" w:hAnsi="Arial Narrow"/>
                <w:sz w:val="20"/>
                <w:szCs w:val="20"/>
              </w:rPr>
              <w:t>base case</w:t>
            </w:r>
            <w:r w:rsidRPr="00427986">
              <w:rPr>
                <w:rFonts w:ascii="Arial Narrow" w:hAnsi="Arial Narrow"/>
                <w:sz w:val="20"/>
                <w:szCs w:val="20"/>
              </w:rPr>
              <w:t xml:space="preserve">: BSC </w:t>
            </w:r>
            <w:r w:rsidR="007F57A9" w:rsidRPr="00427986">
              <w:rPr>
                <w:rFonts w:ascii="Arial Narrow" w:hAnsi="Arial Narrow"/>
                <w:sz w:val="20"/>
                <w:szCs w:val="20"/>
              </w:rPr>
              <w:t xml:space="preserve">= </w:t>
            </w:r>
            <w:r w:rsidRPr="00427986">
              <w:rPr>
                <w:rFonts w:ascii="Arial Narrow" w:hAnsi="Arial Narrow"/>
                <w:sz w:val="20"/>
                <w:szCs w:val="20"/>
              </w:rPr>
              <w:t>Gompertz)</w:t>
            </w:r>
          </w:p>
        </w:tc>
      </w:tr>
      <w:tr w:rsidR="00763EF2" w:rsidRPr="00427986" w14:paraId="5387A3CB" w14:textId="77777777" w:rsidTr="00E120DC">
        <w:trPr>
          <w:cantSplit/>
        </w:trPr>
        <w:tc>
          <w:tcPr>
            <w:tcW w:w="2526" w:type="pct"/>
            <w:tcBorders>
              <w:top w:val="nil"/>
              <w:bottom w:val="nil"/>
            </w:tcBorders>
            <w:tcMar>
              <w:left w:w="20" w:type="dxa"/>
              <w:right w:w="20" w:type="dxa"/>
            </w:tcMar>
          </w:tcPr>
          <w:p w14:paraId="5856A78D" w14:textId="77777777" w:rsidR="00763EF2" w:rsidRPr="00427986" w:rsidRDefault="00763EF2" w:rsidP="00CB4A1F">
            <w:pPr>
              <w:widowControl w:val="0"/>
              <w:ind w:left="113"/>
              <w:jc w:val="left"/>
              <w:rPr>
                <w:rFonts w:ascii="Arial Narrow" w:eastAsiaTheme="majorEastAsia" w:hAnsi="Arial Narrow" w:cstheme="majorBidi"/>
                <w:bCs/>
                <w:sz w:val="20"/>
                <w:szCs w:val="20"/>
              </w:rPr>
            </w:pPr>
            <w:r w:rsidRPr="00427986">
              <w:rPr>
                <w:rFonts w:ascii="Arial Narrow" w:hAnsi="Arial Narrow"/>
                <w:sz w:val="20"/>
                <w:szCs w:val="20"/>
              </w:rPr>
              <w:t>Log-Normal</w:t>
            </w:r>
          </w:p>
        </w:tc>
        <w:tc>
          <w:tcPr>
            <w:tcW w:w="665" w:type="pct"/>
            <w:tcBorders>
              <w:top w:val="nil"/>
              <w:bottom w:val="nil"/>
            </w:tcBorders>
            <w:tcMar>
              <w:left w:w="20" w:type="dxa"/>
              <w:right w:w="20" w:type="dxa"/>
            </w:tcMar>
            <w:vAlign w:val="center"/>
          </w:tcPr>
          <w:p w14:paraId="0F66AD68" w14:textId="1BC8D161" w:rsidR="00763EF2" w:rsidRPr="00427986" w:rsidRDefault="005860C6" w:rsidP="00CB4A1F">
            <w:pPr>
              <w:widowControl w:val="0"/>
              <w:jc w:val="center"/>
              <w:rPr>
                <w:rFonts w:ascii="Arial Narrow" w:eastAsiaTheme="majorEastAsia" w:hAnsi="Arial Narrow" w:cstheme="majorBidi"/>
                <w:bCs/>
                <w:sz w:val="20"/>
                <w:szCs w:val="20"/>
              </w:rPr>
            </w:pPr>
            <w:r>
              <w:rPr>
                <w:rFonts w:ascii="Arial Narrow" w:hAnsi="Arial Narrow"/>
                <w:sz w:val="20"/>
                <w:szCs w:val="20"/>
              </w:rPr>
              <w:t xml:space="preserve"> </w:t>
            </w:r>
            <w:r w:rsidRPr="005860C6">
              <w:rPr>
                <w:rFonts w:ascii="Arial Narrow" w:hAnsi="Arial Narrow"/>
                <w:color w:val="000000"/>
                <w:sz w:val="20"/>
                <w:szCs w:val="20"/>
                <w:shd w:val="solid" w:color="000000" w:fill="000000"/>
                <w14:textFill>
                  <w14:solidFill>
                    <w14:srgbClr w14:val="000000">
                      <w14:alpha w14:val="100000"/>
                    </w14:srgbClr>
                  </w14:solidFill>
                </w14:textFill>
              </w:rPr>
              <w:t>|</w:t>
            </w:r>
            <w:r w:rsidR="00B058EE">
              <w:rPr>
                <w:rFonts w:ascii="Arial Narrow" w:hAnsi="Arial Narrow"/>
                <w:sz w:val="20"/>
                <w:szCs w:val="20"/>
              </w:rPr>
              <w:t xml:space="preserve"> </w:t>
            </w:r>
          </w:p>
        </w:tc>
        <w:tc>
          <w:tcPr>
            <w:tcW w:w="666" w:type="pct"/>
            <w:tcBorders>
              <w:top w:val="nil"/>
              <w:bottom w:val="nil"/>
            </w:tcBorders>
            <w:tcMar>
              <w:left w:w="20" w:type="dxa"/>
              <w:right w:w="20" w:type="dxa"/>
            </w:tcMar>
            <w:vAlign w:val="center"/>
          </w:tcPr>
          <w:p w14:paraId="711738CF" w14:textId="77777777" w:rsidR="00763EF2" w:rsidRPr="00427986" w:rsidRDefault="00763EF2" w:rsidP="00CB4A1F">
            <w:pPr>
              <w:widowControl w:val="0"/>
              <w:jc w:val="center"/>
              <w:rPr>
                <w:rFonts w:ascii="Arial Narrow" w:eastAsiaTheme="majorEastAsia" w:hAnsi="Arial Narrow" w:cstheme="majorBidi"/>
                <w:bCs/>
                <w:sz w:val="20"/>
                <w:szCs w:val="20"/>
              </w:rPr>
            </w:pPr>
            <w:r w:rsidRPr="00427986">
              <w:rPr>
                <w:rFonts w:ascii="Arial Narrow" w:hAnsi="Arial Narrow"/>
                <w:sz w:val="20"/>
                <w:szCs w:val="20"/>
              </w:rPr>
              <w:t>0.16</w:t>
            </w:r>
          </w:p>
        </w:tc>
        <w:tc>
          <w:tcPr>
            <w:tcW w:w="598" w:type="pct"/>
            <w:tcBorders>
              <w:top w:val="nil"/>
              <w:bottom w:val="nil"/>
            </w:tcBorders>
            <w:tcMar>
              <w:left w:w="20" w:type="dxa"/>
              <w:right w:w="20" w:type="dxa"/>
            </w:tcMar>
            <w:vAlign w:val="center"/>
          </w:tcPr>
          <w:p w14:paraId="22EB48B9" w14:textId="2E20574D" w:rsidR="00763EF2" w:rsidRPr="00427986" w:rsidRDefault="005860C6" w:rsidP="00CB4A1F">
            <w:pPr>
              <w:widowControl w:val="0"/>
              <w:jc w:val="center"/>
              <w:rPr>
                <w:rFonts w:ascii="Arial Narrow" w:eastAsiaTheme="majorEastAsia" w:hAnsi="Arial Narrow" w:cstheme="majorBidi"/>
                <w:bCs/>
                <w:sz w:val="20"/>
                <w:szCs w:val="20"/>
              </w:rPr>
            </w:pPr>
            <w:r>
              <w:rPr>
                <w:rFonts w:ascii="Arial Narrow" w:hAnsi="Arial Narrow"/>
                <w:sz w:val="20"/>
                <w:szCs w:val="20"/>
              </w:rPr>
              <w:t xml:space="preserve"> </w:t>
            </w:r>
            <w:r w:rsidRPr="005860C6">
              <w:rPr>
                <w:rFonts w:ascii="Arial Narrow" w:hAnsi="Arial Narrow" w:hint="eastAsia"/>
                <w:color w:val="000000"/>
                <w:w w:val="22"/>
                <w:sz w:val="20"/>
                <w:szCs w:val="20"/>
                <w:shd w:val="solid" w:color="000000" w:fill="000000"/>
                <w:fitText w:val="100" w:id="-1032107256"/>
                <w14:textFill>
                  <w14:solidFill>
                    <w14:srgbClr w14:val="000000">
                      <w14:alpha w14:val="100000"/>
                    </w14:srgbClr>
                  </w14:solidFill>
                </w14:textFill>
              </w:rPr>
              <w:t xml:space="preserve">　</w:t>
            </w:r>
            <w:r w:rsidRPr="005860C6">
              <w:rPr>
                <w:rFonts w:ascii="Arial Narrow" w:hAnsi="Arial Narrow"/>
                <w:color w:val="000000"/>
                <w:w w:val="22"/>
                <w:sz w:val="20"/>
                <w:szCs w:val="20"/>
                <w:shd w:val="solid" w:color="000000" w:fill="000000"/>
                <w:fitText w:val="100" w:id="-1032107256"/>
                <w14:textFill>
                  <w14:solidFill>
                    <w14:srgbClr w14:val="000000">
                      <w14:alpha w14:val="100000"/>
                    </w14:srgbClr>
                  </w14:solidFill>
                </w14:textFill>
              </w:rPr>
              <w:t>|</w:t>
            </w:r>
            <w:r w:rsidRPr="005860C6">
              <w:rPr>
                <w:rFonts w:ascii="Arial Narrow" w:hAnsi="Arial Narrow" w:hint="eastAsia"/>
                <w:color w:val="000000"/>
                <w:spacing w:val="3"/>
                <w:w w:val="22"/>
                <w:sz w:val="20"/>
                <w:szCs w:val="20"/>
                <w:shd w:val="solid" w:color="000000" w:fill="000000"/>
                <w:fitText w:val="100" w:id="-1032107256"/>
                <w14:textFill>
                  <w14:solidFill>
                    <w14:srgbClr w14:val="000000">
                      <w14:alpha w14:val="100000"/>
                    </w14:srgbClr>
                  </w14:solidFill>
                </w14:textFill>
              </w:rPr>
              <w:t xml:space="preserve">　</w:t>
            </w:r>
            <w:r w:rsidR="002A42DB">
              <w:rPr>
                <w:rFonts w:ascii="Arial Narrow" w:hAnsi="Arial Narrow"/>
                <w:sz w:val="20"/>
                <w:szCs w:val="20"/>
              </w:rPr>
              <w:t xml:space="preserve"> </w:t>
            </w:r>
            <w:r w:rsidR="003D73CB">
              <w:rPr>
                <w:rFonts w:ascii="Arial Narrow" w:eastAsiaTheme="majorEastAsia" w:hAnsi="Arial Narrow" w:cstheme="majorBidi"/>
                <w:bCs/>
                <w:sz w:val="20"/>
                <w:szCs w:val="20"/>
                <w:vertAlign w:val="superscript"/>
              </w:rPr>
              <w:t>5</w:t>
            </w:r>
          </w:p>
        </w:tc>
        <w:tc>
          <w:tcPr>
            <w:tcW w:w="545" w:type="pct"/>
            <w:tcBorders>
              <w:top w:val="nil"/>
              <w:bottom w:val="nil"/>
            </w:tcBorders>
            <w:tcMar>
              <w:left w:w="20" w:type="dxa"/>
              <w:right w:w="20" w:type="dxa"/>
            </w:tcMar>
            <w:vAlign w:val="center"/>
          </w:tcPr>
          <w:p w14:paraId="3751ADDC" w14:textId="7F42D901" w:rsidR="00763EF2" w:rsidRPr="00D22B13" w:rsidRDefault="005860C6" w:rsidP="00CB4A1F">
            <w:pPr>
              <w:widowControl w:val="0"/>
              <w:jc w:val="center"/>
              <w:rPr>
                <w:rFonts w:ascii="Arial Narrow" w:eastAsia="Calibri" w:hAnsi="Arial Narrow" w:cstheme="majorBidi"/>
                <w:bCs/>
                <w:sz w:val="20"/>
                <w:szCs w:val="20"/>
                <w:highlight w:val="darkGray"/>
              </w:rPr>
            </w:pPr>
            <w:r>
              <w:rPr>
                <w:rFonts w:ascii="Arial Narrow" w:eastAsia="Calibri" w:hAnsi="Arial Narrow" w:cstheme="majorBidi"/>
                <w:bCs/>
                <w:sz w:val="20"/>
                <w:szCs w:val="20"/>
              </w:rPr>
              <w:t xml:space="preserve"> </w:t>
            </w:r>
            <w:r w:rsidRPr="005860C6">
              <w:rPr>
                <w:rFonts w:ascii="Arial Narrow" w:eastAsia="Calibri" w:hAnsi="Arial Narrow" w:cstheme="majorBidi" w:hint="eastAsia"/>
                <w:bCs/>
                <w:color w:val="000000"/>
                <w:w w:val="22"/>
                <w:sz w:val="20"/>
                <w:szCs w:val="20"/>
                <w:shd w:val="solid" w:color="000000" w:fill="000000"/>
                <w:fitText w:val="100" w:id="-1032107255"/>
                <w14:textFill>
                  <w14:solidFill>
                    <w14:srgbClr w14:val="000000">
                      <w14:alpha w14:val="100000"/>
                    </w14:srgbClr>
                  </w14:solidFill>
                </w14:textFill>
              </w:rPr>
              <w:t xml:space="preserve">　</w:t>
            </w:r>
            <w:r w:rsidRPr="005860C6">
              <w:rPr>
                <w:rFonts w:ascii="Arial Narrow" w:eastAsia="Calibri" w:hAnsi="Arial Narrow" w:cstheme="majorBidi"/>
                <w:bCs/>
                <w:color w:val="000000"/>
                <w:w w:val="22"/>
                <w:sz w:val="20"/>
                <w:szCs w:val="20"/>
                <w:shd w:val="solid" w:color="000000" w:fill="000000"/>
                <w:fitText w:val="100" w:id="-1032107255"/>
                <w14:textFill>
                  <w14:solidFill>
                    <w14:srgbClr w14:val="000000">
                      <w14:alpha w14:val="100000"/>
                    </w14:srgbClr>
                  </w14:solidFill>
                </w14:textFill>
              </w:rPr>
              <w:t>|</w:t>
            </w:r>
            <w:r w:rsidRPr="005860C6">
              <w:rPr>
                <w:rFonts w:ascii="Arial Narrow" w:eastAsia="Calibri" w:hAnsi="Arial Narrow" w:cstheme="majorBidi" w:hint="eastAsia"/>
                <w:bCs/>
                <w:color w:val="000000"/>
                <w:spacing w:val="3"/>
                <w:w w:val="22"/>
                <w:sz w:val="20"/>
                <w:szCs w:val="20"/>
                <w:shd w:val="solid" w:color="000000" w:fill="000000"/>
                <w:fitText w:val="100" w:id="-1032107255"/>
                <w14:textFill>
                  <w14:solidFill>
                    <w14:srgbClr w14:val="000000">
                      <w14:alpha w14:val="100000"/>
                    </w14:srgbClr>
                  </w14:solidFill>
                </w14:textFill>
              </w:rPr>
              <w:t xml:space="preserve">　</w:t>
            </w:r>
          </w:p>
        </w:tc>
      </w:tr>
      <w:tr w:rsidR="00763EF2" w:rsidRPr="00427986" w14:paraId="739656EC" w14:textId="77777777" w:rsidTr="00E120DC">
        <w:trPr>
          <w:cantSplit/>
          <w:trHeight w:val="70"/>
        </w:trPr>
        <w:tc>
          <w:tcPr>
            <w:tcW w:w="5000" w:type="pct"/>
            <w:gridSpan w:val="5"/>
            <w:tcBorders>
              <w:top w:val="single" w:sz="4" w:space="0" w:color="auto"/>
              <w:bottom w:val="nil"/>
            </w:tcBorders>
            <w:tcMar>
              <w:left w:w="20" w:type="dxa"/>
              <w:right w:w="20" w:type="dxa"/>
            </w:tcMar>
            <w:vAlign w:val="center"/>
          </w:tcPr>
          <w:p w14:paraId="19BFF13C" w14:textId="4F82D869" w:rsidR="00763EF2" w:rsidRPr="00427986" w:rsidRDefault="00763EF2" w:rsidP="00CB4A1F">
            <w:pPr>
              <w:widowControl w:val="0"/>
              <w:jc w:val="left"/>
              <w:rPr>
                <w:rFonts w:ascii="Arial Narrow" w:eastAsia="Calibri" w:hAnsi="Arial Narrow" w:cstheme="majorBidi"/>
                <w:bCs/>
                <w:sz w:val="20"/>
                <w:szCs w:val="20"/>
              </w:rPr>
            </w:pPr>
            <w:r w:rsidRPr="00427986">
              <w:rPr>
                <w:rFonts w:ascii="Arial Narrow" w:eastAsiaTheme="majorEastAsia" w:hAnsi="Arial Narrow" w:cstheme="majorBidi"/>
                <w:bCs/>
                <w:sz w:val="20"/>
                <w:szCs w:val="20"/>
              </w:rPr>
              <w:t>Parametric function, TTD (</w:t>
            </w:r>
            <w:r w:rsidR="007F6AEE" w:rsidRPr="00427986">
              <w:rPr>
                <w:rFonts w:ascii="Arial Narrow" w:eastAsiaTheme="majorEastAsia" w:hAnsi="Arial Narrow" w:cstheme="majorBidi"/>
                <w:bCs/>
                <w:sz w:val="20"/>
                <w:szCs w:val="20"/>
              </w:rPr>
              <w:t>base case</w:t>
            </w:r>
            <w:r w:rsidRPr="00427986">
              <w:rPr>
                <w:rFonts w:ascii="Arial Narrow" w:eastAsiaTheme="majorEastAsia" w:hAnsi="Arial Narrow" w:cstheme="majorBidi"/>
                <w:bCs/>
                <w:sz w:val="20"/>
                <w:szCs w:val="20"/>
              </w:rPr>
              <w:t xml:space="preserve">: BSC </w:t>
            </w:r>
            <w:r w:rsidR="007F6AEE" w:rsidRPr="00427986">
              <w:rPr>
                <w:rFonts w:ascii="Arial Narrow" w:eastAsiaTheme="majorEastAsia" w:hAnsi="Arial Narrow" w:cstheme="majorBidi"/>
                <w:bCs/>
                <w:sz w:val="20"/>
                <w:szCs w:val="20"/>
              </w:rPr>
              <w:t xml:space="preserve">= </w:t>
            </w:r>
            <w:r w:rsidRPr="00427986">
              <w:rPr>
                <w:rFonts w:ascii="Arial Narrow" w:eastAsiaTheme="majorEastAsia" w:hAnsi="Arial Narrow" w:cstheme="majorBidi"/>
                <w:bCs/>
                <w:sz w:val="20"/>
                <w:szCs w:val="20"/>
              </w:rPr>
              <w:t>Gompertz)</w:t>
            </w:r>
          </w:p>
        </w:tc>
      </w:tr>
      <w:tr w:rsidR="00763EF2" w:rsidRPr="00427986" w14:paraId="4B6630F6" w14:textId="77777777" w:rsidTr="00E120DC">
        <w:trPr>
          <w:cantSplit/>
          <w:trHeight w:val="70"/>
        </w:trPr>
        <w:tc>
          <w:tcPr>
            <w:tcW w:w="2526" w:type="pct"/>
            <w:tcBorders>
              <w:top w:val="nil"/>
              <w:bottom w:val="single" w:sz="4" w:space="0" w:color="auto"/>
            </w:tcBorders>
            <w:tcMar>
              <w:left w:w="20" w:type="dxa"/>
              <w:right w:w="20" w:type="dxa"/>
            </w:tcMar>
          </w:tcPr>
          <w:p w14:paraId="6991960D" w14:textId="77777777" w:rsidR="00763EF2" w:rsidRPr="00427986" w:rsidRDefault="00763EF2" w:rsidP="00CB4A1F">
            <w:pPr>
              <w:widowControl w:val="0"/>
              <w:ind w:left="113"/>
              <w:jc w:val="left"/>
              <w:rPr>
                <w:rFonts w:ascii="Arial Narrow" w:eastAsiaTheme="majorEastAsia" w:hAnsi="Arial Narrow" w:cstheme="majorBidi"/>
                <w:bCs/>
                <w:sz w:val="20"/>
              </w:rPr>
            </w:pPr>
            <w:r w:rsidRPr="00427986">
              <w:rPr>
                <w:rFonts w:ascii="Arial Narrow" w:eastAsiaTheme="majorEastAsia" w:hAnsi="Arial Narrow" w:cstheme="majorBidi"/>
                <w:bCs/>
                <w:sz w:val="20"/>
                <w:szCs w:val="20"/>
              </w:rPr>
              <w:t>Log-Normal</w:t>
            </w:r>
          </w:p>
        </w:tc>
        <w:tc>
          <w:tcPr>
            <w:tcW w:w="665" w:type="pct"/>
            <w:tcBorders>
              <w:top w:val="nil"/>
              <w:bottom w:val="single" w:sz="4" w:space="0" w:color="auto"/>
            </w:tcBorders>
            <w:tcMar>
              <w:left w:w="20" w:type="dxa"/>
              <w:right w:w="20" w:type="dxa"/>
            </w:tcMar>
            <w:vAlign w:val="center"/>
          </w:tcPr>
          <w:p w14:paraId="11367221" w14:textId="0334FB7E" w:rsidR="00763EF2" w:rsidRPr="00427986" w:rsidRDefault="005860C6" w:rsidP="00CB4A1F">
            <w:pPr>
              <w:widowControl w:val="0"/>
              <w:jc w:val="center"/>
              <w:rPr>
                <w:rFonts w:ascii="Arial Narrow" w:eastAsiaTheme="majorEastAsia" w:hAnsi="Arial Narrow" w:cstheme="majorBidi"/>
                <w:bCs/>
                <w:sz w:val="20"/>
                <w:highlight w:val="black"/>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66" w:type="pct"/>
            <w:tcBorders>
              <w:top w:val="nil"/>
              <w:bottom w:val="single" w:sz="4" w:space="0" w:color="auto"/>
            </w:tcBorders>
            <w:tcMar>
              <w:left w:w="20" w:type="dxa"/>
              <w:right w:w="20" w:type="dxa"/>
            </w:tcMar>
            <w:vAlign w:val="center"/>
          </w:tcPr>
          <w:p w14:paraId="70C503B3" w14:textId="77777777" w:rsidR="00763EF2" w:rsidRPr="00427986" w:rsidRDefault="00763EF2" w:rsidP="00CB4A1F">
            <w:pPr>
              <w:widowControl w:val="0"/>
              <w:jc w:val="center"/>
              <w:rPr>
                <w:rFonts w:ascii="Arial Narrow" w:eastAsiaTheme="majorEastAsia" w:hAnsi="Arial Narrow" w:cstheme="majorBidi"/>
                <w:bCs/>
                <w:sz w:val="20"/>
              </w:rPr>
            </w:pPr>
            <w:r w:rsidRPr="00427986">
              <w:rPr>
                <w:rFonts w:ascii="Arial Narrow" w:eastAsiaTheme="majorEastAsia" w:hAnsi="Arial Narrow" w:cstheme="majorBidi"/>
                <w:bCs/>
                <w:sz w:val="20"/>
                <w:szCs w:val="20"/>
              </w:rPr>
              <w:t>0.18</w:t>
            </w:r>
          </w:p>
        </w:tc>
        <w:tc>
          <w:tcPr>
            <w:tcW w:w="598" w:type="pct"/>
            <w:tcBorders>
              <w:top w:val="nil"/>
              <w:bottom w:val="single" w:sz="4" w:space="0" w:color="auto"/>
            </w:tcBorders>
            <w:tcMar>
              <w:left w:w="20" w:type="dxa"/>
              <w:right w:w="20" w:type="dxa"/>
            </w:tcMar>
            <w:vAlign w:val="center"/>
          </w:tcPr>
          <w:p w14:paraId="512BCE35" w14:textId="091DCA69" w:rsidR="00763EF2" w:rsidRPr="00D22B13" w:rsidRDefault="005860C6" w:rsidP="00CB4A1F">
            <w:pPr>
              <w:widowControl w:val="0"/>
              <w:jc w:val="center"/>
              <w:rPr>
                <w:rFonts w:ascii="Arial Narrow" w:eastAsiaTheme="majorEastAsia" w:hAnsi="Arial Narrow" w:cstheme="majorBidi"/>
                <w:bCs/>
                <w:sz w:val="20"/>
                <w:highlight w:val="black"/>
                <w:vertAlign w:val="superscript"/>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22"/>
                <w:sz w:val="20"/>
                <w:szCs w:val="20"/>
                <w:shd w:val="solid" w:color="000000" w:fill="000000"/>
                <w:fitText w:val="100" w:id="-1032107254"/>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22"/>
                <w:sz w:val="20"/>
                <w:szCs w:val="20"/>
                <w:shd w:val="solid" w:color="000000" w:fill="000000"/>
                <w:fitText w:val="100" w:id="-1032107254"/>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3"/>
                <w:w w:val="22"/>
                <w:sz w:val="20"/>
                <w:szCs w:val="20"/>
                <w:shd w:val="solid" w:color="000000" w:fill="000000"/>
                <w:fitText w:val="100" w:id="-1032107254"/>
                <w14:textFill>
                  <w14:solidFill>
                    <w14:srgbClr w14:val="000000">
                      <w14:alpha w14:val="100000"/>
                    </w14:srgbClr>
                  </w14:solidFill>
                </w14:textFill>
              </w:rPr>
              <w:t xml:space="preserve">　</w:t>
            </w:r>
            <w:r w:rsidR="002A42DB" w:rsidRPr="00D22B13">
              <w:rPr>
                <w:rFonts w:ascii="Arial Narrow" w:eastAsiaTheme="majorEastAsia" w:hAnsi="Arial Narrow" w:cstheme="majorBidi"/>
                <w:bCs/>
                <w:sz w:val="20"/>
                <w:szCs w:val="20"/>
              </w:rPr>
              <w:t xml:space="preserve"> </w:t>
            </w:r>
            <w:r w:rsidR="003D73CB">
              <w:rPr>
                <w:rFonts w:ascii="Arial Narrow" w:eastAsiaTheme="majorEastAsia" w:hAnsi="Arial Narrow" w:cstheme="majorBidi"/>
                <w:bCs/>
                <w:sz w:val="20"/>
                <w:szCs w:val="20"/>
                <w:vertAlign w:val="superscript"/>
              </w:rPr>
              <w:t>5</w:t>
            </w:r>
          </w:p>
        </w:tc>
        <w:tc>
          <w:tcPr>
            <w:tcW w:w="545" w:type="pct"/>
            <w:tcBorders>
              <w:top w:val="nil"/>
              <w:bottom w:val="single" w:sz="4" w:space="0" w:color="auto"/>
            </w:tcBorders>
            <w:tcMar>
              <w:left w:w="20" w:type="dxa"/>
              <w:right w:w="20" w:type="dxa"/>
            </w:tcMar>
            <w:vAlign w:val="center"/>
          </w:tcPr>
          <w:p w14:paraId="18929B8D" w14:textId="697D8061" w:rsidR="00763EF2" w:rsidRPr="00427986" w:rsidRDefault="005860C6" w:rsidP="00CB4A1F">
            <w:pPr>
              <w:widowControl w:val="0"/>
              <w:jc w:val="center"/>
              <w:rPr>
                <w:rFonts w:ascii="Arial Narrow" w:eastAsia="Calibri" w:hAnsi="Arial Narrow" w:cstheme="majorBidi"/>
                <w:bCs/>
                <w:sz w:val="20"/>
                <w:szCs w:val="20"/>
              </w:rPr>
            </w:pPr>
            <w:r>
              <w:rPr>
                <w:rFonts w:ascii="Arial Narrow" w:eastAsia="Calibri" w:hAnsi="Arial Narrow" w:cstheme="majorBidi"/>
                <w:bCs/>
                <w:sz w:val="20"/>
                <w:szCs w:val="20"/>
              </w:rPr>
              <w:t xml:space="preserve"> </w:t>
            </w:r>
            <w:r w:rsidRPr="005860C6">
              <w:rPr>
                <w:rFonts w:ascii="Arial Narrow" w:eastAsia="Calibri" w:hAnsi="Arial Narrow" w:cstheme="majorBidi" w:hint="eastAsia"/>
                <w:bCs/>
                <w:color w:val="000000"/>
                <w:w w:val="22"/>
                <w:sz w:val="20"/>
                <w:szCs w:val="20"/>
                <w:shd w:val="solid" w:color="000000" w:fill="000000"/>
                <w:fitText w:val="100" w:id="-1032107253"/>
                <w14:textFill>
                  <w14:solidFill>
                    <w14:srgbClr w14:val="000000">
                      <w14:alpha w14:val="100000"/>
                    </w14:srgbClr>
                  </w14:solidFill>
                </w14:textFill>
              </w:rPr>
              <w:t xml:space="preserve">　</w:t>
            </w:r>
            <w:r w:rsidRPr="005860C6">
              <w:rPr>
                <w:rFonts w:ascii="Arial Narrow" w:eastAsia="Calibri" w:hAnsi="Arial Narrow" w:cstheme="majorBidi"/>
                <w:bCs/>
                <w:color w:val="000000"/>
                <w:w w:val="22"/>
                <w:sz w:val="20"/>
                <w:szCs w:val="20"/>
                <w:shd w:val="solid" w:color="000000" w:fill="000000"/>
                <w:fitText w:val="100" w:id="-1032107253"/>
                <w14:textFill>
                  <w14:solidFill>
                    <w14:srgbClr w14:val="000000">
                      <w14:alpha w14:val="100000"/>
                    </w14:srgbClr>
                  </w14:solidFill>
                </w14:textFill>
              </w:rPr>
              <w:t>|</w:t>
            </w:r>
            <w:r w:rsidRPr="005860C6">
              <w:rPr>
                <w:rFonts w:ascii="Arial Narrow" w:eastAsia="Calibri" w:hAnsi="Arial Narrow" w:cstheme="majorBidi" w:hint="eastAsia"/>
                <w:bCs/>
                <w:color w:val="000000"/>
                <w:spacing w:val="3"/>
                <w:w w:val="22"/>
                <w:sz w:val="20"/>
                <w:szCs w:val="20"/>
                <w:shd w:val="solid" w:color="000000" w:fill="000000"/>
                <w:fitText w:val="100" w:id="-1032107253"/>
                <w14:textFill>
                  <w14:solidFill>
                    <w14:srgbClr w14:val="000000">
                      <w14:alpha w14:val="100000"/>
                    </w14:srgbClr>
                  </w14:solidFill>
                </w14:textFill>
              </w:rPr>
              <w:t xml:space="preserve">　</w:t>
            </w:r>
          </w:p>
        </w:tc>
      </w:tr>
      <w:tr w:rsidR="00763EF2" w:rsidRPr="00427986" w14:paraId="519DF210" w14:textId="77777777" w:rsidTr="00E120DC">
        <w:trPr>
          <w:cantSplit/>
          <w:trHeight w:val="70"/>
        </w:trPr>
        <w:tc>
          <w:tcPr>
            <w:tcW w:w="5000" w:type="pct"/>
            <w:gridSpan w:val="5"/>
            <w:tcBorders>
              <w:top w:val="single" w:sz="4" w:space="0" w:color="auto"/>
              <w:bottom w:val="nil"/>
            </w:tcBorders>
            <w:tcMar>
              <w:left w:w="20" w:type="dxa"/>
              <w:right w:w="20" w:type="dxa"/>
            </w:tcMar>
            <w:vAlign w:val="center"/>
          </w:tcPr>
          <w:p w14:paraId="2A7124CF" w14:textId="47FFB07E" w:rsidR="00763EF2" w:rsidRPr="00427986" w:rsidRDefault="00763EF2" w:rsidP="00CB4A1F">
            <w:pPr>
              <w:widowControl w:val="0"/>
              <w:jc w:val="left"/>
              <w:rPr>
                <w:rFonts w:ascii="Arial Narrow" w:eastAsia="Calibri" w:hAnsi="Arial Narrow" w:cstheme="majorBidi"/>
                <w:bCs/>
                <w:sz w:val="20"/>
                <w:szCs w:val="20"/>
              </w:rPr>
            </w:pPr>
            <w:r w:rsidRPr="00427986">
              <w:rPr>
                <w:rFonts w:ascii="Arial Narrow" w:eastAsiaTheme="majorEastAsia" w:hAnsi="Arial Narrow" w:cstheme="majorBidi"/>
                <w:sz w:val="20"/>
                <w:szCs w:val="20"/>
              </w:rPr>
              <w:t>Treatment interruptions for cabozantinib (</w:t>
            </w:r>
            <w:r w:rsidR="00653EA2" w:rsidRPr="00427986">
              <w:rPr>
                <w:rFonts w:ascii="Arial Narrow" w:eastAsiaTheme="majorEastAsia" w:hAnsi="Arial Narrow" w:cstheme="majorBidi"/>
                <w:sz w:val="20"/>
                <w:szCs w:val="20"/>
              </w:rPr>
              <w:t>b</w:t>
            </w:r>
            <w:r w:rsidRPr="00427986">
              <w:rPr>
                <w:rFonts w:ascii="Arial Narrow" w:eastAsiaTheme="majorEastAsia" w:hAnsi="Arial Narrow" w:cstheme="majorBidi"/>
                <w:sz w:val="20"/>
                <w:szCs w:val="20"/>
              </w:rPr>
              <w:t>ase case: 14.63%</w:t>
            </w:r>
            <w:r w:rsidRPr="00427986">
              <w:rPr>
                <w:rFonts w:ascii="Arial Narrow" w:eastAsiaTheme="majorEastAsia" w:hAnsi="Arial Narrow" w:cstheme="majorBidi"/>
                <w:sz w:val="20"/>
                <w:szCs w:val="20"/>
                <w:vertAlign w:val="superscript"/>
              </w:rPr>
              <w:footnoteReference w:id="32"/>
            </w:r>
            <w:r w:rsidRPr="00427986">
              <w:rPr>
                <w:rFonts w:ascii="Arial Narrow" w:eastAsiaTheme="majorEastAsia" w:hAnsi="Arial Narrow" w:cstheme="majorBidi"/>
                <w:sz w:val="20"/>
                <w:szCs w:val="20"/>
              </w:rPr>
              <w:t xml:space="preserve">) </w:t>
            </w:r>
          </w:p>
        </w:tc>
      </w:tr>
      <w:tr w:rsidR="00763EF2" w:rsidRPr="00427986" w14:paraId="64256BF9" w14:textId="77777777" w:rsidTr="00E120DC">
        <w:trPr>
          <w:cantSplit/>
          <w:trHeight w:val="70"/>
        </w:trPr>
        <w:tc>
          <w:tcPr>
            <w:tcW w:w="2526" w:type="pct"/>
            <w:tcBorders>
              <w:top w:val="nil"/>
              <w:bottom w:val="nil"/>
            </w:tcBorders>
            <w:tcMar>
              <w:left w:w="20" w:type="dxa"/>
              <w:right w:w="20" w:type="dxa"/>
            </w:tcMar>
          </w:tcPr>
          <w:p w14:paraId="335C39FD" w14:textId="77777777" w:rsidR="00763EF2" w:rsidRPr="00427986" w:rsidRDefault="00763EF2" w:rsidP="00CB4A1F">
            <w:pPr>
              <w:widowControl w:val="0"/>
              <w:ind w:left="113"/>
              <w:jc w:val="left"/>
              <w:rPr>
                <w:rFonts w:ascii="Arial Narrow" w:eastAsiaTheme="majorEastAsia" w:hAnsi="Arial Narrow" w:cstheme="majorBidi"/>
                <w:bCs/>
                <w:sz w:val="20"/>
                <w:szCs w:val="20"/>
              </w:rPr>
            </w:pPr>
            <w:r w:rsidRPr="00427986">
              <w:rPr>
                <w:rFonts w:ascii="Arial Narrow" w:eastAsiaTheme="majorEastAsia" w:hAnsi="Arial Narrow" w:cstheme="majorBidi"/>
                <w:sz w:val="20"/>
                <w:szCs w:val="20"/>
              </w:rPr>
              <w:t>Minimal interruptions 2.56%</w:t>
            </w:r>
            <w:r w:rsidRPr="00427986">
              <w:rPr>
                <w:rFonts w:ascii="Arial Narrow" w:eastAsiaTheme="majorEastAsia" w:hAnsi="Arial Narrow" w:cstheme="majorBidi"/>
                <w:sz w:val="20"/>
                <w:szCs w:val="20"/>
                <w:vertAlign w:val="superscript"/>
              </w:rPr>
              <w:footnoteReference w:id="33"/>
            </w:r>
          </w:p>
        </w:tc>
        <w:tc>
          <w:tcPr>
            <w:tcW w:w="665" w:type="pct"/>
            <w:tcBorders>
              <w:top w:val="nil"/>
              <w:bottom w:val="nil"/>
            </w:tcBorders>
            <w:tcMar>
              <w:left w:w="20" w:type="dxa"/>
              <w:right w:w="20" w:type="dxa"/>
            </w:tcMar>
            <w:vAlign w:val="center"/>
          </w:tcPr>
          <w:p w14:paraId="74296125" w14:textId="7243CBCC" w:rsidR="00763EF2" w:rsidRPr="00D22B13" w:rsidRDefault="005860C6" w:rsidP="00CB4A1F">
            <w:pPr>
              <w:widowControl w:val="0"/>
              <w:jc w:val="center"/>
              <w:rPr>
                <w:rFonts w:ascii="Arial Narrow" w:eastAsiaTheme="majorEastAsia" w:hAnsi="Arial Narrow" w:cstheme="majorBidi"/>
                <w:bCs/>
                <w:sz w:val="20"/>
                <w:szCs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66" w:type="pct"/>
            <w:tcBorders>
              <w:top w:val="nil"/>
              <w:bottom w:val="nil"/>
            </w:tcBorders>
            <w:tcMar>
              <w:left w:w="20" w:type="dxa"/>
              <w:right w:w="20" w:type="dxa"/>
            </w:tcMar>
            <w:vAlign w:val="center"/>
          </w:tcPr>
          <w:p w14:paraId="7280B828" w14:textId="77777777" w:rsidR="00763EF2" w:rsidRPr="00427986" w:rsidRDefault="00763EF2" w:rsidP="00CB4A1F">
            <w:pPr>
              <w:widowControl w:val="0"/>
              <w:jc w:val="center"/>
              <w:rPr>
                <w:rFonts w:ascii="Arial Narrow" w:eastAsiaTheme="majorEastAsia" w:hAnsi="Arial Narrow" w:cstheme="majorBidi"/>
                <w:bCs/>
                <w:sz w:val="20"/>
                <w:szCs w:val="20"/>
              </w:rPr>
            </w:pPr>
            <w:r w:rsidRPr="00427986">
              <w:rPr>
                <w:rFonts w:ascii="Arial Narrow" w:eastAsiaTheme="majorEastAsia" w:hAnsi="Arial Narrow" w:cstheme="majorBidi"/>
                <w:bCs/>
                <w:sz w:val="20"/>
                <w:szCs w:val="20"/>
              </w:rPr>
              <w:t>0.18</w:t>
            </w:r>
          </w:p>
        </w:tc>
        <w:tc>
          <w:tcPr>
            <w:tcW w:w="598" w:type="pct"/>
            <w:tcBorders>
              <w:top w:val="nil"/>
              <w:bottom w:val="nil"/>
            </w:tcBorders>
            <w:tcMar>
              <w:left w:w="20" w:type="dxa"/>
              <w:right w:w="20" w:type="dxa"/>
            </w:tcMar>
            <w:vAlign w:val="center"/>
          </w:tcPr>
          <w:p w14:paraId="4F25D024" w14:textId="034B31FC" w:rsidR="00763EF2" w:rsidRPr="00D22B13" w:rsidRDefault="005860C6" w:rsidP="00CB4A1F">
            <w:pPr>
              <w:widowControl w:val="0"/>
              <w:jc w:val="center"/>
              <w:rPr>
                <w:rFonts w:ascii="Arial Narrow" w:eastAsiaTheme="majorEastAsia" w:hAnsi="Arial Narrow" w:cstheme="majorBidi"/>
                <w:bCs/>
                <w:sz w:val="20"/>
                <w:szCs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8"/>
                <w:sz w:val="20"/>
                <w:szCs w:val="20"/>
                <w:shd w:val="solid" w:color="000000" w:fill="000000"/>
                <w:fitText w:val="80" w:id="-1032107252"/>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8"/>
                <w:sz w:val="20"/>
                <w:szCs w:val="20"/>
                <w:shd w:val="solid" w:color="000000" w:fill="000000"/>
                <w:fitText w:val="80" w:id="-1032107252"/>
                <w14:textFill>
                  <w14:solidFill>
                    <w14:srgbClr w14:val="000000">
                      <w14:alpha w14:val="100000"/>
                    </w14:srgbClr>
                  </w14:solidFill>
                </w14:textFill>
              </w:rPr>
              <w:t>|</w:t>
            </w:r>
            <w:r w:rsidRPr="005860C6">
              <w:rPr>
                <w:rFonts w:ascii="Arial Narrow" w:eastAsiaTheme="majorEastAsia" w:hAnsi="Arial Narrow" w:cstheme="majorBidi" w:hint="eastAsia"/>
                <w:bCs/>
                <w:color w:val="000000"/>
                <w:w w:val="18"/>
                <w:sz w:val="20"/>
                <w:szCs w:val="20"/>
                <w:shd w:val="solid" w:color="000000" w:fill="000000"/>
                <w:fitText w:val="80" w:id="-1032107252"/>
                <w14:textFill>
                  <w14:solidFill>
                    <w14:srgbClr w14:val="000000">
                      <w14:alpha w14:val="100000"/>
                    </w14:srgbClr>
                  </w14:solidFill>
                </w14:textFill>
              </w:rPr>
              <w:t xml:space="preserve">　</w:t>
            </w:r>
            <w:r w:rsidR="003D73CB">
              <w:rPr>
                <w:rFonts w:ascii="Arial Narrow" w:eastAsiaTheme="majorEastAsia" w:hAnsi="Arial Narrow" w:cstheme="majorBidi"/>
                <w:bCs/>
                <w:sz w:val="20"/>
                <w:szCs w:val="20"/>
                <w:vertAlign w:val="superscript"/>
              </w:rPr>
              <w:t>6</w:t>
            </w:r>
          </w:p>
        </w:tc>
        <w:tc>
          <w:tcPr>
            <w:tcW w:w="545" w:type="pct"/>
            <w:tcBorders>
              <w:top w:val="nil"/>
              <w:bottom w:val="nil"/>
            </w:tcBorders>
            <w:tcMar>
              <w:left w:w="20" w:type="dxa"/>
              <w:right w:w="20" w:type="dxa"/>
            </w:tcMar>
            <w:vAlign w:val="center"/>
          </w:tcPr>
          <w:p w14:paraId="78AEC76C" w14:textId="35032B41" w:rsidR="00763EF2" w:rsidRPr="00427986" w:rsidRDefault="005860C6" w:rsidP="00CB4A1F">
            <w:pPr>
              <w:widowControl w:val="0"/>
              <w:jc w:val="center"/>
              <w:rPr>
                <w:rFonts w:ascii="Arial Narrow" w:eastAsia="Calibri" w:hAnsi="Arial Narrow" w:cstheme="majorBidi"/>
                <w:bCs/>
                <w:sz w:val="20"/>
                <w:szCs w:val="20"/>
              </w:rPr>
            </w:pPr>
            <w:r>
              <w:rPr>
                <w:rFonts w:ascii="Arial Narrow" w:eastAsia="Calibri" w:hAnsi="Arial Narrow" w:cstheme="majorBidi"/>
                <w:bCs/>
                <w:sz w:val="20"/>
                <w:szCs w:val="20"/>
              </w:rPr>
              <w:t xml:space="preserve"> </w:t>
            </w:r>
            <w:r w:rsidRPr="005860C6">
              <w:rPr>
                <w:rFonts w:ascii="Arial Narrow" w:eastAsia="Calibri" w:hAnsi="Arial Narrow" w:cstheme="majorBidi" w:hint="eastAsia"/>
                <w:bCs/>
                <w:color w:val="000000"/>
                <w:w w:val="22"/>
                <w:sz w:val="20"/>
                <w:szCs w:val="20"/>
                <w:shd w:val="solid" w:color="000000" w:fill="000000"/>
                <w:fitText w:val="100" w:id="-1032107251"/>
                <w14:textFill>
                  <w14:solidFill>
                    <w14:srgbClr w14:val="000000">
                      <w14:alpha w14:val="100000"/>
                    </w14:srgbClr>
                  </w14:solidFill>
                </w14:textFill>
              </w:rPr>
              <w:t xml:space="preserve">　</w:t>
            </w:r>
            <w:r w:rsidRPr="005860C6">
              <w:rPr>
                <w:rFonts w:ascii="Arial Narrow" w:eastAsia="Calibri" w:hAnsi="Arial Narrow" w:cstheme="majorBidi"/>
                <w:bCs/>
                <w:color w:val="000000"/>
                <w:w w:val="22"/>
                <w:sz w:val="20"/>
                <w:szCs w:val="20"/>
                <w:shd w:val="solid" w:color="000000" w:fill="000000"/>
                <w:fitText w:val="100" w:id="-1032107251"/>
                <w14:textFill>
                  <w14:solidFill>
                    <w14:srgbClr w14:val="000000">
                      <w14:alpha w14:val="100000"/>
                    </w14:srgbClr>
                  </w14:solidFill>
                </w14:textFill>
              </w:rPr>
              <w:t>|</w:t>
            </w:r>
            <w:r w:rsidRPr="005860C6">
              <w:rPr>
                <w:rFonts w:ascii="Arial Narrow" w:eastAsia="Calibri" w:hAnsi="Arial Narrow" w:cstheme="majorBidi" w:hint="eastAsia"/>
                <w:bCs/>
                <w:color w:val="000000"/>
                <w:spacing w:val="3"/>
                <w:w w:val="22"/>
                <w:sz w:val="20"/>
                <w:szCs w:val="20"/>
                <w:shd w:val="solid" w:color="000000" w:fill="000000"/>
                <w:fitText w:val="100" w:id="-1032107251"/>
                <w14:textFill>
                  <w14:solidFill>
                    <w14:srgbClr w14:val="000000">
                      <w14:alpha w14:val="100000"/>
                    </w14:srgbClr>
                  </w14:solidFill>
                </w14:textFill>
              </w:rPr>
              <w:t xml:space="preserve">　</w:t>
            </w:r>
          </w:p>
        </w:tc>
      </w:tr>
      <w:tr w:rsidR="00763EF2" w:rsidRPr="00427986" w14:paraId="094EA530" w14:textId="77777777" w:rsidTr="00E120DC">
        <w:trPr>
          <w:cantSplit/>
          <w:trHeight w:val="70"/>
        </w:trPr>
        <w:tc>
          <w:tcPr>
            <w:tcW w:w="2526" w:type="pct"/>
            <w:tcBorders>
              <w:top w:val="nil"/>
              <w:bottom w:val="single" w:sz="4" w:space="0" w:color="auto"/>
            </w:tcBorders>
            <w:tcMar>
              <w:left w:w="20" w:type="dxa"/>
              <w:right w:w="20" w:type="dxa"/>
            </w:tcMar>
          </w:tcPr>
          <w:p w14:paraId="0AAC2579" w14:textId="77777777" w:rsidR="00763EF2" w:rsidRPr="00427986" w:rsidRDefault="00763EF2" w:rsidP="00CB4A1F">
            <w:pPr>
              <w:widowControl w:val="0"/>
              <w:ind w:left="113"/>
              <w:jc w:val="left"/>
              <w:rPr>
                <w:rFonts w:ascii="Arial Narrow" w:eastAsiaTheme="majorEastAsia" w:hAnsi="Arial Narrow" w:cstheme="majorBidi"/>
                <w:bCs/>
                <w:sz w:val="20"/>
                <w:szCs w:val="20"/>
              </w:rPr>
            </w:pPr>
            <w:r w:rsidRPr="00427986">
              <w:rPr>
                <w:rFonts w:ascii="Arial Narrow" w:eastAsiaTheme="majorEastAsia" w:hAnsi="Arial Narrow" w:cstheme="majorBidi"/>
                <w:sz w:val="20"/>
                <w:szCs w:val="20"/>
              </w:rPr>
              <w:t>Maximal interruptions 24.56%</w:t>
            </w:r>
            <w:r w:rsidRPr="00427986">
              <w:rPr>
                <w:rFonts w:ascii="Arial Narrow" w:eastAsiaTheme="majorEastAsia" w:hAnsi="Arial Narrow" w:cstheme="majorBidi"/>
                <w:sz w:val="20"/>
                <w:szCs w:val="20"/>
                <w:vertAlign w:val="superscript"/>
              </w:rPr>
              <w:footnoteReference w:id="34"/>
            </w:r>
          </w:p>
        </w:tc>
        <w:tc>
          <w:tcPr>
            <w:tcW w:w="665" w:type="pct"/>
            <w:tcBorders>
              <w:top w:val="nil"/>
              <w:bottom w:val="single" w:sz="4" w:space="0" w:color="auto"/>
            </w:tcBorders>
            <w:tcMar>
              <w:left w:w="20" w:type="dxa"/>
              <w:right w:w="20" w:type="dxa"/>
            </w:tcMar>
            <w:vAlign w:val="center"/>
          </w:tcPr>
          <w:p w14:paraId="092649A9" w14:textId="3BE8892A" w:rsidR="00763EF2" w:rsidRPr="00E447AE" w:rsidRDefault="005860C6" w:rsidP="00CB4A1F">
            <w:pPr>
              <w:widowControl w:val="0"/>
              <w:jc w:val="center"/>
              <w:rPr>
                <w:rFonts w:ascii="Arial Narrow" w:eastAsiaTheme="majorEastAsia" w:hAnsi="Arial Narrow" w:cstheme="majorBidi"/>
                <w:bCs/>
                <w:sz w:val="20"/>
                <w:szCs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66" w:type="pct"/>
            <w:tcBorders>
              <w:top w:val="nil"/>
              <w:bottom w:val="single" w:sz="4" w:space="0" w:color="auto"/>
            </w:tcBorders>
            <w:tcMar>
              <w:left w:w="20" w:type="dxa"/>
              <w:right w:w="20" w:type="dxa"/>
            </w:tcMar>
            <w:vAlign w:val="center"/>
          </w:tcPr>
          <w:p w14:paraId="1CE47C70" w14:textId="77777777" w:rsidR="00763EF2" w:rsidRPr="00427986" w:rsidRDefault="00763EF2" w:rsidP="00CB4A1F">
            <w:pPr>
              <w:widowControl w:val="0"/>
              <w:jc w:val="center"/>
              <w:rPr>
                <w:rFonts w:ascii="Arial Narrow" w:eastAsiaTheme="majorEastAsia" w:hAnsi="Arial Narrow" w:cstheme="majorBidi"/>
                <w:bCs/>
                <w:sz w:val="20"/>
                <w:szCs w:val="20"/>
              </w:rPr>
            </w:pPr>
            <w:r w:rsidRPr="00427986">
              <w:rPr>
                <w:rFonts w:ascii="Arial Narrow" w:eastAsiaTheme="majorEastAsia" w:hAnsi="Arial Narrow" w:cstheme="majorBidi"/>
                <w:bCs/>
                <w:sz w:val="20"/>
                <w:szCs w:val="20"/>
              </w:rPr>
              <w:t>0.18</w:t>
            </w:r>
          </w:p>
        </w:tc>
        <w:tc>
          <w:tcPr>
            <w:tcW w:w="598" w:type="pct"/>
            <w:tcBorders>
              <w:top w:val="nil"/>
              <w:bottom w:val="single" w:sz="4" w:space="0" w:color="auto"/>
            </w:tcBorders>
            <w:tcMar>
              <w:left w:w="20" w:type="dxa"/>
              <w:right w:w="20" w:type="dxa"/>
            </w:tcMar>
            <w:vAlign w:val="center"/>
          </w:tcPr>
          <w:p w14:paraId="04869654" w14:textId="135864D1" w:rsidR="00763EF2" w:rsidRPr="00E447AE" w:rsidRDefault="005860C6" w:rsidP="00CB4A1F">
            <w:pPr>
              <w:widowControl w:val="0"/>
              <w:jc w:val="center"/>
              <w:rPr>
                <w:rFonts w:ascii="Arial Narrow" w:eastAsiaTheme="majorEastAsia" w:hAnsi="Arial Narrow" w:cstheme="majorBidi"/>
                <w:bCs/>
                <w:sz w:val="20"/>
                <w:szCs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8"/>
                <w:sz w:val="20"/>
                <w:szCs w:val="20"/>
                <w:shd w:val="solid" w:color="000000" w:fill="000000"/>
                <w:fitText w:val="80" w:id="-1032107250"/>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8"/>
                <w:sz w:val="20"/>
                <w:szCs w:val="20"/>
                <w:shd w:val="solid" w:color="000000" w:fill="000000"/>
                <w:fitText w:val="80" w:id="-1032107250"/>
                <w14:textFill>
                  <w14:solidFill>
                    <w14:srgbClr w14:val="000000">
                      <w14:alpha w14:val="100000"/>
                    </w14:srgbClr>
                  </w14:solidFill>
                </w14:textFill>
              </w:rPr>
              <w:t>|</w:t>
            </w:r>
            <w:r w:rsidRPr="005860C6">
              <w:rPr>
                <w:rFonts w:ascii="Arial Narrow" w:eastAsiaTheme="majorEastAsia" w:hAnsi="Arial Narrow" w:cstheme="majorBidi" w:hint="eastAsia"/>
                <w:bCs/>
                <w:color w:val="000000"/>
                <w:w w:val="18"/>
                <w:sz w:val="20"/>
                <w:szCs w:val="20"/>
                <w:shd w:val="solid" w:color="000000" w:fill="000000"/>
                <w:fitText w:val="80" w:id="-1032107250"/>
                <w14:textFill>
                  <w14:solidFill>
                    <w14:srgbClr w14:val="000000">
                      <w14:alpha w14:val="100000"/>
                    </w14:srgbClr>
                  </w14:solidFill>
                </w14:textFill>
              </w:rPr>
              <w:t xml:space="preserve">　</w:t>
            </w:r>
            <w:r w:rsidR="002001F2">
              <w:rPr>
                <w:rFonts w:ascii="Arial Narrow" w:eastAsiaTheme="majorEastAsia" w:hAnsi="Arial Narrow" w:cstheme="majorBidi"/>
                <w:bCs/>
                <w:sz w:val="20"/>
                <w:szCs w:val="20"/>
                <w:vertAlign w:val="superscript"/>
              </w:rPr>
              <w:t>1</w:t>
            </w:r>
          </w:p>
        </w:tc>
        <w:tc>
          <w:tcPr>
            <w:tcW w:w="545" w:type="pct"/>
            <w:tcBorders>
              <w:top w:val="nil"/>
              <w:bottom w:val="single" w:sz="4" w:space="0" w:color="auto"/>
            </w:tcBorders>
            <w:tcMar>
              <w:left w:w="20" w:type="dxa"/>
              <w:right w:w="20" w:type="dxa"/>
            </w:tcMar>
            <w:vAlign w:val="center"/>
          </w:tcPr>
          <w:p w14:paraId="3A41CC7D" w14:textId="09C8338B" w:rsidR="00763EF2" w:rsidRPr="00427986" w:rsidRDefault="00763EF2" w:rsidP="00CB4A1F">
            <w:pPr>
              <w:widowControl w:val="0"/>
              <w:jc w:val="center"/>
              <w:rPr>
                <w:rFonts w:ascii="Arial Narrow" w:eastAsia="Calibri" w:hAnsi="Arial Narrow" w:cstheme="majorBidi"/>
                <w:bCs/>
                <w:sz w:val="20"/>
                <w:szCs w:val="20"/>
              </w:rPr>
            </w:pPr>
            <w:r w:rsidRPr="00427986">
              <w:rPr>
                <w:rFonts w:ascii="Arial Narrow" w:eastAsia="Calibri" w:hAnsi="Arial Narrow" w:cstheme="majorBidi"/>
                <w:bCs/>
                <w:sz w:val="20"/>
                <w:szCs w:val="20"/>
              </w:rPr>
              <w:t>-</w:t>
            </w:r>
            <w:r w:rsidR="005860C6">
              <w:rPr>
                <w:rFonts w:ascii="Arial Narrow" w:eastAsia="Calibri" w:hAnsi="Arial Narrow" w:cstheme="majorBidi"/>
                <w:bCs/>
                <w:sz w:val="20"/>
                <w:szCs w:val="20"/>
              </w:rPr>
              <w:t xml:space="preserve"> </w:t>
            </w:r>
            <w:r w:rsidR="005860C6" w:rsidRPr="005860C6">
              <w:rPr>
                <w:rFonts w:ascii="Arial Narrow" w:eastAsia="Calibri" w:hAnsi="Arial Narrow" w:cstheme="majorBidi" w:hint="eastAsia"/>
                <w:bCs/>
                <w:color w:val="000000"/>
                <w:w w:val="29"/>
                <w:sz w:val="20"/>
                <w:szCs w:val="20"/>
                <w:shd w:val="solid" w:color="000000" w:fill="000000"/>
                <w:fitText w:val="130" w:id="-1032107249"/>
                <w14:textFill>
                  <w14:solidFill>
                    <w14:srgbClr w14:val="000000">
                      <w14:alpha w14:val="100000"/>
                    </w14:srgbClr>
                  </w14:solidFill>
                </w14:textFill>
              </w:rPr>
              <w:t xml:space="preserve">　</w:t>
            </w:r>
            <w:r w:rsidR="005860C6" w:rsidRPr="005860C6">
              <w:rPr>
                <w:rFonts w:ascii="Arial Narrow" w:eastAsia="Calibri" w:hAnsi="Arial Narrow" w:cstheme="majorBidi"/>
                <w:bCs/>
                <w:color w:val="000000"/>
                <w:w w:val="29"/>
                <w:sz w:val="20"/>
                <w:szCs w:val="20"/>
                <w:shd w:val="solid" w:color="000000" w:fill="000000"/>
                <w:fitText w:val="130" w:id="-1032107249"/>
                <w14:textFill>
                  <w14:solidFill>
                    <w14:srgbClr w14:val="000000">
                      <w14:alpha w14:val="100000"/>
                    </w14:srgbClr>
                  </w14:solidFill>
                </w14:textFill>
              </w:rPr>
              <w:t>|</w:t>
            </w:r>
            <w:r w:rsidR="005860C6" w:rsidRPr="005860C6">
              <w:rPr>
                <w:rFonts w:ascii="Arial Narrow" w:eastAsia="Calibri" w:hAnsi="Arial Narrow" w:cstheme="majorBidi" w:hint="eastAsia"/>
                <w:bCs/>
                <w:color w:val="000000"/>
                <w:spacing w:val="2"/>
                <w:w w:val="29"/>
                <w:sz w:val="20"/>
                <w:szCs w:val="20"/>
                <w:shd w:val="solid" w:color="000000" w:fill="000000"/>
                <w:fitText w:val="130" w:id="-1032107249"/>
                <w14:textFill>
                  <w14:solidFill>
                    <w14:srgbClr w14:val="000000">
                      <w14:alpha w14:val="100000"/>
                    </w14:srgbClr>
                  </w14:solidFill>
                </w14:textFill>
              </w:rPr>
              <w:t xml:space="preserve">　</w:t>
            </w:r>
          </w:p>
        </w:tc>
      </w:tr>
      <w:tr w:rsidR="00763EF2" w:rsidRPr="00427986" w14:paraId="61F15FBA" w14:textId="77777777" w:rsidTr="00E120DC">
        <w:trPr>
          <w:cantSplit/>
          <w:trHeight w:val="70"/>
        </w:trPr>
        <w:tc>
          <w:tcPr>
            <w:tcW w:w="5000" w:type="pct"/>
            <w:gridSpan w:val="5"/>
            <w:tcBorders>
              <w:top w:val="single" w:sz="4" w:space="0" w:color="auto"/>
              <w:bottom w:val="nil"/>
            </w:tcBorders>
            <w:tcMar>
              <w:left w:w="20" w:type="dxa"/>
              <w:right w:w="20" w:type="dxa"/>
            </w:tcMar>
            <w:vAlign w:val="center"/>
          </w:tcPr>
          <w:p w14:paraId="2923EABF" w14:textId="2BD75843" w:rsidR="00763EF2" w:rsidRPr="00427986" w:rsidRDefault="00763EF2" w:rsidP="00CB4A1F">
            <w:pPr>
              <w:widowControl w:val="0"/>
              <w:jc w:val="left"/>
              <w:rPr>
                <w:rFonts w:ascii="Arial Narrow" w:eastAsia="Calibri" w:hAnsi="Arial Narrow" w:cstheme="majorBidi"/>
                <w:bCs/>
                <w:sz w:val="20"/>
                <w:szCs w:val="20"/>
              </w:rPr>
            </w:pPr>
            <w:r w:rsidRPr="00427986">
              <w:rPr>
                <w:rFonts w:ascii="Arial Narrow" w:eastAsiaTheme="majorEastAsia" w:hAnsi="Arial Narrow" w:cstheme="majorBidi"/>
                <w:bCs/>
                <w:sz w:val="20"/>
                <w:szCs w:val="20"/>
              </w:rPr>
              <w:t>Treatment interruptions (</w:t>
            </w:r>
            <w:r w:rsidR="00653EA2" w:rsidRPr="00427986">
              <w:rPr>
                <w:rFonts w:ascii="Arial Narrow" w:eastAsiaTheme="majorEastAsia" w:hAnsi="Arial Narrow" w:cstheme="majorBidi"/>
                <w:bCs/>
                <w:sz w:val="20"/>
                <w:szCs w:val="20"/>
              </w:rPr>
              <w:t xml:space="preserve">base case: cabozantinib = </w:t>
            </w:r>
            <w:r w:rsidRPr="00427986">
              <w:rPr>
                <w:rFonts w:ascii="Arial Narrow" w:eastAsiaTheme="majorEastAsia" w:hAnsi="Arial Narrow" w:cstheme="majorBidi"/>
                <w:bCs/>
                <w:sz w:val="20"/>
                <w:szCs w:val="20"/>
              </w:rPr>
              <w:t>14.63%</w:t>
            </w:r>
            <w:r w:rsidR="00C57F1C" w:rsidRPr="00427986">
              <w:rPr>
                <w:rFonts w:ascii="Arial Narrow" w:eastAsiaTheme="majorEastAsia" w:hAnsi="Arial Narrow" w:cstheme="majorBidi"/>
                <w:bCs/>
                <w:sz w:val="20"/>
                <w:szCs w:val="20"/>
              </w:rPr>
              <w:t xml:space="preserve">, BSC = </w:t>
            </w:r>
            <w:r w:rsidRPr="00427986">
              <w:rPr>
                <w:rFonts w:ascii="Arial Narrow" w:eastAsiaTheme="majorEastAsia" w:hAnsi="Arial Narrow" w:cstheme="majorBidi"/>
                <w:bCs/>
                <w:sz w:val="20"/>
                <w:szCs w:val="20"/>
              </w:rPr>
              <w:t>6.62%)</w:t>
            </w:r>
          </w:p>
        </w:tc>
      </w:tr>
      <w:tr w:rsidR="00763EF2" w:rsidRPr="00427986" w14:paraId="293301FD" w14:textId="77777777" w:rsidTr="00E120DC">
        <w:trPr>
          <w:cantSplit/>
          <w:trHeight w:val="70"/>
        </w:trPr>
        <w:tc>
          <w:tcPr>
            <w:tcW w:w="2526" w:type="pct"/>
            <w:tcBorders>
              <w:top w:val="nil"/>
              <w:bottom w:val="single" w:sz="4" w:space="0" w:color="auto"/>
            </w:tcBorders>
            <w:tcMar>
              <w:left w:w="20" w:type="dxa"/>
              <w:right w:w="20" w:type="dxa"/>
            </w:tcMar>
          </w:tcPr>
          <w:p w14:paraId="03F24135" w14:textId="77777777" w:rsidR="00763EF2" w:rsidRPr="00427986" w:rsidRDefault="00763EF2" w:rsidP="00CB4A1F">
            <w:pPr>
              <w:widowControl w:val="0"/>
              <w:ind w:left="113"/>
              <w:jc w:val="left"/>
              <w:rPr>
                <w:rFonts w:ascii="Arial Narrow" w:eastAsiaTheme="majorEastAsia" w:hAnsi="Arial Narrow" w:cstheme="majorBidi"/>
                <w:bCs/>
                <w:sz w:val="20"/>
                <w:szCs w:val="20"/>
              </w:rPr>
            </w:pPr>
            <w:r w:rsidRPr="00427986">
              <w:rPr>
                <w:rFonts w:ascii="Arial Narrow" w:eastAsiaTheme="majorEastAsia" w:hAnsi="Arial Narrow" w:cstheme="majorBidi"/>
                <w:bCs/>
                <w:sz w:val="20"/>
                <w:szCs w:val="20"/>
              </w:rPr>
              <w:t>0% for both cabozantinib and BSC</w:t>
            </w:r>
          </w:p>
        </w:tc>
        <w:tc>
          <w:tcPr>
            <w:tcW w:w="665" w:type="pct"/>
            <w:tcBorders>
              <w:top w:val="nil"/>
              <w:bottom w:val="single" w:sz="4" w:space="0" w:color="auto"/>
            </w:tcBorders>
            <w:tcMar>
              <w:left w:w="20" w:type="dxa"/>
              <w:right w:w="20" w:type="dxa"/>
            </w:tcMar>
            <w:vAlign w:val="center"/>
          </w:tcPr>
          <w:p w14:paraId="7FBC5189" w14:textId="77805CEF" w:rsidR="00763EF2" w:rsidRPr="00427986" w:rsidRDefault="005860C6" w:rsidP="00CB4A1F">
            <w:pPr>
              <w:widowControl w:val="0"/>
              <w:jc w:val="center"/>
              <w:rPr>
                <w:rFonts w:ascii="Arial Narrow" w:eastAsiaTheme="majorEastAsia" w:hAnsi="Arial Narrow" w:cstheme="majorBidi"/>
                <w:bCs/>
                <w:sz w:val="20"/>
                <w:szCs w:val="20"/>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bCs/>
                <w:color w:val="000000"/>
                <w:sz w:val="20"/>
                <w:szCs w:val="20"/>
                <w:shd w:val="solid" w:color="000000" w:fill="000000"/>
                <w14:textFill>
                  <w14:solidFill>
                    <w14:srgbClr w14:val="000000">
                      <w14:alpha w14:val="100000"/>
                    </w14:srgbClr>
                  </w14:solidFill>
                </w14:textFill>
              </w:rPr>
              <w:t>|</w:t>
            </w:r>
          </w:p>
        </w:tc>
        <w:tc>
          <w:tcPr>
            <w:tcW w:w="666" w:type="pct"/>
            <w:tcBorders>
              <w:top w:val="nil"/>
              <w:bottom w:val="single" w:sz="4" w:space="0" w:color="auto"/>
            </w:tcBorders>
            <w:tcMar>
              <w:left w:w="20" w:type="dxa"/>
              <w:right w:w="20" w:type="dxa"/>
            </w:tcMar>
            <w:vAlign w:val="center"/>
          </w:tcPr>
          <w:p w14:paraId="7690F951" w14:textId="77777777" w:rsidR="00763EF2" w:rsidRPr="00427986" w:rsidRDefault="00763EF2" w:rsidP="00CB4A1F">
            <w:pPr>
              <w:widowControl w:val="0"/>
              <w:jc w:val="center"/>
              <w:rPr>
                <w:rFonts w:ascii="Arial Narrow" w:eastAsiaTheme="majorEastAsia" w:hAnsi="Arial Narrow" w:cstheme="majorBidi"/>
                <w:bCs/>
                <w:sz w:val="20"/>
                <w:szCs w:val="20"/>
              </w:rPr>
            </w:pPr>
            <w:r w:rsidRPr="00427986">
              <w:rPr>
                <w:rFonts w:ascii="Arial Narrow" w:eastAsiaTheme="majorEastAsia" w:hAnsi="Arial Narrow" w:cstheme="majorBidi"/>
                <w:bCs/>
                <w:sz w:val="20"/>
                <w:szCs w:val="20"/>
              </w:rPr>
              <w:t>0.18</w:t>
            </w:r>
          </w:p>
        </w:tc>
        <w:tc>
          <w:tcPr>
            <w:tcW w:w="598" w:type="pct"/>
            <w:tcBorders>
              <w:top w:val="nil"/>
              <w:bottom w:val="single" w:sz="4" w:space="0" w:color="auto"/>
            </w:tcBorders>
            <w:tcMar>
              <w:left w:w="20" w:type="dxa"/>
              <w:right w:w="20" w:type="dxa"/>
            </w:tcMar>
            <w:vAlign w:val="center"/>
          </w:tcPr>
          <w:p w14:paraId="32B97EB4" w14:textId="5FAC7F42" w:rsidR="00763EF2" w:rsidRPr="00427986" w:rsidRDefault="005860C6" w:rsidP="00CB4A1F">
            <w:pPr>
              <w:widowControl w:val="0"/>
              <w:jc w:val="center"/>
              <w:rPr>
                <w:rFonts w:ascii="Arial Narrow" w:eastAsiaTheme="majorEastAsia" w:hAnsi="Arial Narrow" w:cstheme="majorBidi"/>
                <w:bCs/>
                <w:sz w:val="20"/>
                <w:szCs w:val="20"/>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22"/>
                <w:sz w:val="20"/>
                <w:szCs w:val="20"/>
                <w:shd w:val="solid" w:color="000000" w:fill="000000"/>
                <w:fitText w:val="100" w:id="-1032107248"/>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22"/>
                <w:sz w:val="20"/>
                <w:szCs w:val="20"/>
                <w:shd w:val="solid" w:color="000000" w:fill="000000"/>
                <w:fitText w:val="100" w:id="-1032107248"/>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3"/>
                <w:w w:val="22"/>
                <w:sz w:val="20"/>
                <w:szCs w:val="20"/>
                <w:shd w:val="solid" w:color="000000" w:fill="000000"/>
                <w:fitText w:val="100" w:id="-1032107248"/>
                <w14:textFill>
                  <w14:solidFill>
                    <w14:srgbClr w14:val="000000">
                      <w14:alpha w14:val="100000"/>
                    </w14:srgbClr>
                  </w14:solidFill>
                </w14:textFill>
              </w:rPr>
              <w:t xml:space="preserve">　</w:t>
            </w:r>
            <w:r w:rsidR="002A42DB">
              <w:rPr>
                <w:rFonts w:ascii="Arial Narrow" w:eastAsiaTheme="majorEastAsia" w:hAnsi="Arial Narrow" w:cstheme="majorBidi"/>
                <w:bCs/>
                <w:sz w:val="20"/>
                <w:szCs w:val="20"/>
              </w:rPr>
              <w:t xml:space="preserve"> </w:t>
            </w:r>
            <w:r w:rsidR="003D73CB">
              <w:rPr>
                <w:rFonts w:ascii="Arial Narrow" w:eastAsiaTheme="majorEastAsia" w:hAnsi="Arial Narrow" w:cstheme="majorBidi"/>
                <w:bCs/>
                <w:sz w:val="20"/>
                <w:szCs w:val="20"/>
                <w:vertAlign w:val="superscript"/>
              </w:rPr>
              <w:t>6</w:t>
            </w:r>
          </w:p>
        </w:tc>
        <w:tc>
          <w:tcPr>
            <w:tcW w:w="545" w:type="pct"/>
            <w:tcBorders>
              <w:top w:val="nil"/>
              <w:bottom w:val="single" w:sz="4" w:space="0" w:color="auto"/>
            </w:tcBorders>
            <w:tcMar>
              <w:left w:w="20" w:type="dxa"/>
              <w:right w:w="20" w:type="dxa"/>
            </w:tcMar>
            <w:vAlign w:val="center"/>
          </w:tcPr>
          <w:p w14:paraId="113E96FC" w14:textId="6EFEF49A" w:rsidR="00763EF2" w:rsidRPr="00427986" w:rsidRDefault="005860C6" w:rsidP="00CB4A1F">
            <w:pPr>
              <w:widowControl w:val="0"/>
              <w:jc w:val="center"/>
              <w:rPr>
                <w:rFonts w:ascii="Arial Narrow" w:eastAsia="Calibri" w:hAnsi="Arial Narrow" w:cstheme="majorBidi"/>
                <w:bCs/>
                <w:sz w:val="20"/>
                <w:szCs w:val="20"/>
              </w:rPr>
            </w:pPr>
            <w:r>
              <w:rPr>
                <w:rFonts w:ascii="Arial Narrow" w:eastAsia="Calibri" w:hAnsi="Arial Narrow" w:cstheme="majorBidi"/>
                <w:bCs/>
                <w:sz w:val="20"/>
                <w:szCs w:val="20"/>
              </w:rPr>
              <w:t xml:space="preserve"> </w:t>
            </w:r>
            <w:r w:rsidRPr="005860C6">
              <w:rPr>
                <w:rFonts w:ascii="Arial Narrow" w:eastAsia="Calibri" w:hAnsi="Arial Narrow" w:cstheme="majorBidi" w:hint="eastAsia"/>
                <w:bCs/>
                <w:color w:val="000000"/>
                <w:w w:val="22"/>
                <w:sz w:val="20"/>
                <w:szCs w:val="20"/>
                <w:shd w:val="solid" w:color="000000" w:fill="000000"/>
                <w:fitText w:val="100" w:id="-1032107264"/>
                <w14:textFill>
                  <w14:solidFill>
                    <w14:srgbClr w14:val="000000">
                      <w14:alpha w14:val="100000"/>
                    </w14:srgbClr>
                  </w14:solidFill>
                </w14:textFill>
              </w:rPr>
              <w:t xml:space="preserve">　</w:t>
            </w:r>
            <w:r w:rsidRPr="005860C6">
              <w:rPr>
                <w:rFonts w:ascii="Arial Narrow" w:eastAsia="Calibri" w:hAnsi="Arial Narrow" w:cstheme="majorBidi"/>
                <w:bCs/>
                <w:color w:val="000000"/>
                <w:w w:val="22"/>
                <w:sz w:val="20"/>
                <w:szCs w:val="20"/>
                <w:shd w:val="solid" w:color="000000" w:fill="000000"/>
                <w:fitText w:val="100" w:id="-1032107264"/>
                <w14:textFill>
                  <w14:solidFill>
                    <w14:srgbClr w14:val="000000">
                      <w14:alpha w14:val="100000"/>
                    </w14:srgbClr>
                  </w14:solidFill>
                </w14:textFill>
              </w:rPr>
              <w:t>|</w:t>
            </w:r>
            <w:r w:rsidRPr="005860C6">
              <w:rPr>
                <w:rFonts w:ascii="Arial Narrow" w:eastAsia="Calibri" w:hAnsi="Arial Narrow" w:cstheme="majorBidi" w:hint="eastAsia"/>
                <w:bCs/>
                <w:color w:val="000000"/>
                <w:spacing w:val="3"/>
                <w:w w:val="22"/>
                <w:sz w:val="20"/>
                <w:szCs w:val="20"/>
                <w:shd w:val="solid" w:color="000000" w:fill="000000"/>
                <w:fitText w:val="100" w:id="-1032107264"/>
                <w14:textFill>
                  <w14:solidFill>
                    <w14:srgbClr w14:val="000000">
                      <w14:alpha w14:val="100000"/>
                    </w14:srgbClr>
                  </w14:solidFill>
                </w14:textFill>
              </w:rPr>
              <w:t xml:space="preserve">　</w:t>
            </w:r>
          </w:p>
        </w:tc>
      </w:tr>
      <w:tr w:rsidR="00763EF2" w:rsidRPr="00427986" w14:paraId="57452E62" w14:textId="77777777" w:rsidTr="00E120DC">
        <w:trPr>
          <w:cantSplit/>
        </w:trPr>
        <w:tc>
          <w:tcPr>
            <w:tcW w:w="2526" w:type="pct"/>
            <w:tcBorders>
              <w:right w:val="nil"/>
            </w:tcBorders>
            <w:tcMar>
              <w:left w:w="20" w:type="dxa"/>
              <w:right w:w="20" w:type="dxa"/>
            </w:tcMar>
            <w:vAlign w:val="center"/>
          </w:tcPr>
          <w:p w14:paraId="5E8BDB30" w14:textId="77777777" w:rsidR="00763EF2" w:rsidRPr="00427986" w:rsidRDefault="00763EF2" w:rsidP="00CB4A1F">
            <w:pPr>
              <w:widowControl w:val="0"/>
              <w:jc w:val="left"/>
              <w:rPr>
                <w:rFonts w:ascii="Arial Narrow" w:eastAsiaTheme="majorEastAsia" w:hAnsi="Arial Narrow" w:cstheme="majorBidi"/>
                <w:b/>
                <w:bCs/>
                <w:sz w:val="20"/>
              </w:rPr>
            </w:pPr>
            <w:r w:rsidRPr="00427986">
              <w:rPr>
                <w:rFonts w:ascii="Arial Narrow" w:eastAsiaTheme="majorEastAsia" w:hAnsi="Arial Narrow" w:cstheme="majorBidi"/>
                <w:b/>
                <w:bCs/>
                <w:sz w:val="20"/>
              </w:rPr>
              <w:t>Multivariate sensitivity analysis</w:t>
            </w:r>
          </w:p>
        </w:tc>
        <w:tc>
          <w:tcPr>
            <w:tcW w:w="665" w:type="pct"/>
            <w:tcBorders>
              <w:left w:val="nil"/>
              <w:right w:val="nil"/>
            </w:tcBorders>
            <w:tcMar>
              <w:left w:w="20" w:type="dxa"/>
              <w:right w:w="20" w:type="dxa"/>
            </w:tcMar>
            <w:vAlign w:val="center"/>
          </w:tcPr>
          <w:p w14:paraId="3664B39A" w14:textId="77777777" w:rsidR="00763EF2" w:rsidRPr="00427986" w:rsidRDefault="00763EF2" w:rsidP="00CB4A1F">
            <w:pPr>
              <w:widowControl w:val="0"/>
              <w:jc w:val="center"/>
              <w:rPr>
                <w:rFonts w:ascii="Arial Narrow" w:eastAsia="Calibri" w:hAnsi="Arial Narrow" w:cstheme="majorBidi"/>
                <w:b/>
                <w:bCs/>
                <w:sz w:val="20"/>
                <w:szCs w:val="20"/>
              </w:rPr>
            </w:pPr>
          </w:p>
        </w:tc>
        <w:tc>
          <w:tcPr>
            <w:tcW w:w="666" w:type="pct"/>
            <w:tcBorders>
              <w:left w:val="nil"/>
              <w:right w:val="nil"/>
            </w:tcBorders>
            <w:tcMar>
              <w:left w:w="20" w:type="dxa"/>
              <w:right w:w="20" w:type="dxa"/>
            </w:tcMar>
            <w:vAlign w:val="center"/>
          </w:tcPr>
          <w:p w14:paraId="504AFBC1" w14:textId="77777777" w:rsidR="00763EF2" w:rsidRPr="00427986" w:rsidRDefault="00763EF2" w:rsidP="00CB4A1F">
            <w:pPr>
              <w:widowControl w:val="0"/>
              <w:jc w:val="center"/>
              <w:rPr>
                <w:rFonts w:ascii="Arial Narrow" w:eastAsia="Calibri" w:hAnsi="Arial Narrow" w:cstheme="majorBidi"/>
                <w:b/>
                <w:bCs/>
                <w:sz w:val="20"/>
                <w:szCs w:val="20"/>
              </w:rPr>
            </w:pPr>
          </w:p>
        </w:tc>
        <w:tc>
          <w:tcPr>
            <w:tcW w:w="598" w:type="pct"/>
            <w:tcBorders>
              <w:left w:val="nil"/>
              <w:right w:val="nil"/>
            </w:tcBorders>
            <w:tcMar>
              <w:left w:w="20" w:type="dxa"/>
              <w:right w:w="20" w:type="dxa"/>
            </w:tcMar>
            <w:vAlign w:val="center"/>
          </w:tcPr>
          <w:p w14:paraId="67A8E8A9" w14:textId="77777777" w:rsidR="00763EF2" w:rsidRPr="00427986" w:rsidRDefault="00763EF2" w:rsidP="00CB4A1F">
            <w:pPr>
              <w:widowControl w:val="0"/>
              <w:jc w:val="center"/>
              <w:rPr>
                <w:rFonts w:ascii="Arial Narrow" w:eastAsia="Calibri" w:hAnsi="Arial Narrow" w:cstheme="majorBidi"/>
                <w:b/>
                <w:bCs/>
                <w:sz w:val="20"/>
                <w:szCs w:val="20"/>
              </w:rPr>
            </w:pPr>
          </w:p>
        </w:tc>
        <w:tc>
          <w:tcPr>
            <w:tcW w:w="545" w:type="pct"/>
            <w:tcBorders>
              <w:left w:val="nil"/>
            </w:tcBorders>
            <w:tcMar>
              <w:left w:w="20" w:type="dxa"/>
              <w:right w:w="20" w:type="dxa"/>
            </w:tcMar>
            <w:vAlign w:val="center"/>
          </w:tcPr>
          <w:p w14:paraId="55F29B85" w14:textId="77777777" w:rsidR="00763EF2" w:rsidRPr="00427986" w:rsidRDefault="00763EF2" w:rsidP="00CB4A1F">
            <w:pPr>
              <w:widowControl w:val="0"/>
              <w:jc w:val="center"/>
              <w:rPr>
                <w:rFonts w:ascii="Arial Narrow" w:eastAsia="Calibri" w:hAnsi="Arial Narrow" w:cstheme="majorBidi"/>
                <w:b/>
                <w:bCs/>
                <w:sz w:val="20"/>
                <w:szCs w:val="20"/>
              </w:rPr>
            </w:pPr>
          </w:p>
        </w:tc>
      </w:tr>
      <w:tr w:rsidR="00763EF2" w:rsidRPr="00427986" w14:paraId="23DB2EC3" w14:textId="77777777" w:rsidTr="00AF1E6C">
        <w:trPr>
          <w:cantSplit/>
        </w:trPr>
        <w:tc>
          <w:tcPr>
            <w:tcW w:w="2526" w:type="pct"/>
            <w:tcMar>
              <w:left w:w="20" w:type="dxa"/>
              <w:right w:w="20" w:type="dxa"/>
            </w:tcMar>
            <w:vAlign w:val="center"/>
          </w:tcPr>
          <w:p w14:paraId="1411431D" w14:textId="6AB2A567" w:rsidR="00763EF2" w:rsidRPr="00427986" w:rsidRDefault="007F29A0" w:rsidP="00CB4A1F">
            <w:pPr>
              <w:widowControl w:val="0"/>
              <w:jc w:val="left"/>
              <w:rPr>
                <w:rFonts w:ascii="Arial Narrow" w:eastAsiaTheme="majorEastAsia" w:hAnsi="Arial Narrow" w:cstheme="majorBidi"/>
                <w:bCs/>
                <w:sz w:val="20"/>
              </w:rPr>
            </w:pPr>
            <w:r w:rsidRPr="00427986">
              <w:rPr>
                <w:rFonts w:ascii="Arial Narrow" w:eastAsiaTheme="majorEastAsia" w:hAnsi="Arial Narrow" w:cstheme="majorBidi"/>
                <w:bCs/>
                <w:sz w:val="20"/>
              </w:rPr>
              <w:t xml:space="preserve">[B] </w:t>
            </w:r>
            <w:r w:rsidR="00AF1E6C" w:rsidRPr="00427986">
              <w:rPr>
                <w:rFonts w:ascii="Arial Narrow" w:eastAsiaTheme="majorEastAsia" w:hAnsi="Arial Narrow" w:cstheme="majorBidi"/>
                <w:bCs/>
                <w:sz w:val="20"/>
              </w:rPr>
              <w:t>Utilities: p</w:t>
            </w:r>
            <w:r w:rsidR="00763EF2" w:rsidRPr="00427986">
              <w:rPr>
                <w:rFonts w:ascii="Arial Narrow" w:eastAsiaTheme="majorEastAsia" w:hAnsi="Arial Narrow" w:cstheme="majorBidi"/>
                <w:bCs/>
                <w:sz w:val="20"/>
              </w:rPr>
              <w:t>re</w:t>
            </w:r>
            <w:r w:rsidR="00AF1E6C" w:rsidRPr="00427986">
              <w:rPr>
                <w:rFonts w:ascii="Arial Narrow" w:eastAsiaTheme="majorEastAsia" w:hAnsi="Arial Narrow" w:cstheme="majorBidi"/>
                <w:bCs/>
                <w:sz w:val="20"/>
              </w:rPr>
              <w:t xml:space="preserve"> = </w:t>
            </w:r>
            <w:r w:rsidR="00763EF2" w:rsidRPr="00427986">
              <w:rPr>
                <w:rFonts w:ascii="Arial Narrow" w:eastAsiaTheme="majorEastAsia" w:hAnsi="Arial Narrow" w:cstheme="majorBidi"/>
                <w:bCs/>
                <w:sz w:val="20"/>
              </w:rPr>
              <w:t>0.692</w:t>
            </w:r>
            <w:r w:rsidR="00AF1E6C" w:rsidRPr="00427986">
              <w:rPr>
                <w:rFonts w:ascii="Arial Narrow" w:eastAsiaTheme="majorEastAsia" w:hAnsi="Arial Narrow" w:cstheme="majorBidi"/>
                <w:bCs/>
                <w:sz w:val="20"/>
              </w:rPr>
              <w:t xml:space="preserve"> (trial-based)</w:t>
            </w:r>
            <w:r w:rsidR="00763EF2" w:rsidRPr="00427986">
              <w:rPr>
                <w:rFonts w:ascii="Arial Narrow" w:eastAsiaTheme="majorEastAsia" w:hAnsi="Arial Narrow" w:cstheme="majorBidi"/>
                <w:bCs/>
                <w:sz w:val="20"/>
              </w:rPr>
              <w:t xml:space="preserve">, </w:t>
            </w:r>
            <w:r w:rsidR="00AF1E6C" w:rsidRPr="00427986">
              <w:rPr>
                <w:rFonts w:ascii="Arial Narrow" w:eastAsiaTheme="majorEastAsia" w:hAnsi="Arial Narrow" w:cstheme="majorBidi"/>
                <w:bCs/>
                <w:sz w:val="20"/>
              </w:rPr>
              <w:t xml:space="preserve">post = 0.52 </w:t>
            </w:r>
            <w:r w:rsidR="00763EF2" w:rsidRPr="00427986">
              <w:rPr>
                <w:rFonts w:ascii="Arial Narrow" w:eastAsiaTheme="majorEastAsia" w:hAnsi="Arial Narrow" w:cstheme="majorBidi"/>
                <w:bCs/>
                <w:sz w:val="20"/>
              </w:rPr>
              <w:t>(Fordham 2015) and</w:t>
            </w:r>
            <w:r w:rsidRPr="00427986">
              <w:rPr>
                <w:rFonts w:ascii="Arial Narrow" w:eastAsiaTheme="majorEastAsia" w:hAnsi="Arial Narrow" w:cstheme="majorBidi"/>
                <w:bCs/>
                <w:sz w:val="20"/>
              </w:rPr>
              <w:t xml:space="preserve"> [</w:t>
            </w:r>
            <w:r w:rsidR="00AF1E6C" w:rsidRPr="00427986">
              <w:rPr>
                <w:rFonts w:ascii="Arial Narrow" w:eastAsiaTheme="majorEastAsia" w:hAnsi="Arial Narrow" w:cstheme="majorBidi"/>
                <w:bCs/>
                <w:sz w:val="20"/>
              </w:rPr>
              <w:t>E</w:t>
            </w:r>
            <w:r w:rsidRPr="00427986">
              <w:rPr>
                <w:rFonts w:ascii="Arial Narrow" w:eastAsiaTheme="majorEastAsia" w:hAnsi="Arial Narrow" w:cstheme="majorBidi"/>
                <w:bCs/>
                <w:sz w:val="20"/>
              </w:rPr>
              <w:t>]</w:t>
            </w:r>
            <w:r w:rsidR="00763EF2" w:rsidRPr="00427986">
              <w:rPr>
                <w:rFonts w:ascii="Arial Narrow" w:eastAsiaTheme="majorEastAsia" w:hAnsi="Arial Narrow" w:cstheme="majorBidi"/>
                <w:bCs/>
                <w:sz w:val="20"/>
              </w:rPr>
              <w:t xml:space="preserve"> remove all </w:t>
            </w:r>
            <w:r w:rsidR="00B54FFE">
              <w:rPr>
                <w:rFonts w:ascii="Arial Narrow" w:eastAsiaTheme="majorEastAsia" w:hAnsi="Arial Narrow" w:cstheme="majorBidi"/>
                <w:bCs/>
                <w:sz w:val="20"/>
              </w:rPr>
              <w:t>post-progression treatment costs</w:t>
            </w:r>
            <w:r w:rsidR="00763EF2" w:rsidRPr="00427986">
              <w:rPr>
                <w:rFonts w:ascii="Arial Narrow" w:eastAsiaTheme="majorEastAsia" w:hAnsi="Arial Narrow" w:cstheme="majorBidi"/>
                <w:bCs/>
                <w:sz w:val="20"/>
              </w:rPr>
              <w:t xml:space="preserve"> </w:t>
            </w:r>
          </w:p>
        </w:tc>
        <w:tc>
          <w:tcPr>
            <w:tcW w:w="665" w:type="pct"/>
            <w:tcBorders>
              <w:top w:val="single" w:sz="4" w:space="0" w:color="auto"/>
              <w:bottom w:val="single" w:sz="4" w:space="0" w:color="auto"/>
            </w:tcBorders>
            <w:tcMar>
              <w:left w:w="20" w:type="dxa"/>
              <w:right w:w="20" w:type="dxa"/>
            </w:tcMar>
            <w:vAlign w:val="center"/>
          </w:tcPr>
          <w:p w14:paraId="75487D62" w14:textId="24ED63C1" w:rsidR="00763EF2" w:rsidRPr="00D22B13" w:rsidRDefault="005860C6" w:rsidP="00CB4A1F">
            <w:pPr>
              <w:widowControl w:val="0"/>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666" w:type="pct"/>
            <w:tcBorders>
              <w:top w:val="single" w:sz="4" w:space="0" w:color="auto"/>
              <w:bottom w:val="single" w:sz="4" w:space="0" w:color="auto"/>
            </w:tcBorders>
            <w:tcMar>
              <w:left w:w="20" w:type="dxa"/>
              <w:right w:w="20" w:type="dxa"/>
            </w:tcMar>
            <w:vAlign w:val="center"/>
          </w:tcPr>
          <w:p w14:paraId="78FF0E3C" w14:textId="77777777" w:rsidR="00763EF2" w:rsidRPr="00427986" w:rsidRDefault="00763EF2" w:rsidP="00CB4A1F">
            <w:pPr>
              <w:widowControl w:val="0"/>
              <w:jc w:val="center"/>
              <w:rPr>
                <w:rFonts w:ascii="Arial Narrow" w:eastAsiaTheme="majorEastAsia" w:hAnsi="Arial Narrow" w:cstheme="majorBidi"/>
                <w:bCs/>
                <w:sz w:val="20"/>
              </w:rPr>
            </w:pPr>
            <w:r w:rsidRPr="00427986">
              <w:rPr>
                <w:rFonts w:ascii="Arial Narrow" w:eastAsiaTheme="majorEastAsia" w:hAnsi="Arial Narrow" w:cstheme="majorBidi"/>
                <w:bCs/>
                <w:sz w:val="20"/>
              </w:rPr>
              <w:t>0.11</w:t>
            </w:r>
          </w:p>
        </w:tc>
        <w:tc>
          <w:tcPr>
            <w:tcW w:w="598" w:type="pct"/>
            <w:tcBorders>
              <w:top w:val="single" w:sz="4" w:space="0" w:color="auto"/>
              <w:bottom w:val="single" w:sz="4" w:space="0" w:color="auto"/>
            </w:tcBorders>
            <w:tcMar>
              <w:left w:w="20" w:type="dxa"/>
              <w:right w:w="20" w:type="dxa"/>
            </w:tcMar>
            <w:vAlign w:val="center"/>
          </w:tcPr>
          <w:p w14:paraId="6BD21AE4" w14:textId="7F0D2B42" w:rsidR="00763EF2" w:rsidRPr="00D22B13" w:rsidRDefault="005860C6" w:rsidP="00CB4A1F">
            <w:pPr>
              <w:widowControl w:val="0"/>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5860C6">
              <w:rPr>
                <w:rFonts w:ascii="Arial Narrow" w:eastAsiaTheme="majorEastAsia" w:hAnsi="Arial Narrow" w:cstheme="majorBidi" w:hint="eastAsia"/>
                <w:bCs/>
                <w:color w:val="000000"/>
                <w:w w:val="18"/>
                <w:sz w:val="20"/>
                <w:shd w:val="solid" w:color="000000" w:fill="000000"/>
                <w:fitText w:val="80" w:id="-1032107263"/>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8"/>
                <w:sz w:val="20"/>
                <w:shd w:val="solid" w:color="000000" w:fill="000000"/>
                <w:fitText w:val="80" w:id="-1032107263"/>
                <w14:textFill>
                  <w14:solidFill>
                    <w14:srgbClr w14:val="000000">
                      <w14:alpha w14:val="100000"/>
                    </w14:srgbClr>
                  </w14:solidFill>
                </w14:textFill>
              </w:rPr>
              <w:t>|</w:t>
            </w:r>
            <w:r w:rsidRPr="005860C6">
              <w:rPr>
                <w:rFonts w:ascii="Arial Narrow" w:eastAsiaTheme="majorEastAsia" w:hAnsi="Arial Narrow" w:cstheme="majorBidi" w:hint="eastAsia"/>
                <w:bCs/>
                <w:color w:val="000000"/>
                <w:w w:val="18"/>
                <w:sz w:val="20"/>
                <w:shd w:val="solid" w:color="000000" w:fill="000000"/>
                <w:fitText w:val="80" w:id="-1032107263"/>
                <w14:textFill>
                  <w14:solidFill>
                    <w14:srgbClr w14:val="000000">
                      <w14:alpha w14:val="100000"/>
                    </w14:srgbClr>
                  </w14:solidFill>
                </w14:textFill>
              </w:rPr>
              <w:t xml:space="preserve">　</w:t>
            </w:r>
            <w:r w:rsidR="00FC45FF">
              <w:rPr>
                <w:rFonts w:ascii="Arial Narrow" w:eastAsiaTheme="majorEastAsia" w:hAnsi="Arial Narrow" w:cstheme="majorBidi"/>
                <w:bCs/>
                <w:sz w:val="20"/>
                <w:vertAlign w:val="superscript"/>
              </w:rPr>
              <w:t>9</w:t>
            </w:r>
          </w:p>
        </w:tc>
        <w:tc>
          <w:tcPr>
            <w:tcW w:w="545" w:type="pct"/>
            <w:tcBorders>
              <w:top w:val="single" w:sz="4" w:space="0" w:color="auto"/>
              <w:bottom w:val="single" w:sz="4" w:space="0" w:color="auto"/>
            </w:tcBorders>
            <w:tcMar>
              <w:left w:w="20" w:type="dxa"/>
              <w:right w:w="20" w:type="dxa"/>
            </w:tcMar>
            <w:vAlign w:val="center"/>
          </w:tcPr>
          <w:p w14:paraId="765E89D9" w14:textId="28E8D08B" w:rsidR="00763EF2" w:rsidRPr="00427986" w:rsidRDefault="005860C6" w:rsidP="00CB4A1F">
            <w:pPr>
              <w:widowControl w:val="0"/>
              <w:jc w:val="center"/>
              <w:rPr>
                <w:rFonts w:ascii="Arial Narrow" w:eastAsia="Calibri" w:hAnsi="Arial Narrow" w:cstheme="majorBidi"/>
                <w:bCs/>
                <w:sz w:val="20"/>
                <w:szCs w:val="20"/>
              </w:rPr>
            </w:pPr>
            <w:r>
              <w:rPr>
                <w:rFonts w:ascii="Arial Narrow" w:eastAsia="Calibri" w:hAnsi="Arial Narrow" w:cstheme="majorBidi"/>
                <w:bCs/>
                <w:sz w:val="20"/>
                <w:szCs w:val="20"/>
              </w:rPr>
              <w:t xml:space="preserve"> </w:t>
            </w:r>
            <w:r w:rsidRPr="005860C6">
              <w:rPr>
                <w:rFonts w:ascii="Arial Narrow" w:eastAsia="Calibri" w:hAnsi="Arial Narrow" w:cstheme="majorBidi" w:hint="eastAsia"/>
                <w:bCs/>
                <w:color w:val="000000"/>
                <w:w w:val="22"/>
                <w:sz w:val="20"/>
                <w:szCs w:val="20"/>
                <w:shd w:val="solid" w:color="000000" w:fill="000000"/>
                <w:fitText w:val="100" w:id="-1032107262"/>
                <w14:textFill>
                  <w14:solidFill>
                    <w14:srgbClr w14:val="000000">
                      <w14:alpha w14:val="100000"/>
                    </w14:srgbClr>
                  </w14:solidFill>
                </w14:textFill>
              </w:rPr>
              <w:t xml:space="preserve">　</w:t>
            </w:r>
            <w:r w:rsidRPr="005860C6">
              <w:rPr>
                <w:rFonts w:ascii="Arial Narrow" w:eastAsia="Calibri" w:hAnsi="Arial Narrow" w:cstheme="majorBidi"/>
                <w:bCs/>
                <w:color w:val="000000"/>
                <w:w w:val="22"/>
                <w:sz w:val="20"/>
                <w:szCs w:val="20"/>
                <w:shd w:val="solid" w:color="000000" w:fill="000000"/>
                <w:fitText w:val="100" w:id="-1032107262"/>
                <w14:textFill>
                  <w14:solidFill>
                    <w14:srgbClr w14:val="000000">
                      <w14:alpha w14:val="100000"/>
                    </w14:srgbClr>
                  </w14:solidFill>
                </w14:textFill>
              </w:rPr>
              <w:t>|</w:t>
            </w:r>
            <w:r w:rsidRPr="005860C6">
              <w:rPr>
                <w:rFonts w:ascii="Arial Narrow" w:eastAsia="Calibri" w:hAnsi="Arial Narrow" w:cstheme="majorBidi" w:hint="eastAsia"/>
                <w:bCs/>
                <w:color w:val="000000"/>
                <w:spacing w:val="3"/>
                <w:w w:val="22"/>
                <w:sz w:val="20"/>
                <w:szCs w:val="20"/>
                <w:shd w:val="solid" w:color="000000" w:fill="000000"/>
                <w:fitText w:val="100" w:id="-1032107262"/>
                <w14:textFill>
                  <w14:solidFill>
                    <w14:srgbClr w14:val="000000">
                      <w14:alpha w14:val="100000"/>
                    </w14:srgbClr>
                  </w14:solidFill>
                </w14:textFill>
              </w:rPr>
              <w:t xml:space="preserve">　</w:t>
            </w:r>
          </w:p>
        </w:tc>
      </w:tr>
      <w:tr w:rsidR="00763EF2" w:rsidRPr="00427986" w14:paraId="441E28F7" w14:textId="77777777" w:rsidTr="00AF1E6C">
        <w:trPr>
          <w:cantSplit/>
        </w:trPr>
        <w:tc>
          <w:tcPr>
            <w:tcW w:w="2526" w:type="pct"/>
            <w:tcMar>
              <w:left w:w="20" w:type="dxa"/>
              <w:right w:w="20" w:type="dxa"/>
            </w:tcMar>
            <w:vAlign w:val="center"/>
          </w:tcPr>
          <w:p w14:paraId="2A9DBC18" w14:textId="62804A71" w:rsidR="00763EF2" w:rsidRPr="00427986" w:rsidRDefault="007F29A0" w:rsidP="00CB4A1F">
            <w:pPr>
              <w:widowControl w:val="0"/>
              <w:jc w:val="left"/>
              <w:rPr>
                <w:rFonts w:ascii="Arial Narrow" w:eastAsiaTheme="majorEastAsia" w:hAnsi="Arial Narrow" w:cstheme="majorBidi"/>
                <w:bCs/>
                <w:sz w:val="20"/>
              </w:rPr>
            </w:pPr>
            <w:r w:rsidRPr="00427986">
              <w:rPr>
                <w:rFonts w:ascii="Arial Narrow" w:eastAsiaTheme="majorEastAsia" w:hAnsi="Arial Narrow" w:cstheme="majorBidi"/>
                <w:bCs/>
                <w:sz w:val="20"/>
              </w:rPr>
              <w:lastRenderedPageBreak/>
              <w:t xml:space="preserve">[A] </w:t>
            </w:r>
            <w:r w:rsidR="00AF1E6C" w:rsidRPr="00427986">
              <w:rPr>
                <w:rFonts w:ascii="Arial Narrow" w:eastAsiaTheme="majorEastAsia" w:hAnsi="Arial Narrow" w:cstheme="majorBidi"/>
                <w:bCs/>
                <w:sz w:val="20"/>
              </w:rPr>
              <w:t>Utilities: pre = 0.692 (t</w:t>
            </w:r>
            <w:r w:rsidR="00763EF2" w:rsidRPr="00427986">
              <w:rPr>
                <w:rFonts w:ascii="Arial Narrow" w:eastAsiaTheme="majorEastAsia" w:hAnsi="Arial Narrow" w:cstheme="majorBidi"/>
                <w:bCs/>
                <w:sz w:val="20"/>
              </w:rPr>
              <w:t>rial-based</w:t>
            </w:r>
            <w:r w:rsidR="00AF1E6C" w:rsidRPr="00427986">
              <w:rPr>
                <w:rFonts w:ascii="Arial Narrow" w:eastAsiaTheme="majorEastAsia" w:hAnsi="Arial Narrow" w:cstheme="majorBidi"/>
                <w:bCs/>
                <w:sz w:val="20"/>
              </w:rPr>
              <w:t>), post = 0.674 (trial based)</w:t>
            </w:r>
            <w:r w:rsidR="00763EF2" w:rsidRPr="00427986">
              <w:rPr>
                <w:rFonts w:ascii="Arial Narrow" w:eastAsiaTheme="majorEastAsia" w:hAnsi="Arial Narrow" w:cstheme="majorBidi"/>
                <w:bCs/>
                <w:sz w:val="20"/>
              </w:rPr>
              <w:t xml:space="preserve"> and </w:t>
            </w:r>
            <w:r w:rsidRPr="00427986">
              <w:rPr>
                <w:rFonts w:ascii="Arial Narrow" w:eastAsiaTheme="majorEastAsia" w:hAnsi="Arial Narrow" w:cstheme="majorBidi"/>
                <w:bCs/>
                <w:sz w:val="20"/>
              </w:rPr>
              <w:t>[</w:t>
            </w:r>
            <w:r w:rsidR="00AF1E6C" w:rsidRPr="00427986">
              <w:rPr>
                <w:rFonts w:ascii="Arial Narrow" w:eastAsiaTheme="majorEastAsia" w:hAnsi="Arial Narrow" w:cstheme="majorBidi"/>
                <w:bCs/>
                <w:sz w:val="20"/>
              </w:rPr>
              <w:t>E</w:t>
            </w:r>
            <w:r w:rsidRPr="00427986">
              <w:rPr>
                <w:rFonts w:ascii="Arial Narrow" w:eastAsiaTheme="majorEastAsia" w:hAnsi="Arial Narrow" w:cstheme="majorBidi"/>
                <w:bCs/>
                <w:sz w:val="20"/>
              </w:rPr>
              <w:t xml:space="preserve">] </w:t>
            </w:r>
            <w:r w:rsidR="00763EF2" w:rsidRPr="00427986">
              <w:rPr>
                <w:rFonts w:ascii="Arial Narrow" w:eastAsiaTheme="majorEastAsia" w:hAnsi="Arial Narrow" w:cstheme="majorBidi"/>
                <w:bCs/>
                <w:sz w:val="20"/>
              </w:rPr>
              <w:t xml:space="preserve">remove all </w:t>
            </w:r>
            <w:r w:rsidR="00B54FFE">
              <w:rPr>
                <w:rFonts w:ascii="Arial Narrow" w:eastAsiaTheme="majorEastAsia" w:hAnsi="Arial Narrow" w:cstheme="majorBidi"/>
                <w:bCs/>
                <w:sz w:val="20"/>
              </w:rPr>
              <w:t>post-progression treatment costs</w:t>
            </w:r>
            <w:r w:rsidR="00763EF2" w:rsidRPr="00427986">
              <w:rPr>
                <w:rFonts w:ascii="Arial Narrow" w:eastAsiaTheme="majorEastAsia" w:hAnsi="Arial Narrow" w:cstheme="majorBidi"/>
                <w:bCs/>
                <w:sz w:val="20"/>
              </w:rPr>
              <w:t xml:space="preserve"> </w:t>
            </w:r>
          </w:p>
        </w:tc>
        <w:tc>
          <w:tcPr>
            <w:tcW w:w="665" w:type="pct"/>
            <w:tcBorders>
              <w:top w:val="single" w:sz="4" w:space="0" w:color="auto"/>
              <w:bottom w:val="single" w:sz="4" w:space="0" w:color="auto"/>
            </w:tcBorders>
            <w:tcMar>
              <w:left w:w="20" w:type="dxa"/>
              <w:right w:w="20" w:type="dxa"/>
            </w:tcMar>
            <w:vAlign w:val="center"/>
          </w:tcPr>
          <w:p w14:paraId="0045A29D" w14:textId="2B195923" w:rsidR="00763EF2" w:rsidRPr="00D22B13" w:rsidRDefault="005860C6" w:rsidP="00CB4A1F">
            <w:pPr>
              <w:widowControl w:val="0"/>
              <w:jc w:val="center"/>
              <w:rPr>
                <w:rFonts w:ascii="Arial Narrow" w:eastAsia="Calibri" w:hAnsi="Arial Narrow" w:cstheme="majorBidi"/>
                <w:bCs/>
                <w:sz w:val="20"/>
                <w:szCs w:val="20"/>
                <w:highlight w:val="darkGray"/>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666" w:type="pct"/>
            <w:tcBorders>
              <w:top w:val="single" w:sz="4" w:space="0" w:color="auto"/>
              <w:bottom w:val="single" w:sz="4" w:space="0" w:color="auto"/>
            </w:tcBorders>
            <w:tcMar>
              <w:left w:w="20" w:type="dxa"/>
              <w:right w:w="20" w:type="dxa"/>
            </w:tcMar>
            <w:vAlign w:val="center"/>
          </w:tcPr>
          <w:p w14:paraId="0A7C15DD" w14:textId="77777777" w:rsidR="00763EF2" w:rsidRPr="00427986" w:rsidRDefault="00763EF2" w:rsidP="00CB4A1F">
            <w:pPr>
              <w:widowControl w:val="0"/>
              <w:jc w:val="center"/>
              <w:rPr>
                <w:rFonts w:ascii="Arial Narrow" w:eastAsia="Calibri" w:hAnsi="Arial Narrow" w:cstheme="majorBidi"/>
                <w:bCs/>
                <w:sz w:val="20"/>
                <w:szCs w:val="20"/>
              </w:rPr>
            </w:pPr>
            <w:r w:rsidRPr="00427986">
              <w:rPr>
                <w:rFonts w:ascii="Arial Narrow" w:eastAsiaTheme="majorEastAsia" w:hAnsi="Arial Narrow" w:cstheme="majorBidi"/>
                <w:bCs/>
                <w:sz w:val="20"/>
              </w:rPr>
              <w:t>0.06</w:t>
            </w:r>
          </w:p>
        </w:tc>
        <w:tc>
          <w:tcPr>
            <w:tcW w:w="598" w:type="pct"/>
            <w:tcBorders>
              <w:top w:val="single" w:sz="4" w:space="0" w:color="auto"/>
              <w:bottom w:val="single" w:sz="4" w:space="0" w:color="auto"/>
            </w:tcBorders>
            <w:tcMar>
              <w:left w:w="20" w:type="dxa"/>
              <w:right w:w="20" w:type="dxa"/>
            </w:tcMar>
            <w:vAlign w:val="center"/>
          </w:tcPr>
          <w:p w14:paraId="555F74EF" w14:textId="20EE3C0C" w:rsidR="00763EF2" w:rsidRPr="00D22B13" w:rsidRDefault="005860C6" w:rsidP="00CB4A1F">
            <w:pPr>
              <w:widowControl w:val="0"/>
              <w:jc w:val="center"/>
              <w:rPr>
                <w:rFonts w:ascii="Arial Narrow" w:eastAsia="Calibri" w:hAnsi="Arial Narrow" w:cstheme="majorBidi"/>
                <w:bCs/>
                <w:sz w:val="20"/>
                <w:szCs w:val="20"/>
                <w:highlight w:val="darkGray"/>
              </w:rPr>
            </w:pPr>
            <w:r>
              <w:rPr>
                <w:rFonts w:ascii="Arial Narrow" w:eastAsiaTheme="majorEastAsia" w:hAnsi="Arial Narrow" w:cstheme="majorBidi"/>
                <w:bCs/>
                <w:sz w:val="20"/>
              </w:rPr>
              <w:t xml:space="preserve"> </w:t>
            </w:r>
            <w:r w:rsidRPr="005860C6">
              <w:rPr>
                <w:rFonts w:ascii="Arial Narrow" w:eastAsiaTheme="majorEastAsia" w:hAnsi="Arial Narrow" w:cstheme="majorBidi" w:hint="eastAsia"/>
                <w:bCs/>
                <w:color w:val="000000"/>
                <w:w w:val="24"/>
                <w:sz w:val="20"/>
                <w:shd w:val="solid" w:color="000000" w:fill="000000"/>
                <w:fitText w:val="110" w:id="-1032107261"/>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24"/>
                <w:sz w:val="20"/>
                <w:shd w:val="solid" w:color="000000" w:fill="000000"/>
                <w:fitText w:val="110" w:id="-1032107261"/>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6"/>
                <w:w w:val="24"/>
                <w:sz w:val="20"/>
                <w:shd w:val="solid" w:color="000000" w:fill="000000"/>
                <w:fitText w:val="110" w:id="-1032107261"/>
                <w14:textFill>
                  <w14:solidFill>
                    <w14:srgbClr w14:val="000000">
                      <w14:alpha w14:val="100000"/>
                    </w14:srgbClr>
                  </w14:solidFill>
                </w14:textFill>
              </w:rPr>
              <w:t xml:space="preserve">　</w:t>
            </w:r>
            <w:r w:rsidR="00FC45FF" w:rsidRPr="00D22B13">
              <w:rPr>
                <w:rFonts w:ascii="Arial Narrow" w:eastAsiaTheme="majorEastAsia" w:hAnsi="Arial Narrow" w:cstheme="majorBidi"/>
                <w:bCs/>
                <w:sz w:val="20"/>
                <w:vertAlign w:val="superscript"/>
              </w:rPr>
              <w:t>10</w:t>
            </w:r>
          </w:p>
        </w:tc>
        <w:tc>
          <w:tcPr>
            <w:tcW w:w="545" w:type="pct"/>
            <w:tcBorders>
              <w:top w:val="single" w:sz="4" w:space="0" w:color="auto"/>
              <w:bottom w:val="single" w:sz="4" w:space="0" w:color="auto"/>
            </w:tcBorders>
            <w:tcMar>
              <w:left w:w="20" w:type="dxa"/>
              <w:right w:w="20" w:type="dxa"/>
            </w:tcMar>
            <w:vAlign w:val="center"/>
          </w:tcPr>
          <w:p w14:paraId="4A15DF23" w14:textId="189B70C7" w:rsidR="00763EF2" w:rsidRPr="00D22B13" w:rsidRDefault="005860C6" w:rsidP="00CB4A1F">
            <w:pPr>
              <w:widowControl w:val="0"/>
              <w:jc w:val="center"/>
              <w:rPr>
                <w:rFonts w:ascii="Arial Narrow" w:eastAsia="Calibri" w:hAnsi="Arial Narrow" w:cstheme="majorBidi"/>
                <w:bCs/>
                <w:sz w:val="20"/>
                <w:szCs w:val="20"/>
                <w:highlight w:val="darkGray"/>
              </w:rPr>
            </w:pPr>
            <w:r>
              <w:rPr>
                <w:rFonts w:ascii="Arial Narrow" w:eastAsia="Calibri" w:hAnsi="Arial Narrow" w:cstheme="majorBidi"/>
                <w:bCs/>
                <w:sz w:val="20"/>
                <w:szCs w:val="20"/>
              </w:rPr>
              <w:t xml:space="preserve"> </w:t>
            </w:r>
            <w:r w:rsidRPr="005860C6">
              <w:rPr>
                <w:rFonts w:ascii="Arial Narrow" w:eastAsia="Calibri" w:hAnsi="Arial Narrow" w:cstheme="majorBidi" w:hint="eastAsia"/>
                <w:bCs/>
                <w:color w:val="000000"/>
                <w:w w:val="22"/>
                <w:sz w:val="20"/>
                <w:szCs w:val="20"/>
                <w:shd w:val="solid" w:color="000000" w:fill="000000"/>
                <w:fitText w:val="100" w:id="-1032107260"/>
                <w14:textFill>
                  <w14:solidFill>
                    <w14:srgbClr w14:val="000000">
                      <w14:alpha w14:val="100000"/>
                    </w14:srgbClr>
                  </w14:solidFill>
                </w14:textFill>
              </w:rPr>
              <w:t xml:space="preserve">　</w:t>
            </w:r>
            <w:r w:rsidRPr="005860C6">
              <w:rPr>
                <w:rFonts w:ascii="Arial Narrow" w:eastAsia="Calibri" w:hAnsi="Arial Narrow" w:cstheme="majorBidi"/>
                <w:bCs/>
                <w:color w:val="000000"/>
                <w:w w:val="22"/>
                <w:sz w:val="20"/>
                <w:szCs w:val="20"/>
                <w:shd w:val="solid" w:color="000000" w:fill="000000"/>
                <w:fitText w:val="100" w:id="-1032107260"/>
                <w14:textFill>
                  <w14:solidFill>
                    <w14:srgbClr w14:val="000000">
                      <w14:alpha w14:val="100000"/>
                    </w14:srgbClr>
                  </w14:solidFill>
                </w14:textFill>
              </w:rPr>
              <w:t>|</w:t>
            </w:r>
            <w:r w:rsidRPr="005860C6">
              <w:rPr>
                <w:rFonts w:ascii="Arial Narrow" w:eastAsia="Calibri" w:hAnsi="Arial Narrow" w:cstheme="majorBidi" w:hint="eastAsia"/>
                <w:bCs/>
                <w:color w:val="000000"/>
                <w:spacing w:val="3"/>
                <w:w w:val="22"/>
                <w:sz w:val="20"/>
                <w:szCs w:val="20"/>
                <w:shd w:val="solid" w:color="000000" w:fill="000000"/>
                <w:fitText w:val="100" w:id="-1032107260"/>
                <w14:textFill>
                  <w14:solidFill>
                    <w14:srgbClr w14:val="000000">
                      <w14:alpha w14:val="100000"/>
                    </w14:srgbClr>
                  </w14:solidFill>
                </w14:textFill>
              </w:rPr>
              <w:t xml:space="preserve">　</w:t>
            </w:r>
          </w:p>
        </w:tc>
      </w:tr>
      <w:tr w:rsidR="00AF1E6C" w:rsidRPr="00427986" w14:paraId="7AB02162" w14:textId="77777777" w:rsidTr="00AF1E6C">
        <w:trPr>
          <w:cantSplit/>
        </w:trPr>
        <w:tc>
          <w:tcPr>
            <w:tcW w:w="2526" w:type="pct"/>
            <w:tcMar>
              <w:left w:w="20" w:type="dxa"/>
              <w:right w:w="20" w:type="dxa"/>
            </w:tcMar>
            <w:vAlign w:val="center"/>
          </w:tcPr>
          <w:p w14:paraId="310A7038" w14:textId="6EB4ABB6" w:rsidR="00AF1E6C" w:rsidRPr="00427986" w:rsidRDefault="00AF1E6C" w:rsidP="00CB4A1F">
            <w:pPr>
              <w:widowControl w:val="0"/>
              <w:jc w:val="left"/>
              <w:rPr>
                <w:rFonts w:ascii="Arial Narrow" w:eastAsiaTheme="majorEastAsia" w:hAnsi="Arial Narrow" w:cstheme="majorBidi"/>
                <w:bCs/>
                <w:sz w:val="20"/>
              </w:rPr>
            </w:pPr>
            <w:r w:rsidRPr="00427986">
              <w:rPr>
                <w:rFonts w:ascii="Arial Narrow" w:eastAsiaTheme="majorEastAsia" w:hAnsi="Arial Narrow" w:cstheme="majorBidi"/>
                <w:bCs/>
                <w:sz w:val="20"/>
              </w:rPr>
              <w:t xml:space="preserve">[C[ Utilities: pre = 0.692 (trial-based), post = 0.414 (relative Fordham 2015 decrement) and [E] remove all </w:t>
            </w:r>
            <w:r w:rsidR="00B54FFE">
              <w:rPr>
                <w:rFonts w:ascii="Arial Narrow" w:eastAsiaTheme="majorEastAsia" w:hAnsi="Arial Narrow" w:cstheme="majorBidi"/>
                <w:bCs/>
                <w:sz w:val="20"/>
              </w:rPr>
              <w:t xml:space="preserve"> post-progression treatment costs</w:t>
            </w:r>
          </w:p>
        </w:tc>
        <w:tc>
          <w:tcPr>
            <w:tcW w:w="665" w:type="pct"/>
            <w:tcBorders>
              <w:top w:val="single" w:sz="4" w:space="0" w:color="auto"/>
              <w:bottom w:val="single" w:sz="4" w:space="0" w:color="auto"/>
            </w:tcBorders>
            <w:tcMar>
              <w:left w:w="20" w:type="dxa"/>
              <w:right w:w="20" w:type="dxa"/>
            </w:tcMar>
            <w:vAlign w:val="center"/>
          </w:tcPr>
          <w:p w14:paraId="787FDAFF" w14:textId="48BABA17" w:rsidR="00AF1E6C" w:rsidRPr="00D22B13" w:rsidRDefault="005860C6" w:rsidP="00CB4A1F">
            <w:pPr>
              <w:widowControl w:val="0"/>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666" w:type="pct"/>
            <w:tcBorders>
              <w:top w:val="single" w:sz="4" w:space="0" w:color="auto"/>
              <w:bottom w:val="single" w:sz="4" w:space="0" w:color="auto"/>
            </w:tcBorders>
            <w:tcMar>
              <w:left w:w="20" w:type="dxa"/>
              <w:right w:w="20" w:type="dxa"/>
            </w:tcMar>
            <w:vAlign w:val="center"/>
          </w:tcPr>
          <w:p w14:paraId="5C0173DA" w14:textId="5E973EE3" w:rsidR="00AF1E6C" w:rsidRPr="00427986" w:rsidRDefault="00AF1E6C" w:rsidP="00CB4A1F">
            <w:pPr>
              <w:widowControl w:val="0"/>
              <w:jc w:val="center"/>
              <w:rPr>
                <w:rFonts w:ascii="Arial Narrow" w:eastAsiaTheme="majorEastAsia" w:hAnsi="Arial Narrow" w:cstheme="majorBidi"/>
                <w:bCs/>
                <w:sz w:val="20"/>
              </w:rPr>
            </w:pPr>
            <w:r w:rsidRPr="00427986">
              <w:rPr>
                <w:rFonts w:ascii="Arial Narrow" w:eastAsiaTheme="majorEastAsia" w:hAnsi="Arial Narrow" w:cstheme="majorBidi"/>
                <w:bCs/>
                <w:sz w:val="20"/>
              </w:rPr>
              <w:t>0.14</w:t>
            </w:r>
          </w:p>
        </w:tc>
        <w:tc>
          <w:tcPr>
            <w:tcW w:w="598" w:type="pct"/>
            <w:tcBorders>
              <w:top w:val="single" w:sz="4" w:space="0" w:color="auto"/>
              <w:bottom w:val="single" w:sz="4" w:space="0" w:color="auto"/>
            </w:tcBorders>
            <w:tcMar>
              <w:left w:w="20" w:type="dxa"/>
              <w:right w:w="20" w:type="dxa"/>
            </w:tcMar>
            <w:vAlign w:val="center"/>
          </w:tcPr>
          <w:p w14:paraId="3EC65EEB" w14:textId="6B308BB4" w:rsidR="00AF1E6C" w:rsidRPr="00D22B13" w:rsidRDefault="005860C6" w:rsidP="00CB4A1F">
            <w:pPr>
              <w:widowControl w:val="0"/>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5860C6">
              <w:rPr>
                <w:rFonts w:ascii="Arial Narrow" w:eastAsiaTheme="majorEastAsia" w:hAnsi="Arial Narrow" w:cstheme="majorBidi" w:hint="eastAsia"/>
                <w:bCs/>
                <w:color w:val="000000"/>
                <w:w w:val="18"/>
                <w:sz w:val="20"/>
                <w:shd w:val="solid" w:color="000000" w:fill="000000"/>
                <w:fitText w:val="80" w:id="-1032107008"/>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8"/>
                <w:sz w:val="20"/>
                <w:shd w:val="solid" w:color="000000" w:fill="000000"/>
                <w:fitText w:val="80" w:id="-1032107008"/>
                <w14:textFill>
                  <w14:solidFill>
                    <w14:srgbClr w14:val="000000">
                      <w14:alpha w14:val="100000"/>
                    </w14:srgbClr>
                  </w14:solidFill>
                </w14:textFill>
              </w:rPr>
              <w:t>|</w:t>
            </w:r>
            <w:r w:rsidRPr="005860C6">
              <w:rPr>
                <w:rFonts w:ascii="Arial Narrow" w:eastAsiaTheme="majorEastAsia" w:hAnsi="Arial Narrow" w:cstheme="majorBidi" w:hint="eastAsia"/>
                <w:bCs/>
                <w:color w:val="000000"/>
                <w:w w:val="18"/>
                <w:sz w:val="20"/>
                <w:shd w:val="solid" w:color="000000" w:fill="000000"/>
                <w:fitText w:val="80" w:id="-1032107008"/>
                <w14:textFill>
                  <w14:solidFill>
                    <w14:srgbClr w14:val="000000">
                      <w14:alpha w14:val="100000"/>
                    </w14:srgbClr>
                  </w14:solidFill>
                </w14:textFill>
              </w:rPr>
              <w:t xml:space="preserve">　</w:t>
            </w:r>
            <w:r w:rsidR="002001F2">
              <w:rPr>
                <w:rFonts w:ascii="Arial Narrow" w:eastAsiaTheme="majorEastAsia" w:hAnsi="Arial Narrow" w:cstheme="majorBidi"/>
                <w:bCs/>
                <w:sz w:val="20"/>
                <w:szCs w:val="20"/>
                <w:vertAlign w:val="superscript"/>
              </w:rPr>
              <w:t>2</w:t>
            </w:r>
          </w:p>
        </w:tc>
        <w:tc>
          <w:tcPr>
            <w:tcW w:w="545" w:type="pct"/>
            <w:tcBorders>
              <w:top w:val="single" w:sz="4" w:space="0" w:color="auto"/>
              <w:bottom w:val="single" w:sz="4" w:space="0" w:color="auto"/>
            </w:tcBorders>
            <w:tcMar>
              <w:left w:w="20" w:type="dxa"/>
              <w:right w:w="20" w:type="dxa"/>
            </w:tcMar>
            <w:vAlign w:val="center"/>
          </w:tcPr>
          <w:p w14:paraId="5B34265A" w14:textId="1A004445" w:rsidR="00AF1E6C" w:rsidRPr="00D22B13" w:rsidRDefault="005860C6" w:rsidP="00CB4A1F">
            <w:pPr>
              <w:widowControl w:val="0"/>
              <w:jc w:val="center"/>
              <w:rPr>
                <w:rFonts w:ascii="Arial Narrow" w:eastAsia="Calibri" w:hAnsi="Arial Narrow" w:cstheme="majorBidi"/>
                <w:bCs/>
                <w:sz w:val="20"/>
                <w:szCs w:val="20"/>
                <w:highlight w:val="darkGray"/>
              </w:rPr>
            </w:pPr>
            <w:r>
              <w:rPr>
                <w:rFonts w:ascii="Arial Narrow" w:eastAsia="Calibri" w:hAnsi="Arial Narrow" w:cstheme="majorBidi"/>
                <w:bCs/>
                <w:sz w:val="20"/>
                <w:szCs w:val="20"/>
              </w:rPr>
              <w:t xml:space="preserve"> </w:t>
            </w:r>
            <w:r w:rsidRPr="005860C6">
              <w:rPr>
                <w:rFonts w:ascii="Arial Narrow" w:eastAsia="Calibri" w:hAnsi="Arial Narrow" w:cstheme="majorBidi" w:hint="eastAsia"/>
                <w:bCs/>
                <w:color w:val="000000"/>
                <w:w w:val="22"/>
                <w:sz w:val="20"/>
                <w:szCs w:val="20"/>
                <w:shd w:val="solid" w:color="000000" w:fill="000000"/>
                <w:fitText w:val="100" w:id="-1032107007"/>
                <w14:textFill>
                  <w14:solidFill>
                    <w14:srgbClr w14:val="000000">
                      <w14:alpha w14:val="100000"/>
                    </w14:srgbClr>
                  </w14:solidFill>
                </w14:textFill>
              </w:rPr>
              <w:t xml:space="preserve">　</w:t>
            </w:r>
            <w:r w:rsidRPr="005860C6">
              <w:rPr>
                <w:rFonts w:ascii="Arial Narrow" w:eastAsia="Calibri" w:hAnsi="Arial Narrow" w:cstheme="majorBidi"/>
                <w:bCs/>
                <w:color w:val="000000"/>
                <w:w w:val="22"/>
                <w:sz w:val="20"/>
                <w:szCs w:val="20"/>
                <w:shd w:val="solid" w:color="000000" w:fill="000000"/>
                <w:fitText w:val="100" w:id="-1032107007"/>
                <w14:textFill>
                  <w14:solidFill>
                    <w14:srgbClr w14:val="000000">
                      <w14:alpha w14:val="100000"/>
                    </w14:srgbClr>
                  </w14:solidFill>
                </w14:textFill>
              </w:rPr>
              <w:t>|</w:t>
            </w:r>
            <w:r w:rsidRPr="005860C6">
              <w:rPr>
                <w:rFonts w:ascii="Arial Narrow" w:eastAsia="Calibri" w:hAnsi="Arial Narrow" w:cstheme="majorBidi" w:hint="eastAsia"/>
                <w:bCs/>
                <w:color w:val="000000"/>
                <w:spacing w:val="3"/>
                <w:w w:val="22"/>
                <w:sz w:val="20"/>
                <w:szCs w:val="20"/>
                <w:shd w:val="solid" w:color="000000" w:fill="000000"/>
                <w:fitText w:val="100" w:id="-1032107007"/>
                <w14:textFill>
                  <w14:solidFill>
                    <w14:srgbClr w14:val="000000">
                      <w14:alpha w14:val="100000"/>
                    </w14:srgbClr>
                  </w14:solidFill>
                </w14:textFill>
              </w:rPr>
              <w:t xml:space="preserve">　</w:t>
            </w:r>
          </w:p>
        </w:tc>
      </w:tr>
      <w:tr w:rsidR="00AF1E6C" w:rsidRPr="00427986" w14:paraId="46EF2F97" w14:textId="77777777" w:rsidTr="00AF1E6C">
        <w:trPr>
          <w:cantSplit/>
        </w:trPr>
        <w:tc>
          <w:tcPr>
            <w:tcW w:w="2526" w:type="pct"/>
            <w:tcMar>
              <w:left w:w="20" w:type="dxa"/>
              <w:right w:w="20" w:type="dxa"/>
            </w:tcMar>
            <w:vAlign w:val="center"/>
          </w:tcPr>
          <w:p w14:paraId="6B6D132C" w14:textId="36ABAEBA" w:rsidR="00AF1E6C" w:rsidRPr="00427986" w:rsidRDefault="00AF1E6C" w:rsidP="00CB4A1F">
            <w:pPr>
              <w:widowControl w:val="0"/>
              <w:jc w:val="left"/>
              <w:rPr>
                <w:rFonts w:ascii="Arial Narrow" w:eastAsiaTheme="majorEastAsia" w:hAnsi="Arial Narrow" w:cstheme="majorBidi"/>
                <w:bCs/>
                <w:sz w:val="20"/>
              </w:rPr>
            </w:pPr>
            <w:r w:rsidRPr="00427986">
              <w:rPr>
                <w:rFonts w:ascii="Arial Narrow" w:eastAsiaTheme="majorEastAsia" w:hAnsi="Arial Narrow" w:cstheme="majorBidi"/>
                <w:bCs/>
                <w:sz w:val="20"/>
              </w:rPr>
              <w:t xml:space="preserve">[D] Utilities: pre = 0.692 (trial-based), post = 0.342 (absolute Fordham 2015 decrement) and [E] remove all </w:t>
            </w:r>
            <w:r w:rsidR="00B54FFE">
              <w:rPr>
                <w:rFonts w:ascii="Arial Narrow" w:eastAsiaTheme="majorEastAsia" w:hAnsi="Arial Narrow" w:cstheme="majorBidi"/>
                <w:bCs/>
                <w:sz w:val="20"/>
              </w:rPr>
              <w:t>post-progression treatment costs</w:t>
            </w:r>
          </w:p>
        </w:tc>
        <w:tc>
          <w:tcPr>
            <w:tcW w:w="665" w:type="pct"/>
            <w:tcBorders>
              <w:top w:val="single" w:sz="4" w:space="0" w:color="auto"/>
              <w:bottom w:val="single" w:sz="4" w:space="0" w:color="auto"/>
            </w:tcBorders>
            <w:tcMar>
              <w:left w:w="20" w:type="dxa"/>
              <w:right w:w="20" w:type="dxa"/>
            </w:tcMar>
            <w:vAlign w:val="center"/>
          </w:tcPr>
          <w:p w14:paraId="52857B11" w14:textId="115F8C9D" w:rsidR="00AF1E6C" w:rsidRPr="00D22B13" w:rsidRDefault="005860C6" w:rsidP="00CB4A1F">
            <w:pPr>
              <w:widowControl w:val="0"/>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5860C6">
              <w:rPr>
                <w:rFonts w:ascii="Arial Narrow" w:eastAsiaTheme="majorEastAsia" w:hAnsi="Arial Narrow" w:cstheme="majorBidi"/>
                <w:bCs/>
                <w:color w:val="000000"/>
                <w:sz w:val="20"/>
                <w:shd w:val="solid" w:color="000000" w:fill="000000"/>
                <w14:textFill>
                  <w14:solidFill>
                    <w14:srgbClr w14:val="000000">
                      <w14:alpha w14:val="100000"/>
                    </w14:srgbClr>
                  </w14:solidFill>
                </w14:textFill>
              </w:rPr>
              <w:t>|</w:t>
            </w:r>
          </w:p>
        </w:tc>
        <w:tc>
          <w:tcPr>
            <w:tcW w:w="666" w:type="pct"/>
            <w:tcBorders>
              <w:top w:val="single" w:sz="4" w:space="0" w:color="auto"/>
              <w:bottom w:val="single" w:sz="4" w:space="0" w:color="auto"/>
            </w:tcBorders>
            <w:tcMar>
              <w:left w:w="20" w:type="dxa"/>
              <w:right w:w="20" w:type="dxa"/>
            </w:tcMar>
            <w:vAlign w:val="center"/>
          </w:tcPr>
          <w:p w14:paraId="65CF0D38" w14:textId="47532F49" w:rsidR="00AF1E6C" w:rsidRPr="00427986" w:rsidRDefault="00AF1E6C" w:rsidP="00CB4A1F">
            <w:pPr>
              <w:widowControl w:val="0"/>
              <w:jc w:val="center"/>
              <w:rPr>
                <w:rFonts w:ascii="Arial Narrow" w:eastAsiaTheme="majorEastAsia" w:hAnsi="Arial Narrow" w:cstheme="majorBidi"/>
                <w:bCs/>
                <w:sz w:val="20"/>
              </w:rPr>
            </w:pPr>
            <w:r w:rsidRPr="00427986">
              <w:rPr>
                <w:rFonts w:ascii="Arial Narrow" w:eastAsiaTheme="majorEastAsia" w:hAnsi="Arial Narrow" w:cstheme="majorBidi"/>
                <w:bCs/>
                <w:sz w:val="20"/>
              </w:rPr>
              <w:t>0.16</w:t>
            </w:r>
          </w:p>
        </w:tc>
        <w:tc>
          <w:tcPr>
            <w:tcW w:w="598" w:type="pct"/>
            <w:tcBorders>
              <w:top w:val="single" w:sz="4" w:space="0" w:color="auto"/>
              <w:bottom w:val="single" w:sz="4" w:space="0" w:color="auto"/>
            </w:tcBorders>
            <w:tcMar>
              <w:left w:w="20" w:type="dxa"/>
              <w:right w:w="20" w:type="dxa"/>
            </w:tcMar>
            <w:vAlign w:val="center"/>
          </w:tcPr>
          <w:p w14:paraId="533B1993" w14:textId="5DE31014" w:rsidR="00AF1E6C" w:rsidRPr="00D22B13" w:rsidRDefault="005860C6" w:rsidP="00CB4A1F">
            <w:pPr>
              <w:widowControl w:val="0"/>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5860C6">
              <w:rPr>
                <w:rFonts w:ascii="Arial Narrow" w:eastAsiaTheme="majorEastAsia" w:hAnsi="Arial Narrow" w:cstheme="majorBidi" w:hint="eastAsia"/>
                <w:bCs/>
                <w:color w:val="000000"/>
                <w:w w:val="18"/>
                <w:sz w:val="20"/>
                <w:shd w:val="solid" w:color="000000" w:fill="000000"/>
                <w:fitText w:val="80" w:id="-1032107006"/>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8"/>
                <w:sz w:val="20"/>
                <w:shd w:val="solid" w:color="000000" w:fill="000000"/>
                <w:fitText w:val="80" w:id="-1032107006"/>
                <w14:textFill>
                  <w14:solidFill>
                    <w14:srgbClr w14:val="000000">
                      <w14:alpha w14:val="100000"/>
                    </w14:srgbClr>
                  </w14:solidFill>
                </w14:textFill>
              </w:rPr>
              <w:t>|</w:t>
            </w:r>
            <w:r w:rsidRPr="005860C6">
              <w:rPr>
                <w:rFonts w:ascii="Arial Narrow" w:eastAsiaTheme="majorEastAsia" w:hAnsi="Arial Narrow" w:cstheme="majorBidi" w:hint="eastAsia"/>
                <w:bCs/>
                <w:color w:val="000000"/>
                <w:w w:val="18"/>
                <w:sz w:val="20"/>
                <w:shd w:val="solid" w:color="000000" w:fill="000000"/>
                <w:fitText w:val="80" w:id="-1032107006"/>
                <w14:textFill>
                  <w14:solidFill>
                    <w14:srgbClr w14:val="000000">
                      <w14:alpha w14:val="100000"/>
                    </w14:srgbClr>
                  </w14:solidFill>
                </w14:textFill>
              </w:rPr>
              <w:t xml:space="preserve">　</w:t>
            </w:r>
            <w:r w:rsidR="002001F2">
              <w:rPr>
                <w:rFonts w:ascii="Arial Narrow" w:eastAsiaTheme="majorEastAsia" w:hAnsi="Arial Narrow" w:cstheme="majorBidi"/>
                <w:bCs/>
                <w:sz w:val="20"/>
                <w:szCs w:val="20"/>
                <w:vertAlign w:val="superscript"/>
              </w:rPr>
              <w:t>2</w:t>
            </w:r>
          </w:p>
        </w:tc>
        <w:tc>
          <w:tcPr>
            <w:tcW w:w="545" w:type="pct"/>
            <w:tcBorders>
              <w:top w:val="single" w:sz="4" w:space="0" w:color="auto"/>
              <w:bottom w:val="single" w:sz="4" w:space="0" w:color="auto"/>
            </w:tcBorders>
            <w:tcMar>
              <w:left w:w="20" w:type="dxa"/>
              <w:right w:w="20" w:type="dxa"/>
            </w:tcMar>
            <w:vAlign w:val="center"/>
          </w:tcPr>
          <w:p w14:paraId="1D50FC63" w14:textId="468D3635" w:rsidR="00AF1E6C" w:rsidRPr="00D22B13" w:rsidRDefault="005860C6" w:rsidP="00CB4A1F">
            <w:pPr>
              <w:widowControl w:val="0"/>
              <w:jc w:val="center"/>
              <w:rPr>
                <w:rFonts w:ascii="Arial Narrow" w:eastAsia="Calibri" w:hAnsi="Arial Narrow" w:cstheme="majorBidi"/>
                <w:bCs/>
                <w:sz w:val="20"/>
                <w:szCs w:val="20"/>
                <w:highlight w:val="darkGray"/>
              </w:rPr>
            </w:pPr>
            <w:r>
              <w:rPr>
                <w:rFonts w:ascii="Arial Narrow" w:eastAsia="Calibri" w:hAnsi="Arial Narrow" w:cstheme="majorBidi"/>
                <w:bCs/>
                <w:sz w:val="20"/>
                <w:szCs w:val="20"/>
              </w:rPr>
              <w:t xml:space="preserve"> </w:t>
            </w:r>
            <w:r w:rsidRPr="005860C6">
              <w:rPr>
                <w:rFonts w:ascii="Arial Narrow" w:eastAsia="Calibri" w:hAnsi="Arial Narrow" w:cstheme="majorBidi" w:hint="eastAsia"/>
                <w:bCs/>
                <w:color w:val="000000"/>
                <w:w w:val="22"/>
                <w:sz w:val="20"/>
                <w:szCs w:val="20"/>
                <w:shd w:val="solid" w:color="000000" w:fill="000000"/>
                <w:fitText w:val="100" w:id="-1032107005"/>
                <w14:textFill>
                  <w14:solidFill>
                    <w14:srgbClr w14:val="000000">
                      <w14:alpha w14:val="100000"/>
                    </w14:srgbClr>
                  </w14:solidFill>
                </w14:textFill>
              </w:rPr>
              <w:t xml:space="preserve">　</w:t>
            </w:r>
            <w:r w:rsidRPr="005860C6">
              <w:rPr>
                <w:rFonts w:ascii="Arial Narrow" w:eastAsia="Calibri" w:hAnsi="Arial Narrow" w:cstheme="majorBidi"/>
                <w:bCs/>
                <w:color w:val="000000"/>
                <w:w w:val="22"/>
                <w:sz w:val="20"/>
                <w:szCs w:val="20"/>
                <w:shd w:val="solid" w:color="000000" w:fill="000000"/>
                <w:fitText w:val="100" w:id="-1032107005"/>
                <w14:textFill>
                  <w14:solidFill>
                    <w14:srgbClr w14:val="000000">
                      <w14:alpha w14:val="100000"/>
                    </w14:srgbClr>
                  </w14:solidFill>
                </w14:textFill>
              </w:rPr>
              <w:t>|</w:t>
            </w:r>
            <w:r w:rsidRPr="005860C6">
              <w:rPr>
                <w:rFonts w:ascii="Arial Narrow" w:eastAsia="Calibri" w:hAnsi="Arial Narrow" w:cstheme="majorBidi" w:hint="eastAsia"/>
                <w:bCs/>
                <w:color w:val="000000"/>
                <w:spacing w:val="3"/>
                <w:w w:val="22"/>
                <w:sz w:val="20"/>
                <w:szCs w:val="20"/>
                <w:shd w:val="solid" w:color="000000" w:fill="000000"/>
                <w:fitText w:val="100" w:id="-1032107005"/>
                <w14:textFill>
                  <w14:solidFill>
                    <w14:srgbClr w14:val="000000">
                      <w14:alpha w14:val="100000"/>
                    </w14:srgbClr>
                  </w14:solidFill>
                </w14:textFill>
              </w:rPr>
              <w:t xml:space="preserve">　</w:t>
            </w:r>
          </w:p>
        </w:tc>
      </w:tr>
    </w:tbl>
    <w:p w14:paraId="5416711C" w14:textId="55F5C3BD" w:rsidR="00763EF2" w:rsidRPr="00AF1E6C" w:rsidRDefault="00763EF2" w:rsidP="00763EF2">
      <w:pPr>
        <w:spacing w:after="120"/>
        <w:contextualSpacing/>
        <w:rPr>
          <w:rFonts w:ascii="Arial Narrow" w:hAnsi="Arial Narrow"/>
          <w:snapToGrid w:val="0"/>
          <w:sz w:val="18"/>
          <w:szCs w:val="22"/>
        </w:rPr>
      </w:pPr>
      <w:r w:rsidRPr="00AF1E6C">
        <w:rPr>
          <w:rFonts w:ascii="Arial Narrow" w:hAnsi="Arial Narrow"/>
          <w:snapToGrid w:val="0"/>
          <w:sz w:val="18"/>
          <w:szCs w:val="22"/>
        </w:rPr>
        <w:t xml:space="preserve">Source: </w:t>
      </w:r>
      <w:r w:rsidRPr="00E120DC">
        <w:rPr>
          <w:rFonts w:ascii="Arial Narrow" w:hAnsi="Arial Narrow"/>
          <w:snapToGrid w:val="0"/>
          <w:sz w:val="18"/>
          <w:szCs w:val="22"/>
        </w:rPr>
        <w:t xml:space="preserve">Results presented in Table 3-25, p152 of the submission could not be reproduced during the evaluation. The results presented in italics were from sensitivity analyses conducted during the </w:t>
      </w:r>
      <w:r w:rsidR="00647249">
        <w:rPr>
          <w:rFonts w:ascii="Arial Narrow" w:hAnsi="Arial Narrow"/>
          <w:snapToGrid w:val="0"/>
          <w:sz w:val="18"/>
          <w:szCs w:val="22"/>
        </w:rPr>
        <w:t>preparation of the ESC Advice</w:t>
      </w:r>
      <w:r w:rsidRPr="00E120DC">
        <w:rPr>
          <w:rFonts w:ascii="Arial Narrow" w:hAnsi="Arial Narrow"/>
          <w:snapToGrid w:val="0"/>
          <w:sz w:val="18"/>
          <w:szCs w:val="22"/>
        </w:rPr>
        <w:t>, based on the Excel workbook titled ‘Attachment 10 – DTC economic evaluation – Section 3 – FINAL’ of the submission.</w:t>
      </w:r>
    </w:p>
    <w:p w14:paraId="7BFE0FCB" w14:textId="6C636138" w:rsidR="00763EF2" w:rsidRDefault="00763EF2" w:rsidP="00763EF2">
      <w:pPr>
        <w:spacing w:after="120"/>
        <w:contextualSpacing/>
        <w:rPr>
          <w:rFonts w:ascii="Arial Narrow" w:eastAsia="Calibri" w:hAnsi="Arial Narrow"/>
          <w:snapToGrid w:val="0"/>
          <w:sz w:val="18"/>
          <w:szCs w:val="20"/>
        </w:rPr>
      </w:pPr>
      <w:bookmarkStart w:id="90" w:name="_Hlk141605634"/>
      <w:r w:rsidRPr="00AF1E6C">
        <w:rPr>
          <w:rFonts w:ascii="Arial Narrow" w:eastAsia="Calibri" w:hAnsi="Arial Narrow"/>
          <w:snapToGrid w:val="0"/>
          <w:sz w:val="18"/>
          <w:szCs w:val="20"/>
        </w:rPr>
        <w:t>AR-DRG = Australian Refined Diagnosis Related Group; BC = base case; BSC = best supportive care; ICER = incremental cost-effectiveness ratio; OS = overall survival; PBS = Pharmaceutical Benefits Scheme; PD = progressive/progressed disease; PBS = Pharmaceutical Benefits Scheme; PFS = progression-free survival; QALY = quality-adjusted life year; RPSFT = rank-preserving structural failure time; SAE = serious adverse event; TTD = time to treatment discontinuation.</w:t>
      </w:r>
    </w:p>
    <w:p w14:paraId="6A6EFBDD" w14:textId="6DA97BB8" w:rsidR="00B058EE" w:rsidRPr="00D22B13" w:rsidRDefault="00B058EE" w:rsidP="00B058EE">
      <w:pPr>
        <w:spacing w:after="120"/>
        <w:contextualSpacing/>
        <w:rPr>
          <w:rFonts w:ascii="Arial Narrow" w:eastAsia="Calibri" w:hAnsi="Arial Narrow"/>
          <w:i/>
          <w:iCs/>
          <w:snapToGrid w:val="0"/>
          <w:sz w:val="18"/>
          <w:szCs w:val="20"/>
        </w:rPr>
      </w:pPr>
      <w:r w:rsidRPr="00D22B13">
        <w:rPr>
          <w:rFonts w:ascii="Arial Narrow" w:eastAsia="Calibri" w:hAnsi="Arial Narrow"/>
          <w:i/>
          <w:iCs/>
          <w:snapToGrid w:val="0"/>
          <w:sz w:val="18"/>
          <w:szCs w:val="20"/>
        </w:rPr>
        <w:t>The redacted values correspond to the following ranges:</w:t>
      </w:r>
    </w:p>
    <w:p w14:paraId="4792A691" w14:textId="5CA606BE" w:rsidR="002001F2" w:rsidRPr="00D22B13" w:rsidRDefault="002001F2" w:rsidP="002001F2">
      <w:pPr>
        <w:spacing w:after="120"/>
        <w:contextualSpacing/>
        <w:rPr>
          <w:rFonts w:ascii="Arial Narrow" w:eastAsia="Calibri" w:hAnsi="Arial Narrow"/>
          <w:i/>
          <w:iCs/>
          <w:snapToGrid w:val="0"/>
          <w:sz w:val="18"/>
          <w:szCs w:val="20"/>
        </w:rPr>
      </w:pPr>
      <w:r w:rsidRPr="00D22B13">
        <w:rPr>
          <w:rFonts w:ascii="Arial Narrow" w:eastAsia="Calibri" w:hAnsi="Arial Narrow"/>
          <w:i/>
          <w:iCs/>
          <w:snapToGrid w:val="0"/>
          <w:sz w:val="18"/>
          <w:szCs w:val="20"/>
          <w:vertAlign w:val="superscript"/>
        </w:rPr>
        <w:t>1</w:t>
      </w:r>
      <w:r w:rsidRPr="00D22B13">
        <w:rPr>
          <w:rFonts w:ascii="Arial Narrow" w:eastAsia="Calibri" w:hAnsi="Arial Narrow"/>
          <w:i/>
          <w:iCs/>
          <w:snapToGrid w:val="0"/>
          <w:sz w:val="18"/>
          <w:szCs w:val="20"/>
        </w:rPr>
        <w:t xml:space="preserve"> $55,000 to &lt; $75,000 </w:t>
      </w:r>
    </w:p>
    <w:p w14:paraId="3269A4E1" w14:textId="1CEE22AD" w:rsidR="002001F2" w:rsidRPr="00D22B13" w:rsidRDefault="002001F2" w:rsidP="002001F2">
      <w:pPr>
        <w:spacing w:after="120"/>
        <w:contextualSpacing/>
        <w:rPr>
          <w:rFonts w:ascii="Arial Narrow" w:eastAsia="Calibri" w:hAnsi="Arial Narrow"/>
          <w:i/>
          <w:iCs/>
          <w:snapToGrid w:val="0"/>
          <w:sz w:val="18"/>
          <w:szCs w:val="20"/>
        </w:rPr>
      </w:pPr>
      <w:r w:rsidRPr="00D22B13">
        <w:rPr>
          <w:rFonts w:ascii="Arial Narrow" w:eastAsia="Calibri" w:hAnsi="Arial Narrow"/>
          <w:i/>
          <w:iCs/>
          <w:snapToGrid w:val="0"/>
          <w:sz w:val="18"/>
          <w:szCs w:val="20"/>
          <w:vertAlign w:val="superscript"/>
        </w:rPr>
        <w:t>2</w:t>
      </w:r>
      <w:r w:rsidRPr="00D22B13">
        <w:rPr>
          <w:rFonts w:ascii="Arial Narrow" w:eastAsia="Calibri" w:hAnsi="Arial Narrow"/>
          <w:i/>
          <w:iCs/>
          <w:snapToGrid w:val="0"/>
          <w:sz w:val="18"/>
          <w:szCs w:val="20"/>
        </w:rPr>
        <w:t xml:space="preserve"> $155,000 to &lt; $255,000</w:t>
      </w:r>
    </w:p>
    <w:p w14:paraId="435C4E34" w14:textId="68A5CFA6" w:rsidR="002001F2" w:rsidRPr="00D22B13" w:rsidRDefault="002001F2" w:rsidP="002001F2">
      <w:pPr>
        <w:spacing w:after="120"/>
        <w:contextualSpacing/>
        <w:rPr>
          <w:rFonts w:ascii="Arial Narrow" w:eastAsia="Calibri" w:hAnsi="Arial Narrow"/>
          <w:i/>
          <w:iCs/>
          <w:snapToGrid w:val="0"/>
          <w:sz w:val="18"/>
          <w:szCs w:val="20"/>
        </w:rPr>
      </w:pPr>
      <w:r w:rsidRPr="00D22B13">
        <w:rPr>
          <w:rFonts w:ascii="Arial Narrow" w:eastAsia="Calibri" w:hAnsi="Arial Narrow"/>
          <w:i/>
          <w:iCs/>
          <w:snapToGrid w:val="0"/>
          <w:sz w:val="18"/>
          <w:szCs w:val="20"/>
          <w:vertAlign w:val="superscript"/>
        </w:rPr>
        <w:t xml:space="preserve">3 </w:t>
      </w:r>
      <w:r w:rsidRPr="00D22B13">
        <w:rPr>
          <w:rFonts w:ascii="Arial Narrow" w:eastAsia="Calibri" w:hAnsi="Arial Narrow"/>
          <w:i/>
          <w:iCs/>
          <w:snapToGrid w:val="0"/>
          <w:sz w:val="18"/>
          <w:szCs w:val="20"/>
        </w:rPr>
        <w:t>$135,000 to &lt; $155,000</w:t>
      </w:r>
    </w:p>
    <w:p w14:paraId="3A096481" w14:textId="01FCD156" w:rsidR="002001F2" w:rsidRPr="00D22B13" w:rsidRDefault="002001F2" w:rsidP="002001F2">
      <w:pPr>
        <w:spacing w:after="120"/>
        <w:contextualSpacing/>
        <w:rPr>
          <w:rFonts w:ascii="Arial Narrow" w:eastAsia="Calibri" w:hAnsi="Arial Narrow"/>
          <w:i/>
          <w:iCs/>
          <w:snapToGrid w:val="0"/>
          <w:sz w:val="18"/>
          <w:szCs w:val="20"/>
        </w:rPr>
      </w:pPr>
      <w:r w:rsidRPr="00D22B13">
        <w:rPr>
          <w:rFonts w:ascii="Arial Narrow" w:eastAsia="Calibri" w:hAnsi="Arial Narrow"/>
          <w:i/>
          <w:iCs/>
          <w:snapToGrid w:val="0"/>
          <w:sz w:val="18"/>
          <w:szCs w:val="20"/>
          <w:vertAlign w:val="superscript"/>
        </w:rPr>
        <w:t xml:space="preserve">4 </w:t>
      </w:r>
      <w:r w:rsidRPr="00D22B13">
        <w:rPr>
          <w:rFonts w:ascii="Arial Narrow" w:eastAsia="Calibri" w:hAnsi="Arial Narrow"/>
          <w:i/>
          <w:iCs/>
          <w:snapToGrid w:val="0"/>
          <w:sz w:val="18"/>
          <w:szCs w:val="20"/>
        </w:rPr>
        <w:t>$115,000 to &lt; $135,000</w:t>
      </w:r>
    </w:p>
    <w:p w14:paraId="72611279" w14:textId="35DA5E4C" w:rsidR="002001F2" w:rsidRPr="00D22B13" w:rsidRDefault="002001F2" w:rsidP="002001F2">
      <w:pPr>
        <w:spacing w:after="120"/>
        <w:contextualSpacing/>
        <w:rPr>
          <w:rFonts w:ascii="Arial Narrow" w:eastAsia="Calibri" w:hAnsi="Arial Narrow"/>
          <w:i/>
          <w:iCs/>
          <w:snapToGrid w:val="0"/>
          <w:sz w:val="18"/>
          <w:szCs w:val="20"/>
        </w:rPr>
      </w:pPr>
      <w:r w:rsidRPr="00D22B13">
        <w:rPr>
          <w:rFonts w:ascii="Arial Narrow" w:eastAsia="Calibri" w:hAnsi="Arial Narrow"/>
          <w:i/>
          <w:iCs/>
          <w:snapToGrid w:val="0"/>
          <w:sz w:val="18"/>
          <w:szCs w:val="20"/>
          <w:vertAlign w:val="superscript"/>
        </w:rPr>
        <w:t>5</w:t>
      </w:r>
      <w:r w:rsidRPr="00D22B13">
        <w:rPr>
          <w:rFonts w:ascii="Arial Narrow" w:eastAsia="Calibri" w:hAnsi="Arial Narrow"/>
          <w:i/>
          <w:iCs/>
          <w:snapToGrid w:val="0"/>
          <w:sz w:val="18"/>
          <w:szCs w:val="20"/>
        </w:rPr>
        <w:t xml:space="preserve"> </w:t>
      </w:r>
      <w:r w:rsidR="005574EA" w:rsidRPr="00125752">
        <w:rPr>
          <w:rFonts w:ascii="Arial Narrow" w:eastAsia="Calibri" w:hAnsi="Arial Narrow"/>
          <w:i/>
          <w:iCs/>
          <w:snapToGrid w:val="0"/>
          <w:sz w:val="18"/>
          <w:szCs w:val="20"/>
        </w:rPr>
        <w:t>$75,000 to &lt; $95,000</w:t>
      </w:r>
      <w:r w:rsidR="00AC42AC">
        <w:rPr>
          <w:rFonts w:ascii="Arial Narrow" w:eastAsia="Calibri" w:hAnsi="Arial Narrow"/>
          <w:i/>
          <w:iCs/>
          <w:snapToGrid w:val="0"/>
          <w:sz w:val="18"/>
          <w:szCs w:val="20"/>
        </w:rPr>
        <w:t xml:space="preserve"> </w:t>
      </w:r>
    </w:p>
    <w:p w14:paraId="639338AF" w14:textId="1560670C" w:rsidR="002001F2" w:rsidRPr="00D22B13" w:rsidRDefault="002001F2" w:rsidP="002001F2">
      <w:pPr>
        <w:spacing w:after="120"/>
        <w:contextualSpacing/>
        <w:rPr>
          <w:rFonts w:ascii="Arial Narrow" w:eastAsia="Calibri" w:hAnsi="Arial Narrow"/>
          <w:i/>
          <w:iCs/>
          <w:snapToGrid w:val="0"/>
          <w:sz w:val="18"/>
          <w:szCs w:val="20"/>
        </w:rPr>
      </w:pPr>
      <w:r w:rsidRPr="00D22B13">
        <w:rPr>
          <w:rFonts w:ascii="Arial Narrow" w:eastAsia="Calibri" w:hAnsi="Arial Narrow"/>
          <w:i/>
          <w:iCs/>
          <w:snapToGrid w:val="0"/>
          <w:sz w:val="18"/>
          <w:szCs w:val="20"/>
          <w:vertAlign w:val="superscript"/>
        </w:rPr>
        <w:t>6</w:t>
      </w:r>
      <w:r w:rsidR="00512D4E">
        <w:rPr>
          <w:rFonts w:ascii="Arial Narrow" w:eastAsia="Calibri" w:hAnsi="Arial Narrow"/>
          <w:i/>
          <w:iCs/>
          <w:snapToGrid w:val="0"/>
          <w:sz w:val="18"/>
          <w:szCs w:val="20"/>
          <w:vertAlign w:val="superscript"/>
        </w:rPr>
        <w:t xml:space="preserve"> </w:t>
      </w:r>
      <w:r w:rsidR="00512D4E" w:rsidRPr="00125752">
        <w:rPr>
          <w:rFonts w:ascii="Arial Narrow" w:eastAsia="Calibri" w:hAnsi="Arial Narrow"/>
          <w:i/>
          <w:iCs/>
          <w:snapToGrid w:val="0"/>
          <w:sz w:val="18"/>
          <w:szCs w:val="20"/>
        </w:rPr>
        <w:t xml:space="preserve">$95,000 to &lt; $115,000 </w:t>
      </w:r>
      <w:r w:rsidR="005574EA">
        <w:rPr>
          <w:rFonts w:ascii="Arial Narrow" w:eastAsia="Calibri" w:hAnsi="Arial Narrow"/>
          <w:i/>
          <w:iCs/>
          <w:snapToGrid w:val="0"/>
          <w:sz w:val="18"/>
          <w:szCs w:val="20"/>
          <w:vertAlign w:val="superscript"/>
        </w:rPr>
        <w:t xml:space="preserve"> </w:t>
      </w:r>
    </w:p>
    <w:p w14:paraId="6F950942" w14:textId="2E5DFE3E" w:rsidR="002001F2" w:rsidRPr="00D22B13" w:rsidRDefault="002001F2" w:rsidP="002001F2">
      <w:pPr>
        <w:spacing w:after="120"/>
        <w:contextualSpacing/>
        <w:rPr>
          <w:rFonts w:ascii="Arial Narrow" w:eastAsia="Calibri" w:hAnsi="Arial Narrow"/>
          <w:i/>
          <w:iCs/>
          <w:snapToGrid w:val="0"/>
          <w:sz w:val="18"/>
          <w:szCs w:val="20"/>
        </w:rPr>
      </w:pPr>
      <w:r w:rsidRPr="00D22B13">
        <w:rPr>
          <w:rFonts w:ascii="Arial Narrow" w:eastAsia="Calibri" w:hAnsi="Arial Narrow"/>
          <w:i/>
          <w:iCs/>
          <w:snapToGrid w:val="0"/>
          <w:sz w:val="18"/>
          <w:szCs w:val="20"/>
          <w:vertAlign w:val="superscript"/>
        </w:rPr>
        <w:t>7</w:t>
      </w:r>
      <w:r w:rsidRPr="00D22B13">
        <w:rPr>
          <w:rFonts w:ascii="Arial Narrow" w:eastAsia="Calibri" w:hAnsi="Arial Narrow"/>
          <w:i/>
          <w:iCs/>
          <w:snapToGrid w:val="0"/>
          <w:sz w:val="18"/>
          <w:szCs w:val="20"/>
        </w:rPr>
        <w:t xml:space="preserve"> </w:t>
      </w:r>
      <w:r w:rsidR="00FC45FF" w:rsidRPr="00125752">
        <w:rPr>
          <w:rFonts w:ascii="Arial Narrow" w:eastAsia="Calibri" w:hAnsi="Arial Narrow"/>
          <w:i/>
          <w:iCs/>
          <w:snapToGrid w:val="0"/>
          <w:sz w:val="18"/>
          <w:szCs w:val="20"/>
        </w:rPr>
        <w:t>$45,000 to &lt; $55,000</w:t>
      </w:r>
      <w:r w:rsidR="00FC45FF">
        <w:rPr>
          <w:rFonts w:ascii="Arial Narrow" w:eastAsia="Calibri" w:hAnsi="Arial Narrow"/>
          <w:i/>
          <w:iCs/>
          <w:snapToGrid w:val="0"/>
          <w:sz w:val="18"/>
          <w:szCs w:val="20"/>
        </w:rPr>
        <w:t xml:space="preserve"> </w:t>
      </w:r>
    </w:p>
    <w:p w14:paraId="5B303074" w14:textId="66EF63EB" w:rsidR="002001F2" w:rsidRPr="00D22B13" w:rsidRDefault="002001F2" w:rsidP="002001F2">
      <w:pPr>
        <w:spacing w:after="120"/>
        <w:contextualSpacing/>
        <w:rPr>
          <w:rFonts w:ascii="Arial Narrow" w:eastAsia="Calibri" w:hAnsi="Arial Narrow"/>
          <w:i/>
          <w:iCs/>
          <w:snapToGrid w:val="0"/>
          <w:sz w:val="18"/>
          <w:szCs w:val="20"/>
        </w:rPr>
      </w:pPr>
      <w:r w:rsidRPr="00D22B13">
        <w:rPr>
          <w:rFonts w:ascii="Arial Narrow" w:eastAsia="Calibri" w:hAnsi="Arial Narrow"/>
          <w:i/>
          <w:iCs/>
          <w:snapToGrid w:val="0"/>
          <w:sz w:val="18"/>
          <w:szCs w:val="20"/>
          <w:vertAlign w:val="superscript"/>
        </w:rPr>
        <w:t xml:space="preserve">8 </w:t>
      </w:r>
      <w:r w:rsidR="00FC45FF" w:rsidRPr="00125752">
        <w:rPr>
          <w:rFonts w:ascii="Arial Narrow" w:eastAsia="Calibri" w:hAnsi="Arial Narrow"/>
          <w:i/>
          <w:iCs/>
          <w:snapToGrid w:val="0"/>
          <w:sz w:val="18"/>
          <w:szCs w:val="20"/>
        </w:rPr>
        <w:t>$25,000 to &lt; $35,000</w:t>
      </w:r>
    </w:p>
    <w:p w14:paraId="2B325046" w14:textId="65E03427" w:rsidR="00C9544F" w:rsidRPr="00D22B13" w:rsidRDefault="00C9544F" w:rsidP="00C9544F">
      <w:pPr>
        <w:spacing w:after="120"/>
        <w:contextualSpacing/>
        <w:rPr>
          <w:rFonts w:ascii="Arial Narrow" w:eastAsia="Calibri" w:hAnsi="Arial Narrow"/>
          <w:i/>
          <w:iCs/>
          <w:snapToGrid w:val="0"/>
          <w:sz w:val="18"/>
          <w:szCs w:val="20"/>
        </w:rPr>
      </w:pPr>
      <w:r w:rsidRPr="00D22B13">
        <w:rPr>
          <w:rFonts w:ascii="Arial Narrow" w:eastAsia="Calibri" w:hAnsi="Arial Narrow"/>
          <w:i/>
          <w:iCs/>
          <w:snapToGrid w:val="0"/>
          <w:sz w:val="18"/>
          <w:szCs w:val="20"/>
          <w:vertAlign w:val="superscript"/>
        </w:rPr>
        <w:t xml:space="preserve">9 </w:t>
      </w:r>
      <w:r w:rsidRPr="00D22B13">
        <w:rPr>
          <w:rFonts w:ascii="Arial Narrow" w:eastAsia="Calibri" w:hAnsi="Arial Narrow"/>
          <w:i/>
          <w:iCs/>
          <w:snapToGrid w:val="0"/>
          <w:sz w:val="18"/>
          <w:szCs w:val="20"/>
        </w:rPr>
        <w:t>$255,000 to &lt; $355,000</w:t>
      </w:r>
    </w:p>
    <w:p w14:paraId="685D81D6" w14:textId="08D90E95" w:rsidR="002001F2" w:rsidRPr="002001F2" w:rsidRDefault="00C9544F" w:rsidP="00D22B13">
      <w:pPr>
        <w:spacing w:after="120"/>
        <w:rPr>
          <w:rFonts w:ascii="Arial Narrow" w:eastAsia="Calibri" w:hAnsi="Arial Narrow"/>
          <w:snapToGrid w:val="0"/>
          <w:sz w:val="18"/>
          <w:szCs w:val="20"/>
        </w:rPr>
      </w:pPr>
      <w:r w:rsidRPr="00D22B13">
        <w:rPr>
          <w:rFonts w:ascii="Arial Narrow" w:eastAsia="Calibri" w:hAnsi="Arial Narrow"/>
          <w:i/>
          <w:iCs/>
          <w:snapToGrid w:val="0"/>
          <w:sz w:val="18"/>
          <w:szCs w:val="20"/>
          <w:vertAlign w:val="superscript"/>
        </w:rPr>
        <w:t>10</w:t>
      </w:r>
      <w:r w:rsidRPr="00D22B13">
        <w:rPr>
          <w:rFonts w:ascii="Arial Narrow" w:eastAsia="Calibri" w:hAnsi="Arial Narrow"/>
          <w:i/>
          <w:iCs/>
          <w:snapToGrid w:val="0"/>
          <w:sz w:val="18"/>
          <w:szCs w:val="20"/>
        </w:rPr>
        <w:t>$455,000 to &lt; $555,000</w:t>
      </w:r>
    </w:p>
    <w:p w14:paraId="1224BEE9" w14:textId="1E9C3B34" w:rsidR="00763EF2" w:rsidRPr="00AE408C" w:rsidRDefault="00763EF2" w:rsidP="004A52A9">
      <w:pPr>
        <w:numPr>
          <w:ilvl w:val="1"/>
          <w:numId w:val="1"/>
        </w:numPr>
        <w:spacing w:after="120"/>
        <w:ind w:left="720"/>
        <w:rPr>
          <w:rFonts w:asciiTheme="minorHAnsi" w:hAnsiTheme="minorHAnsi"/>
          <w:snapToGrid w:val="0"/>
        </w:rPr>
      </w:pPr>
      <w:bookmarkStart w:id="91" w:name="_Hlk141608255"/>
      <w:bookmarkEnd w:id="90"/>
      <w:r w:rsidRPr="00AE408C">
        <w:rPr>
          <w:rFonts w:asciiTheme="minorHAnsi" w:hAnsiTheme="minorHAnsi"/>
          <w:snapToGrid w:val="0"/>
        </w:rPr>
        <w:t>The model was most sensitive to:</w:t>
      </w:r>
    </w:p>
    <w:p w14:paraId="26BCAE8A" w14:textId="3D93F97B" w:rsidR="00763EF2" w:rsidRPr="00AE408C" w:rsidRDefault="00763EF2" w:rsidP="004A52A9">
      <w:pPr>
        <w:numPr>
          <w:ilvl w:val="0"/>
          <w:numId w:val="3"/>
        </w:numPr>
        <w:spacing w:after="120"/>
        <w:ind w:left="1080"/>
        <w:rPr>
          <w:rFonts w:asciiTheme="minorHAnsi" w:hAnsiTheme="minorHAnsi"/>
          <w:snapToGrid w:val="0"/>
        </w:rPr>
      </w:pPr>
      <w:r w:rsidRPr="00AE408C">
        <w:rPr>
          <w:rFonts w:asciiTheme="minorHAnsi" w:hAnsiTheme="minorHAnsi"/>
          <w:snapToGrid w:val="0"/>
        </w:rPr>
        <w:t xml:space="preserve">The </w:t>
      </w:r>
      <w:r w:rsidR="00AF1E6C">
        <w:rPr>
          <w:rFonts w:asciiTheme="minorHAnsi" w:hAnsiTheme="minorHAnsi"/>
          <w:snapToGrid w:val="0"/>
        </w:rPr>
        <w:t>choice of utility values in the pre- and post-progression health states</w:t>
      </w:r>
      <w:r w:rsidRPr="00AE408C">
        <w:rPr>
          <w:rFonts w:asciiTheme="minorHAnsi" w:hAnsiTheme="minorHAnsi"/>
          <w:snapToGrid w:val="0"/>
        </w:rPr>
        <w:t xml:space="preserve">. </w:t>
      </w:r>
    </w:p>
    <w:p w14:paraId="76EB434F" w14:textId="75AD35E3" w:rsidR="00763EF2" w:rsidRPr="00AE408C" w:rsidRDefault="00763EF2" w:rsidP="004A52A9">
      <w:pPr>
        <w:numPr>
          <w:ilvl w:val="0"/>
          <w:numId w:val="3"/>
        </w:numPr>
        <w:spacing w:after="120"/>
        <w:ind w:left="1080"/>
      </w:pPr>
      <w:r w:rsidRPr="00AE408C">
        <w:rPr>
          <w:rFonts w:asciiTheme="minorHAnsi" w:hAnsiTheme="minorHAnsi"/>
          <w:snapToGrid w:val="0"/>
        </w:rPr>
        <w:t xml:space="preserve">The </w:t>
      </w:r>
      <w:r w:rsidR="00B54FFE">
        <w:rPr>
          <w:rFonts w:asciiTheme="minorHAnsi" w:hAnsiTheme="minorHAnsi"/>
          <w:snapToGrid w:val="0"/>
        </w:rPr>
        <w:t xml:space="preserve">application of treatment costs </w:t>
      </w:r>
      <w:r w:rsidR="00254471" w:rsidRPr="00AE408C">
        <w:rPr>
          <w:rFonts w:asciiTheme="minorHAnsi" w:hAnsiTheme="minorHAnsi"/>
          <w:snapToGrid w:val="0"/>
        </w:rPr>
        <w:t xml:space="preserve">(including cabozantinib and lenvatinib) </w:t>
      </w:r>
      <w:r w:rsidRPr="00AE408C">
        <w:rPr>
          <w:rFonts w:asciiTheme="minorHAnsi" w:hAnsiTheme="minorHAnsi"/>
          <w:snapToGrid w:val="0"/>
        </w:rPr>
        <w:t xml:space="preserve">in the post-progression health state. Removing </w:t>
      </w:r>
      <w:r w:rsidR="00B54FFE">
        <w:rPr>
          <w:rFonts w:asciiTheme="minorHAnsi" w:hAnsiTheme="minorHAnsi"/>
          <w:snapToGrid w:val="0"/>
        </w:rPr>
        <w:t>all post-progression treatment costs</w:t>
      </w:r>
      <w:r w:rsidRPr="00AE408C">
        <w:rPr>
          <w:rFonts w:asciiTheme="minorHAnsi" w:hAnsiTheme="minorHAnsi"/>
          <w:snapToGrid w:val="0"/>
        </w:rPr>
        <w:t xml:space="preserve"> increased the ICER from $</w:t>
      </w:r>
      <w:r w:rsidR="00F64AFD" w:rsidRPr="00F64AFD">
        <w:rPr>
          <w:rFonts w:asciiTheme="minorHAnsi" w:hAnsiTheme="minorHAnsi"/>
          <w:snapToGrid w:val="0"/>
        </w:rPr>
        <w:t xml:space="preserve">55,000 to &lt; $75,000 </w:t>
      </w:r>
      <w:r w:rsidRPr="00AE408C">
        <w:rPr>
          <w:rFonts w:asciiTheme="minorHAnsi" w:hAnsiTheme="minorHAnsi"/>
          <w:snapToGrid w:val="0"/>
        </w:rPr>
        <w:t>to $</w:t>
      </w:r>
      <w:r w:rsidR="00F64AFD" w:rsidRPr="00F64AFD">
        <w:rPr>
          <w:rFonts w:asciiTheme="minorHAnsi" w:hAnsiTheme="minorHAnsi"/>
          <w:snapToGrid w:val="0"/>
        </w:rPr>
        <w:t>155,000 to &lt; $255,000</w:t>
      </w:r>
      <w:r w:rsidR="00F64AFD">
        <w:rPr>
          <w:rFonts w:asciiTheme="minorHAnsi" w:hAnsiTheme="minorHAnsi"/>
          <w:snapToGrid w:val="0"/>
        </w:rPr>
        <w:t xml:space="preserve"> </w:t>
      </w:r>
      <w:r w:rsidRPr="00AE408C">
        <w:rPr>
          <w:rFonts w:asciiTheme="minorHAnsi" w:hAnsiTheme="minorHAnsi"/>
          <w:snapToGrid w:val="0"/>
        </w:rPr>
        <w:t>per QALY gained in the base case.</w:t>
      </w:r>
    </w:p>
    <w:p w14:paraId="3D07462A" w14:textId="10F93F27" w:rsidR="00846727" w:rsidRPr="00427986" w:rsidRDefault="00AF1E6C" w:rsidP="00846727">
      <w:pPr>
        <w:numPr>
          <w:ilvl w:val="1"/>
          <w:numId w:val="1"/>
        </w:numPr>
        <w:spacing w:after="120"/>
        <w:ind w:left="720"/>
      </w:pPr>
      <w:r w:rsidRPr="00846727">
        <w:rPr>
          <w:rFonts w:asciiTheme="minorHAnsi" w:hAnsiTheme="minorHAnsi" w:cstheme="minorBidi"/>
        </w:rPr>
        <w:t xml:space="preserve">The ESC </w:t>
      </w:r>
      <w:r w:rsidR="00B54FFE" w:rsidRPr="00846727">
        <w:rPr>
          <w:rFonts w:asciiTheme="minorHAnsi" w:hAnsiTheme="minorHAnsi" w:cstheme="minorBidi"/>
        </w:rPr>
        <w:t>noted</w:t>
      </w:r>
      <w:r w:rsidRPr="00846727">
        <w:rPr>
          <w:rFonts w:asciiTheme="minorHAnsi" w:hAnsiTheme="minorHAnsi" w:cstheme="minorBidi"/>
        </w:rPr>
        <w:t xml:space="preserve"> the multivariate sensitivity analyses in which </w:t>
      </w:r>
      <w:r w:rsidR="00E120DC" w:rsidRPr="00846727">
        <w:rPr>
          <w:rFonts w:asciiTheme="minorHAnsi" w:hAnsiTheme="minorHAnsi" w:cstheme="minorBidi"/>
        </w:rPr>
        <w:t xml:space="preserve">pre-progression utility was trial based, </w:t>
      </w:r>
      <w:r w:rsidRPr="00846727">
        <w:rPr>
          <w:rFonts w:asciiTheme="minorHAnsi" w:hAnsiTheme="minorHAnsi" w:cstheme="minorBidi"/>
        </w:rPr>
        <w:t>the post-progression utility value w</w:t>
      </w:r>
      <w:r w:rsidR="00E120DC" w:rsidRPr="00846727">
        <w:rPr>
          <w:rFonts w:asciiTheme="minorHAnsi" w:hAnsiTheme="minorHAnsi" w:cstheme="minorBidi"/>
        </w:rPr>
        <w:t xml:space="preserve">as </w:t>
      </w:r>
      <w:r w:rsidRPr="00846727">
        <w:rPr>
          <w:rFonts w:asciiTheme="minorHAnsi" w:hAnsiTheme="minorHAnsi" w:cstheme="minorBidi"/>
        </w:rPr>
        <w:t xml:space="preserve">based on the relative </w:t>
      </w:r>
      <w:r w:rsidR="00E120DC" w:rsidRPr="00846727">
        <w:rPr>
          <w:rFonts w:asciiTheme="minorHAnsi" w:hAnsiTheme="minorHAnsi" w:cstheme="minorBidi"/>
        </w:rPr>
        <w:t>utility</w:t>
      </w:r>
      <w:r w:rsidRPr="00846727">
        <w:rPr>
          <w:rFonts w:asciiTheme="minorHAnsi" w:hAnsiTheme="minorHAnsi" w:cstheme="minorBidi"/>
        </w:rPr>
        <w:t xml:space="preserve"> decrement from Fordham (2015) and which removed </w:t>
      </w:r>
      <w:r w:rsidR="00B54FFE" w:rsidRPr="00846727">
        <w:rPr>
          <w:rFonts w:asciiTheme="minorHAnsi" w:hAnsiTheme="minorHAnsi" w:cstheme="minorBidi"/>
        </w:rPr>
        <w:t>all treatment costs</w:t>
      </w:r>
      <w:r w:rsidRPr="00846727">
        <w:rPr>
          <w:rFonts w:asciiTheme="minorHAnsi" w:hAnsiTheme="minorHAnsi" w:cstheme="minorBidi"/>
        </w:rPr>
        <w:t xml:space="preserve"> from the post-progression health state. The ESC noted that </w:t>
      </w:r>
      <w:r w:rsidR="00E120DC" w:rsidRPr="00846727">
        <w:rPr>
          <w:rFonts w:asciiTheme="minorHAnsi" w:hAnsiTheme="minorHAnsi" w:cstheme="minorBidi"/>
        </w:rPr>
        <w:t>these changes resulted in an ICER of $</w:t>
      </w:r>
      <w:r w:rsidR="00C9544F" w:rsidRPr="00C9544F">
        <w:rPr>
          <w:rFonts w:asciiTheme="minorHAnsi" w:hAnsiTheme="minorHAnsi" w:cstheme="minorBidi"/>
        </w:rPr>
        <w:t>155,000 to &lt; $255,000</w:t>
      </w:r>
      <w:r w:rsidR="00E120DC" w:rsidRPr="00846727">
        <w:rPr>
          <w:rFonts w:asciiTheme="minorHAnsi" w:hAnsiTheme="minorHAnsi" w:cstheme="minorBidi"/>
        </w:rPr>
        <w:t xml:space="preserve"> per QALY.</w:t>
      </w:r>
      <w:r w:rsidR="00763EF2" w:rsidRPr="00846727">
        <w:rPr>
          <w:rFonts w:asciiTheme="minorHAnsi" w:hAnsiTheme="minorHAnsi" w:cstheme="minorBidi"/>
        </w:rPr>
        <w:t xml:space="preserve">  </w:t>
      </w:r>
    </w:p>
    <w:p w14:paraId="67834E79" w14:textId="7F920448" w:rsidR="004221D8" w:rsidRPr="003B5F84" w:rsidRDefault="004221D8" w:rsidP="00D22B13">
      <w:pPr>
        <w:pStyle w:val="Heading2"/>
        <w:spacing w:after="120"/>
      </w:pPr>
      <w:r w:rsidRPr="003B5F84">
        <w:t>Drug cost/patient</w:t>
      </w:r>
    </w:p>
    <w:p w14:paraId="2246CA1F" w14:textId="1CE67AAD" w:rsidR="004221D8" w:rsidRPr="00E120DC" w:rsidRDefault="004221D8" w:rsidP="00E120DC">
      <w:pPr>
        <w:numPr>
          <w:ilvl w:val="1"/>
          <w:numId w:val="1"/>
        </w:numPr>
        <w:spacing w:after="120"/>
        <w:ind w:left="720"/>
        <w:rPr>
          <w:rFonts w:asciiTheme="minorHAnsi" w:hAnsiTheme="minorHAnsi" w:cstheme="minorBidi"/>
          <w:i/>
          <w:iCs/>
        </w:rPr>
      </w:pPr>
      <w:r w:rsidRPr="004221D8">
        <w:rPr>
          <w:rFonts w:asciiTheme="minorHAnsi" w:hAnsiTheme="minorHAnsi" w:cstheme="minorHAnsi"/>
        </w:rPr>
        <w:fldChar w:fldCharType="begin" w:fldLock="1"/>
      </w:r>
      <w:r w:rsidRPr="004221D8">
        <w:rPr>
          <w:rFonts w:asciiTheme="minorHAnsi" w:hAnsiTheme="minorHAnsi" w:cstheme="minorHAnsi"/>
        </w:rPr>
        <w:instrText xml:space="preserve"> REF _Ref141279647 \h  \* MERGEFORMAT </w:instrText>
      </w:r>
      <w:r w:rsidRPr="004221D8">
        <w:rPr>
          <w:rFonts w:asciiTheme="minorHAnsi" w:hAnsiTheme="minorHAnsi" w:cstheme="minorHAnsi"/>
        </w:rPr>
      </w:r>
      <w:r w:rsidRPr="004221D8">
        <w:rPr>
          <w:rFonts w:asciiTheme="minorHAnsi" w:hAnsiTheme="minorHAnsi" w:cstheme="minorHAnsi"/>
        </w:rPr>
        <w:fldChar w:fldCharType="separate"/>
      </w:r>
      <w:r w:rsidR="008760F8" w:rsidRPr="008760F8">
        <w:rPr>
          <w:rFonts w:asciiTheme="minorHAnsi" w:hAnsiTheme="minorHAnsi" w:cstheme="minorHAnsi"/>
        </w:rPr>
        <w:t xml:space="preserve">Table </w:t>
      </w:r>
      <w:r w:rsidR="008760F8" w:rsidRPr="008760F8">
        <w:rPr>
          <w:rFonts w:asciiTheme="minorHAnsi" w:hAnsiTheme="minorHAnsi" w:cstheme="minorHAnsi"/>
          <w:noProof/>
        </w:rPr>
        <w:t>21</w:t>
      </w:r>
      <w:r w:rsidRPr="004221D8">
        <w:rPr>
          <w:rFonts w:asciiTheme="minorHAnsi" w:hAnsiTheme="minorHAnsi" w:cstheme="minorHAnsi"/>
        </w:rPr>
        <w:fldChar w:fldCharType="end"/>
      </w:r>
      <w:r w:rsidRPr="004221D8">
        <w:rPr>
          <w:rFonts w:asciiTheme="minorHAnsi" w:hAnsiTheme="minorHAnsi" w:cstheme="minorHAnsi"/>
        </w:rPr>
        <w:t xml:space="preserve"> presents the drug cost per patient. </w:t>
      </w:r>
    </w:p>
    <w:p w14:paraId="18FE9B8B" w14:textId="573A274E" w:rsidR="00763EF2" w:rsidRPr="003B5F84" w:rsidRDefault="00763EF2" w:rsidP="00763EF2">
      <w:pPr>
        <w:keepNext/>
        <w:keepLines/>
        <w:rPr>
          <w:rFonts w:ascii="Arial Narrow" w:hAnsi="Arial Narrow"/>
          <w:b/>
          <w:bCs/>
          <w:sz w:val="20"/>
        </w:rPr>
      </w:pPr>
      <w:bookmarkStart w:id="92" w:name="_Ref104805102"/>
      <w:bookmarkStart w:id="93" w:name="_Ref141279647"/>
      <w:bookmarkEnd w:id="91"/>
      <w:r w:rsidRPr="003B5F84">
        <w:rPr>
          <w:rFonts w:ascii="Arial Narrow" w:hAnsi="Arial Narrow"/>
          <w:b/>
          <w:bCs/>
          <w:sz w:val="20"/>
          <w:szCs w:val="18"/>
        </w:rPr>
        <w:lastRenderedPageBreak/>
        <w:t xml:space="preserve">Table </w:t>
      </w:r>
      <w:r w:rsidRPr="003B5F84">
        <w:rPr>
          <w:rFonts w:ascii="Arial Narrow" w:hAnsi="Arial Narrow"/>
          <w:b/>
          <w:bCs/>
          <w:sz w:val="20"/>
          <w:szCs w:val="18"/>
        </w:rPr>
        <w:fldChar w:fldCharType="begin" w:fldLock="1"/>
      </w:r>
      <w:r w:rsidRPr="003B5F84">
        <w:rPr>
          <w:rFonts w:ascii="Arial Narrow" w:hAnsi="Arial Narrow"/>
          <w:b/>
          <w:bCs/>
          <w:sz w:val="20"/>
          <w:szCs w:val="18"/>
        </w:rPr>
        <w:instrText xml:space="preserve"> SEQ Table \* ARABIC </w:instrText>
      </w:r>
      <w:r w:rsidRPr="003B5F84">
        <w:rPr>
          <w:rFonts w:ascii="Arial Narrow" w:hAnsi="Arial Narrow"/>
          <w:b/>
          <w:bCs/>
          <w:sz w:val="20"/>
          <w:szCs w:val="18"/>
        </w:rPr>
        <w:fldChar w:fldCharType="separate"/>
      </w:r>
      <w:r w:rsidR="008760F8">
        <w:rPr>
          <w:rFonts w:ascii="Arial Narrow" w:hAnsi="Arial Narrow"/>
          <w:b/>
          <w:bCs/>
          <w:noProof/>
          <w:sz w:val="20"/>
          <w:szCs w:val="18"/>
        </w:rPr>
        <w:t>21</w:t>
      </w:r>
      <w:r w:rsidRPr="003B5F84">
        <w:rPr>
          <w:rFonts w:ascii="Arial Narrow" w:hAnsi="Arial Narrow"/>
          <w:b/>
          <w:bCs/>
          <w:noProof/>
          <w:sz w:val="20"/>
          <w:szCs w:val="18"/>
        </w:rPr>
        <w:fldChar w:fldCharType="end"/>
      </w:r>
      <w:bookmarkEnd w:id="92"/>
      <w:bookmarkEnd w:id="93"/>
      <w:r w:rsidRPr="003B5F84">
        <w:rPr>
          <w:rFonts w:ascii="Arial Narrow" w:hAnsi="Arial Narrow"/>
          <w:b/>
          <w:bCs/>
          <w:sz w:val="20"/>
          <w:szCs w:val="18"/>
        </w:rPr>
        <w:t>:</w:t>
      </w:r>
      <w:r w:rsidRPr="003B5F84">
        <w:rPr>
          <w:rFonts w:ascii="Arial Narrow" w:hAnsi="Arial Narrow"/>
          <w:b/>
          <w:bCs/>
          <w:sz w:val="20"/>
        </w:rPr>
        <w:t xml:space="preserve"> Drug cost per patient for cabozantinib (+ BSC)</w:t>
      </w:r>
      <w:r w:rsidR="00846727">
        <w:rPr>
          <w:rFonts w:ascii="Arial Narrow" w:hAnsi="Arial Narrow"/>
          <w:b/>
          <w:bCs/>
          <w:sz w:val="20"/>
        </w:rPr>
        <w:t>*</w:t>
      </w:r>
      <w:r w:rsidRPr="003B5F84">
        <w:rPr>
          <w:rFonts w:ascii="Arial Narrow" w:hAnsi="Arial Narrow"/>
          <w:b/>
          <w:bCs/>
          <w:sz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719"/>
        <w:gridCol w:w="2096"/>
        <w:gridCol w:w="2126"/>
        <w:gridCol w:w="2076"/>
      </w:tblGrid>
      <w:tr w:rsidR="00763EF2" w:rsidRPr="003B5F84" w14:paraId="1DE02A3B" w14:textId="77777777" w:rsidTr="00CB4A1F">
        <w:trPr>
          <w:cantSplit/>
          <w:tblHeader/>
        </w:trPr>
        <w:tc>
          <w:tcPr>
            <w:tcW w:w="1508" w:type="pct"/>
            <w:tcBorders>
              <w:bottom w:val="nil"/>
            </w:tcBorders>
            <w:shd w:val="clear" w:color="auto" w:fill="auto"/>
            <w:vAlign w:val="center"/>
          </w:tcPr>
          <w:p w14:paraId="7AA1E9A0" w14:textId="77777777" w:rsidR="00763EF2" w:rsidRPr="003B5F84" w:rsidRDefault="00763EF2" w:rsidP="00CB4A1F">
            <w:pPr>
              <w:keepNext/>
              <w:jc w:val="left"/>
              <w:rPr>
                <w:rFonts w:ascii="Arial Narrow" w:eastAsiaTheme="majorEastAsia" w:hAnsi="Arial Narrow" w:cs="Times New Roman"/>
                <w:b/>
                <w:sz w:val="20"/>
                <w:szCs w:val="20"/>
                <w:lang w:val="en-US"/>
              </w:rPr>
            </w:pPr>
          </w:p>
        </w:tc>
        <w:tc>
          <w:tcPr>
            <w:tcW w:w="3492" w:type="pct"/>
            <w:gridSpan w:val="3"/>
            <w:shd w:val="clear" w:color="auto" w:fill="auto"/>
            <w:vAlign w:val="center"/>
          </w:tcPr>
          <w:p w14:paraId="308C9FEE" w14:textId="77777777" w:rsidR="00763EF2" w:rsidRPr="003B5F84" w:rsidRDefault="00763EF2" w:rsidP="00CB4A1F">
            <w:pPr>
              <w:keepNext/>
              <w:jc w:val="center"/>
              <w:rPr>
                <w:rFonts w:ascii="Arial Narrow" w:eastAsiaTheme="majorEastAsia" w:hAnsi="Arial Narrow" w:cs="Times New Roman"/>
                <w:b/>
                <w:sz w:val="20"/>
                <w:szCs w:val="20"/>
                <w:lang w:val="en-US"/>
              </w:rPr>
            </w:pPr>
            <w:r w:rsidRPr="003B5F84">
              <w:rPr>
                <w:rFonts w:ascii="Arial Narrow" w:eastAsiaTheme="majorEastAsia" w:hAnsi="Arial Narrow" w:cs="Times New Roman"/>
                <w:b/>
                <w:sz w:val="20"/>
                <w:szCs w:val="20"/>
                <w:lang w:val="en-US"/>
              </w:rPr>
              <w:t>Cabozantinib (+ BSC)</w:t>
            </w:r>
          </w:p>
        </w:tc>
      </w:tr>
      <w:tr w:rsidR="00763EF2" w:rsidRPr="003B5F84" w14:paraId="02B31B98" w14:textId="77777777" w:rsidTr="00CB4A1F">
        <w:trPr>
          <w:cantSplit/>
          <w:tblHeader/>
        </w:trPr>
        <w:tc>
          <w:tcPr>
            <w:tcW w:w="1508" w:type="pct"/>
            <w:tcBorders>
              <w:top w:val="nil"/>
              <w:bottom w:val="single" w:sz="4" w:space="0" w:color="auto"/>
            </w:tcBorders>
            <w:shd w:val="clear" w:color="auto" w:fill="auto"/>
            <w:vAlign w:val="center"/>
          </w:tcPr>
          <w:p w14:paraId="3BC0D8D3" w14:textId="77777777" w:rsidR="00763EF2" w:rsidRPr="003B5F84" w:rsidRDefault="00763EF2" w:rsidP="00CB4A1F">
            <w:pPr>
              <w:keepNext/>
              <w:jc w:val="left"/>
              <w:rPr>
                <w:rFonts w:ascii="Arial Narrow" w:eastAsiaTheme="majorEastAsia" w:hAnsi="Arial Narrow" w:cs="Times New Roman"/>
                <w:b/>
                <w:sz w:val="20"/>
                <w:szCs w:val="20"/>
                <w:lang w:val="en-US"/>
              </w:rPr>
            </w:pPr>
          </w:p>
        </w:tc>
        <w:tc>
          <w:tcPr>
            <w:tcW w:w="1162" w:type="pct"/>
            <w:tcBorders>
              <w:bottom w:val="single" w:sz="4" w:space="0" w:color="auto"/>
            </w:tcBorders>
            <w:shd w:val="clear" w:color="auto" w:fill="auto"/>
            <w:vAlign w:val="center"/>
          </w:tcPr>
          <w:p w14:paraId="704AE3C0" w14:textId="77777777" w:rsidR="00763EF2" w:rsidRPr="003B5F84" w:rsidRDefault="00763EF2" w:rsidP="00CB4A1F">
            <w:pPr>
              <w:keepNext/>
              <w:jc w:val="center"/>
              <w:rPr>
                <w:rFonts w:ascii="Arial Narrow" w:eastAsiaTheme="majorEastAsia" w:hAnsi="Arial Narrow" w:cs="Times New Roman"/>
                <w:b/>
                <w:sz w:val="20"/>
                <w:szCs w:val="20"/>
                <w:lang w:val="en-US"/>
              </w:rPr>
            </w:pPr>
            <w:r w:rsidRPr="003B5F84">
              <w:rPr>
                <w:rFonts w:ascii="Arial Narrow" w:eastAsiaTheme="majorEastAsia" w:hAnsi="Arial Narrow" w:cs="Times New Roman"/>
                <w:b/>
                <w:sz w:val="20"/>
                <w:szCs w:val="20"/>
                <w:lang w:val="en-US"/>
              </w:rPr>
              <w:t>COSMIC-311 trial</w:t>
            </w:r>
          </w:p>
        </w:tc>
        <w:tc>
          <w:tcPr>
            <w:tcW w:w="1179" w:type="pct"/>
            <w:tcBorders>
              <w:bottom w:val="single" w:sz="4" w:space="0" w:color="auto"/>
            </w:tcBorders>
            <w:shd w:val="clear" w:color="auto" w:fill="auto"/>
            <w:vAlign w:val="center"/>
          </w:tcPr>
          <w:p w14:paraId="0410396F" w14:textId="77777777" w:rsidR="00763EF2" w:rsidRPr="003B5F84" w:rsidRDefault="00763EF2" w:rsidP="00CB4A1F">
            <w:pPr>
              <w:keepNext/>
              <w:jc w:val="center"/>
              <w:rPr>
                <w:rFonts w:ascii="Arial Narrow" w:eastAsiaTheme="majorEastAsia" w:hAnsi="Arial Narrow" w:cs="Times New Roman"/>
                <w:b/>
                <w:sz w:val="20"/>
                <w:szCs w:val="20"/>
                <w:lang w:val="en-US"/>
              </w:rPr>
            </w:pPr>
            <w:r w:rsidRPr="003B5F84">
              <w:rPr>
                <w:rFonts w:ascii="Arial Narrow" w:eastAsiaTheme="majorEastAsia" w:hAnsi="Arial Narrow" w:cs="Times New Roman"/>
                <w:b/>
                <w:sz w:val="20"/>
                <w:szCs w:val="20"/>
                <w:lang w:val="en-US"/>
              </w:rPr>
              <w:t>Model</w:t>
            </w:r>
          </w:p>
        </w:tc>
        <w:tc>
          <w:tcPr>
            <w:tcW w:w="1151" w:type="pct"/>
            <w:tcBorders>
              <w:bottom w:val="single" w:sz="4" w:space="0" w:color="auto"/>
            </w:tcBorders>
            <w:shd w:val="clear" w:color="auto" w:fill="auto"/>
            <w:vAlign w:val="center"/>
          </w:tcPr>
          <w:p w14:paraId="7D781463" w14:textId="77777777" w:rsidR="00763EF2" w:rsidRPr="003B5F84" w:rsidRDefault="00763EF2" w:rsidP="00CB4A1F">
            <w:pPr>
              <w:keepNext/>
              <w:jc w:val="center"/>
              <w:rPr>
                <w:rFonts w:ascii="Arial Narrow" w:eastAsiaTheme="majorEastAsia" w:hAnsi="Arial Narrow" w:cs="Times New Roman"/>
                <w:b/>
                <w:sz w:val="20"/>
                <w:szCs w:val="20"/>
                <w:lang w:val="en-US"/>
              </w:rPr>
            </w:pPr>
            <w:r w:rsidRPr="003B5F84">
              <w:rPr>
                <w:rFonts w:ascii="Arial Narrow" w:eastAsiaTheme="majorEastAsia" w:hAnsi="Arial Narrow" w:cs="Times New Roman"/>
                <w:b/>
                <w:sz w:val="20"/>
                <w:szCs w:val="20"/>
                <w:lang w:val="en-US"/>
              </w:rPr>
              <w:t>Financial estimates</w:t>
            </w:r>
          </w:p>
        </w:tc>
      </w:tr>
      <w:tr w:rsidR="00763EF2" w:rsidRPr="003B5F84" w14:paraId="78C588E7" w14:textId="77777777" w:rsidTr="00CB4A1F">
        <w:trPr>
          <w:cantSplit/>
        </w:trPr>
        <w:tc>
          <w:tcPr>
            <w:tcW w:w="1508" w:type="pct"/>
            <w:shd w:val="clear" w:color="auto" w:fill="auto"/>
            <w:vAlign w:val="center"/>
          </w:tcPr>
          <w:p w14:paraId="2C3652FD" w14:textId="48CF9769" w:rsidR="00763EF2" w:rsidRPr="003B5F84" w:rsidRDefault="00C207A1" w:rsidP="00CB4A1F">
            <w:pPr>
              <w:keepNext/>
              <w:jc w:val="left"/>
              <w:rPr>
                <w:rFonts w:ascii="Arial Narrow" w:eastAsiaTheme="majorEastAsia" w:hAnsi="Arial Narrow" w:cstheme="majorBidi"/>
                <w:bCs/>
                <w:sz w:val="20"/>
                <w:szCs w:val="20"/>
              </w:rPr>
            </w:pPr>
            <w:r>
              <w:rPr>
                <w:rFonts w:ascii="Arial Narrow" w:eastAsiaTheme="majorEastAsia" w:hAnsi="Arial Narrow" w:cstheme="majorBidi"/>
                <w:bCs/>
                <w:sz w:val="20"/>
                <w:szCs w:val="20"/>
                <w:lang w:val="en-US"/>
              </w:rPr>
              <w:t xml:space="preserve">Mean </w:t>
            </w:r>
            <w:r w:rsidR="00763EF2" w:rsidRPr="003B5F84">
              <w:rPr>
                <w:rFonts w:ascii="Arial Narrow" w:eastAsiaTheme="majorEastAsia" w:hAnsi="Arial Narrow" w:cstheme="majorBidi"/>
                <w:bCs/>
                <w:sz w:val="20"/>
                <w:szCs w:val="20"/>
                <w:lang w:val="en-US"/>
              </w:rPr>
              <w:t>daily dose (range), mg/day</w:t>
            </w:r>
          </w:p>
        </w:tc>
        <w:tc>
          <w:tcPr>
            <w:tcW w:w="1162" w:type="pct"/>
            <w:shd w:val="clear" w:color="auto" w:fill="auto"/>
            <w:vAlign w:val="center"/>
          </w:tcPr>
          <w:p w14:paraId="3B1A734D" w14:textId="1D70458E" w:rsidR="00763EF2" w:rsidRPr="003B5F84" w:rsidRDefault="00763EF2" w:rsidP="00CB4A1F">
            <w:pPr>
              <w:keepNext/>
              <w:jc w:val="center"/>
              <w:rPr>
                <w:rFonts w:ascii="Arial Narrow" w:eastAsiaTheme="majorEastAsia" w:hAnsi="Arial Narrow" w:cstheme="majorBidi"/>
                <w:sz w:val="20"/>
                <w:szCs w:val="20"/>
                <w:vertAlign w:val="superscript"/>
                <w:lang w:val="en-US"/>
              </w:rPr>
            </w:pPr>
            <w:r w:rsidRPr="003B5F84">
              <w:rPr>
                <w:rFonts w:ascii="Arial Narrow" w:eastAsiaTheme="majorEastAsia" w:hAnsi="Arial Narrow" w:cstheme="majorBidi"/>
                <w:sz w:val="20"/>
                <w:szCs w:val="20"/>
                <w:lang w:val="en-US"/>
              </w:rPr>
              <w:t>40.09</w:t>
            </w:r>
            <w:r w:rsidR="00846727">
              <w:rPr>
                <w:rFonts w:ascii="Arial Narrow" w:eastAsiaTheme="majorEastAsia" w:hAnsi="Arial Narrow" w:cstheme="majorBidi"/>
                <w:sz w:val="20"/>
                <w:szCs w:val="20"/>
                <w:vertAlign w:val="superscript"/>
                <w:lang w:val="en-US"/>
              </w:rPr>
              <w:t>a</w:t>
            </w:r>
          </w:p>
          <w:p w14:paraId="00C63515" w14:textId="77777777"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(9.5, 60.0)</w:t>
            </w:r>
          </w:p>
        </w:tc>
        <w:tc>
          <w:tcPr>
            <w:tcW w:w="1179" w:type="pct"/>
            <w:shd w:val="clear" w:color="auto" w:fill="auto"/>
            <w:vAlign w:val="center"/>
          </w:tcPr>
          <w:p w14:paraId="4EEF0D84" w14:textId="3CF8FE8E" w:rsidR="00763EF2" w:rsidRPr="003B5F84" w:rsidRDefault="00763EF2" w:rsidP="00CB4A1F">
            <w:pPr>
              <w:keepNext/>
              <w:jc w:val="center"/>
              <w:rPr>
                <w:rFonts w:ascii="Arial Narrow" w:eastAsiaTheme="majorEastAsia" w:hAnsi="Arial Narrow" w:cstheme="majorBidi"/>
                <w:sz w:val="20"/>
                <w:szCs w:val="20"/>
                <w:lang w:val="en-US"/>
              </w:rPr>
            </w:pPr>
            <w:r>
              <w:rPr>
                <w:rFonts w:ascii="Arial Narrow" w:eastAsiaTheme="majorEastAsia" w:hAnsi="Arial Narrow" w:cstheme="majorBidi"/>
                <w:sz w:val="20"/>
                <w:szCs w:val="20"/>
                <w:lang w:val="en-US"/>
              </w:rPr>
              <w:t>Not specified, assumed one tablet (any dose strength) per day</w:t>
            </w:r>
            <w:r w:rsidR="00C207A1">
              <w:rPr>
                <w:rFonts w:ascii="Arial Narrow" w:eastAsiaTheme="majorEastAsia" w:hAnsi="Arial Narrow" w:cstheme="majorBidi"/>
                <w:sz w:val="20"/>
                <w:szCs w:val="20"/>
                <w:lang w:val="en-US"/>
              </w:rPr>
              <w:t xml:space="preserve"> </w:t>
            </w:r>
          </w:p>
        </w:tc>
        <w:tc>
          <w:tcPr>
            <w:tcW w:w="1151" w:type="pct"/>
            <w:shd w:val="clear" w:color="auto" w:fill="auto"/>
            <w:vAlign w:val="center"/>
          </w:tcPr>
          <w:p w14:paraId="43E66535" w14:textId="77777777"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60 mg (33%), 40 mg (34%), 20 mg (33%)</w:t>
            </w:r>
          </w:p>
        </w:tc>
      </w:tr>
      <w:tr w:rsidR="00763EF2" w:rsidRPr="003B5F84" w14:paraId="033C786E" w14:textId="77777777" w:rsidTr="00CB4A1F">
        <w:trPr>
          <w:cantSplit/>
        </w:trPr>
        <w:tc>
          <w:tcPr>
            <w:tcW w:w="1508" w:type="pct"/>
            <w:shd w:val="clear" w:color="auto" w:fill="auto"/>
            <w:vAlign w:val="center"/>
          </w:tcPr>
          <w:p w14:paraId="4D220047" w14:textId="77291606" w:rsidR="00763EF2" w:rsidRPr="003B5F84" w:rsidRDefault="00763EF2" w:rsidP="00CB4A1F">
            <w:pPr>
              <w:keepNext/>
              <w:jc w:val="left"/>
              <w:rPr>
                <w:rFonts w:ascii="Arial Narrow" w:eastAsiaTheme="majorEastAsia" w:hAnsi="Arial Narrow" w:cstheme="majorBidi"/>
                <w:bCs/>
                <w:sz w:val="20"/>
                <w:szCs w:val="20"/>
                <w:lang w:val="en-US"/>
              </w:rPr>
            </w:pPr>
            <w:r w:rsidRPr="003B5F84">
              <w:rPr>
                <w:rFonts w:ascii="Arial Narrow" w:eastAsiaTheme="majorEastAsia" w:hAnsi="Arial Narrow" w:cstheme="majorBidi"/>
                <w:bCs/>
                <w:sz w:val="20"/>
                <w:szCs w:val="20"/>
                <w:lang w:val="en-US"/>
              </w:rPr>
              <w:t>Duration of exposure (including dose holds),</w:t>
            </w:r>
            <w:r w:rsidR="00846727">
              <w:rPr>
                <w:rFonts w:ascii="Arial Narrow" w:eastAsiaTheme="majorEastAsia" w:hAnsi="Arial Narrow" w:cstheme="majorBidi"/>
                <w:bCs/>
                <w:sz w:val="20"/>
                <w:szCs w:val="20"/>
                <w:vertAlign w:val="superscript"/>
                <w:lang w:val="en-US"/>
              </w:rPr>
              <w:t>b</w:t>
            </w:r>
            <w:r w:rsidRPr="003B5F84">
              <w:rPr>
                <w:rFonts w:ascii="Arial Narrow" w:eastAsiaTheme="majorEastAsia" w:hAnsi="Arial Narrow" w:cstheme="majorBidi"/>
                <w:bCs/>
                <w:sz w:val="20"/>
                <w:szCs w:val="20"/>
                <w:lang w:val="en-US"/>
              </w:rPr>
              <w:t xml:space="preserve"> months</w:t>
            </w:r>
          </w:p>
        </w:tc>
        <w:tc>
          <w:tcPr>
            <w:tcW w:w="1162" w:type="pct"/>
            <w:shd w:val="clear" w:color="auto" w:fill="auto"/>
            <w:vAlign w:val="center"/>
          </w:tcPr>
          <w:p w14:paraId="2C716F19" w14:textId="374A5DFC"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7.04 (range 0.2, 18.8) [</w:t>
            </w:r>
            <w:r w:rsidR="00846727">
              <w:rPr>
                <w:rFonts w:ascii="Arial Narrow" w:eastAsiaTheme="majorEastAsia" w:hAnsi="Arial Narrow" w:cstheme="majorBidi"/>
                <w:sz w:val="20"/>
                <w:szCs w:val="20"/>
                <w:lang w:val="en-US"/>
              </w:rPr>
              <w:t>A</w:t>
            </w:r>
            <w:r w:rsidRPr="003B5F84">
              <w:rPr>
                <w:rFonts w:ascii="Arial Narrow" w:eastAsiaTheme="majorEastAsia" w:hAnsi="Arial Narrow" w:cstheme="majorBidi"/>
                <w:sz w:val="20"/>
                <w:szCs w:val="20"/>
                <w:lang w:val="en-US"/>
              </w:rPr>
              <w:t>]</w:t>
            </w:r>
          </w:p>
        </w:tc>
        <w:tc>
          <w:tcPr>
            <w:tcW w:w="1179" w:type="pct"/>
            <w:shd w:val="clear" w:color="auto" w:fill="auto"/>
            <w:vAlign w:val="center"/>
          </w:tcPr>
          <w:p w14:paraId="16BFDA9E" w14:textId="77777777"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w:t>
            </w:r>
          </w:p>
        </w:tc>
        <w:tc>
          <w:tcPr>
            <w:tcW w:w="1151" w:type="pct"/>
            <w:shd w:val="clear" w:color="auto" w:fill="auto"/>
            <w:vAlign w:val="center"/>
          </w:tcPr>
          <w:p w14:paraId="59328C47" w14:textId="77777777"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w:t>
            </w:r>
          </w:p>
        </w:tc>
      </w:tr>
      <w:tr w:rsidR="00763EF2" w:rsidRPr="003B5F84" w14:paraId="36C865F7" w14:textId="77777777" w:rsidTr="00CB4A1F">
        <w:trPr>
          <w:cantSplit/>
        </w:trPr>
        <w:tc>
          <w:tcPr>
            <w:tcW w:w="1508" w:type="pct"/>
            <w:shd w:val="clear" w:color="auto" w:fill="auto"/>
            <w:vAlign w:val="center"/>
          </w:tcPr>
          <w:p w14:paraId="41E4D85F" w14:textId="7E3EE248" w:rsidR="00763EF2" w:rsidRPr="003B5F84" w:rsidRDefault="00763EF2" w:rsidP="00CB4A1F">
            <w:pPr>
              <w:keepNext/>
              <w:jc w:val="left"/>
              <w:rPr>
                <w:rFonts w:ascii="Arial Narrow" w:eastAsiaTheme="majorEastAsia" w:hAnsi="Arial Narrow" w:cstheme="majorBidi"/>
                <w:bCs/>
                <w:sz w:val="20"/>
                <w:szCs w:val="20"/>
                <w:lang w:val="en-US"/>
              </w:rPr>
            </w:pPr>
            <w:r w:rsidRPr="003B5F84">
              <w:rPr>
                <w:rFonts w:ascii="Arial Narrow" w:eastAsiaTheme="majorEastAsia" w:hAnsi="Arial Narrow" w:cstheme="majorBidi"/>
                <w:bCs/>
                <w:sz w:val="20"/>
                <w:szCs w:val="20"/>
                <w:lang w:val="en-US"/>
              </w:rPr>
              <w:t>Duration of exposure (excluding dose holds),</w:t>
            </w:r>
            <w:r w:rsidR="00846727">
              <w:rPr>
                <w:rFonts w:ascii="Arial Narrow" w:eastAsiaTheme="majorEastAsia" w:hAnsi="Arial Narrow" w:cstheme="majorBidi"/>
                <w:bCs/>
                <w:sz w:val="20"/>
                <w:szCs w:val="20"/>
                <w:vertAlign w:val="superscript"/>
                <w:lang w:val="en-US"/>
              </w:rPr>
              <w:t>c</w:t>
            </w:r>
            <w:r w:rsidRPr="003B5F84">
              <w:rPr>
                <w:rFonts w:ascii="Arial Narrow" w:eastAsiaTheme="majorEastAsia" w:hAnsi="Arial Narrow" w:cstheme="majorBidi"/>
                <w:bCs/>
                <w:sz w:val="20"/>
                <w:szCs w:val="20"/>
                <w:lang w:val="en-US"/>
              </w:rPr>
              <w:t xml:space="preserve"> months</w:t>
            </w:r>
          </w:p>
        </w:tc>
        <w:tc>
          <w:tcPr>
            <w:tcW w:w="1162" w:type="pct"/>
            <w:shd w:val="clear" w:color="auto" w:fill="auto"/>
            <w:vAlign w:val="center"/>
          </w:tcPr>
          <w:p w14:paraId="034D8823" w14:textId="3B046291"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6.01 (range 0.0, 17.8) [</w:t>
            </w:r>
            <w:r w:rsidR="00846727">
              <w:rPr>
                <w:rFonts w:ascii="Arial Narrow" w:eastAsiaTheme="majorEastAsia" w:hAnsi="Arial Narrow" w:cstheme="majorBidi"/>
                <w:sz w:val="20"/>
                <w:szCs w:val="20"/>
                <w:lang w:val="en-US"/>
              </w:rPr>
              <w:t>B</w:t>
            </w:r>
            <w:r w:rsidRPr="003B5F84">
              <w:rPr>
                <w:rFonts w:ascii="Arial Narrow" w:eastAsiaTheme="majorEastAsia" w:hAnsi="Arial Narrow" w:cstheme="majorBidi"/>
                <w:sz w:val="20"/>
                <w:szCs w:val="20"/>
                <w:lang w:val="en-US"/>
              </w:rPr>
              <w:t>]</w:t>
            </w:r>
          </w:p>
        </w:tc>
        <w:tc>
          <w:tcPr>
            <w:tcW w:w="1179" w:type="pct"/>
            <w:shd w:val="clear" w:color="auto" w:fill="auto"/>
            <w:vAlign w:val="center"/>
          </w:tcPr>
          <w:p w14:paraId="506C661A" w14:textId="77777777"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w:t>
            </w:r>
          </w:p>
        </w:tc>
        <w:tc>
          <w:tcPr>
            <w:tcW w:w="1151" w:type="pct"/>
            <w:shd w:val="clear" w:color="auto" w:fill="auto"/>
            <w:vAlign w:val="center"/>
          </w:tcPr>
          <w:p w14:paraId="6995E6E9" w14:textId="77777777"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w:t>
            </w:r>
          </w:p>
        </w:tc>
      </w:tr>
      <w:tr w:rsidR="00763EF2" w:rsidRPr="003B5F84" w14:paraId="4587557A" w14:textId="77777777" w:rsidTr="00CB4A1F">
        <w:trPr>
          <w:cantSplit/>
        </w:trPr>
        <w:tc>
          <w:tcPr>
            <w:tcW w:w="1508" w:type="pct"/>
            <w:shd w:val="clear" w:color="auto" w:fill="auto"/>
            <w:vAlign w:val="center"/>
          </w:tcPr>
          <w:p w14:paraId="40FC8F18" w14:textId="77777777" w:rsidR="00763EF2" w:rsidRPr="003B5F84" w:rsidRDefault="00763EF2" w:rsidP="00CB4A1F">
            <w:pPr>
              <w:keepNext/>
              <w:jc w:val="left"/>
              <w:rPr>
                <w:rFonts w:ascii="Arial Narrow" w:eastAsiaTheme="majorEastAsia" w:hAnsi="Arial Narrow" w:cstheme="majorBidi"/>
                <w:bCs/>
                <w:sz w:val="20"/>
                <w:szCs w:val="20"/>
                <w:lang w:val="en-US"/>
              </w:rPr>
            </w:pPr>
            <w:r w:rsidRPr="003B5F84">
              <w:rPr>
                <w:rFonts w:ascii="Arial Narrow" w:eastAsiaTheme="majorEastAsia" w:hAnsi="Arial Narrow" w:cstheme="majorBidi"/>
                <w:bCs/>
                <w:sz w:val="20"/>
                <w:szCs w:val="20"/>
                <w:lang w:val="en-US"/>
              </w:rPr>
              <w:t xml:space="preserve">Mean duration, months </w:t>
            </w:r>
          </w:p>
        </w:tc>
        <w:tc>
          <w:tcPr>
            <w:tcW w:w="1162" w:type="pct"/>
            <w:shd w:val="clear" w:color="auto" w:fill="auto"/>
            <w:vAlign w:val="center"/>
          </w:tcPr>
          <w:p w14:paraId="340A67CF" w14:textId="32461C3C"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7.04 [=</w:t>
            </w:r>
            <w:r w:rsidR="00846727">
              <w:rPr>
                <w:rFonts w:ascii="Arial Narrow" w:eastAsiaTheme="majorEastAsia" w:hAnsi="Arial Narrow" w:cstheme="majorBidi"/>
                <w:sz w:val="20"/>
                <w:szCs w:val="20"/>
                <w:lang w:val="en-US"/>
              </w:rPr>
              <w:t>C</w:t>
            </w:r>
            <w:r w:rsidRPr="003B5F84">
              <w:rPr>
                <w:rFonts w:ascii="Arial Narrow" w:eastAsiaTheme="majorEastAsia" w:hAnsi="Arial Narrow" w:cstheme="majorBidi"/>
                <w:sz w:val="20"/>
                <w:szCs w:val="20"/>
                <w:lang w:val="en-US"/>
              </w:rPr>
              <w:t>]</w:t>
            </w:r>
          </w:p>
        </w:tc>
        <w:tc>
          <w:tcPr>
            <w:tcW w:w="1179" w:type="pct"/>
            <w:shd w:val="clear" w:color="auto" w:fill="auto"/>
            <w:vAlign w:val="center"/>
          </w:tcPr>
          <w:p w14:paraId="0E3D2CBF" w14:textId="46B5EF2E"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Modelled time on treatment 8 months [</w:t>
            </w:r>
            <w:r w:rsidR="00846727">
              <w:rPr>
                <w:rFonts w:ascii="Arial Narrow" w:eastAsiaTheme="majorEastAsia" w:hAnsi="Arial Narrow" w:cstheme="majorBidi"/>
                <w:sz w:val="20"/>
                <w:szCs w:val="20"/>
                <w:lang w:val="en-US"/>
              </w:rPr>
              <w:t>D</w:t>
            </w:r>
            <w:r w:rsidRPr="003B5F84">
              <w:rPr>
                <w:rFonts w:ascii="Arial Narrow" w:eastAsiaTheme="majorEastAsia" w:hAnsi="Arial Narrow" w:cstheme="majorBidi"/>
                <w:sz w:val="20"/>
                <w:szCs w:val="20"/>
                <w:lang w:val="en-US"/>
              </w:rPr>
              <w:t>]</w:t>
            </w:r>
          </w:p>
        </w:tc>
        <w:tc>
          <w:tcPr>
            <w:tcW w:w="1151" w:type="pct"/>
            <w:shd w:val="clear" w:color="auto" w:fill="auto"/>
            <w:vAlign w:val="center"/>
          </w:tcPr>
          <w:p w14:paraId="5BEA45DF" w14:textId="4CA59931"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8 months [</w:t>
            </w:r>
            <w:r w:rsidR="00846727">
              <w:rPr>
                <w:rFonts w:ascii="Arial Narrow" w:eastAsiaTheme="majorEastAsia" w:hAnsi="Arial Narrow" w:cstheme="majorBidi"/>
                <w:sz w:val="20"/>
                <w:szCs w:val="20"/>
                <w:lang w:val="en-US"/>
              </w:rPr>
              <w:t>D</w:t>
            </w:r>
            <w:r w:rsidRPr="003B5F84">
              <w:rPr>
                <w:rFonts w:ascii="Arial Narrow" w:eastAsiaTheme="majorEastAsia" w:hAnsi="Arial Narrow" w:cstheme="majorBidi"/>
                <w:sz w:val="20"/>
                <w:szCs w:val="20"/>
                <w:lang w:val="en-US"/>
              </w:rPr>
              <w:t>]</w:t>
            </w:r>
          </w:p>
        </w:tc>
      </w:tr>
      <w:tr w:rsidR="00763EF2" w:rsidRPr="003B5F84" w14:paraId="68E21929" w14:textId="77777777" w:rsidTr="00CB4A1F">
        <w:trPr>
          <w:cantSplit/>
        </w:trPr>
        <w:tc>
          <w:tcPr>
            <w:tcW w:w="1508" w:type="pct"/>
            <w:shd w:val="clear" w:color="auto" w:fill="auto"/>
            <w:vAlign w:val="center"/>
          </w:tcPr>
          <w:p w14:paraId="73E6FE83" w14:textId="77777777" w:rsidR="00763EF2" w:rsidRPr="003B5F84" w:rsidRDefault="00763EF2" w:rsidP="00CB4A1F">
            <w:pPr>
              <w:keepNext/>
              <w:jc w:val="left"/>
              <w:rPr>
                <w:rFonts w:ascii="Arial Narrow" w:eastAsiaTheme="majorEastAsia" w:hAnsi="Arial Narrow" w:cstheme="majorBidi"/>
                <w:bCs/>
                <w:sz w:val="20"/>
                <w:szCs w:val="20"/>
                <w:lang w:val="en-US"/>
              </w:rPr>
            </w:pPr>
            <w:r w:rsidRPr="003B5F84">
              <w:rPr>
                <w:rFonts w:ascii="Arial Narrow" w:eastAsiaTheme="majorEastAsia" w:hAnsi="Arial Narrow" w:cstheme="majorBidi"/>
                <w:bCs/>
                <w:sz w:val="20"/>
                <w:szCs w:val="20"/>
                <w:lang w:val="en-US"/>
              </w:rPr>
              <w:t>Treatment interruption</w:t>
            </w:r>
          </w:p>
        </w:tc>
        <w:tc>
          <w:tcPr>
            <w:tcW w:w="1162" w:type="pct"/>
            <w:tcBorders>
              <w:bottom w:val="single" w:sz="4" w:space="0" w:color="auto"/>
            </w:tcBorders>
            <w:shd w:val="clear" w:color="auto" w:fill="auto"/>
            <w:vAlign w:val="center"/>
          </w:tcPr>
          <w:p w14:paraId="7FBED595" w14:textId="77777777"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w:t>
            </w:r>
          </w:p>
        </w:tc>
        <w:tc>
          <w:tcPr>
            <w:tcW w:w="1179" w:type="pct"/>
            <w:tcBorders>
              <w:bottom w:val="single" w:sz="4" w:space="0" w:color="auto"/>
            </w:tcBorders>
            <w:shd w:val="clear" w:color="auto" w:fill="auto"/>
            <w:vAlign w:val="center"/>
          </w:tcPr>
          <w:p w14:paraId="5714A7D8" w14:textId="103F46C7"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14.63% [</w:t>
            </w:r>
            <w:r w:rsidR="00846727">
              <w:rPr>
                <w:rFonts w:ascii="Arial Narrow" w:eastAsiaTheme="majorEastAsia" w:hAnsi="Arial Narrow" w:cstheme="majorBidi"/>
                <w:sz w:val="20"/>
                <w:szCs w:val="20"/>
                <w:lang w:val="en-US"/>
              </w:rPr>
              <w:t>E</w:t>
            </w:r>
            <w:r w:rsidRPr="003B5F84">
              <w:rPr>
                <w:rFonts w:ascii="Arial Narrow" w:eastAsiaTheme="majorEastAsia" w:hAnsi="Arial Narrow" w:cstheme="majorBidi"/>
                <w:sz w:val="20"/>
                <w:szCs w:val="20"/>
                <w:lang w:val="en-US"/>
              </w:rPr>
              <w:t xml:space="preserve"> = (</w:t>
            </w:r>
            <w:r w:rsidR="00846727">
              <w:rPr>
                <w:rFonts w:ascii="Arial Narrow" w:eastAsiaTheme="majorEastAsia" w:hAnsi="Arial Narrow" w:cstheme="majorBidi"/>
                <w:sz w:val="20"/>
                <w:szCs w:val="20"/>
                <w:lang w:val="en-US"/>
              </w:rPr>
              <w:t>A</w:t>
            </w:r>
            <w:r w:rsidRPr="003B5F84">
              <w:rPr>
                <w:rFonts w:ascii="Arial Narrow" w:eastAsiaTheme="majorEastAsia" w:hAnsi="Arial Narrow" w:cstheme="majorBidi"/>
                <w:sz w:val="20"/>
                <w:szCs w:val="20"/>
                <w:lang w:val="en-US"/>
              </w:rPr>
              <w:t>-</w:t>
            </w:r>
            <w:r w:rsidR="00846727">
              <w:rPr>
                <w:rFonts w:ascii="Arial Narrow" w:eastAsiaTheme="majorEastAsia" w:hAnsi="Arial Narrow" w:cstheme="majorBidi"/>
                <w:sz w:val="20"/>
                <w:szCs w:val="20"/>
                <w:lang w:val="en-US"/>
              </w:rPr>
              <w:t>B</w:t>
            </w:r>
            <w:r w:rsidRPr="003B5F84">
              <w:rPr>
                <w:rFonts w:ascii="Arial Narrow" w:eastAsiaTheme="majorEastAsia" w:hAnsi="Arial Narrow" w:cstheme="majorBidi"/>
                <w:sz w:val="20"/>
                <w:szCs w:val="20"/>
                <w:lang w:val="en-US"/>
              </w:rPr>
              <w:t>)/</w:t>
            </w:r>
            <w:r w:rsidR="00846727">
              <w:rPr>
                <w:rFonts w:ascii="Arial Narrow" w:eastAsiaTheme="majorEastAsia" w:hAnsi="Arial Narrow" w:cstheme="majorBidi"/>
                <w:sz w:val="20"/>
                <w:szCs w:val="20"/>
                <w:lang w:val="en-US"/>
              </w:rPr>
              <w:t>A</w:t>
            </w:r>
            <w:r w:rsidRPr="003B5F84">
              <w:rPr>
                <w:rFonts w:ascii="Arial Narrow" w:eastAsiaTheme="majorEastAsia" w:hAnsi="Arial Narrow" w:cstheme="majorBidi"/>
                <w:sz w:val="20"/>
                <w:szCs w:val="20"/>
                <w:lang w:val="en-US"/>
              </w:rPr>
              <w:t>]</w:t>
            </w:r>
          </w:p>
        </w:tc>
        <w:tc>
          <w:tcPr>
            <w:tcW w:w="1151" w:type="pct"/>
            <w:tcBorders>
              <w:bottom w:val="single" w:sz="4" w:space="0" w:color="auto"/>
            </w:tcBorders>
            <w:shd w:val="clear" w:color="auto" w:fill="auto"/>
            <w:vAlign w:val="center"/>
          </w:tcPr>
          <w:p w14:paraId="4E77E6E7" w14:textId="77777777"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Not considered</w:t>
            </w:r>
          </w:p>
        </w:tc>
      </w:tr>
      <w:tr w:rsidR="00763EF2" w:rsidRPr="003B5F84" w14:paraId="2F25F4A7" w14:textId="77777777" w:rsidTr="00CB4A1F">
        <w:trPr>
          <w:cantSplit/>
        </w:trPr>
        <w:tc>
          <w:tcPr>
            <w:tcW w:w="1508" w:type="pct"/>
            <w:shd w:val="clear" w:color="auto" w:fill="auto"/>
            <w:vAlign w:val="center"/>
          </w:tcPr>
          <w:p w14:paraId="44EC33A7" w14:textId="10764D3C" w:rsidR="00763EF2" w:rsidRPr="003B5F84" w:rsidRDefault="00763EF2" w:rsidP="00CB4A1F">
            <w:pPr>
              <w:keepNext/>
              <w:jc w:val="left"/>
              <w:rPr>
                <w:rFonts w:ascii="Arial Narrow" w:eastAsiaTheme="majorEastAsia" w:hAnsi="Arial Narrow" w:cstheme="majorBidi"/>
                <w:bCs/>
                <w:sz w:val="20"/>
                <w:szCs w:val="20"/>
                <w:lang w:val="en-US"/>
              </w:rPr>
            </w:pPr>
            <w:r w:rsidRPr="003B5F84">
              <w:rPr>
                <w:rFonts w:ascii="Arial Narrow" w:eastAsiaTheme="majorEastAsia" w:hAnsi="Arial Narrow" w:cstheme="majorBidi"/>
                <w:bCs/>
                <w:sz w:val="20"/>
                <w:szCs w:val="20"/>
              </w:rPr>
              <w:t xml:space="preserve">Cabozantinib 60 mg, 40 mg, 20 mg, proposed DPMQ </w:t>
            </w:r>
            <w:r w:rsidR="00846727">
              <w:rPr>
                <w:rFonts w:ascii="Arial Narrow" w:eastAsiaTheme="majorEastAsia" w:hAnsi="Arial Narrow" w:cstheme="majorBidi"/>
                <w:bCs/>
                <w:sz w:val="20"/>
                <w:szCs w:val="20"/>
              </w:rPr>
              <w:t>for 30 tablets</w:t>
            </w:r>
          </w:p>
        </w:tc>
        <w:tc>
          <w:tcPr>
            <w:tcW w:w="1162" w:type="pct"/>
            <w:shd w:val="clear" w:color="auto" w:fill="auto"/>
            <w:vAlign w:val="center"/>
          </w:tcPr>
          <w:p w14:paraId="34866DE0" w14:textId="77777777"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w:t>
            </w:r>
          </w:p>
        </w:tc>
        <w:tc>
          <w:tcPr>
            <w:tcW w:w="2330" w:type="pct"/>
            <w:gridSpan w:val="2"/>
            <w:shd w:val="clear" w:color="auto" w:fill="auto"/>
            <w:vAlign w:val="center"/>
          </w:tcPr>
          <w:p w14:paraId="24320CE8" w14:textId="44E388A3"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 xml:space="preserve">Effective DPMQ </w:t>
            </w:r>
            <w:r w:rsidR="00B1620B">
              <w:rPr>
                <w:rFonts w:ascii="Arial Narrow" w:eastAsiaTheme="majorEastAsia" w:hAnsi="Arial Narrow" w:cstheme="majorBidi"/>
                <w:sz w:val="20"/>
                <w:szCs w:val="20"/>
                <w:lang w:val="en-US"/>
              </w:rPr>
              <w:t>$</w:t>
            </w:r>
            <w:r w:rsidR="005860C6" w:rsidRPr="005860C6">
              <w:rPr>
                <w:rFonts w:ascii="Arial Narrow" w:eastAsiaTheme="majorEastAsia" w:hAnsi="Arial Narrow" w:cstheme="majorBidi"/>
                <w:color w:val="000000"/>
                <w:sz w:val="20"/>
                <w:szCs w:val="20"/>
                <w:shd w:val="solid" w:color="000000" w:fill="000000"/>
                <w:lang w:val="en-US"/>
                <w14:textFill>
                  <w14:solidFill>
                    <w14:srgbClr w14:val="000000">
                      <w14:alpha w14:val="100000"/>
                    </w14:srgbClr>
                  </w14:solidFill>
                </w14:textFill>
              </w:rPr>
              <w:t>|</w:t>
            </w:r>
            <w:r w:rsidR="00620DBA">
              <w:rPr>
                <w:rFonts w:ascii="Arial Narrow" w:eastAsiaTheme="majorEastAsia" w:hAnsi="Arial Narrow" w:cstheme="majorBidi"/>
                <w:sz w:val="20"/>
                <w:szCs w:val="20"/>
                <w:lang w:val="en-US"/>
              </w:rPr>
              <w:t xml:space="preserve"> </w:t>
            </w:r>
            <w:r w:rsidRPr="003B5F84">
              <w:rPr>
                <w:rFonts w:ascii="Arial Narrow" w:eastAsiaTheme="majorEastAsia" w:hAnsi="Arial Narrow" w:cstheme="majorBidi"/>
                <w:sz w:val="20"/>
                <w:szCs w:val="20"/>
                <w:lang w:val="en-US"/>
              </w:rPr>
              <w:t xml:space="preserve"> [</w:t>
            </w:r>
            <w:r w:rsidR="00846727">
              <w:rPr>
                <w:rFonts w:ascii="Arial Narrow" w:eastAsiaTheme="majorEastAsia" w:hAnsi="Arial Narrow" w:cstheme="majorBidi"/>
                <w:sz w:val="20"/>
                <w:szCs w:val="20"/>
                <w:lang w:val="en-US"/>
              </w:rPr>
              <w:t>F</w:t>
            </w:r>
            <w:r w:rsidRPr="003B5F84">
              <w:rPr>
                <w:rFonts w:ascii="Arial Narrow" w:eastAsiaTheme="majorEastAsia" w:hAnsi="Arial Narrow" w:cstheme="majorBidi"/>
                <w:sz w:val="20"/>
                <w:szCs w:val="20"/>
                <w:lang w:val="en-US"/>
              </w:rPr>
              <w:t>]</w:t>
            </w:r>
          </w:p>
        </w:tc>
      </w:tr>
      <w:tr w:rsidR="00763EF2" w:rsidRPr="003B5F84" w14:paraId="55D31BE5" w14:textId="77777777" w:rsidTr="00CB4A1F">
        <w:trPr>
          <w:cantSplit/>
        </w:trPr>
        <w:tc>
          <w:tcPr>
            <w:tcW w:w="1508" w:type="pct"/>
            <w:shd w:val="clear" w:color="auto" w:fill="auto"/>
            <w:vAlign w:val="center"/>
          </w:tcPr>
          <w:p w14:paraId="45DD9508" w14:textId="77777777" w:rsidR="00763EF2" w:rsidRPr="003B5F84" w:rsidRDefault="00763EF2" w:rsidP="00CB4A1F">
            <w:pPr>
              <w:keepNext/>
              <w:jc w:val="left"/>
              <w:rPr>
                <w:rFonts w:ascii="Arial Narrow" w:eastAsiaTheme="majorEastAsia" w:hAnsi="Arial Narrow" w:cstheme="majorBidi"/>
                <w:bCs/>
                <w:sz w:val="20"/>
                <w:szCs w:val="20"/>
              </w:rPr>
            </w:pPr>
            <w:r w:rsidRPr="003B5F84">
              <w:rPr>
                <w:rFonts w:ascii="Arial Narrow" w:eastAsiaTheme="majorEastAsia" w:hAnsi="Arial Narrow" w:cstheme="majorBidi"/>
                <w:bCs/>
                <w:sz w:val="20"/>
                <w:szCs w:val="20"/>
              </w:rPr>
              <w:t xml:space="preserve">Cost per day </w:t>
            </w:r>
          </w:p>
        </w:tc>
        <w:tc>
          <w:tcPr>
            <w:tcW w:w="1162" w:type="pct"/>
            <w:shd w:val="clear" w:color="auto" w:fill="auto"/>
            <w:vAlign w:val="center"/>
          </w:tcPr>
          <w:p w14:paraId="60AB23A1" w14:textId="77777777"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w:t>
            </w:r>
          </w:p>
        </w:tc>
        <w:tc>
          <w:tcPr>
            <w:tcW w:w="2330" w:type="pct"/>
            <w:gridSpan w:val="2"/>
            <w:shd w:val="clear" w:color="auto" w:fill="auto"/>
            <w:vAlign w:val="center"/>
          </w:tcPr>
          <w:p w14:paraId="2082D286" w14:textId="76F5D085" w:rsidR="00763EF2" w:rsidRPr="003B5F84" w:rsidRDefault="00B1620B" w:rsidP="00CB4A1F">
            <w:pPr>
              <w:keepNext/>
              <w:jc w:val="center"/>
              <w:rPr>
                <w:rFonts w:ascii="Arial Narrow" w:eastAsiaTheme="majorEastAsia" w:hAnsi="Arial Narrow" w:cstheme="majorBidi"/>
                <w:sz w:val="20"/>
                <w:szCs w:val="20"/>
                <w:lang w:val="en-US"/>
              </w:rPr>
            </w:pPr>
            <w:r>
              <w:rPr>
                <w:rFonts w:ascii="Arial Narrow" w:eastAsiaTheme="majorEastAsia" w:hAnsi="Arial Narrow" w:cstheme="majorBidi"/>
                <w:sz w:val="20"/>
                <w:szCs w:val="20"/>
                <w:lang w:val="en-US"/>
              </w:rPr>
              <w:t>$</w:t>
            </w:r>
            <w:r w:rsidR="005860C6" w:rsidRPr="005860C6">
              <w:rPr>
                <w:rFonts w:ascii="Arial Narrow" w:eastAsiaTheme="majorEastAsia" w:hAnsi="Arial Narrow" w:cstheme="majorBidi"/>
                <w:color w:val="000000"/>
                <w:sz w:val="20"/>
                <w:szCs w:val="20"/>
                <w:shd w:val="solid" w:color="000000" w:fill="000000"/>
                <w:lang w:val="en-US"/>
                <w14:textFill>
                  <w14:solidFill>
                    <w14:srgbClr w14:val="000000">
                      <w14:alpha w14:val="100000"/>
                    </w14:srgbClr>
                  </w14:solidFill>
                </w14:textFill>
              </w:rPr>
              <w:t>|</w:t>
            </w:r>
            <w:r w:rsidR="00763EF2" w:rsidRPr="003B5F84">
              <w:rPr>
                <w:rFonts w:ascii="Arial Narrow" w:eastAsiaTheme="majorEastAsia" w:hAnsi="Arial Narrow" w:cstheme="majorBidi"/>
                <w:sz w:val="20"/>
                <w:szCs w:val="20"/>
                <w:lang w:val="en-US"/>
              </w:rPr>
              <w:t xml:space="preserve"> </w:t>
            </w:r>
            <w:r w:rsidR="00620DBA">
              <w:rPr>
                <w:rFonts w:ascii="Arial Narrow" w:eastAsiaTheme="majorEastAsia" w:hAnsi="Arial Narrow" w:cstheme="majorBidi"/>
                <w:sz w:val="20"/>
                <w:szCs w:val="20"/>
                <w:lang w:val="en-US"/>
              </w:rPr>
              <w:t xml:space="preserve"> </w:t>
            </w:r>
            <w:r w:rsidR="00846727">
              <w:rPr>
                <w:rFonts w:ascii="Arial Narrow" w:eastAsiaTheme="majorEastAsia" w:hAnsi="Arial Narrow" w:cstheme="majorBidi"/>
                <w:sz w:val="20"/>
                <w:szCs w:val="20"/>
                <w:lang w:val="en-US"/>
              </w:rPr>
              <w:t>[G</w:t>
            </w:r>
            <w:r w:rsidR="00763EF2" w:rsidRPr="003B5F84">
              <w:rPr>
                <w:rFonts w:ascii="Arial Narrow" w:eastAsiaTheme="majorEastAsia" w:hAnsi="Arial Narrow" w:cstheme="majorBidi"/>
                <w:sz w:val="20"/>
                <w:szCs w:val="20"/>
                <w:lang w:val="en-US"/>
              </w:rPr>
              <w:t>=</w:t>
            </w:r>
            <w:r w:rsidR="00846727">
              <w:rPr>
                <w:rFonts w:ascii="Arial Narrow" w:eastAsiaTheme="majorEastAsia" w:hAnsi="Arial Narrow" w:cstheme="majorBidi"/>
                <w:sz w:val="20"/>
                <w:szCs w:val="20"/>
                <w:lang w:val="en-US"/>
              </w:rPr>
              <w:t>F/30</w:t>
            </w:r>
            <w:r w:rsidR="00763EF2" w:rsidRPr="003B5F84">
              <w:rPr>
                <w:rFonts w:ascii="Arial Narrow" w:eastAsiaTheme="majorEastAsia" w:hAnsi="Arial Narrow" w:cstheme="majorBidi"/>
                <w:sz w:val="20"/>
                <w:szCs w:val="20"/>
                <w:lang w:val="en-US"/>
              </w:rPr>
              <w:t>]</w:t>
            </w:r>
          </w:p>
        </w:tc>
      </w:tr>
      <w:tr w:rsidR="00763EF2" w:rsidRPr="003B5F84" w14:paraId="16371DF3" w14:textId="77777777" w:rsidTr="001D35DE">
        <w:trPr>
          <w:cantSplit/>
        </w:trPr>
        <w:tc>
          <w:tcPr>
            <w:tcW w:w="1508" w:type="pct"/>
            <w:shd w:val="clear" w:color="auto" w:fill="auto"/>
            <w:vAlign w:val="center"/>
          </w:tcPr>
          <w:p w14:paraId="1EE20965" w14:textId="77777777" w:rsidR="00763EF2" w:rsidRPr="003B5F84" w:rsidRDefault="00763EF2" w:rsidP="00CB4A1F">
            <w:pPr>
              <w:keepNext/>
              <w:jc w:val="left"/>
              <w:rPr>
                <w:rFonts w:ascii="Arial Narrow" w:eastAsiaTheme="majorEastAsia" w:hAnsi="Arial Narrow" w:cstheme="majorBidi"/>
                <w:bCs/>
                <w:sz w:val="20"/>
                <w:szCs w:val="20"/>
              </w:rPr>
            </w:pPr>
            <w:r w:rsidRPr="003B5F84">
              <w:rPr>
                <w:rFonts w:ascii="Arial Narrow" w:eastAsiaTheme="majorEastAsia" w:hAnsi="Arial Narrow" w:cstheme="majorBidi"/>
                <w:bCs/>
                <w:sz w:val="20"/>
                <w:szCs w:val="20"/>
              </w:rPr>
              <w:t>Scripts/course</w:t>
            </w:r>
          </w:p>
        </w:tc>
        <w:tc>
          <w:tcPr>
            <w:tcW w:w="1162" w:type="pct"/>
            <w:shd w:val="clear" w:color="auto" w:fill="auto"/>
          </w:tcPr>
          <w:p w14:paraId="608F1C11" w14:textId="77777777" w:rsidR="00763EF2" w:rsidRPr="003B5F84" w:rsidRDefault="00763EF2" w:rsidP="00CB4A1F">
            <w:pPr>
              <w:keepNext/>
              <w:jc w:val="center"/>
              <w:rPr>
                <w:rFonts w:ascii="Arial Narrow" w:eastAsiaTheme="majorEastAsia" w:hAnsi="Arial Narrow" w:cstheme="majorBidi"/>
                <w:sz w:val="20"/>
                <w:szCs w:val="20"/>
                <w:lang w:val="en-US"/>
              </w:rPr>
            </w:pPr>
            <w:r w:rsidRPr="00365847">
              <w:rPr>
                <w:rFonts w:ascii="Arial Narrow" w:eastAsiaTheme="majorEastAsia" w:hAnsi="Arial Narrow" w:cstheme="majorBidi"/>
                <w:sz w:val="20"/>
                <w:szCs w:val="20"/>
                <w:lang w:val="en-US"/>
              </w:rPr>
              <w:t>−</w:t>
            </w:r>
          </w:p>
        </w:tc>
        <w:tc>
          <w:tcPr>
            <w:tcW w:w="1179" w:type="pct"/>
            <w:shd w:val="clear" w:color="auto" w:fill="auto"/>
            <w:vAlign w:val="center"/>
          </w:tcPr>
          <w:p w14:paraId="6D3490BD" w14:textId="77777777"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w:t>
            </w:r>
          </w:p>
        </w:tc>
        <w:tc>
          <w:tcPr>
            <w:tcW w:w="1151" w:type="pct"/>
            <w:shd w:val="clear" w:color="auto" w:fill="auto"/>
            <w:vAlign w:val="center"/>
          </w:tcPr>
          <w:p w14:paraId="14A19754" w14:textId="710B010E"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8 [</w:t>
            </w:r>
            <w:r w:rsidR="00846727">
              <w:rPr>
                <w:rFonts w:ascii="Arial Narrow" w:eastAsiaTheme="majorEastAsia" w:hAnsi="Arial Narrow" w:cstheme="majorBidi"/>
                <w:sz w:val="20"/>
                <w:szCs w:val="20"/>
                <w:lang w:val="en-US"/>
              </w:rPr>
              <w:t>H</w:t>
            </w:r>
            <w:r w:rsidRPr="003B5F84">
              <w:rPr>
                <w:rFonts w:ascii="Arial Narrow" w:eastAsiaTheme="majorEastAsia" w:hAnsi="Arial Narrow" w:cstheme="majorBidi"/>
                <w:sz w:val="20"/>
                <w:szCs w:val="20"/>
                <w:lang w:val="en-US"/>
              </w:rPr>
              <w:t>]</w:t>
            </w:r>
          </w:p>
        </w:tc>
      </w:tr>
      <w:tr w:rsidR="00763EF2" w:rsidRPr="003B5F84" w14:paraId="34C3A19C" w14:textId="77777777" w:rsidTr="001D35DE">
        <w:trPr>
          <w:cantSplit/>
        </w:trPr>
        <w:tc>
          <w:tcPr>
            <w:tcW w:w="1508" w:type="pct"/>
            <w:shd w:val="clear" w:color="auto" w:fill="auto"/>
            <w:vAlign w:val="center"/>
          </w:tcPr>
          <w:p w14:paraId="4E1F198B" w14:textId="77777777" w:rsidR="00763EF2" w:rsidRPr="003B5F84" w:rsidRDefault="00763EF2" w:rsidP="00CB4A1F">
            <w:pPr>
              <w:keepNext/>
              <w:jc w:val="left"/>
              <w:rPr>
                <w:rFonts w:ascii="Arial Narrow" w:eastAsiaTheme="majorEastAsia" w:hAnsi="Arial Narrow" w:cstheme="majorBidi"/>
                <w:bCs/>
                <w:sz w:val="20"/>
                <w:szCs w:val="20"/>
              </w:rPr>
            </w:pPr>
            <w:r w:rsidRPr="003B5F84">
              <w:rPr>
                <w:rFonts w:ascii="Arial Narrow" w:eastAsiaTheme="majorEastAsia" w:hAnsi="Arial Narrow" w:cstheme="majorBidi"/>
                <w:bCs/>
                <w:sz w:val="20"/>
                <w:szCs w:val="20"/>
              </w:rPr>
              <w:t>Cost/model cycle</w:t>
            </w:r>
          </w:p>
        </w:tc>
        <w:tc>
          <w:tcPr>
            <w:tcW w:w="1162" w:type="pct"/>
            <w:shd w:val="clear" w:color="auto" w:fill="auto"/>
          </w:tcPr>
          <w:p w14:paraId="1A23D70B" w14:textId="77777777" w:rsidR="00763EF2" w:rsidRPr="003B5F84" w:rsidRDefault="00763EF2" w:rsidP="00CB4A1F">
            <w:pPr>
              <w:keepNext/>
              <w:jc w:val="center"/>
              <w:rPr>
                <w:rFonts w:ascii="Arial Narrow" w:eastAsiaTheme="majorEastAsia" w:hAnsi="Arial Narrow" w:cstheme="majorBidi"/>
                <w:sz w:val="20"/>
                <w:szCs w:val="20"/>
                <w:lang w:val="en-US"/>
              </w:rPr>
            </w:pPr>
            <w:r w:rsidRPr="00365847">
              <w:rPr>
                <w:rFonts w:ascii="Arial Narrow" w:eastAsiaTheme="majorEastAsia" w:hAnsi="Arial Narrow" w:cstheme="majorBidi"/>
                <w:sz w:val="20"/>
                <w:szCs w:val="20"/>
                <w:lang w:val="en-US"/>
              </w:rPr>
              <w:t>−</w:t>
            </w:r>
          </w:p>
        </w:tc>
        <w:tc>
          <w:tcPr>
            <w:tcW w:w="1179" w:type="pct"/>
            <w:shd w:val="clear" w:color="auto" w:fill="auto"/>
            <w:vAlign w:val="center"/>
          </w:tcPr>
          <w:p w14:paraId="6BFD89E6" w14:textId="7A7B3781" w:rsidR="00763EF2" w:rsidRPr="003B5F84" w:rsidRDefault="00B1620B" w:rsidP="00CB4A1F">
            <w:pPr>
              <w:keepNext/>
              <w:jc w:val="center"/>
              <w:rPr>
                <w:rFonts w:ascii="Arial Narrow" w:eastAsiaTheme="majorEastAsia" w:hAnsi="Arial Narrow" w:cstheme="majorBidi"/>
                <w:sz w:val="20"/>
                <w:szCs w:val="20"/>
                <w:lang w:val="en-US"/>
              </w:rPr>
            </w:pPr>
            <w:r>
              <w:rPr>
                <w:rFonts w:ascii="Arial Narrow" w:eastAsiaTheme="majorEastAsia" w:hAnsi="Arial Narrow" w:cstheme="majorBidi"/>
                <w:sz w:val="20"/>
                <w:szCs w:val="20"/>
                <w:lang w:val="en-US"/>
              </w:rPr>
              <w:t>$</w:t>
            </w:r>
            <w:r w:rsidR="005860C6" w:rsidRPr="00B1620B">
              <w:rPr>
                <w:rFonts w:ascii="Arial Narrow" w:eastAsiaTheme="majorEastAsia" w:hAnsi="Arial Narrow" w:cstheme="majorBidi" w:hint="eastAsia"/>
                <w:color w:val="000000"/>
                <w:spacing w:val="36"/>
                <w:w w:val="18"/>
                <w:sz w:val="20"/>
                <w:szCs w:val="20"/>
                <w:shd w:val="solid" w:color="000000" w:fill="000000"/>
                <w:fitText w:val="80" w:id="-1032107004"/>
                <w:lang w:val="en-US"/>
                <w14:textFill>
                  <w14:solidFill>
                    <w14:srgbClr w14:val="000000">
                      <w14:alpha w14:val="100000"/>
                    </w14:srgbClr>
                  </w14:solidFill>
                </w14:textFill>
              </w:rPr>
              <w:t xml:space="preserve">　</w:t>
            </w:r>
            <w:r w:rsidR="005860C6" w:rsidRPr="00B1620B">
              <w:rPr>
                <w:rFonts w:ascii="Arial Narrow" w:eastAsiaTheme="majorEastAsia" w:hAnsi="Arial Narrow" w:cstheme="majorBidi"/>
                <w:color w:val="000000"/>
                <w:spacing w:val="1"/>
                <w:w w:val="18"/>
                <w:sz w:val="20"/>
                <w:szCs w:val="20"/>
                <w:shd w:val="solid" w:color="000000" w:fill="000000"/>
                <w:fitText w:val="80" w:id="-1032107004"/>
                <w:lang w:val="en-US"/>
                <w14:textFill>
                  <w14:solidFill>
                    <w14:srgbClr w14:val="000000">
                      <w14:alpha w14:val="100000"/>
                    </w14:srgbClr>
                  </w14:solidFill>
                </w14:textFill>
              </w:rPr>
              <w:t>|</w:t>
            </w:r>
            <w:r w:rsidR="00620DBA" w:rsidRPr="00D22B13">
              <w:rPr>
                <w:rFonts w:ascii="Arial Narrow" w:eastAsiaTheme="majorEastAsia" w:hAnsi="Arial Narrow" w:cstheme="majorBidi"/>
                <w:sz w:val="20"/>
                <w:szCs w:val="20"/>
                <w:lang w:val="en-US"/>
              </w:rPr>
              <w:t xml:space="preserve"> </w:t>
            </w:r>
            <w:r w:rsidR="00763EF2" w:rsidRPr="00C06015">
              <w:rPr>
                <w:rFonts w:ascii="Arial Narrow" w:eastAsiaTheme="majorEastAsia" w:hAnsi="Arial Narrow" w:cstheme="majorBidi"/>
                <w:sz w:val="20"/>
                <w:szCs w:val="20"/>
                <w:lang w:val="en-US"/>
              </w:rPr>
              <w:t xml:space="preserve"> [</w:t>
            </w:r>
            <w:r w:rsidR="00846727" w:rsidRPr="00C06015">
              <w:rPr>
                <w:rFonts w:ascii="Arial Narrow" w:eastAsiaTheme="majorEastAsia" w:hAnsi="Arial Narrow" w:cstheme="majorBidi"/>
                <w:sz w:val="20"/>
                <w:szCs w:val="20"/>
                <w:lang w:val="en-US"/>
              </w:rPr>
              <w:t>I</w:t>
            </w:r>
            <w:r w:rsidR="00763EF2" w:rsidRPr="00C06015">
              <w:rPr>
                <w:rFonts w:ascii="Arial Narrow" w:eastAsiaTheme="majorEastAsia" w:hAnsi="Arial Narrow" w:cstheme="majorBidi"/>
                <w:sz w:val="20"/>
                <w:szCs w:val="20"/>
                <w:lang w:val="en-US"/>
              </w:rPr>
              <w:t>=</w:t>
            </w:r>
            <w:r w:rsidR="00846727" w:rsidRPr="00C06015">
              <w:rPr>
                <w:rFonts w:ascii="Arial Narrow" w:eastAsiaTheme="majorEastAsia" w:hAnsi="Arial Narrow" w:cstheme="majorBidi"/>
                <w:sz w:val="20"/>
                <w:szCs w:val="20"/>
                <w:lang w:val="en-US"/>
              </w:rPr>
              <w:t>G</w:t>
            </w:r>
            <w:r w:rsidR="00763EF2" w:rsidRPr="00C06015">
              <w:rPr>
                <w:rFonts w:ascii="Arial Narrow" w:eastAsiaTheme="majorEastAsia" w:hAnsi="Arial Narrow" w:cstheme="majorBidi"/>
                <w:sz w:val="20"/>
                <w:szCs w:val="20"/>
                <w:lang w:val="en-US"/>
              </w:rPr>
              <w:t xml:space="preserve"> x 28]</w:t>
            </w:r>
          </w:p>
        </w:tc>
        <w:tc>
          <w:tcPr>
            <w:tcW w:w="1151" w:type="pct"/>
            <w:shd w:val="clear" w:color="auto" w:fill="auto"/>
            <w:vAlign w:val="center"/>
          </w:tcPr>
          <w:p w14:paraId="78A032A3" w14:textId="77777777" w:rsidR="00763EF2" w:rsidRPr="003B5F84" w:rsidRDefault="00763EF2" w:rsidP="00CB4A1F">
            <w:pPr>
              <w:keepNext/>
              <w:jc w:val="center"/>
              <w:rPr>
                <w:rFonts w:ascii="Arial Narrow" w:eastAsiaTheme="majorEastAsia" w:hAnsi="Arial Narrow" w:cstheme="majorBidi"/>
                <w:sz w:val="20"/>
                <w:szCs w:val="20"/>
                <w:lang w:val="en-US"/>
              </w:rPr>
            </w:pPr>
            <w:r w:rsidRPr="00E7375A">
              <w:rPr>
                <w:rFonts w:ascii="Arial Narrow" w:eastAsiaTheme="majorEastAsia" w:hAnsi="Arial Narrow" w:cstheme="majorBidi"/>
                <w:sz w:val="20"/>
                <w:szCs w:val="20"/>
                <w:lang w:val="en-US"/>
              </w:rPr>
              <w:t>−</w:t>
            </w:r>
          </w:p>
        </w:tc>
      </w:tr>
      <w:tr w:rsidR="00F5182A" w:rsidRPr="003B5F84" w14:paraId="1AED5B3E" w14:textId="77777777" w:rsidTr="00CB4A1F">
        <w:trPr>
          <w:cantSplit/>
        </w:trPr>
        <w:tc>
          <w:tcPr>
            <w:tcW w:w="1508" w:type="pct"/>
            <w:vAlign w:val="center"/>
          </w:tcPr>
          <w:p w14:paraId="501BA407" w14:textId="77777777" w:rsidR="00763EF2" w:rsidRPr="003B5F84" w:rsidRDefault="00763EF2" w:rsidP="00CB4A1F">
            <w:pPr>
              <w:keepNext/>
              <w:jc w:val="left"/>
              <w:rPr>
                <w:rFonts w:ascii="Arial Narrow" w:eastAsiaTheme="majorEastAsia" w:hAnsi="Arial Narrow" w:cstheme="majorBidi"/>
                <w:sz w:val="20"/>
                <w:szCs w:val="20"/>
              </w:rPr>
            </w:pPr>
            <w:r w:rsidRPr="003B5F84">
              <w:rPr>
                <w:rFonts w:ascii="Arial Narrow" w:eastAsiaTheme="majorEastAsia" w:hAnsi="Arial Narrow" w:cstheme="majorBidi"/>
                <w:sz w:val="20"/>
                <w:szCs w:val="20"/>
              </w:rPr>
              <w:t>Cost/course</w:t>
            </w:r>
          </w:p>
        </w:tc>
        <w:tc>
          <w:tcPr>
            <w:tcW w:w="1162" w:type="pct"/>
            <w:shd w:val="clear" w:color="auto" w:fill="auto"/>
          </w:tcPr>
          <w:p w14:paraId="4F708FE3" w14:textId="77777777" w:rsidR="00763EF2" w:rsidRPr="003B5F84" w:rsidRDefault="00763EF2" w:rsidP="00CB4A1F">
            <w:pPr>
              <w:keepNext/>
              <w:jc w:val="center"/>
              <w:rPr>
                <w:rFonts w:ascii="Arial Narrow" w:eastAsiaTheme="majorEastAsia" w:hAnsi="Arial Narrow" w:cstheme="majorBidi"/>
                <w:sz w:val="20"/>
                <w:szCs w:val="20"/>
                <w:lang w:val="en-US"/>
              </w:rPr>
            </w:pPr>
            <w:r w:rsidRPr="00365847">
              <w:rPr>
                <w:rFonts w:ascii="Arial Narrow" w:eastAsiaTheme="majorEastAsia" w:hAnsi="Arial Narrow" w:cstheme="majorBidi"/>
                <w:sz w:val="20"/>
                <w:szCs w:val="20"/>
                <w:lang w:val="en-US"/>
              </w:rPr>
              <w:t>−</w:t>
            </w:r>
          </w:p>
        </w:tc>
        <w:tc>
          <w:tcPr>
            <w:tcW w:w="1179" w:type="pct"/>
            <w:vAlign w:val="center"/>
          </w:tcPr>
          <w:p w14:paraId="2C4CCE29" w14:textId="3A2A0053" w:rsidR="00763EF2" w:rsidRPr="00E7375A" w:rsidRDefault="00763EF2" w:rsidP="00CB4A1F">
            <w:pPr>
              <w:keepNext/>
              <w:jc w:val="center"/>
              <w:rPr>
                <w:rFonts w:ascii="Arial Narrow" w:eastAsiaTheme="majorEastAsia" w:hAnsi="Arial Narrow" w:cstheme="majorBidi"/>
                <w:sz w:val="20"/>
                <w:szCs w:val="20"/>
              </w:rPr>
            </w:pPr>
            <w:r w:rsidRPr="00E7375A">
              <w:rPr>
                <w:rFonts w:ascii="Arial Narrow" w:eastAsiaTheme="majorEastAsia" w:hAnsi="Arial Narrow" w:cstheme="majorBidi"/>
                <w:sz w:val="20"/>
                <w:szCs w:val="20"/>
              </w:rPr>
              <w:t xml:space="preserve">Per course: </w:t>
            </w:r>
            <w:r w:rsidR="00B1620B">
              <w:rPr>
                <w:rFonts w:ascii="Arial Narrow" w:eastAsiaTheme="majorEastAsia" w:hAnsi="Arial Narrow" w:cstheme="majorBidi"/>
                <w:sz w:val="20"/>
                <w:szCs w:val="20"/>
              </w:rPr>
              <w:t>$</w:t>
            </w:r>
            <w:r w:rsidR="005860C6" w:rsidRPr="00737A69">
              <w:rPr>
                <w:rFonts w:ascii="Arial Narrow" w:eastAsiaTheme="majorEastAsia" w:hAnsi="Arial Narrow" w:cstheme="majorBidi" w:hint="eastAsia"/>
                <w:color w:val="000000"/>
                <w:w w:val="15"/>
                <w:sz w:val="20"/>
                <w:szCs w:val="20"/>
                <w:shd w:val="solid" w:color="000000" w:fill="000000"/>
                <w:fitText w:val="10" w:id="-1032107003"/>
                <w14:textFill>
                  <w14:solidFill>
                    <w14:srgbClr w14:val="000000">
                      <w14:alpha w14:val="100000"/>
                    </w14:srgbClr>
                  </w14:solidFill>
                </w14:textFill>
              </w:rPr>
              <w:t xml:space="preserve">　</w:t>
            </w:r>
            <w:r w:rsidR="005860C6" w:rsidRPr="00737A69">
              <w:rPr>
                <w:rFonts w:ascii="Arial Narrow" w:eastAsiaTheme="majorEastAsia" w:hAnsi="Arial Narrow" w:cstheme="majorBidi"/>
                <w:color w:val="000000"/>
                <w:w w:val="15"/>
                <w:sz w:val="20"/>
                <w:szCs w:val="20"/>
                <w:shd w:val="solid" w:color="000000" w:fill="000000"/>
                <w:fitText w:val="10" w:id="-1032107003"/>
                <w14:textFill>
                  <w14:solidFill>
                    <w14:srgbClr w14:val="000000">
                      <w14:alpha w14:val="100000"/>
                    </w14:srgbClr>
                  </w14:solidFill>
                </w14:textFill>
              </w:rPr>
              <w:t>|</w:t>
            </w:r>
            <w:r w:rsidR="005860C6" w:rsidRPr="00737A69">
              <w:rPr>
                <w:rFonts w:ascii="Arial Narrow" w:eastAsiaTheme="majorEastAsia" w:hAnsi="Arial Narrow" w:cstheme="majorBidi" w:hint="eastAsia"/>
                <w:color w:val="000000"/>
                <w:spacing w:val="-55"/>
                <w:w w:val="15"/>
                <w:sz w:val="20"/>
                <w:szCs w:val="20"/>
                <w:shd w:val="solid" w:color="000000" w:fill="000000"/>
                <w:fitText w:val="10" w:id="-1032107003"/>
                <w14:textFill>
                  <w14:solidFill>
                    <w14:srgbClr w14:val="000000">
                      <w14:alpha w14:val="100000"/>
                    </w14:srgbClr>
                  </w14:solidFill>
                </w14:textFill>
              </w:rPr>
              <w:t xml:space="preserve">　</w:t>
            </w:r>
            <w:r w:rsidR="00620DBA">
              <w:rPr>
                <w:rFonts w:ascii="Arial Narrow" w:eastAsiaTheme="majorEastAsia" w:hAnsi="Arial Narrow" w:cstheme="majorBidi"/>
                <w:sz w:val="20"/>
                <w:szCs w:val="20"/>
              </w:rPr>
              <w:t xml:space="preserve"> </w:t>
            </w:r>
          </w:p>
          <w:p w14:paraId="198DB471" w14:textId="20C99350" w:rsidR="00763EF2" w:rsidRPr="003B5F84" w:rsidRDefault="00763EF2" w:rsidP="00CB4A1F">
            <w:pPr>
              <w:keepNext/>
              <w:jc w:val="center"/>
              <w:rPr>
                <w:rFonts w:ascii="Arial Narrow" w:eastAsiaTheme="majorEastAsia" w:hAnsi="Arial Narrow" w:cstheme="majorBidi"/>
                <w:sz w:val="20"/>
                <w:szCs w:val="20"/>
              </w:rPr>
            </w:pPr>
            <w:r w:rsidRPr="00E7375A">
              <w:rPr>
                <w:rFonts w:ascii="Arial Narrow" w:eastAsiaTheme="majorEastAsia" w:hAnsi="Arial Narrow" w:cstheme="majorBidi"/>
                <w:sz w:val="20"/>
                <w:szCs w:val="20"/>
              </w:rPr>
              <w:t>[</w:t>
            </w:r>
            <w:r w:rsidR="00846727">
              <w:rPr>
                <w:rFonts w:ascii="Arial Narrow" w:eastAsiaTheme="majorEastAsia" w:hAnsi="Arial Narrow" w:cstheme="majorBidi"/>
                <w:sz w:val="20"/>
                <w:szCs w:val="20"/>
              </w:rPr>
              <w:t>K</w:t>
            </w:r>
            <w:r>
              <w:rPr>
                <w:rFonts w:ascii="Arial Narrow" w:eastAsiaTheme="majorEastAsia" w:hAnsi="Arial Narrow" w:cstheme="majorBidi"/>
                <w:sz w:val="20"/>
                <w:szCs w:val="20"/>
              </w:rPr>
              <w:t xml:space="preserve"> </w:t>
            </w:r>
            <w:r w:rsidRPr="00E7375A">
              <w:rPr>
                <w:rFonts w:ascii="Arial Narrow" w:eastAsiaTheme="majorEastAsia" w:hAnsi="Arial Narrow" w:cstheme="majorBidi"/>
                <w:sz w:val="20"/>
                <w:szCs w:val="20"/>
              </w:rPr>
              <w:t xml:space="preserve">= </w:t>
            </w:r>
            <w:r w:rsidR="00846727">
              <w:rPr>
                <w:rFonts w:ascii="Arial Narrow" w:eastAsiaTheme="majorEastAsia" w:hAnsi="Arial Narrow" w:cstheme="majorBidi"/>
                <w:sz w:val="20"/>
                <w:szCs w:val="20"/>
              </w:rPr>
              <w:t>G</w:t>
            </w:r>
            <w:r w:rsidRPr="00E7375A">
              <w:rPr>
                <w:rFonts w:ascii="Arial Narrow" w:eastAsiaTheme="majorEastAsia" w:hAnsi="Arial Narrow" w:cstheme="majorBidi"/>
                <w:sz w:val="20"/>
                <w:szCs w:val="20"/>
              </w:rPr>
              <w:t xml:space="preserve"> x 365.25 x </w:t>
            </w:r>
            <w:r w:rsidR="00846727">
              <w:rPr>
                <w:rFonts w:ascii="Arial Narrow" w:eastAsiaTheme="majorEastAsia" w:hAnsi="Arial Narrow" w:cstheme="majorBidi"/>
                <w:sz w:val="20"/>
                <w:szCs w:val="20"/>
              </w:rPr>
              <w:t>D</w:t>
            </w:r>
            <w:r w:rsidRPr="00E7375A">
              <w:rPr>
                <w:rFonts w:ascii="Arial Narrow" w:eastAsiaTheme="majorEastAsia" w:hAnsi="Arial Narrow" w:cstheme="majorBidi"/>
                <w:sz w:val="20"/>
                <w:szCs w:val="20"/>
              </w:rPr>
              <w:t>/12]</w:t>
            </w:r>
          </w:p>
        </w:tc>
        <w:tc>
          <w:tcPr>
            <w:tcW w:w="1151" w:type="pct"/>
            <w:shd w:val="clear" w:color="auto" w:fill="auto"/>
            <w:vAlign w:val="center"/>
          </w:tcPr>
          <w:p w14:paraId="6C5019B5" w14:textId="183EFDD3"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Per course</w:t>
            </w:r>
            <w:r w:rsidRPr="00DC29BA">
              <w:rPr>
                <w:rFonts w:ascii="Arial Narrow" w:eastAsiaTheme="majorEastAsia" w:hAnsi="Arial Narrow" w:cstheme="majorBidi"/>
                <w:sz w:val="20"/>
                <w:szCs w:val="20"/>
                <w:lang w:val="en-US"/>
              </w:rPr>
              <w:t xml:space="preserve">: </w:t>
            </w:r>
            <w:r w:rsidR="00B1620B">
              <w:rPr>
                <w:rFonts w:ascii="Arial Narrow" w:eastAsiaTheme="majorEastAsia" w:hAnsi="Arial Narrow" w:cstheme="majorBidi"/>
                <w:sz w:val="20"/>
                <w:szCs w:val="20"/>
                <w:lang w:val="en-US"/>
              </w:rPr>
              <w:t>$</w:t>
            </w:r>
            <w:r w:rsidR="005860C6" w:rsidRPr="00FC479C">
              <w:rPr>
                <w:rFonts w:ascii="Arial Narrow" w:eastAsiaTheme="majorEastAsia" w:hAnsi="Arial Narrow" w:cstheme="majorBidi"/>
                <w:color w:val="000000"/>
                <w:spacing w:val="104"/>
                <w:sz w:val="20"/>
                <w:szCs w:val="20"/>
                <w:shd w:val="solid" w:color="000000" w:fill="000000"/>
                <w:fitText w:val="190" w:id="-1032107002"/>
                <w:lang w:val="en-US"/>
                <w14:textFill>
                  <w14:solidFill>
                    <w14:srgbClr w14:val="000000">
                      <w14:alpha w14:val="100000"/>
                    </w14:srgbClr>
                  </w14:solidFill>
                </w14:textFill>
              </w:rPr>
              <w:t>|</w:t>
            </w:r>
            <w:r w:rsidR="005860C6" w:rsidRPr="00FC479C">
              <w:rPr>
                <w:rFonts w:ascii="Arial Narrow" w:eastAsiaTheme="majorEastAsia" w:hAnsi="Arial Narrow" w:cstheme="majorBidi"/>
                <w:color w:val="000000"/>
                <w:sz w:val="20"/>
                <w:szCs w:val="20"/>
                <w:shd w:val="solid" w:color="000000" w:fill="000000"/>
                <w:fitText w:val="190" w:id="-1032107002"/>
                <w:lang w:val="en-US"/>
                <w14:textFill>
                  <w14:solidFill>
                    <w14:srgbClr w14:val="000000">
                      <w14:alpha w14:val="100000"/>
                    </w14:srgbClr>
                  </w14:solidFill>
                </w14:textFill>
              </w:rPr>
              <w:t>|</w:t>
            </w:r>
            <w:r w:rsidR="00846727">
              <w:rPr>
                <w:rFonts w:ascii="Arial Narrow" w:eastAsiaTheme="majorEastAsia" w:hAnsi="Arial Narrow" w:cstheme="majorBidi"/>
                <w:sz w:val="20"/>
                <w:szCs w:val="20"/>
                <w:vertAlign w:val="superscript"/>
                <w:lang w:val="en-US"/>
              </w:rPr>
              <w:t>d</w:t>
            </w:r>
            <w:r w:rsidR="00620DBA">
              <w:rPr>
                <w:rFonts w:ascii="Arial Narrow" w:eastAsiaTheme="majorEastAsia" w:hAnsi="Arial Narrow" w:cstheme="majorBidi"/>
                <w:sz w:val="20"/>
                <w:szCs w:val="20"/>
                <w:vertAlign w:val="superscript"/>
                <w:lang w:val="en-US"/>
              </w:rPr>
              <w:t xml:space="preserve"> </w:t>
            </w:r>
          </w:p>
          <w:p w14:paraId="57F7199B" w14:textId="70252506"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w:t>
            </w:r>
            <w:r>
              <w:rPr>
                <w:rFonts w:ascii="Arial Narrow" w:eastAsiaTheme="majorEastAsia" w:hAnsi="Arial Narrow" w:cstheme="majorBidi"/>
                <w:sz w:val="20"/>
                <w:szCs w:val="20"/>
                <w:lang w:val="en-US"/>
              </w:rPr>
              <w:t xml:space="preserve">= </w:t>
            </w:r>
            <w:r w:rsidRPr="003B5F84">
              <w:rPr>
                <w:rFonts w:ascii="Arial Narrow" w:eastAsiaTheme="majorEastAsia" w:hAnsi="Arial Narrow" w:cstheme="majorBidi"/>
                <w:sz w:val="20"/>
                <w:szCs w:val="20"/>
                <w:lang w:val="en-US"/>
              </w:rPr>
              <w:t xml:space="preserve">D x </w:t>
            </w:r>
            <w:r w:rsidR="00846727">
              <w:rPr>
                <w:rFonts w:ascii="Arial Narrow" w:eastAsiaTheme="majorEastAsia" w:hAnsi="Arial Narrow" w:cstheme="majorBidi"/>
                <w:sz w:val="20"/>
                <w:szCs w:val="20"/>
                <w:lang w:val="en-US"/>
              </w:rPr>
              <w:t>F</w:t>
            </w:r>
            <w:r w:rsidRPr="003B5F84">
              <w:rPr>
                <w:rFonts w:ascii="Arial Narrow" w:eastAsiaTheme="majorEastAsia" w:hAnsi="Arial Narrow" w:cstheme="majorBidi"/>
                <w:sz w:val="20"/>
                <w:szCs w:val="20"/>
                <w:lang w:val="en-US"/>
              </w:rPr>
              <w:t>]</w:t>
            </w:r>
          </w:p>
        </w:tc>
      </w:tr>
      <w:tr w:rsidR="00763EF2" w:rsidRPr="003B5F84" w14:paraId="4CF7A7B7" w14:textId="77777777" w:rsidTr="00CB4A1F">
        <w:trPr>
          <w:cantSplit/>
        </w:trPr>
        <w:tc>
          <w:tcPr>
            <w:tcW w:w="1508" w:type="pct"/>
            <w:vAlign w:val="center"/>
          </w:tcPr>
          <w:p w14:paraId="7A71C7E2" w14:textId="5BA24B7F" w:rsidR="00763EF2" w:rsidRPr="003B5F84" w:rsidRDefault="00763EF2" w:rsidP="00CB4A1F">
            <w:pPr>
              <w:keepNext/>
              <w:jc w:val="left"/>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rPr>
              <w:t>Cost/course (less interruptions)</w:t>
            </w:r>
          </w:p>
        </w:tc>
        <w:tc>
          <w:tcPr>
            <w:tcW w:w="1162" w:type="pct"/>
            <w:shd w:val="clear" w:color="auto" w:fill="auto"/>
            <w:vAlign w:val="center"/>
          </w:tcPr>
          <w:p w14:paraId="7A0E2627" w14:textId="77777777"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lang w:val="en-US"/>
              </w:rPr>
              <w:t>−</w:t>
            </w:r>
          </w:p>
        </w:tc>
        <w:tc>
          <w:tcPr>
            <w:tcW w:w="1179" w:type="pct"/>
            <w:vAlign w:val="center"/>
          </w:tcPr>
          <w:p w14:paraId="0BDAAC85" w14:textId="66E62BFE" w:rsidR="00763EF2" w:rsidRPr="003B5F84" w:rsidRDefault="00763EF2" w:rsidP="00CB4A1F">
            <w:pPr>
              <w:keepNext/>
              <w:jc w:val="center"/>
              <w:rPr>
                <w:rFonts w:ascii="Arial Narrow" w:eastAsiaTheme="majorEastAsia" w:hAnsi="Arial Narrow" w:cstheme="majorBidi"/>
                <w:sz w:val="20"/>
                <w:szCs w:val="20"/>
              </w:rPr>
            </w:pPr>
            <w:r w:rsidRPr="003B5F84">
              <w:rPr>
                <w:rFonts w:ascii="Arial Narrow" w:eastAsiaTheme="majorEastAsia" w:hAnsi="Arial Narrow" w:cstheme="majorBidi"/>
                <w:sz w:val="20"/>
                <w:szCs w:val="20"/>
              </w:rPr>
              <w:t xml:space="preserve">Per </w:t>
            </w:r>
            <w:r>
              <w:rPr>
                <w:rFonts w:ascii="Arial Narrow" w:eastAsiaTheme="majorEastAsia" w:hAnsi="Arial Narrow" w:cstheme="majorBidi"/>
                <w:sz w:val="20"/>
                <w:szCs w:val="20"/>
              </w:rPr>
              <w:t>course</w:t>
            </w:r>
            <w:r w:rsidRPr="00DC29BA">
              <w:rPr>
                <w:rFonts w:ascii="Arial Narrow" w:eastAsiaTheme="majorEastAsia" w:hAnsi="Arial Narrow" w:cstheme="majorBidi"/>
                <w:sz w:val="20"/>
                <w:szCs w:val="20"/>
              </w:rPr>
              <w:t xml:space="preserve">: </w:t>
            </w:r>
            <w:r w:rsidR="00B1620B">
              <w:rPr>
                <w:rFonts w:ascii="Arial Narrow" w:eastAsiaTheme="majorEastAsia" w:hAnsi="Arial Narrow" w:cstheme="majorBidi"/>
                <w:sz w:val="20"/>
                <w:szCs w:val="20"/>
              </w:rPr>
              <w:t>$</w:t>
            </w:r>
            <w:r w:rsidR="005860C6" w:rsidRPr="00737A69">
              <w:rPr>
                <w:rFonts w:ascii="Arial Narrow" w:eastAsiaTheme="majorEastAsia" w:hAnsi="Arial Narrow" w:cstheme="majorBidi" w:hint="eastAsia"/>
                <w:color w:val="000000"/>
                <w:w w:val="15"/>
                <w:sz w:val="20"/>
                <w:szCs w:val="20"/>
                <w:shd w:val="solid" w:color="000000" w:fill="000000"/>
                <w:fitText w:val="10" w:id="-1032107001"/>
                <w14:textFill>
                  <w14:solidFill>
                    <w14:srgbClr w14:val="000000">
                      <w14:alpha w14:val="100000"/>
                    </w14:srgbClr>
                  </w14:solidFill>
                </w14:textFill>
              </w:rPr>
              <w:t xml:space="preserve">　</w:t>
            </w:r>
            <w:r w:rsidR="005860C6" w:rsidRPr="00737A69">
              <w:rPr>
                <w:rFonts w:ascii="Arial Narrow" w:eastAsiaTheme="majorEastAsia" w:hAnsi="Arial Narrow" w:cstheme="majorBidi"/>
                <w:color w:val="000000"/>
                <w:w w:val="15"/>
                <w:sz w:val="20"/>
                <w:szCs w:val="20"/>
                <w:shd w:val="solid" w:color="000000" w:fill="000000"/>
                <w:fitText w:val="10" w:id="-1032107001"/>
                <w14:textFill>
                  <w14:solidFill>
                    <w14:srgbClr w14:val="000000">
                      <w14:alpha w14:val="100000"/>
                    </w14:srgbClr>
                  </w14:solidFill>
                </w14:textFill>
              </w:rPr>
              <w:t>|</w:t>
            </w:r>
            <w:r w:rsidR="005860C6" w:rsidRPr="00737A69">
              <w:rPr>
                <w:rFonts w:ascii="Arial Narrow" w:eastAsiaTheme="majorEastAsia" w:hAnsi="Arial Narrow" w:cstheme="majorBidi" w:hint="eastAsia"/>
                <w:color w:val="000000"/>
                <w:spacing w:val="-55"/>
                <w:w w:val="15"/>
                <w:sz w:val="20"/>
                <w:szCs w:val="20"/>
                <w:shd w:val="solid" w:color="000000" w:fill="000000"/>
                <w:fitText w:val="10" w:id="-1032107001"/>
                <w14:textFill>
                  <w14:solidFill>
                    <w14:srgbClr w14:val="000000">
                      <w14:alpha w14:val="100000"/>
                    </w14:srgbClr>
                  </w14:solidFill>
                </w14:textFill>
              </w:rPr>
              <w:t xml:space="preserve">　</w:t>
            </w:r>
            <w:r w:rsidR="00620DBA">
              <w:rPr>
                <w:rFonts w:ascii="Arial Narrow" w:eastAsiaTheme="majorEastAsia" w:hAnsi="Arial Narrow" w:cstheme="majorBidi"/>
                <w:sz w:val="20"/>
                <w:szCs w:val="20"/>
              </w:rPr>
              <w:t xml:space="preserve"> </w:t>
            </w:r>
          </w:p>
          <w:p w14:paraId="5F1911A7" w14:textId="10CD5EB3" w:rsidR="00763EF2" w:rsidRPr="003B5F84" w:rsidRDefault="00763EF2" w:rsidP="00CB4A1F">
            <w:pPr>
              <w:keepNext/>
              <w:jc w:val="center"/>
              <w:rPr>
                <w:rFonts w:ascii="Arial Narrow" w:eastAsiaTheme="majorEastAsia" w:hAnsi="Arial Narrow" w:cstheme="majorBidi"/>
                <w:sz w:val="20"/>
                <w:szCs w:val="20"/>
                <w:lang w:val="en-US"/>
              </w:rPr>
            </w:pPr>
            <w:r w:rsidRPr="003B5F84">
              <w:rPr>
                <w:rFonts w:ascii="Arial Narrow" w:eastAsiaTheme="majorEastAsia" w:hAnsi="Arial Narrow" w:cstheme="majorBidi"/>
                <w:sz w:val="20"/>
                <w:szCs w:val="20"/>
              </w:rPr>
              <w:t>[=</w:t>
            </w:r>
            <w:r w:rsidR="00846727">
              <w:rPr>
                <w:rFonts w:ascii="Arial Narrow" w:eastAsiaTheme="majorEastAsia" w:hAnsi="Arial Narrow" w:cstheme="majorBidi"/>
                <w:sz w:val="20"/>
                <w:szCs w:val="20"/>
              </w:rPr>
              <w:t>K</w:t>
            </w:r>
            <w:r>
              <w:rPr>
                <w:rFonts w:ascii="Arial Narrow" w:eastAsiaTheme="majorEastAsia" w:hAnsi="Arial Narrow" w:cstheme="majorBidi"/>
                <w:sz w:val="20"/>
                <w:szCs w:val="20"/>
              </w:rPr>
              <w:t xml:space="preserve"> </w:t>
            </w:r>
            <w:r w:rsidRPr="003B5F84">
              <w:rPr>
                <w:rFonts w:ascii="Arial Narrow" w:eastAsiaTheme="majorEastAsia" w:hAnsi="Arial Narrow" w:cstheme="majorBidi"/>
                <w:sz w:val="20"/>
                <w:szCs w:val="20"/>
              </w:rPr>
              <w:t>x (1-</w:t>
            </w:r>
            <w:r w:rsidR="00846727">
              <w:rPr>
                <w:rFonts w:ascii="Arial Narrow" w:eastAsiaTheme="majorEastAsia" w:hAnsi="Arial Narrow" w:cstheme="majorBidi"/>
                <w:sz w:val="20"/>
                <w:szCs w:val="20"/>
              </w:rPr>
              <w:t>E</w:t>
            </w:r>
            <w:r w:rsidRPr="003B5F84">
              <w:rPr>
                <w:rFonts w:ascii="Arial Narrow" w:eastAsiaTheme="majorEastAsia" w:hAnsi="Arial Narrow" w:cstheme="majorBidi"/>
                <w:sz w:val="20"/>
                <w:szCs w:val="20"/>
              </w:rPr>
              <w:t>)]</w:t>
            </w:r>
          </w:p>
        </w:tc>
        <w:tc>
          <w:tcPr>
            <w:tcW w:w="1151" w:type="pct"/>
            <w:shd w:val="clear" w:color="auto" w:fill="auto"/>
            <w:vAlign w:val="center"/>
          </w:tcPr>
          <w:p w14:paraId="7471CDF8" w14:textId="25F5ED0D" w:rsidR="00763EF2" w:rsidRPr="003B5F84" w:rsidRDefault="00763EF2" w:rsidP="00CB4A1F">
            <w:pPr>
              <w:keepNext/>
              <w:jc w:val="center"/>
              <w:rPr>
                <w:rFonts w:ascii="Arial Narrow" w:eastAsiaTheme="majorEastAsia" w:hAnsi="Arial Narrow" w:cstheme="majorBidi"/>
                <w:sz w:val="20"/>
                <w:szCs w:val="20"/>
                <w:lang w:val="en-US"/>
              </w:rPr>
            </w:pPr>
            <w:r w:rsidRPr="00E7375A">
              <w:rPr>
                <w:rFonts w:ascii="Arial Narrow" w:eastAsiaTheme="majorEastAsia" w:hAnsi="Arial Narrow" w:cstheme="majorBidi"/>
                <w:sz w:val="20"/>
                <w:szCs w:val="20"/>
                <w:lang w:val="en-US"/>
              </w:rPr>
              <w:t>Not considered</w:t>
            </w:r>
            <w:r w:rsidRPr="00E7375A" w:rsidDel="00E7375A">
              <w:rPr>
                <w:rFonts w:ascii="Arial Narrow" w:eastAsiaTheme="majorEastAsia" w:hAnsi="Arial Narrow" w:cstheme="majorBidi"/>
                <w:sz w:val="20"/>
                <w:szCs w:val="20"/>
                <w:lang w:val="en-US"/>
              </w:rPr>
              <w:t xml:space="preserve"> </w:t>
            </w:r>
          </w:p>
        </w:tc>
      </w:tr>
    </w:tbl>
    <w:p w14:paraId="53EA04CD" w14:textId="77777777" w:rsidR="00763EF2" w:rsidRPr="004221D8" w:rsidRDefault="00763EF2" w:rsidP="00763EF2">
      <w:pPr>
        <w:pStyle w:val="TableFigureFooter"/>
      </w:pPr>
      <w:r w:rsidRPr="004221D8">
        <w:t>Source: Table 3-17, p147 of the submission; Table 3, p10 of CSR Addendum 2; Tabs titled ‘Tx &amp; Monitoring costs’ in Excel workbook titled ‘Attachment 10 – DTC economic evaluation – Section 3 – FINAL’ of the submission; Excel workbook titled ‘Cabometyx DTC Section 4 FINAL’ of the submission).</w:t>
      </w:r>
    </w:p>
    <w:p w14:paraId="53C706D6" w14:textId="77777777" w:rsidR="00763EF2" w:rsidRPr="004221D8" w:rsidRDefault="00763EF2" w:rsidP="00763EF2">
      <w:pPr>
        <w:pStyle w:val="TableFigureFooter"/>
      </w:pPr>
      <w:r w:rsidRPr="004221D8">
        <w:t>BSC = best supportive care; DPMQ = Dispensed Price for Maximum Quantity.</w:t>
      </w:r>
    </w:p>
    <w:p w14:paraId="6F794947" w14:textId="48F0B896" w:rsidR="00846727" w:rsidRPr="00846727" w:rsidRDefault="00846727" w:rsidP="00846727">
      <w:pPr>
        <w:pStyle w:val="TableFigureFooter"/>
      </w:pPr>
      <w:r>
        <w:t>* Drug cost for BSC = $0</w:t>
      </w:r>
    </w:p>
    <w:p w14:paraId="5E33D605" w14:textId="36E0F73A" w:rsidR="00846727" w:rsidRPr="00446630" w:rsidRDefault="00846727" w:rsidP="00846727">
      <w:pPr>
        <w:pStyle w:val="TableFigureFooter"/>
      </w:pPr>
      <w:r>
        <w:rPr>
          <w:vertAlign w:val="superscript"/>
        </w:rPr>
        <w:t>a</w:t>
      </w:r>
      <w:r w:rsidRPr="004221D8">
        <w:t xml:space="preserve"> Table 3, p10 of 41, CSR Addendum</w:t>
      </w:r>
      <w:r>
        <w:t xml:space="preserve"> 2.</w:t>
      </w:r>
    </w:p>
    <w:p w14:paraId="155E1BD5" w14:textId="79A196C0" w:rsidR="00763EF2" w:rsidRPr="004221D8" w:rsidRDefault="00846727" w:rsidP="00763EF2">
      <w:pPr>
        <w:pStyle w:val="TableFigureFooter"/>
      </w:pPr>
      <w:r>
        <w:rPr>
          <w:vertAlign w:val="superscript"/>
        </w:rPr>
        <w:t>b</w:t>
      </w:r>
      <w:r w:rsidR="00763EF2" w:rsidRPr="004221D8">
        <w:t xml:space="preserve"> Duration of exposure = (date of decision to discontinue study treatment – date of first dose + 1)/30.4375. For subjects still on study, the data </w:t>
      </w:r>
      <w:r w:rsidR="005F1914" w:rsidRPr="004221D8">
        <w:t>cut-off</w:t>
      </w:r>
      <w:r w:rsidR="00763EF2" w:rsidRPr="004221D8">
        <w:t xml:space="preserve"> date was used to calculate the exposure (Table 3, p10/41 of CSR Addendum 2) </w:t>
      </w:r>
    </w:p>
    <w:p w14:paraId="565E76EC" w14:textId="4721345E" w:rsidR="00763EF2" w:rsidRPr="004221D8" w:rsidRDefault="00846727" w:rsidP="00763EF2">
      <w:pPr>
        <w:pStyle w:val="TableFigureFooter"/>
      </w:pPr>
      <w:r>
        <w:rPr>
          <w:vertAlign w:val="superscript"/>
        </w:rPr>
        <w:t>c</w:t>
      </w:r>
      <w:r w:rsidR="00763EF2" w:rsidRPr="004221D8">
        <w:t xml:space="preserve"> Duration of exposure (excluding dose holds) = (date of decision to discontinue study treatment – date of first dose – total duration of dose interruptions + 1)/30.4375 (Table 3, p10 of CSR Addendum 2).</w:t>
      </w:r>
    </w:p>
    <w:p w14:paraId="3314B2F3" w14:textId="2C9ADACB" w:rsidR="00620DBA" w:rsidRPr="004221D8" w:rsidRDefault="00846727" w:rsidP="00763EF2">
      <w:pPr>
        <w:pStyle w:val="TableFigureFooter"/>
      </w:pPr>
      <w:r>
        <w:rPr>
          <w:vertAlign w:val="superscript"/>
        </w:rPr>
        <w:t>d</w:t>
      </w:r>
      <w:r w:rsidR="00763EF2" w:rsidRPr="004221D8">
        <w:t xml:space="preserve"> This is what the cost (at the effective price) to the patient for a standard course of treatment would be if the medicine is not subsidised on the PBS (Source: Tab ‘1.0 Overview’, cell K17, in Excel workbook titled ‘Cabometyx DTC Section 4 FINAL’ of the submission</w:t>
      </w:r>
      <w:r w:rsidR="00763EF2" w:rsidRPr="00E120DC">
        <w:t xml:space="preserve">). The slight decrease in drug cost of </w:t>
      </w:r>
      <w:r w:rsidR="00B1620B">
        <w:t>$</w:t>
      </w:r>
      <w:r w:rsidR="005860C6" w:rsidRPr="00B1620B">
        <w:rPr>
          <w:color w:val="000000"/>
          <w:spacing w:val="40"/>
          <w:shd w:val="solid" w:color="000000" w:fill="000000"/>
          <w:fitText w:val="280" w:id="-1032107000"/>
          <w14:textFill>
            <w14:solidFill>
              <w14:srgbClr w14:val="000000">
                <w14:alpha w14:val="100000"/>
              </w14:srgbClr>
            </w14:solidFill>
          </w14:textFill>
        </w:rPr>
        <w:t xml:space="preserve">|  </w:t>
      </w:r>
      <w:r w:rsidR="005860C6" w:rsidRPr="00B1620B">
        <w:rPr>
          <w:color w:val="000000"/>
          <w:spacing w:val="2"/>
          <w:shd w:val="solid" w:color="000000" w:fill="000000"/>
          <w:fitText w:val="280" w:id="-1032107000"/>
          <w14:textFill>
            <w14:solidFill>
              <w14:srgbClr w14:val="000000">
                <w14:alpha w14:val="100000"/>
              </w14:srgbClr>
            </w14:solidFill>
          </w14:textFill>
        </w:rPr>
        <w:t>|</w:t>
      </w:r>
      <w:r w:rsidR="00763EF2" w:rsidRPr="00E120DC">
        <w:t xml:space="preserve"> per patient in the financial model was owing to the assumption of the use of eight 28-day scripts per patient per course</w:t>
      </w:r>
      <w:r w:rsidR="00763EF2" w:rsidRPr="004221D8">
        <w:t>.</w:t>
      </w:r>
    </w:p>
    <w:p w14:paraId="7484F29A" w14:textId="6162CFDB" w:rsidR="00763EF2" w:rsidRPr="003B5F84" w:rsidRDefault="00763EF2" w:rsidP="004A52A9">
      <w:pPr>
        <w:numPr>
          <w:ilvl w:val="1"/>
          <w:numId w:val="1"/>
        </w:numPr>
        <w:spacing w:after="120"/>
        <w:ind w:left="720"/>
        <w:rPr>
          <w:rFonts w:asciiTheme="minorHAnsi" w:hAnsiTheme="minorHAnsi"/>
          <w:color w:val="000000" w:themeColor="text1"/>
          <w:lang w:val="en-US"/>
        </w:rPr>
      </w:pPr>
      <w:bookmarkStart w:id="94" w:name="_Hlk107307804"/>
      <w:r w:rsidRPr="0564460C">
        <w:rPr>
          <w:rFonts w:asciiTheme="minorHAnsi" w:hAnsiTheme="minorHAnsi"/>
          <w:snapToGrid w:val="0"/>
        </w:rPr>
        <w:t xml:space="preserve">The drug cost per patient for cabozantinib was </w:t>
      </w:r>
      <w:r w:rsidR="00B1620B">
        <w:rPr>
          <w:rFonts w:asciiTheme="minorHAnsi" w:hAnsiTheme="minorHAnsi"/>
          <w:snapToGrid w:val="0"/>
        </w:rPr>
        <w:t>$</w:t>
      </w:r>
      <w:r w:rsidR="005860C6" w:rsidRPr="005860C6">
        <w:rPr>
          <w:rFonts w:asciiTheme="minorHAnsi" w:hAnsiTheme="minorHAnsi"/>
          <w:snapToGrid w:val="0"/>
          <w:color w:val="000000"/>
          <w:w w:val="60"/>
          <w:shd w:val="solid" w:color="000000" w:fill="000000"/>
          <w:fitText w:val="470" w:id="-1032106999"/>
          <w14:textFill>
            <w14:solidFill>
              <w14:srgbClr w14:val="000000">
                <w14:alpha w14:val="100000"/>
              </w14:srgbClr>
            </w14:solidFill>
          </w14:textFill>
        </w:rPr>
        <w:t>|||  ||</w:t>
      </w:r>
      <w:r w:rsidR="005860C6" w:rsidRPr="005860C6">
        <w:rPr>
          <w:rFonts w:asciiTheme="minorHAnsi" w:hAnsiTheme="minorHAnsi"/>
          <w:snapToGrid w:val="0"/>
          <w:color w:val="000000"/>
          <w:spacing w:val="6"/>
          <w:w w:val="60"/>
          <w:shd w:val="solid" w:color="000000" w:fill="000000"/>
          <w:fitText w:val="470" w:id="-1032106999"/>
          <w14:textFill>
            <w14:solidFill>
              <w14:srgbClr w14:val="000000">
                <w14:alpha w14:val="100000"/>
              </w14:srgbClr>
            </w14:solidFill>
          </w14:textFill>
        </w:rPr>
        <w:t>|</w:t>
      </w:r>
      <w:r>
        <w:rPr>
          <w:rFonts w:asciiTheme="minorHAnsi" w:hAnsiTheme="minorHAnsi"/>
          <w:snapToGrid w:val="0"/>
        </w:rPr>
        <w:t xml:space="preserve">, </w:t>
      </w:r>
      <w:r w:rsidRPr="0564460C">
        <w:rPr>
          <w:rFonts w:asciiTheme="minorHAnsi" w:hAnsiTheme="minorHAnsi"/>
          <w:snapToGrid w:val="0"/>
        </w:rPr>
        <w:t xml:space="preserve">calculated based on the proposed effective DPMQ of </w:t>
      </w:r>
      <w:r w:rsidR="00B1620B">
        <w:rPr>
          <w:rFonts w:asciiTheme="minorHAnsi" w:hAnsiTheme="minorHAnsi"/>
          <w:snapToGrid w:val="0"/>
        </w:rPr>
        <w:t>$</w:t>
      </w:r>
      <w:r w:rsidR="005860C6" w:rsidRPr="00737A69">
        <w:rPr>
          <w:rFonts w:asciiTheme="minorHAnsi" w:hAnsiTheme="minorHAnsi"/>
          <w:snapToGrid w:val="0"/>
          <w:color w:val="000000"/>
          <w:w w:val="15"/>
          <w:shd w:val="solid" w:color="000000" w:fill="000000"/>
          <w:fitText w:val="-20" w:id="-1032106998"/>
          <w14:textFill>
            <w14:solidFill>
              <w14:srgbClr w14:val="000000">
                <w14:alpha w14:val="100000"/>
              </w14:srgbClr>
            </w14:solidFill>
          </w14:textFill>
        </w:rPr>
        <w:t xml:space="preserve">|  </w:t>
      </w:r>
      <w:r w:rsidR="005860C6" w:rsidRPr="00737A69">
        <w:rPr>
          <w:rFonts w:asciiTheme="minorHAnsi" w:hAnsiTheme="minorHAnsi"/>
          <w:snapToGrid w:val="0"/>
          <w:color w:val="000000"/>
          <w:spacing w:val="-69"/>
          <w:w w:val="15"/>
          <w:shd w:val="solid" w:color="000000" w:fill="000000"/>
          <w:fitText w:val="-20" w:id="-1032106998"/>
          <w14:textFill>
            <w14:solidFill>
              <w14:srgbClr w14:val="000000">
                <w14:alpha w14:val="100000"/>
              </w14:srgbClr>
            </w14:solidFill>
          </w14:textFill>
        </w:rPr>
        <w:t>|</w:t>
      </w:r>
      <w:r w:rsidRPr="0564460C">
        <w:rPr>
          <w:rFonts w:asciiTheme="minorHAnsi" w:hAnsiTheme="minorHAnsi"/>
          <w:snapToGrid w:val="0"/>
        </w:rPr>
        <w:t xml:space="preserve"> (maximum quantity 30), the utilisation of one unit (any dose strength, 60 mg or 40 mg or 20 mg tablet) per day, for</w:t>
      </w:r>
      <w:r>
        <w:rPr>
          <w:rFonts w:asciiTheme="minorHAnsi" w:hAnsiTheme="minorHAnsi"/>
          <w:snapToGrid w:val="0"/>
        </w:rPr>
        <w:t xml:space="preserve"> a modelled average of eight </w:t>
      </w:r>
      <w:r w:rsidRPr="0564460C">
        <w:rPr>
          <w:rFonts w:asciiTheme="minorHAnsi" w:hAnsiTheme="minorHAnsi"/>
          <w:snapToGrid w:val="0"/>
        </w:rPr>
        <w:t>months</w:t>
      </w:r>
      <w:r>
        <w:rPr>
          <w:rFonts w:asciiTheme="minorHAnsi" w:hAnsiTheme="minorHAnsi"/>
          <w:snapToGrid w:val="0"/>
        </w:rPr>
        <w:t xml:space="preserve"> on treatment</w:t>
      </w:r>
      <w:r w:rsidRPr="0564460C">
        <w:rPr>
          <w:rFonts w:asciiTheme="minorHAnsi" w:hAnsiTheme="minorHAnsi"/>
          <w:snapToGrid w:val="0"/>
        </w:rPr>
        <w:t xml:space="preserve"> [</w:t>
      </w:r>
      <w:r w:rsidR="00B1620B">
        <w:rPr>
          <w:rFonts w:asciiTheme="minorHAnsi" w:hAnsiTheme="minorHAnsi"/>
          <w:snapToGrid w:val="0"/>
        </w:rPr>
        <w:t>$</w:t>
      </w:r>
      <w:r w:rsidR="005860C6" w:rsidRPr="00737A69">
        <w:rPr>
          <w:rFonts w:asciiTheme="minorHAnsi" w:hAnsiTheme="minorHAnsi"/>
          <w:snapToGrid w:val="0"/>
          <w:color w:val="000000"/>
          <w:w w:val="15"/>
          <w:shd w:val="solid" w:color="000000" w:fill="000000"/>
          <w:fitText w:val="-20" w:id="-1032106997"/>
          <w14:textFill>
            <w14:solidFill>
              <w14:srgbClr w14:val="000000">
                <w14:alpha w14:val="100000"/>
              </w14:srgbClr>
            </w14:solidFill>
          </w14:textFill>
        </w:rPr>
        <w:t xml:space="preserve">|  </w:t>
      </w:r>
      <w:r w:rsidR="005860C6" w:rsidRPr="00737A69">
        <w:rPr>
          <w:rFonts w:asciiTheme="minorHAnsi" w:hAnsiTheme="minorHAnsi"/>
          <w:snapToGrid w:val="0"/>
          <w:color w:val="000000"/>
          <w:spacing w:val="-69"/>
          <w:w w:val="15"/>
          <w:shd w:val="solid" w:color="000000" w:fill="000000"/>
          <w:fitText w:val="-20" w:id="-1032106997"/>
          <w14:textFill>
            <w14:solidFill>
              <w14:srgbClr w14:val="000000">
                <w14:alpha w14:val="100000"/>
              </w14:srgbClr>
            </w14:solidFill>
          </w14:textFill>
        </w:rPr>
        <w:t>|</w:t>
      </w:r>
      <w:r w:rsidRPr="0564460C">
        <w:rPr>
          <w:rFonts w:asciiTheme="minorHAnsi" w:hAnsiTheme="minorHAnsi"/>
          <w:snapToGrid w:val="0"/>
        </w:rPr>
        <w:t xml:space="preserve"> = </w:t>
      </w:r>
      <w:r w:rsidR="00B1620B">
        <w:rPr>
          <w:rFonts w:asciiTheme="minorHAnsi" w:hAnsiTheme="minorHAnsi"/>
          <w:snapToGrid w:val="0"/>
        </w:rPr>
        <w:t>$</w:t>
      </w:r>
      <w:r w:rsidR="005860C6" w:rsidRPr="00737A69">
        <w:rPr>
          <w:rFonts w:asciiTheme="minorHAnsi" w:hAnsiTheme="minorHAnsi"/>
          <w:snapToGrid w:val="0"/>
          <w:color w:val="000000"/>
          <w:w w:val="15"/>
          <w:shd w:val="solid" w:color="000000" w:fill="000000"/>
          <w:fitText w:val="-20" w:id="-1032106996"/>
          <w14:textFill>
            <w14:solidFill>
              <w14:srgbClr w14:val="000000">
                <w14:alpha w14:val="100000"/>
              </w14:srgbClr>
            </w14:solidFill>
          </w14:textFill>
        </w:rPr>
        <w:t xml:space="preserve">|  </w:t>
      </w:r>
      <w:r w:rsidR="005860C6" w:rsidRPr="00737A69">
        <w:rPr>
          <w:rFonts w:asciiTheme="minorHAnsi" w:hAnsiTheme="minorHAnsi"/>
          <w:snapToGrid w:val="0"/>
          <w:color w:val="000000"/>
          <w:spacing w:val="-69"/>
          <w:w w:val="15"/>
          <w:shd w:val="solid" w:color="000000" w:fill="000000"/>
          <w:fitText w:val="-20" w:id="-1032106996"/>
          <w14:textFill>
            <w14:solidFill>
              <w14:srgbClr w14:val="000000">
                <w14:alpha w14:val="100000"/>
              </w14:srgbClr>
            </w14:solidFill>
          </w14:textFill>
        </w:rPr>
        <w:t>|</w:t>
      </w:r>
      <w:r w:rsidRPr="0564460C">
        <w:rPr>
          <w:rFonts w:asciiTheme="minorHAnsi" w:hAnsiTheme="minorHAnsi"/>
          <w:snapToGrid w:val="0"/>
        </w:rPr>
        <w:t>/30</w:t>
      </w:r>
      <w:r>
        <w:rPr>
          <w:rFonts w:asciiTheme="minorHAnsi" w:hAnsiTheme="minorHAnsi"/>
          <w:snapToGrid w:val="0"/>
        </w:rPr>
        <w:t xml:space="preserve"> x </w:t>
      </w:r>
      <w:r w:rsidRPr="0564460C">
        <w:rPr>
          <w:rFonts w:asciiTheme="minorHAnsi" w:hAnsiTheme="minorHAnsi"/>
          <w:snapToGrid w:val="0"/>
        </w:rPr>
        <w:t>365.25</w:t>
      </w:r>
      <w:r>
        <w:rPr>
          <w:rFonts w:asciiTheme="minorHAnsi" w:hAnsiTheme="minorHAnsi"/>
          <w:snapToGrid w:val="0"/>
        </w:rPr>
        <w:t xml:space="preserve"> x 8/12</w:t>
      </w:r>
      <w:r w:rsidRPr="0564460C">
        <w:rPr>
          <w:rFonts w:asciiTheme="minorHAnsi" w:hAnsiTheme="minorHAnsi"/>
          <w:snapToGrid w:val="0"/>
          <w:color w:val="000000" w:themeColor="text1"/>
        </w:rPr>
        <w:t>].</w:t>
      </w:r>
      <w:r w:rsidR="00452F25">
        <w:rPr>
          <w:rFonts w:asciiTheme="minorHAnsi" w:hAnsiTheme="minorHAnsi"/>
          <w:snapToGrid w:val="0"/>
          <w:color w:val="000000" w:themeColor="text1"/>
        </w:rPr>
        <w:t xml:space="preserve"> </w:t>
      </w:r>
      <w:r>
        <w:rPr>
          <w:rFonts w:asciiTheme="minorHAnsi" w:hAnsiTheme="minorHAnsi"/>
          <w:snapToGrid w:val="0"/>
          <w:color w:val="000000" w:themeColor="text1"/>
        </w:rPr>
        <w:t xml:space="preserve">When treatment interruptions were incorporated, as in the economic model, the drug cost per patient decreased to </w:t>
      </w:r>
      <w:r w:rsidR="00B1620B">
        <w:rPr>
          <w:rFonts w:asciiTheme="minorHAnsi" w:hAnsiTheme="minorHAnsi"/>
          <w:snapToGrid w:val="0"/>
          <w:color w:val="000000" w:themeColor="text1"/>
        </w:rPr>
        <w:t>$</w:t>
      </w:r>
      <w:r w:rsidR="005860C6" w:rsidRPr="00737A69">
        <w:rPr>
          <w:rFonts w:asciiTheme="minorHAnsi" w:hAnsiTheme="minorHAnsi"/>
          <w:snapToGrid w:val="0"/>
          <w:color w:val="000000" w:themeColor="text1"/>
          <w:w w:val="15"/>
          <w:shd w:val="solid" w:color="000000" w:fill="000000"/>
          <w:fitText w:val="-20" w:id="-1032106995"/>
          <w14:textFill>
            <w14:solidFill>
              <w14:schemeClr w14:val="tx1">
                <w14:alpha w14:val="100000"/>
              </w14:schemeClr>
            </w14:solidFill>
          </w14:textFill>
        </w:rPr>
        <w:t xml:space="preserve">|  </w:t>
      </w:r>
      <w:r w:rsidR="005860C6" w:rsidRPr="00737A69">
        <w:rPr>
          <w:rFonts w:asciiTheme="minorHAnsi" w:hAnsiTheme="minorHAnsi"/>
          <w:snapToGrid w:val="0"/>
          <w:color w:val="000000" w:themeColor="text1"/>
          <w:spacing w:val="-69"/>
          <w:w w:val="15"/>
          <w:shd w:val="solid" w:color="000000" w:fill="000000"/>
          <w:fitText w:val="-20" w:id="-1032106995"/>
          <w14:textFill>
            <w14:solidFill>
              <w14:schemeClr w14:val="tx1">
                <w14:alpha w14:val="100000"/>
              </w14:schemeClr>
            </w14:solidFill>
          </w14:textFill>
        </w:rPr>
        <w:t>|</w:t>
      </w:r>
      <w:r w:rsidR="00E120DC">
        <w:rPr>
          <w:rFonts w:asciiTheme="minorHAnsi" w:hAnsiTheme="minorHAnsi"/>
          <w:snapToGrid w:val="0"/>
          <w:color w:val="000000" w:themeColor="text1"/>
        </w:rPr>
        <w:t xml:space="preserve">. This was lower than the cost per patient in the financial estimates of </w:t>
      </w:r>
      <w:r w:rsidR="00B1620B">
        <w:rPr>
          <w:rFonts w:asciiTheme="minorHAnsi" w:hAnsiTheme="minorHAnsi"/>
          <w:snapToGrid w:val="0"/>
          <w:color w:val="000000" w:themeColor="text1"/>
        </w:rPr>
        <w:t>$</w:t>
      </w:r>
      <w:r w:rsidR="005860C6" w:rsidRPr="00737A69">
        <w:rPr>
          <w:rFonts w:asciiTheme="minorHAnsi" w:hAnsiTheme="minorHAnsi"/>
          <w:snapToGrid w:val="0"/>
          <w:color w:val="000000" w:themeColor="text1"/>
          <w:w w:val="15"/>
          <w:shd w:val="solid" w:color="000000" w:fill="000000"/>
          <w:fitText w:val="-20" w:id="-1032106994"/>
          <w14:textFill>
            <w14:solidFill>
              <w14:schemeClr w14:val="tx1">
                <w14:alpha w14:val="100000"/>
              </w14:schemeClr>
            </w14:solidFill>
          </w14:textFill>
        </w:rPr>
        <w:t xml:space="preserve">|  </w:t>
      </w:r>
      <w:r w:rsidR="005860C6" w:rsidRPr="00737A69">
        <w:rPr>
          <w:rFonts w:asciiTheme="minorHAnsi" w:hAnsiTheme="minorHAnsi"/>
          <w:snapToGrid w:val="0"/>
          <w:color w:val="000000" w:themeColor="text1"/>
          <w:spacing w:val="-69"/>
          <w:w w:val="15"/>
          <w:shd w:val="solid" w:color="000000" w:fill="000000"/>
          <w:fitText w:val="-20" w:id="-1032106994"/>
          <w14:textFill>
            <w14:solidFill>
              <w14:schemeClr w14:val="tx1">
                <w14:alpha w14:val="100000"/>
              </w14:schemeClr>
            </w14:solidFill>
          </w14:textFill>
        </w:rPr>
        <w:t>|</w:t>
      </w:r>
      <w:r>
        <w:rPr>
          <w:rFonts w:asciiTheme="minorHAnsi" w:hAnsiTheme="minorHAnsi"/>
          <w:snapToGrid w:val="0"/>
          <w:color w:val="000000" w:themeColor="text1"/>
        </w:rPr>
        <w:t>. The cost of BSC was $0 in the economic model and financial estimates.</w:t>
      </w:r>
    </w:p>
    <w:p w14:paraId="2B5BE8A5" w14:textId="77777777" w:rsidR="00763EF2" w:rsidRPr="003B5F84" w:rsidRDefault="00763EF2" w:rsidP="00763EF2">
      <w:pPr>
        <w:pStyle w:val="4-SubsectionHeading"/>
      </w:pPr>
      <w:bookmarkStart w:id="95" w:name="_Toc22897647"/>
      <w:bookmarkStart w:id="96" w:name="_Toc142198811"/>
      <w:bookmarkStart w:id="97" w:name="_Toc145504690"/>
      <w:bookmarkEnd w:id="94"/>
      <w:r w:rsidRPr="003B5F84">
        <w:t>Estimated PBS usage &amp; financial implications</w:t>
      </w:r>
      <w:bookmarkEnd w:id="95"/>
      <w:bookmarkEnd w:id="96"/>
      <w:bookmarkEnd w:id="97"/>
    </w:p>
    <w:p w14:paraId="7FF8CE97" w14:textId="7C150B98" w:rsidR="00763EF2" w:rsidRPr="003B5F84" w:rsidRDefault="00763EF2" w:rsidP="004A52A9">
      <w:pPr>
        <w:numPr>
          <w:ilvl w:val="1"/>
          <w:numId w:val="1"/>
        </w:numPr>
        <w:spacing w:after="120"/>
        <w:ind w:left="720"/>
        <w:rPr>
          <w:rFonts w:asciiTheme="minorHAnsi" w:hAnsiTheme="minorHAnsi"/>
          <w:snapToGrid w:val="0"/>
          <w:color w:val="000000" w:themeColor="text1"/>
        </w:rPr>
      </w:pPr>
      <w:r w:rsidRPr="0564460C">
        <w:rPr>
          <w:rFonts w:asciiTheme="minorHAnsi" w:hAnsiTheme="minorHAnsi"/>
          <w:snapToGrid w:val="0"/>
        </w:rPr>
        <w:t>This submission w</w:t>
      </w:r>
      <w:r w:rsidR="00AE408C">
        <w:rPr>
          <w:rFonts w:asciiTheme="minorHAnsi" w:hAnsiTheme="minorHAnsi"/>
          <w:snapToGrid w:val="0"/>
        </w:rPr>
        <w:t>as</w:t>
      </w:r>
      <w:r w:rsidRPr="0564460C">
        <w:rPr>
          <w:rFonts w:asciiTheme="minorHAnsi" w:hAnsiTheme="minorHAnsi"/>
          <w:snapToGrid w:val="0"/>
        </w:rPr>
        <w:t xml:space="preserve"> not considered by DUSC. The submission took at epidemiological approach. </w:t>
      </w:r>
      <w:r w:rsidRPr="0564460C">
        <w:rPr>
          <w:rFonts w:asciiTheme="minorHAnsi" w:hAnsiTheme="minorHAnsi"/>
          <w:snapToGrid w:val="0"/>
        </w:rPr>
        <w:fldChar w:fldCharType="begin" w:fldLock="1"/>
      </w:r>
      <w:r w:rsidRPr="0564460C">
        <w:rPr>
          <w:rFonts w:asciiTheme="minorHAnsi" w:hAnsiTheme="minorHAnsi"/>
          <w:snapToGrid w:val="0"/>
        </w:rPr>
        <w:instrText xml:space="preserve"> REF _Ref104805262 \h  \* MERGEFORMAT </w:instrText>
      </w:r>
      <w:r w:rsidRPr="0564460C">
        <w:rPr>
          <w:rFonts w:asciiTheme="minorHAnsi" w:hAnsiTheme="minorHAnsi"/>
          <w:snapToGrid w:val="0"/>
        </w:rPr>
      </w:r>
      <w:r w:rsidRPr="0564460C">
        <w:rPr>
          <w:rFonts w:asciiTheme="minorHAnsi" w:hAnsiTheme="minorHAnsi"/>
          <w:snapToGrid w:val="0"/>
        </w:rPr>
        <w:fldChar w:fldCharType="separate"/>
      </w:r>
      <w:r w:rsidR="008760F8" w:rsidRPr="008760F8">
        <w:rPr>
          <w:rFonts w:asciiTheme="minorHAnsi" w:hAnsiTheme="minorHAnsi"/>
          <w:snapToGrid w:val="0"/>
        </w:rPr>
        <w:t>Table 22</w:t>
      </w:r>
      <w:r w:rsidRPr="0564460C">
        <w:rPr>
          <w:rFonts w:asciiTheme="minorHAnsi" w:hAnsiTheme="minorHAnsi"/>
          <w:snapToGrid w:val="0"/>
        </w:rPr>
        <w:fldChar w:fldCharType="end"/>
      </w:r>
      <w:r w:rsidRPr="0564460C">
        <w:rPr>
          <w:rFonts w:asciiTheme="minorHAnsi" w:hAnsiTheme="minorHAnsi"/>
          <w:snapToGrid w:val="0"/>
        </w:rPr>
        <w:t xml:space="preserve"> outlines the key inputs and sources relied on in the financial </w:t>
      </w:r>
      <w:r w:rsidRPr="0564460C">
        <w:rPr>
          <w:rFonts w:asciiTheme="minorHAnsi" w:hAnsiTheme="minorHAnsi"/>
          <w:snapToGrid w:val="0"/>
          <w:color w:val="000000" w:themeColor="text1"/>
        </w:rPr>
        <w:t>estimates.</w:t>
      </w:r>
    </w:p>
    <w:p w14:paraId="1C4AF84D" w14:textId="16CF3D74" w:rsidR="00763EF2" w:rsidRPr="003B5F84" w:rsidRDefault="00763EF2" w:rsidP="00763EF2">
      <w:pPr>
        <w:keepNext/>
        <w:keepLines/>
        <w:rPr>
          <w:rFonts w:ascii="Arial Narrow" w:hAnsi="Arial Narrow"/>
          <w:b/>
          <w:bCs/>
          <w:sz w:val="20"/>
        </w:rPr>
      </w:pPr>
      <w:bookmarkStart w:id="98" w:name="_Ref104805262"/>
      <w:r w:rsidRPr="003B5F84">
        <w:rPr>
          <w:rFonts w:ascii="Arial Narrow" w:hAnsi="Arial Narrow"/>
          <w:b/>
          <w:bCs/>
          <w:sz w:val="20"/>
          <w:szCs w:val="18"/>
        </w:rPr>
        <w:lastRenderedPageBreak/>
        <w:t xml:space="preserve">Table </w:t>
      </w:r>
      <w:r w:rsidRPr="003B5F84">
        <w:rPr>
          <w:rFonts w:ascii="Arial Narrow" w:hAnsi="Arial Narrow"/>
          <w:b/>
          <w:bCs/>
          <w:sz w:val="20"/>
          <w:szCs w:val="18"/>
        </w:rPr>
        <w:fldChar w:fldCharType="begin" w:fldLock="1"/>
      </w:r>
      <w:r w:rsidRPr="003B5F84">
        <w:rPr>
          <w:rFonts w:ascii="Arial Narrow" w:hAnsi="Arial Narrow"/>
          <w:b/>
          <w:bCs/>
          <w:sz w:val="20"/>
          <w:szCs w:val="18"/>
        </w:rPr>
        <w:instrText xml:space="preserve"> SEQ Table \* ARABIC </w:instrText>
      </w:r>
      <w:r w:rsidRPr="003B5F84">
        <w:rPr>
          <w:rFonts w:ascii="Arial Narrow" w:hAnsi="Arial Narrow"/>
          <w:b/>
          <w:bCs/>
          <w:sz w:val="20"/>
          <w:szCs w:val="18"/>
        </w:rPr>
        <w:fldChar w:fldCharType="separate"/>
      </w:r>
      <w:r w:rsidR="008760F8">
        <w:rPr>
          <w:rFonts w:ascii="Arial Narrow" w:hAnsi="Arial Narrow"/>
          <w:b/>
          <w:bCs/>
          <w:noProof/>
          <w:sz w:val="20"/>
          <w:szCs w:val="18"/>
        </w:rPr>
        <w:t>22</w:t>
      </w:r>
      <w:r w:rsidRPr="003B5F84">
        <w:rPr>
          <w:rFonts w:ascii="Arial Narrow" w:hAnsi="Arial Narrow"/>
          <w:b/>
          <w:bCs/>
          <w:noProof/>
          <w:sz w:val="20"/>
          <w:szCs w:val="18"/>
        </w:rPr>
        <w:fldChar w:fldCharType="end"/>
      </w:r>
      <w:bookmarkEnd w:id="98"/>
      <w:r w:rsidRPr="003B5F84">
        <w:rPr>
          <w:rFonts w:ascii="Arial Narrow" w:hAnsi="Arial Narrow"/>
          <w:b/>
          <w:bCs/>
          <w:sz w:val="20"/>
          <w:szCs w:val="18"/>
        </w:rPr>
        <w:t>:</w:t>
      </w:r>
      <w:r w:rsidRPr="003B5F84">
        <w:rPr>
          <w:rFonts w:ascii="Arial Narrow" w:hAnsi="Arial Narrow"/>
          <w:b/>
          <w:bCs/>
          <w:sz w:val="20"/>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4"/>
        <w:gridCol w:w="3829"/>
        <w:gridCol w:w="3634"/>
      </w:tblGrid>
      <w:tr w:rsidR="00763EF2" w:rsidRPr="00427986" w14:paraId="5B98A955" w14:textId="77777777" w:rsidTr="00CB4A1F">
        <w:trPr>
          <w:tblHeader/>
        </w:trPr>
        <w:tc>
          <w:tcPr>
            <w:tcW w:w="862" w:type="pct"/>
            <w:shd w:val="clear" w:color="auto" w:fill="auto"/>
            <w:vAlign w:val="center"/>
          </w:tcPr>
          <w:p w14:paraId="03246291" w14:textId="77777777" w:rsidR="00763EF2" w:rsidRPr="00427986" w:rsidRDefault="00763EF2" w:rsidP="00CB4A1F">
            <w:pPr>
              <w:jc w:val="center"/>
              <w:rPr>
                <w:rFonts w:ascii="Arial Narrow" w:eastAsiaTheme="majorEastAsia" w:hAnsi="Arial Narrow" w:cs="Times New Roman"/>
                <w:b/>
                <w:sz w:val="20"/>
                <w:lang w:val="en-US"/>
              </w:rPr>
            </w:pPr>
            <w:r w:rsidRPr="00427986">
              <w:rPr>
                <w:rFonts w:ascii="Arial Narrow" w:eastAsiaTheme="majorEastAsia" w:hAnsi="Arial Narrow" w:cs="Times New Roman"/>
                <w:b/>
                <w:sz w:val="20"/>
                <w:lang w:val="en-US"/>
              </w:rPr>
              <w:t>Parameter</w:t>
            </w:r>
          </w:p>
        </w:tc>
        <w:tc>
          <w:tcPr>
            <w:tcW w:w="2123" w:type="pct"/>
            <w:shd w:val="clear" w:color="auto" w:fill="auto"/>
            <w:vAlign w:val="center"/>
          </w:tcPr>
          <w:p w14:paraId="25E5F7D2" w14:textId="77777777" w:rsidR="00763EF2" w:rsidRPr="00427986" w:rsidRDefault="00763EF2" w:rsidP="00CB4A1F">
            <w:pPr>
              <w:jc w:val="center"/>
              <w:rPr>
                <w:rFonts w:ascii="Arial Narrow" w:eastAsiaTheme="majorEastAsia" w:hAnsi="Arial Narrow" w:cs="Times New Roman"/>
                <w:b/>
                <w:sz w:val="20"/>
                <w:lang w:val="en-US"/>
              </w:rPr>
            </w:pPr>
            <w:r w:rsidRPr="00427986">
              <w:rPr>
                <w:rFonts w:ascii="Arial Narrow" w:eastAsiaTheme="majorEastAsia" w:hAnsi="Arial Narrow" w:cs="Times New Roman"/>
                <w:b/>
                <w:sz w:val="20"/>
                <w:lang w:val="en-US"/>
              </w:rPr>
              <w:t>Value applied and source</w:t>
            </w:r>
          </w:p>
        </w:tc>
        <w:tc>
          <w:tcPr>
            <w:tcW w:w="2016" w:type="pct"/>
            <w:shd w:val="clear" w:color="auto" w:fill="auto"/>
            <w:vAlign w:val="center"/>
          </w:tcPr>
          <w:p w14:paraId="0260EE0A" w14:textId="77777777" w:rsidR="00763EF2" w:rsidRPr="00427986" w:rsidRDefault="00763EF2" w:rsidP="00CB4A1F">
            <w:pPr>
              <w:jc w:val="center"/>
              <w:rPr>
                <w:rFonts w:ascii="Arial Narrow" w:eastAsiaTheme="majorEastAsia" w:hAnsi="Arial Narrow" w:cs="Times New Roman"/>
                <w:b/>
                <w:sz w:val="20"/>
                <w:lang w:val="en-US"/>
              </w:rPr>
            </w:pPr>
            <w:r w:rsidRPr="00427986">
              <w:rPr>
                <w:rFonts w:ascii="Arial Narrow" w:eastAsiaTheme="majorEastAsia" w:hAnsi="Arial Narrow" w:cs="Times New Roman"/>
                <w:b/>
                <w:sz w:val="20"/>
                <w:lang w:val="en-US"/>
              </w:rPr>
              <w:t>Comment</w:t>
            </w:r>
          </w:p>
        </w:tc>
      </w:tr>
      <w:tr w:rsidR="00763EF2" w:rsidRPr="00427986" w14:paraId="77D4253F" w14:textId="77777777" w:rsidTr="00CB4A1F">
        <w:tc>
          <w:tcPr>
            <w:tcW w:w="862" w:type="pct"/>
            <w:shd w:val="clear" w:color="auto" w:fill="auto"/>
            <w:vAlign w:val="center"/>
          </w:tcPr>
          <w:p w14:paraId="0AA50876"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Incidence of thyroid cancer</w:t>
            </w:r>
          </w:p>
        </w:tc>
        <w:tc>
          <w:tcPr>
            <w:tcW w:w="2123" w:type="pct"/>
            <w:shd w:val="clear" w:color="auto" w:fill="auto"/>
            <w:vAlign w:val="center"/>
          </w:tcPr>
          <w:p w14:paraId="78425488"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Incidence of thyroid cancer 13.9/100,000 based on AIHW cancer data, assumed constant throughout Years 1-6.</w:t>
            </w:r>
          </w:p>
        </w:tc>
        <w:tc>
          <w:tcPr>
            <w:tcW w:w="2016" w:type="pct"/>
            <w:shd w:val="clear" w:color="auto" w:fill="auto"/>
            <w:vAlign w:val="center"/>
          </w:tcPr>
          <w:p w14:paraId="23B1D20E" w14:textId="4E4087D6" w:rsidR="00763EF2" w:rsidRPr="00427986" w:rsidRDefault="00763EF2"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sz w:val="20"/>
                <w:szCs w:val="20"/>
                <w:lang w:val="en-US"/>
              </w:rPr>
              <w:t xml:space="preserve">Likely underestimated </w:t>
            </w:r>
            <w:r w:rsidR="00AF1E6C" w:rsidRPr="00427986">
              <w:rPr>
                <w:rFonts w:ascii="Arial Narrow" w:eastAsiaTheme="majorEastAsia" w:hAnsi="Arial Narrow" w:cstheme="majorBidi"/>
                <w:sz w:val="20"/>
                <w:szCs w:val="20"/>
                <w:lang w:val="en-US"/>
              </w:rPr>
              <w:t xml:space="preserve">as </w:t>
            </w:r>
            <w:r w:rsidRPr="00427986">
              <w:rPr>
                <w:rFonts w:ascii="Arial Narrow" w:eastAsiaTheme="majorEastAsia" w:hAnsi="Arial Narrow" w:cstheme="majorBidi"/>
                <w:sz w:val="20"/>
                <w:szCs w:val="20"/>
                <w:lang w:val="en-US"/>
              </w:rPr>
              <w:t xml:space="preserve">the incidence rate of thyroid cancer has been </w:t>
            </w:r>
            <w:r w:rsidR="00F2007D" w:rsidRPr="00427986">
              <w:rPr>
                <w:rFonts w:ascii="Arial Narrow" w:eastAsiaTheme="majorEastAsia" w:hAnsi="Arial Narrow" w:cstheme="majorBidi"/>
                <w:sz w:val="20"/>
                <w:szCs w:val="20"/>
                <w:lang w:val="en-US"/>
              </w:rPr>
              <w:t xml:space="preserve">increasing </w:t>
            </w:r>
            <w:r w:rsidR="00AF1E6C" w:rsidRPr="00427986">
              <w:rPr>
                <w:rFonts w:ascii="Arial Narrow" w:eastAsiaTheme="majorEastAsia" w:hAnsi="Arial Narrow" w:cstheme="majorBidi"/>
                <w:sz w:val="20"/>
                <w:szCs w:val="20"/>
                <w:lang w:val="en-US"/>
              </w:rPr>
              <w:t xml:space="preserve">at a rate of </w:t>
            </w:r>
            <w:r w:rsidRPr="00427986">
              <w:rPr>
                <w:rFonts w:ascii="Arial Narrow" w:eastAsiaTheme="majorEastAsia" w:hAnsi="Arial Narrow" w:cstheme="majorBidi"/>
                <w:sz w:val="20"/>
                <w:szCs w:val="20"/>
                <w:lang w:val="en-US"/>
              </w:rPr>
              <w:t>2.7%</w:t>
            </w:r>
            <w:r w:rsidRPr="00427986">
              <w:rPr>
                <w:rFonts w:ascii="Arial Narrow" w:eastAsiaTheme="majorEastAsia" w:hAnsi="Arial Narrow" w:cstheme="majorBidi"/>
                <w:sz w:val="20"/>
                <w:szCs w:val="20"/>
                <w:vertAlign w:val="superscript"/>
              </w:rPr>
              <w:footnoteReference w:id="35"/>
            </w:r>
            <w:r w:rsidRPr="00427986">
              <w:rPr>
                <w:rFonts w:ascii="Arial Narrow" w:eastAsiaTheme="majorEastAsia" w:hAnsi="Arial Narrow" w:cstheme="majorBidi"/>
                <w:sz w:val="20"/>
                <w:szCs w:val="20"/>
              </w:rPr>
              <w:t xml:space="preserve"> </w:t>
            </w:r>
            <w:r w:rsidR="00AF1E6C" w:rsidRPr="00427986">
              <w:rPr>
                <w:rFonts w:ascii="Arial Narrow" w:eastAsiaTheme="majorEastAsia" w:hAnsi="Arial Narrow" w:cstheme="majorBidi"/>
                <w:sz w:val="20"/>
                <w:szCs w:val="20"/>
              </w:rPr>
              <w:t>per year</w:t>
            </w:r>
            <w:r w:rsidRPr="00427986">
              <w:rPr>
                <w:rFonts w:ascii="Arial Narrow" w:eastAsiaTheme="majorEastAsia" w:hAnsi="Arial Narrow" w:cstheme="majorBidi"/>
                <w:sz w:val="20"/>
                <w:szCs w:val="20"/>
                <w:lang w:val="en-US"/>
              </w:rPr>
              <w:t>.</w:t>
            </w:r>
          </w:p>
        </w:tc>
      </w:tr>
      <w:tr w:rsidR="00763EF2" w:rsidRPr="00427986" w14:paraId="3A22177C" w14:textId="77777777" w:rsidTr="00CB4A1F">
        <w:tc>
          <w:tcPr>
            <w:tcW w:w="862" w:type="pct"/>
            <w:shd w:val="clear" w:color="auto" w:fill="auto"/>
            <w:vAlign w:val="center"/>
          </w:tcPr>
          <w:p w14:paraId="20A5CAA4"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Incident patients</w:t>
            </w:r>
          </w:p>
        </w:tc>
        <w:tc>
          <w:tcPr>
            <w:tcW w:w="2123" w:type="pct"/>
            <w:shd w:val="clear" w:color="auto" w:fill="auto"/>
            <w:vAlign w:val="center"/>
          </w:tcPr>
          <w:p w14:paraId="135BA6A9" w14:textId="77777777" w:rsidR="00763EF2" w:rsidRPr="00427986" w:rsidRDefault="00763EF2" w:rsidP="00427986">
            <w:pPr>
              <w:numPr>
                <w:ilvl w:val="0"/>
                <w:numId w:val="12"/>
              </w:numPr>
              <w:ind w:left="357" w:hanging="357"/>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 xml:space="preserve">94% of thyroid cancer patients had DTC; </w:t>
            </w:r>
          </w:p>
          <w:p w14:paraId="3E1553E6" w14:textId="77777777" w:rsidR="00763EF2" w:rsidRPr="00427986" w:rsidRDefault="00763EF2" w:rsidP="00427986">
            <w:pPr>
              <w:numPr>
                <w:ilvl w:val="0"/>
                <w:numId w:val="12"/>
              </w:numPr>
              <w:ind w:left="357" w:hanging="357"/>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 xml:space="preserve">27.5% of DTC patients had advanced/metastatic disease; </w:t>
            </w:r>
          </w:p>
          <w:p w14:paraId="5340625D" w14:textId="77777777" w:rsidR="00763EF2" w:rsidRPr="00427986" w:rsidRDefault="00763EF2" w:rsidP="00427986">
            <w:pPr>
              <w:numPr>
                <w:ilvl w:val="0"/>
                <w:numId w:val="12"/>
              </w:numPr>
              <w:ind w:left="357" w:hanging="357"/>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 xml:space="preserve">33.3% of patients with advanced/metastatic disease were refractory to RAI; </w:t>
            </w:r>
          </w:p>
          <w:p w14:paraId="680A7262" w14:textId="77777777" w:rsidR="00763EF2" w:rsidRPr="00427986" w:rsidRDefault="00763EF2" w:rsidP="00427986">
            <w:pPr>
              <w:numPr>
                <w:ilvl w:val="0"/>
                <w:numId w:val="12"/>
              </w:numPr>
              <w:ind w:left="357" w:hanging="357"/>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 xml:space="preserve">37.5% of patients with RAI-R DTC were treated with 1L TKI; </w:t>
            </w:r>
          </w:p>
          <w:p w14:paraId="73D30951" w14:textId="77777777" w:rsidR="00763EF2" w:rsidRPr="00427986" w:rsidRDefault="00763EF2" w:rsidP="00427986">
            <w:pPr>
              <w:numPr>
                <w:ilvl w:val="0"/>
                <w:numId w:val="12"/>
              </w:numPr>
              <w:ind w:left="357" w:hanging="357"/>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53.1% of 1L-treated patients with progressed disease</w:t>
            </w:r>
          </w:p>
          <w:p w14:paraId="22CFE5D2" w14:textId="69E97D8C" w:rsidR="00763EF2" w:rsidRPr="00427986" w:rsidRDefault="00763EF2" w:rsidP="00427986">
            <w:pPr>
              <w:numPr>
                <w:ilvl w:val="0"/>
                <w:numId w:val="12"/>
              </w:numPr>
              <w:ind w:left="357" w:hanging="357"/>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100% patient share in 2L (assumption of 100% uptake)</w:t>
            </w:r>
          </w:p>
        </w:tc>
        <w:tc>
          <w:tcPr>
            <w:tcW w:w="2016" w:type="pct"/>
            <w:shd w:val="clear" w:color="auto" w:fill="auto"/>
            <w:vAlign w:val="center"/>
          </w:tcPr>
          <w:p w14:paraId="1CB07FC3" w14:textId="5FF55051" w:rsidR="00763EF2" w:rsidRPr="00427986" w:rsidRDefault="00EA6E0C"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U</w:t>
            </w:r>
            <w:r w:rsidR="00763EF2" w:rsidRPr="00427986">
              <w:rPr>
                <w:rFonts w:ascii="Arial Narrow" w:eastAsiaTheme="majorEastAsia" w:hAnsi="Arial Narrow" w:cstheme="majorBidi"/>
                <w:bCs/>
                <w:sz w:val="20"/>
                <w:lang w:val="en-US"/>
              </w:rPr>
              <w:t>ncertain</w:t>
            </w:r>
            <w:r w:rsidRPr="00427986">
              <w:rPr>
                <w:rFonts w:ascii="Arial Narrow" w:eastAsiaTheme="majorEastAsia" w:hAnsi="Arial Narrow" w:cstheme="majorBidi"/>
                <w:bCs/>
                <w:sz w:val="20"/>
                <w:lang w:val="en-US"/>
              </w:rPr>
              <w:t xml:space="preserve">. The ESC noted that the DUSC Secretariat provided a count of patients who had received lenvatinib in the first line </w:t>
            </w:r>
            <w:r w:rsidRPr="00427986">
              <w:rPr>
                <w:rFonts w:ascii="Arial Narrow" w:eastAsiaTheme="majorEastAsia" w:hAnsi="Arial Narrow" w:cstheme="majorBidi"/>
                <w:bCs/>
                <w:sz w:val="20"/>
                <w:szCs w:val="20"/>
                <w:lang w:val="en-US"/>
              </w:rPr>
              <w:t>setting (</w:t>
            </w:r>
            <w:r w:rsidRPr="00427986">
              <w:rPr>
                <w:rFonts w:ascii="Arial Narrow" w:eastAsiaTheme="majorEastAsia" w:hAnsi="Arial Narrow" w:cstheme="majorBidi"/>
                <w:bCs/>
                <w:sz w:val="20"/>
                <w:szCs w:val="20"/>
                <w:lang w:val="en-US"/>
              </w:rPr>
              <w:fldChar w:fldCharType="begin" w:fldLock="1"/>
            </w:r>
            <w:r w:rsidRPr="00427986">
              <w:rPr>
                <w:rFonts w:ascii="Arial Narrow" w:eastAsiaTheme="majorEastAsia" w:hAnsi="Arial Narrow" w:cstheme="majorBidi"/>
                <w:bCs/>
                <w:sz w:val="20"/>
                <w:szCs w:val="20"/>
                <w:lang w:val="en-US"/>
              </w:rPr>
              <w:instrText xml:space="preserve"> REF _Ref147993994 \h  \* MERGEFORMAT </w:instrText>
            </w:r>
            <w:r w:rsidRPr="00427986">
              <w:rPr>
                <w:rFonts w:ascii="Arial Narrow" w:eastAsiaTheme="majorEastAsia" w:hAnsi="Arial Narrow" w:cstheme="majorBidi"/>
                <w:bCs/>
                <w:sz w:val="20"/>
                <w:szCs w:val="20"/>
                <w:lang w:val="en-US"/>
              </w:rPr>
            </w:r>
            <w:r w:rsidRPr="00427986">
              <w:rPr>
                <w:rFonts w:ascii="Arial Narrow" w:eastAsiaTheme="majorEastAsia" w:hAnsi="Arial Narrow" w:cstheme="majorBidi"/>
                <w:bCs/>
                <w:sz w:val="20"/>
                <w:szCs w:val="20"/>
                <w:lang w:val="en-US"/>
              </w:rPr>
              <w:fldChar w:fldCharType="separate"/>
            </w:r>
            <w:r w:rsidR="008760F8" w:rsidRPr="008760F8">
              <w:rPr>
                <w:rFonts w:ascii="Arial Narrow" w:hAnsi="Arial Narrow"/>
                <w:sz w:val="20"/>
                <w:szCs w:val="20"/>
              </w:rPr>
              <w:t xml:space="preserve">Table </w:t>
            </w:r>
            <w:r w:rsidR="008760F8" w:rsidRPr="008760F8">
              <w:rPr>
                <w:rFonts w:ascii="Arial Narrow" w:hAnsi="Arial Narrow"/>
                <w:noProof/>
                <w:sz w:val="20"/>
                <w:szCs w:val="20"/>
              </w:rPr>
              <w:t>24</w:t>
            </w:r>
            <w:r w:rsidRPr="00427986">
              <w:rPr>
                <w:rFonts w:ascii="Arial Narrow" w:eastAsiaTheme="majorEastAsia" w:hAnsi="Arial Narrow" w:cstheme="majorBidi"/>
                <w:bCs/>
                <w:sz w:val="20"/>
                <w:szCs w:val="20"/>
                <w:lang w:val="en-US"/>
              </w:rPr>
              <w:fldChar w:fldCharType="end"/>
            </w:r>
            <w:r w:rsidRPr="00427986">
              <w:rPr>
                <w:rFonts w:ascii="Arial Narrow" w:eastAsiaTheme="majorEastAsia" w:hAnsi="Arial Narrow" w:cstheme="majorBidi"/>
                <w:bCs/>
                <w:sz w:val="20"/>
                <w:szCs w:val="20"/>
                <w:lang w:val="en-US"/>
              </w:rPr>
              <w:t>) which indicated that incident patient numbers may have been overestimated.</w:t>
            </w:r>
          </w:p>
        </w:tc>
      </w:tr>
      <w:tr w:rsidR="00763EF2" w:rsidRPr="00427986" w14:paraId="47681A0C" w14:textId="77777777" w:rsidTr="00CB4A1F">
        <w:tc>
          <w:tcPr>
            <w:tcW w:w="862" w:type="pct"/>
            <w:shd w:val="clear" w:color="auto" w:fill="auto"/>
            <w:vAlign w:val="center"/>
          </w:tcPr>
          <w:p w14:paraId="48EBBA00"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Prevalent patients</w:t>
            </w:r>
          </w:p>
        </w:tc>
        <w:tc>
          <w:tcPr>
            <w:tcW w:w="2123" w:type="pct"/>
            <w:shd w:val="clear" w:color="auto" w:fill="auto"/>
            <w:vAlign w:val="center"/>
          </w:tcPr>
          <w:p w14:paraId="164B768E"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30 in Year 1, none in other years.</w:t>
            </w:r>
          </w:p>
        </w:tc>
        <w:tc>
          <w:tcPr>
            <w:tcW w:w="2016" w:type="pct"/>
            <w:shd w:val="clear" w:color="auto" w:fill="auto"/>
            <w:vAlign w:val="center"/>
          </w:tcPr>
          <w:p w14:paraId="680FF648" w14:textId="0B14540C" w:rsidR="00763EF2" w:rsidRPr="00427986" w:rsidRDefault="00EA6E0C"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U</w:t>
            </w:r>
            <w:r w:rsidR="00763EF2" w:rsidRPr="00427986">
              <w:rPr>
                <w:rFonts w:ascii="Arial Narrow" w:eastAsiaTheme="majorEastAsia" w:hAnsi="Arial Narrow" w:cstheme="majorBidi"/>
                <w:bCs/>
                <w:sz w:val="20"/>
                <w:lang w:val="en-US"/>
              </w:rPr>
              <w:t>ncertain</w:t>
            </w:r>
            <w:r w:rsidR="00043E4C" w:rsidRPr="00427986">
              <w:rPr>
                <w:rFonts w:ascii="Arial Narrow" w:eastAsiaTheme="majorEastAsia" w:hAnsi="Arial Narrow" w:cstheme="majorBidi"/>
                <w:bCs/>
                <w:sz w:val="20"/>
                <w:lang w:val="en-US"/>
              </w:rPr>
              <w:t>. B</w:t>
            </w:r>
            <w:r w:rsidR="00763EF2" w:rsidRPr="00427986">
              <w:rPr>
                <w:rFonts w:ascii="Arial Narrow" w:eastAsiaTheme="majorEastAsia" w:hAnsi="Arial Narrow" w:cstheme="majorBidi"/>
                <w:bCs/>
                <w:sz w:val="20"/>
                <w:lang w:val="en-US"/>
              </w:rPr>
              <w:t>ased on the estimated number of incident patients in Year 1.</w:t>
            </w:r>
          </w:p>
        </w:tc>
      </w:tr>
      <w:tr w:rsidR="00763EF2" w:rsidRPr="00427986" w14:paraId="3C1F5625" w14:textId="77777777" w:rsidTr="00CB4A1F">
        <w:tc>
          <w:tcPr>
            <w:tcW w:w="862" w:type="pct"/>
            <w:tcBorders>
              <w:bottom w:val="single" w:sz="4" w:space="0" w:color="auto"/>
            </w:tcBorders>
            <w:shd w:val="clear" w:color="auto" w:fill="auto"/>
            <w:vAlign w:val="center"/>
          </w:tcPr>
          <w:p w14:paraId="7FBC1BCB"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Grandfathered patients</w:t>
            </w:r>
          </w:p>
        </w:tc>
        <w:tc>
          <w:tcPr>
            <w:tcW w:w="2123" w:type="pct"/>
            <w:shd w:val="clear" w:color="auto" w:fill="auto"/>
            <w:vAlign w:val="center"/>
          </w:tcPr>
          <w:p w14:paraId="6E8327FD" w14:textId="633311C3" w:rsidR="00763EF2" w:rsidRPr="00427986" w:rsidRDefault="005860C6" w:rsidP="00CB4A1F">
            <w:pPr>
              <w:jc w:val="left"/>
              <w:rPr>
                <w:rFonts w:ascii="Arial Narrow" w:eastAsiaTheme="majorEastAsia" w:hAnsi="Arial Narrow" w:cstheme="majorBidi"/>
                <w:bCs/>
                <w:sz w:val="20"/>
                <w:lang w:val="en-US"/>
              </w:rPr>
            </w:pPr>
            <w:r w:rsidRPr="005860C6">
              <w:rPr>
                <w:rFonts w:ascii="Arial Narrow" w:eastAsiaTheme="majorEastAsia" w:hAnsi="Arial Narrow" w:cstheme="majorBidi"/>
                <w:bCs/>
                <w:color w:val="000000"/>
                <w:spacing w:val="53"/>
                <w:sz w:val="20"/>
                <w:shd w:val="solid" w:color="000000" w:fill="000000"/>
                <w:fitText w:val="330" w:id="-1032106993"/>
                <w:lang w:val="en-US"/>
                <w14:textFill>
                  <w14:solidFill>
                    <w14:srgbClr w14:val="000000">
                      <w14:alpha w14:val="100000"/>
                    </w14:srgbClr>
                  </w14:solidFill>
                </w14:textFill>
              </w:rPr>
              <w:t>|||</w:t>
            </w:r>
            <w:r w:rsidRPr="005860C6">
              <w:rPr>
                <w:rFonts w:ascii="Arial Narrow" w:eastAsiaTheme="majorEastAsia" w:hAnsi="Arial Narrow" w:cstheme="majorBidi"/>
                <w:bCs/>
                <w:color w:val="000000"/>
                <w:spacing w:val="1"/>
                <w:sz w:val="20"/>
                <w:shd w:val="solid" w:color="000000" w:fill="000000"/>
                <w:fitText w:val="330" w:id="-1032106993"/>
                <w:lang w:val="en-US"/>
                <w14:textFill>
                  <w14:solidFill>
                    <w14:srgbClr w14:val="000000">
                      <w14:alpha w14:val="100000"/>
                    </w14:srgbClr>
                  </w14:solidFill>
                </w14:textFill>
              </w:rPr>
              <w:t>|</w:t>
            </w:r>
            <w:r w:rsidR="006F6FF3" w:rsidRPr="00D22B13">
              <w:rPr>
                <w:rFonts w:ascii="Arial Narrow" w:eastAsiaTheme="majorEastAsia" w:hAnsi="Arial Narrow" w:cstheme="majorBidi"/>
                <w:bCs/>
                <w:sz w:val="20"/>
                <w:vertAlign w:val="superscript"/>
                <w:lang w:val="en-US"/>
              </w:rPr>
              <w:t>1</w:t>
            </w:r>
            <w:r w:rsidR="00763EF2" w:rsidRPr="00D22B13">
              <w:rPr>
                <w:rFonts w:ascii="Arial Narrow" w:eastAsiaTheme="majorEastAsia" w:hAnsi="Arial Narrow" w:cstheme="majorBidi"/>
                <w:bCs/>
                <w:sz w:val="20"/>
                <w:vertAlign w:val="superscript"/>
                <w:lang w:val="en-US"/>
              </w:rPr>
              <w:t xml:space="preserve"> </w:t>
            </w:r>
            <w:r w:rsidR="00763EF2" w:rsidRPr="00427986">
              <w:rPr>
                <w:rFonts w:ascii="Arial Narrow" w:eastAsiaTheme="majorEastAsia" w:hAnsi="Arial Narrow" w:cstheme="majorBidi"/>
                <w:bCs/>
                <w:sz w:val="20"/>
                <w:lang w:val="en-US"/>
              </w:rPr>
              <w:t xml:space="preserve">in Year 1, none in other years. Currently </w:t>
            </w:r>
            <w:r w:rsidRPr="005860C6">
              <w:rPr>
                <w:rFonts w:ascii="Arial Narrow" w:eastAsiaTheme="majorEastAsia" w:hAnsi="Arial Narrow" w:cstheme="majorBidi"/>
                <w:bCs/>
                <w:color w:val="000000"/>
                <w:spacing w:val="53"/>
                <w:sz w:val="20"/>
                <w:shd w:val="solid" w:color="000000" w:fill="000000"/>
                <w:fitText w:val="330" w:id="-1032106992"/>
                <w:lang w:val="en-US"/>
                <w14:textFill>
                  <w14:solidFill>
                    <w14:srgbClr w14:val="000000">
                      <w14:alpha w14:val="100000"/>
                    </w14:srgbClr>
                  </w14:solidFill>
                </w14:textFill>
              </w:rPr>
              <w:t>|||</w:t>
            </w:r>
            <w:r w:rsidRPr="005860C6">
              <w:rPr>
                <w:rFonts w:ascii="Arial Narrow" w:eastAsiaTheme="majorEastAsia" w:hAnsi="Arial Narrow" w:cstheme="majorBidi"/>
                <w:bCs/>
                <w:color w:val="000000"/>
                <w:spacing w:val="1"/>
                <w:sz w:val="20"/>
                <w:shd w:val="solid" w:color="000000" w:fill="000000"/>
                <w:fitText w:val="330" w:id="-1032106992"/>
                <w:lang w:val="en-US"/>
                <w14:textFill>
                  <w14:solidFill>
                    <w14:srgbClr w14:val="000000">
                      <w14:alpha w14:val="100000"/>
                    </w14:srgbClr>
                  </w14:solidFill>
                </w14:textFill>
              </w:rPr>
              <w:t>|</w:t>
            </w:r>
            <w:r w:rsidR="006F6FF3" w:rsidRPr="006108DA">
              <w:rPr>
                <w:rFonts w:ascii="Arial Narrow" w:eastAsiaTheme="majorEastAsia" w:hAnsi="Arial Narrow" w:cstheme="majorBidi"/>
                <w:bCs/>
                <w:sz w:val="20"/>
                <w:vertAlign w:val="superscript"/>
                <w:lang w:val="en-US"/>
              </w:rPr>
              <w:t>1</w:t>
            </w:r>
            <w:r w:rsidR="00763EF2" w:rsidRPr="00427986">
              <w:rPr>
                <w:rFonts w:ascii="Arial Narrow" w:eastAsiaTheme="majorEastAsia" w:hAnsi="Arial Narrow" w:cstheme="majorBidi"/>
                <w:bCs/>
                <w:sz w:val="20"/>
                <w:lang w:val="en-US"/>
              </w:rPr>
              <w:t>patients were enrolled in the Ipsen Patient Access Program and on active treatment; assumed 100% meeting the proposed PBS restrictions and 100% electing continuing cabozantinib treatment.</w:t>
            </w:r>
          </w:p>
        </w:tc>
        <w:tc>
          <w:tcPr>
            <w:tcW w:w="2016" w:type="pct"/>
            <w:shd w:val="clear" w:color="auto" w:fill="auto"/>
            <w:vAlign w:val="center"/>
          </w:tcPr>
          <w:p w14:paraId="38A20ED2" w14:textId="13EFE31E" w:rsidR="00763EF2" w:rsidRPr="00427986" w:rsidRDefault="00763EF2"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 xml:space="preserve">It </w:t>
            </w:r>
            <w:r w:rsidR="0011089A">
              <w:rPr>
                <w:rFonts w:ascii="Arial Narrow" w:eastAsiaTheme="majorEastAsia" w:hAnsi="Arial Narrow" w:cstheme="majorBidi"/>
                <w:bCs/>
                <w:sz w:val="20"/>
                <w:lang w:val="en-US"/>
              </w:rPr>
              <w:t>is</w:t>
            </w:r>
            <w:r w:rsidR="0011089A" w:rsidRPr="00427986">
              <w:rPr>
                <w:rFonts w:ascii="Arial Narrow" w:eastAsiaTheme="majorEastAsia" w:hAnsi="Arial Narrow" w:cstheme="majorBidi"/>
                <w:bCs/>
                <w:sz w:val="20"/>
                <w:lang w:val="en-US"/>
              </w:rPr>
              <w:t xml:space="preserve"> </w:t>
            </w:r>
            <w:r w:rsidRPr="00427986">
              <w:rPr>
                <w:rFonts w:ascii="Arial Narrow" w:eastAsiaTheme="majorEastAsia" w:hAnsi="Arial Narrow" w:cstheme="majorBidi"/>
                <w:bCs/>
                <w:sz w:val="20"/>
                <w:lang w:val="en-US"/>
              </w:rPr>
              <w:t xml:space="preserve">unclear how many patients will </w:t>
            </w:r>
            <w:r w:rsidR="0011089A">
              <w:rPr>
                <w:rFonts w:ascii="Arial Narrow" w:eastAsiaTheme="majorEastAsia" w:hAnsi="Arial Narrow" w:cstheme="majorBidi"/>
                <w:bCs/>
                <w:sz w:val="20"/>
                <w:lang w:val="en-US"/>
              </w:rPr>
              <w:t>be on the</w:t>
            </w:r>
            <w:r w:rsidRPr="00427986">
              <w:rPr>
                <w:rFonts w:ascii="Arial Narrow" w:eastAsiaTheme="majorEastAsia" w:hAnsi="Arial Narrow" w:cstheme="majorBidi"/>
                <w:bCs/>
                <w:sz w:val="20"/>
                <w:lang w:val="en-US"/>
              </w:rPr>
              <w:t xml:space="preserve"> access program</w:t>
            </w:r>
            <w:r w:rsidR="0011089A">
              <w:rPr>
                <w:rFonts w:ascii="Arial Narrow" w:eastAsiaTheme="majorEastAsia" w:hAnsi="Arial Narrow" w:cstheme="majorBidi"/>
                <w:bCs/>
                <w:sz w:val="20"/>
                <w:lang w:val="en-US"/>
              </w:rPr>
              <w:t xml:space="preserve"> at the time of a listing</w:t>
            </w:r>
            <w:r w:rsidRPr="00427986">
              <w:rPr>
                <w:rFonts w:ascii="Arial Narrow" w:eastAsiaTheme="majorEastAsia" w:hAnsi="Arial Narrow" w:cstheme="majorBidi"/>
                <w:bCs/>
                <w:sz w:val="20"/>
                <w:lang w:val="en-US"/>
              </w:rPr>
              <w:t xml:space="preserve">.  </w:t>
            </w:r>
          </w:p>
        </w:tc>
      </w:tr>
      <w:tr w:rsidR="00763EF2" w:rsidRPr="00427986" w14:paraId="4EB3B014" w14:textId="77777777" w:rsidTr="00CB4A1F">
        <w:tc>
          <w:tcPr>
            <w:tcW w:w="862" w:type="pct"/>
            <w:tcBorders>
              <w:bottom w:val="nil"/>
            </w:tcBorders>
            <w:shd w:val="clear" w:color="auto" w:fill="auto"/>
            <w:vAlign w:val="center"/>
          </w:tcPr>
          <w:p w14:paraId="1938AAB3"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Treatment duration</w:t>
            </w:r>
          </w:p>
        </w:tc>
        <w:tc>
          <w:tcPr>
            <w:tcW w:w="2123" w:type="pct"/>
            <w:shd w:val="clear" w:color="auto" w:fill="auto"/>
            <w:vAlign w:val="center"/>
          </w:tcPr>
          <w:p w14:paraId="2DF96607"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Incident patients: eight months per course per patient, based on the extrapolated average time (0.67 year) on treatment from the economic model.</w:t>
            </w:r>
          </w:p>
        </w:tc>
        <w:tc>
          <w:tcPr>
            <w:tcW w:w="2016" w:type="pct"/>
            <w:shd w:val="clear" w:color="auto" w:fill="auto"/>
            <w:vAlign w:val="center"/>
          </w:tcPr>
          <w:p w14:paraId="53CBDB94" w14:textId="5A884B46" w:rsidR="00763EF2" w:rsidRPr="00427986" w:rsidRDefault="00846727" w:rsidP="00CB4A1F">
            <w:pPr>
              <w:jc w:val="left"/>
              <w:rPr>
                <w:rFonts w:ascii="Arial Narrow" w:eastAsiaTheme="majorEastAsia" w:hAnsi="Arial Narrow" w:cstheme="majorBidi"/>
                <w:bCs/>
                <w:sz w:val="20"/>
                <w:lang w:val="en-US"/>
              </w:rPr>
            </w:pPr>
            <w:r>
              <w:rPr>
                <w:rFonts w:ascii="Arial Narrow" w:eastAsiaTheme="majorEastAsia" w:hAnsi="Arial Narrow" w:cstheme="majorBidi"/>
                <w:sz w:val="20"/>
                <w:szCs w:val="20"/>
              </w:rPr>
              <w:t>-</w:t>
            </w:r>
          </w:p>
        </w:tc>
      </w:tr>
      <w:tr w:rsidR="00763EF2" w:rsidRPr="00427986" w14:paraId="1908A9B4" w14:textId="77777777" w:rsidTr="00CB4A1F">
        <w:tc>
          <w:tcPr>
            <w:tcW w:w="862" w:type="pct"/>
            <w:tcBorders>
              <w:top w:val="nil"/>
              <w:bottom w:val="nil"/>
            </w:tcBorders>
            <w:shd w:val="clear" w:color="auto" w:fill="auto"/>
            <w:vAlign w:val="center"/>
          </w:tcPr>
          <w:p w14:paraId="5E76DE02" w14:textId="77777777" w:rsidR="00763EF2" w:rsidRPr="00427986" w:rsidRDefault="00763EF2" w:rsidP="00CB4A1F">
            <w:pPr>
              <w:jc w:val="left"/>
              <w:rPr>
                <w:rFonts w:ascii="Arial Narrow" w:eastAsiaTheme="majorEastAsia" w:hAnsi="Arial Narrow" w:cstheme="majorBidi"/>
                <w:bCs/>
                <w:sz w:val="20"/>
                <w:lang w:val="en-US"/>
              </w:rPr>
            </w:pPr>
          </w:p>
        </w:tc>
        <w:tc>
          <w:tcPr>
            <w:tcW w:w="2123" w:type="pct"/>
            <w:shd w:val="clear" w:color="auto" w:fill="auto"/>
            <w:vAlign w:val="center"/>
          </w:tcPr>
          <w:p w14:paraId="112FDE67"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Prevalent patients: 12 months</w:t>
            </w:r>
          </w:p>
        </w:tc>
        <w:tc>
          <w:tcPr>
            <w:tcW w:w="2016" w:type="pct"/>
            <w:shd w:val="clear" w:color="auto" w:fill="auto"/>
            <w:vAlign w:val="center"/>
          </w:tcPr>
          <w:p w14:paraId="7473C991" w14:textId="0F2EE179" w:rsidR="00763EF2" w:rsidRPr="00427986" w:rsidRDefault="00763EF2"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Over-estimated, should be the same</w:t>
            </w:r>
            <w:r w:rsidR="0011089A">
              <w:rPr>
                <w:rFonts w:ascii="Arial Narrow" w:eastAsiaTheme="majorEastAsia" w:hAnsi="Arial Narrow" w:cstheme="majorBidi"/>
                <w:bCs/>
                <w:sz w:val="20"/>
                <w:lang w:val="en-US"/>
              </w:rPr>
              <w:t>, or possibly less than, for</w:t>
            </w:r>
            <w:r w:rsidRPr="00427986">
              <w:rPr>
                <w:rFonts w:ascii="Arial Narrow" w:eastAsiaTheme="majorEastAsia" w:hAnsi="Arial Narrow" w:cstheme="majorBidi"/>
                <w:bCs/>
                <w:sz w:val="20"/>
                <w:lang w:val="en-US"/>
              </w:rPr>
              <w:t xml:space="preserve"> incident patients (i.e., eight months).</w:t>
            </w:r>
          </w:p>
        </w:tc>
      </w:tr>
      <w:tr w:rsidR="00763EF2" w:rsidRPr="00427986" w14:paraId="73A5872F" w14:textId="77777777" w:rsidTr="00CB4A1F">
        <w:tc>
          <w:tcPr>
            <w:tcW w:w="862" w:type="pct"/>
            <w:tcBorders>
              <w:top w:val="nil"/>
            </w:tcBorders>
            <w:shd w:val="clear" w:color="auto" w:fill="auto"/>
            <w:vAlign w:val="center"/>
          </w:tcPr>
          <w:p w14:paraId="7C6312C3" w14:textId="77777777" w:rsidR="00763EF2" w:rsidRPr="00427986" w:rsidRDefault="00763EF2" w:rsidP="00CB4A1F">
            <w:pPr>
              <w:jc w:val="left"/>
              <w:rPr>
                <w:rFonts w:ascii="Arial Narrow" w:eastAsiaTheme="majorEastAsia" w:hAnsi="Arial Narrow" w:cstheme="majorBidi"/>
                <w:bCs/>
                <w:sz w:val="20"/>
                <w:lang w:val="en-US"/>
              </w:rPr>
            </w:pPr>
          </w:p>
        </w:tc>
        <w:tc>
          <w:tcPr>
            <w:tcW w:w="2123" w:type="pct"/>
            <w:shd w:val="clear" w:color="auto" w:fill="auto"/>
            <w:vAlign w:val="center"/>
          </w:tcPr>
          <w:p w14:paraId="7FD3C1C4"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Grandfathered patients: 4 months</w:t>
            </w:r>
          </w:p>
        </w:tc>
        <w:tc>
          <w:tcPr>
            <w:tcW w:w="2016" w:type="pct"/>
            <w:shd w:val="clear" w:color="auto" w:fill="auto"/>
            <w:vAlign w:val="center"/>
          </w:tcPr>
          <w:p w14:paraId="79BD7103" w14:textId="4EEE1210" w:rsidR="00763EF2" w:rsidRPr="00427986" w:rsidRDefault="008575B0" w:rsidP="00CB4A1F">
            <w:pPr>
              <w:jc w:val="left"/>
              <w:rPr>
                <w:rFonts w:ascii="Arial Narrow" w:eastAsiaTheme="majorEastAsia" w:hAnsi="Arial Narrow" w:cstheme="majorBidi"/>
                <w:bCs/>
                <w:sz w:val="20"/>
                <w:lang w:val="en-US"/>
              </w:rPr>
            </w:pPr>
            <w:r>
              <w:rPr>
                <w:rFonts w:ascii="Arial Narrow" w:eastAsiaTheme="majorEastAsia" w:hAnsi="Arial Narrow" w:cstheme="majorBidi"/>
                <w:bCs/>
                <w:sz w:val="20"/>
                <w:lang w:val="en-US"/>
              </w:rPr>
              <w:t>-</w:t>
            </w:r>
          </w:p>
        </w:tc>
      </w:tr>
      <w:tr w:rsidR="00763EF2" w:rsidRPr="00427986" w14:paraId="2B5058F9" w14:textId="77777777" w:rsidTr="00CB4A1F">
        <w:tc>
          <w:tcPr>
            <w:tcW w:w="862" w:type="pct"/>
            <w:shd w:val="clear" w:color="auto" w:fill="auto"/>
            <w:vAlign w:val="center"/>
          </w:tcPr>
          <w:p w14:paraId="30400319"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hAnsi="Arial Narrow" w:cstheme="majorBidi"/>
                <w:bCs/>
                <w:snapToGrid w:val="0"/>
                <w:sz w:val="20"/>
                <w:szCs w:val="22"/>
              </w:rPr>
              <w:t xml:space="preserve">MBS 66512 </w:t>
            </w:r>
          </w:p>
        </w:tc>
        <w:tc>
          <w:tcPr>
            <w:tcW w:w="2123" w:type="pct"/>
            <w:shd w:val="clear" w:color="auto" w:fill="auto"/>
            <w:vAlign w:val="center"/>
          </w:tcPr>
          <w:p w14:paraId="22C394A6"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hAnsi="Arial Narrow" w:cstheme="majorBidi"/>
                <w:bCs/>
                <w:snapToGrid w:val="0"/>
                <w:sz w:val="20"/>
                <w:szCs w:val="22"/>
              </w:rPr>
              <w:t xml:space="preserve">$17.70 Liver function </w:t>
            </w:r>
            <w:proofErr w:type="spellStart"/>
            <w:r w:rsidRPr="00427986">
              <w:rPr>
                <w:rFonts w:ascii="Arial Narrow" w:hAnsi="Arial Narrow" w:cstheme="majorBidi"/>
                <w:bCs/>
                <w:snapToGrid w:val="0"/>
                <w:sz w:val="20"/>
                <w:szCs w:val="22"/>
              </w:rPr>
              <w:t>tests</w:t>
            </w:r>
            <w:r w:rsidRPr="00427986">
              <w:rPr>
                <w:rFonts w:ascii="Arial Narrow" w:hAnsi="Arial Narrow" w:cstheme="majorBidi"/>
                <w:bCs/>
                <w:snapToGrid w:val="0"/>
                <w:sz w:val="20"/>
                <w:szCs w:val="22"/>
                <w:vertAlign w:val="superscript"/>
              </w:rPr>
              <w:t>a</w:t>
            </w:r>
            <w:proofErr w:type="spellEnd"/>
          </w:p>
        </w:tc>
        <w:tc>
          <w:tcPr>
            <w:tcW w:w="2016" w:type="pct"/>
            <w:shd w:val="clear" w:color="auto" w:fill="auto"/>
            <w:vAlign w:val="center"/>
          </w:tcPr>
          <w:p w14:paraId="442A717B" w14:textId="482E3DEF" w:rsidR="00763EF2" w:rsidRPr="00427986" w:rsidRDefault="008575B0" w:rsidP="00CB4A1F">
            <w:pPr>
              <w:jc w:val="left"/>
              <w:rPr>
                <w:rFonts w:ascii="Arial Narrow" w:eastAsiaTheme="majorEastAsia" w:hAnsi="Arial Narrow" w:cstheme="majorBidi"/>
                <w:bCs/>
                <w:sz w:val="20"/>
                <w:lang w:val="en-US"/>
              </w:rPr>
            </w:pPr>
            <w:r>
              <w:rPr>
                <w:rFonts w:ascii="Arial Narrow" w:eastAsiaTheme="majorEastAsia" w:hAnsi="Arial Narrow" w:cstheme="majorBidi"/>
                <w:bCs/>
                <w:sz w:val="20"/>
                <w:lang w:val="en-US"/>
              </w:rPr>
              <w:t>-</w:t>
            </w:r>
          </w:p>
        </w:tc>
      </w:tr>
      <w:tr w:rsidR="00763EF2" w:rsidRPr="00427986" w14:paraId="03F9BE13" w14:textId="77777777" w:rsidTr="00CB4A1F">
        <w:tc>
          <w:tcPr>
            <w:tcW w:w="862" w:type="pct"/>
            <w:shd w:val="clear" w:color="auto" w:fill="auto"/>
            <w:vAlign w:val="center"/>
          </w:tcPr>
          <w:p w14:paraId="44720167"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hAnsi="Arial Narrow" w:cstheme="majorBidi"/>
                <w:bCs/>
                <w:snapToGrid w:val="0"/>
                <w:sz w:val="20"/>
                <w:szCs w:val="22"/>
              </w:rPr>
              <w:t xml:space="preserve">MBS 65070 </w:t>
            </w:r>
          </w:p>
        </w:tc>
        <w:tc>
          <w:tcPr>
            <w:tcW w:w="2123" w:type="pct"/>
            <w:shd w:val="clear" w:color="auto" w:fill="auto"/>
            <w:vAlign w:val="center"/>
          </w:tcPr>
          <w:p w14:paraId="64ACA80E"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hAnsi="Arial Narrow" w:cstheme="majorBidi"/>
                <w:bCs/>
                <w:snapToGrid w:val="0"/>
                <w:sz w:val="20"/>
                <w:szCs w:val="22"/>
              </w:rPr>
              <w:t xml:space="preserve">$16.95 Complete blood </w:t>
            </w:r>
            <w:proofErr w:type="spellStart"/>
            <w:r w:rsidRPr="00427986">
              <w:rPr>
                <w:rFonts w:ascii="Arial Narrow" w:hAnsi="Arial Narrow" w:cstheme="majorBidi"/>
                <w:bCs/>
                <w:snapToGrid w:val="0"/>
                <w:sz w:val="20"/>
                <w:szCs w:val="22"/>
              </w:rPr>
              <w:t>count</w:t>
            </w:r>
            <w:r w:rsidRPr="00427986">
              <w:rPr>
                <w:rFonts w:ascii="Arial Narrow" w:hAnsi="Arial Narrow" w:cstheme="majorBidi"/>
                <w:bCs/>
                <w:snapToGrid w:val="0"/>
                <w:sz w:val="20"/>
                <w:szCs w:val="22"/>
                <w:vertAlign w:val="superscript"/>
              </w:rPr>
              <w:t>a</w:t>
            </w:r>
            <w:proofErr w:type="spellEnd"/>
          </w:p>
        </w:tc>
        <w:tc>
          <w:tcPr>
            <w:tcW w:w="2016" w:type="pct"/>
            <w:shd w:val="clear" w:color="auto" w:fill="auto"/>
          </w:tcPr>
          <w:p w14:paraId="4EB8008B" w14:textId="310AC727" w:rsidR="00763EF2" w:rsidRPr="00427986" w:rsidRDefault="008575B0" w:rsidP="00CB4A1F">
            <w:pPr>
              <w:jc w:val="left"/>
              <w:rPr>
                <w:rFonts w:ascii="Arial Narrow" w:eastAsiaTheme="majorEastAsia" w:hAnsi="Arial Narrow" w:cstheme="majorBidi"/>
                <w:bCs/>
                <w:sz w:val="20"/>
                <w:lang w:val="en-US"/>
              </w:rPr>
            </w:pPr>
            <w:r>
              <w:rPr>
                <w:rFonts w:ascii="Arial Narrow" w:eastAsiaTheme="majorEastAsia" w:hAnsi="Arial Narrow" w:cstheme="majorBidi"/>
                <w:bCs/>
                <w:sz w:val="20"/>
              </w:rPr>
              <w:t>-</w:t>
            </w:r>
          </w:p>
        </w:tc>
      </w:tr>
      <w:tr w:rsidR="00763EF2" w:rsidRPr="00427986" w14:paraId="4A00E866" w14:textId="77777777" w:rsidTr="00CB4A1F">
        <w:tc>
          <w:tcPr>
            <w:tcW w:w="862" w:type="pct"/>
            <w:shd w:val="clear" w:color="auto" w:fill="auto"/>
            <w:vAlign w:val="center"/>
          </w:tcPr>
          <w:p w14:paraId="1EFD8FC2"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hAnsi="Arial Narrow" w:cstheme="majorBidi"/>
                <w:bCs/>
                <w:snapToGrid w:val="0"/>
                <w:sz w:val="20"/>
                <w:szCs w:val="22"/>
              </w:rPr>
              <w:t>MBS 66509</w:t>
            </w:r>
            <w:r w:rsidRPr="00427986">
              <w:rPr>
                <w:rFonts w:ascii="Arial Narrow" w:eastAsiaTheme="majorEastAsia" w:hAnsi="Arial Narrow" w:cstheme="majorBidi"/>
                <w:bCs/>
                <w:sz w:val="20"/>
              </w:rPr>
              <w:t xml:space="preserve"> </w:t>
            </w:r>
          </w:p>
        </w:tc>
        <w:tc>
          <w:tcPr>
            <w:tcW w:w="2123" w:type="pct"/>
            <w:shd w:val="clear" w:color="auto" w:fill="auto"/>
            <w:vAlign w:val="center"/>
          </w:tcPr>
          <w:p w14:paraId="0080C971" w14:textId="77777777" w:rsidR="00763EF2" w:rsidRPr="00427986" w:rsidRDefault="00763EF2" w:rsidP="00CB4A1F">
            <w:pPr>
              <w:jc w:val="left"/>
              <w:rPr>
                <w:rFonts w:ascii="Arial Narrow" w:eastAsiaTheme="majorEastAsia" w:hAnsi="Arial Narrow" w:cstheme="majorBidi"/>
                <w:bCs/>
                <w:sz w:val="20"/>
                <w:vertAlign w:val="superscript"/>
                <w:lang w:val="en-US"/>
              </w:rPr>
            </w:pPr>
            <w:r w:rsidRPr="00427986">
              <w:rPr>
                <w:rFonts w:ascii="Arial Narrow" w:hAnsi="Arial Narrow" w:cstheme="majorBidi"/>
                <w:bCs/>
                <w:snapToGrid w:val="0"/>
                <w:sz w:val="20"/>
                <w:szCs w:val="22"/>
              </w:rPr>
              <w:t>$17.70 Serum electrolytes/urea/</w:t>
            </w:r>
            <w:proofErr w:type="spellStart"/>
            <w:r w:rsidRPr="00427986">
              <w:rPr>
                <w:rFonts w:ascii="Arial Narrow" w:hAnsi="Arial Narrow" w:cstheme="majorBidi"/>
                <w:bCs/>
                <w:snapToGrid w:val="0"/>
                <w:sz w:val="20"/>
                <w:szCs w:val="22"/>
              </w:rPr>
              <w:t>creatine</w:t>
            </w:r>
            <w:r w:rsidRPr="00427986">
              <w:rPr>
                <w:rFonts w:ascii="Arial Narrow" w:hAnsi="Arial Narrow" w:cstheme="majorBidi"/>
                <w:bCs/>
                <w:snapToGrid w:val="0"/>
                <w:sz w:val="20"/>
                <w:szCs w:val="22"/>
                <w:vertAlign w:val="superscript"/>
              </w:rPr>
              <w:t>b</w:t>
            </w:r>
            <w:proofErr w:type="spellEnd"/>
          </w:p>
        </w:tc>
        <w:tc>
          <w:tcPr>
            <w:tcW w:w="2016" w:type="pct"/>
            <w:shd w:val="clear" w:color="auto" w:fill="auto"/>
          </w:tcPr>
          <w:p w14:paraId="67BC9DDC" w14:textId="0586E808" w:rsidR="00763EF2" w:rsidRPr="00427986" w:rsidRDefault="008575B0" w:rsidP="00CB4A1F">
            <w:pPr>
              <w:jc w:val="left"/>
              <w:rPr>
                <w:rFonts w:ascii="Arial Narrow" w:eastAsiaTheme="majorEastAsia" w:hAnsi="Arial Narrow" w:cstheme="majorBidi"/>
                <w:bCs/>
                <w:sz w:val="20"/>
                <w:lang w:val="en-US"/>
              </w:rPr>
            </w:pPr>
            <w:r>
              <w:rPr>
                <w:rFonts w:ascii="Arial Narrow" w:eastAsiaTheme="majorEastAsia" w:hAnsi="Arial Narrow" w:cstheme="majorBidi"/>
                <w:bCs/>
                <w:sz w:val="20"/>
              </w:rPr>
              <w:t>-</w:t>
            </w:r>
          </w:p>
        </w:tc>
      </w:tr>
      <w:tr w:rsidR="00763EF2" w:rsidRPr="00427986" w14:paraId="13E06915" w14:textId="77777777" w:rsidTr="00CB4A1F">
        <w:tc>
          <w:tcPr>
            <w:tcW w:w="862" w:type="pct"/>
            <w:shd w:val="clear" w:color="auto" w:fill="auto"/>
            <w:vAlign w:val="center"/>
          </w:tcPr>
          <w:p w14:paraId="1FE07071"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hAnsi="Arial Narrow" w:cstheme="majorBidi"/>
                <w:bCs/>
                <w:snapToGrid w:val="0"/>
                <w:sz w:val="20"/>
                <w:szCs w:val="22"/>
              </w:rPr>
              <w:t xml:space="preserve">MBS 66719 </w:t>
            </w:r>
          </w:p>
        </w:tc>
        <w:tc>
          <w:tcPr>
            <w:tcW w:w="2123" w:type="pct"/>
            <w:shd w:val="clear" w:color="auto" w:fill="auto"/>
            <w:vAlign w:val="center"/>
          </w:tcPr>
          <w:p w14:paraId="00465B4C"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hAnsi="Arial Narrow" w:cstheme="majorBidi"/>
                <w:bCs/>
                <w:snapToGrid w:val="0"/>
                <w:sz w:val="20"/>
                <w:szCs w:val="22"/>
              </w:rPr>
              <w:t xml:space="preserve">$34.80 Thyroid function </w:t>
            </w:r>
            <w:proofErr w:type="spellStart"/>
            <w:r w:rsidRPr="00427986">
              <w:rPr>
                <w:rFonts w:ascii="Arial Narrow" w:hAnsi="Arial Narrow" w:cstheme="majorBidi"/>
                <w:bCs/>
                <w:snapToGrid w:val="0"/>
                <w:sz w:val="20"/>
                <w:szCs w:val="22"/>
              </w:rPr>
              <w:t>test</w:t>
            </w:r>
            <w:r w:rsidRPr="00427986">
              <w:rPr>
                <w:rFonts w:ascii="Arial Narrow" w:hAnsi="Arial Narrow" w:cstheme="majorBidi"/>
                <w:bCs/>
                <w:snapToGrid w:val="0"/>
                <w:sz w:val="20"/>
                <w:szCs w:val="22"/>
                <w:vertAlign w:val="superscript"/>
              </w:rPr>
              <w:t>b</w:t>
            </w:r>
            <w:proofErr w:type="spellEnd"/>
          </w:p>
        </w:tc>
        <w:tc>
          <w:tcPr>
            <w:tcW w:w="2016" w:type="pct"/>
            <w:shd w:val="clear" w:color="auto" w:fill="auto"/>
          </w:tcPr>
          <w:p w14:paraId="26292796" w14:textId="23802B9D" w:rsidR="00763EF2" w:rsidRPr="00427986" w:rsidRDefault="008575B0" w:rsidP="00CB4A1F">
            <w:pPr>
              <w:jc w:val="left"/>
              <w:rPr>
                <w:rFonts w:ascii="Arial Narrow" w:eastAsiaTheme="majorEastAsia" w:hAnsi="Arial Narrow" w:cstheme="majorBidi"/>
                <w:bCs/>
                <w:sz w:val="20"/>
                <w:lang w:val="en-US"/>
              </w:rPr>
            </w:pPr>
            <w:r>
              <w:rPr>
                <w:rFonts w:ascii="Arial Narrow" w:eastAsiaTheme="majorEastAsia" w:hAnsi="Arial Narrow" w:cstheme="majorBidi"/>
                <w:bCs/>
                <w:sz w:val="20"/>
              </w:rPr>
              <w:t>-</w:t>
            </w:r>
          </w:p>
        </w:tc>
      </w:tr>
      <w:tr w:rsidR="00763EF2" w:rsidRPr="00427986" w14:paraId="0399C083" w14:textId="77777777" w:rsidTr="00CB4A1F">
        <w:tc>
          <w:tcPr>
            <w:tcW w:w="862" w:type="pct"/>
            <w:shd w:val="clear" w:color="auto" w:fill="auto"/>
            <w:vAlign w:val="center"/>
          </w:tcPr>
          <w:p w14:paraId="232C0659"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hAnsi="Arial Narrow" w:cstheme="majorBidi"/>
                <w:bCs/>
                <w:snapToGrid w:val="0"/>
                <w:sz w:val="20"/>
                <w:szCs w:val="22"/>
              </w:rPr>
              <w:t>MBS 55145</w:t>
            </w:r>
            <w:r w:rsidRPr="00427986">
              <w:rPr>
                <w:rFonts w:ascii="Arial Narrow" w:eastAsiaTheme="majorEastAsia" w:hAnsi="Arial Narrow" w:cstheme="majorBidi"/>
                <w:bCs/>
                <w:sz w:val="20"/>
              </w:rPr>
              <w:t xml:space="preserve"> </w:t>
            </w:r>
          </w:p>
        </w:tc>
        <w:tc>
          <w:tcPr>
            <w:tcW w:w="2123" w:type="pct"/>
            <w:shd w:val="clear" w:color="auto" w:fill="auto"/>
            <w:vAlign w:val="center"/>
          </w:tcPr>
          <w:p w14:paraId="6AFC5541"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hAnsi="Arial Narrow" w:cstheme="majorBidi"/>
                <w:bCs/>
                <w:snapToGrid w:val="0"/>
                <w:sz w:val="20"/>
                <w:szCs w:val="22"/>
              </w:rPr>
              <w:t>$496 ($513.85</w:t>
            </w:r>
            <w:r w:rsidRPr="00427986">
              <w:rPr>
                <w:rFonts w:ascii="Arial Narrow" w:hAnsi="Arial Narrow" w:cstheme="majorBidi"/>
                <w:bCs/>
                <w:snapToGrid w:val="0"/>
                <w:sz w:val="20"/>
                <w:szCs w:val="22"/>
                <w:vertAlign w:val="superscript"/>
              </w:rPr>
              <w:t>c</w:t>
            </w:r>
            <w:r w:rsidRPr="00427986">
              <w:rPr>
                <w:rFonts w:ascii="Arial Narrow" w:hAnsi="Arial Narrow" w:cstheme="majorBidi"/>
                <w:bCs/>
                <w:snapToGrid w:val="0"/>
                <w:sz w:val="20"/>
                <w:szCs w:val="22"/>
              </w:rPr>
              <w:t>) Pharmacological stress ECG</w:t>
            </w:r>
          </w:p>
        </w:tc>
        <w:tc>
          <w:tcPr>
            <w:tcW w:w="2016" w:type="pct"/>
            <w:shd w:val="clear" w:color="auto" w:fill="auto"/>
            <w:vAlign w:val="center"/>
          </w:tcPr>
          <w:p w14:paraId="6D5F7F0B"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lang w:val="en-US"/>
              </w:rPr>
              <w:t xml:space="preserve">MBS item 55145 cannot be co-claimed with MBS item 11729 </w:t>
            </w:r>
          </w:p>
        </w:tc>
      </w:tr>
      <w:tr w:rsidR="00763EF2" w:rsidRPr="00427986" w14:paraId="7B1FCFBB" w14:textId="77777777" w:rsidTr="00CB4A1F">
        <w:tc>
          <w:tcPr>
            <w:tcW w:w="862" w:type="pct"/>
            <w:shd w:val="clear" w:color="auto" w:fill="auto"/>
            <w:vAlign w:val="center"/>
          </w:tcPr>
          <w:p w14:paraId="3C7B0A47"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hAnsi="Arial Narrow" w:cstheme="majorBidi"/>
                <w:bCs/>
                <w:snapToGrid w:val="0"/>
                <w:sz w:val="20"/>
                <w:szCs w:val="22"/>
              </w:rPr>
              <w:t>MBS 11729</w:t>
            </w:r>
            <w:r w:rsidRPr="00427986">
              <w:rPr>
                <w:rFonts w:ascii="Arial Narrow" w:eastAsiaTheme="majorEastAsia" w:hAnsi="Arial Narrow" w:cstheme="majorBidi"/>
                <w:bCs/>
                <w:sz w:val="20"/>
              </w:rPr>
              <w:t xml:space="preserve"> </w:t>
            </w:r>
          </w:p>
        </w:tc>
        <w:tc>
          <w:tcPr>
            <w:tcW w:w="2123" w:type="pct"/>
            <w:shd w:val="clear" w:color="auto" w:fill="auto"/>
            <w:vAlign w:val="center"/>
          </w:tcPr>
          <w:p w14:paraId="57461178"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hAnsi="Arial Narrow" w:cstheme="majorBidi"/>
                <w:bCs/>
                <w:snapToGrid w:val="0"/>
                <w:sz w:val="20"/>
                <w:szCs w:val="22"/>
              </w:rPr>
              <w:t>$160.90 ($166.60</w:t>
            </w:r>
            <w:r w:rsidRPr="00427986">
              <w:rPr>
                <w:rFonts w:ascii="Arial Narrow" w:hAnsi="Arial Narrow" w:cstheme="majorBidi"/>
                <w:bCs/>
                <w:snapToGrid w:val="0"/>
                <w:sz w:val="20"/>
                <w:szCs w:val="22"/>
                <w:vertAlign w:val="superscript"/>
              </w:rPr>
              <w:t>c</w:t>
            </w:r>
            <w:r w:rsidRPr="00427986">
              <w:rPr>
                <w:rFonts w:ascii="Arial Narrow" w:hAnsi="Arial Narrow" w:cstheme="majorBidi"/>
                <w:bCs/>
                <w:snapToGrid w:val="0"/>
                <w:sz w:val="20"/>
                <w:szCs w:val="22"/>
              </w:rPr>
              <w:t>) Multi-channel ECG</w:t>
            </w:r>
          </w:p>
        </w:tc>
        <w:tc>
          <w:tcPr>
            <w:tcW w:w="2016" w:type="pct"/>
            <w:vAlign w:val="center"/>
          </w:tcPr>
          <w:p w14:paraId="361913F8" w14:textId="77777777" w:rsidR="00763EF2" w:rsidRPr="00427986" w:rsidRDefault="00763EF2" w:rsidP="00CB4A1F">
            <w:pPr>
              <w:jc w:val="left"/>
              <w:rPr>
                <w:rFonts w:ascii="Arial Narrow" w:eastAsiaTheme="majorEastAsia" w:hAnsi="Arial Narrow" w:cstheme="majorBidi"/>
                <w:bCs/>
                <w:sz w:val="20"/>
                <w:lang w:val="en-US"/>
              </w:rPr>
            </w:pPr>
            <w:r w:rsidRPr="00427986">
              <w:rPr>
                <w:rFonts w:ascii="Arial Narrow" w:eastAsiaTheme="majorEastAsia" w:hAnsi="Arial Narrow" w:cstheme="majorBidi"/>
                <w:bCs/>
                <w:sz w:val="20"/>
              </w:rPr>
              <w:t xml:space="preserve">Inappropriate if MBS item 55145 was claimed already. </w:t>
            </w:r>
          </w:p>
        </w:tc>
      </w:tr>
    </w:tbl>
    <w:p w14:paraId="0E713372" w14:textId="77777777" w:rsidR="00763EF2" w:rsidRPr="00043E4C" w:rsidRDefault="00763EF2" w:rsidP="00763EF2">
      <w:pPr>
        <w:spacing w:after="120"/>
        <w:contextualSpacing/>
        <w:rPr>
          <w:rFonts w:ascii="Arial Narrow" w:hAnsi="Arial Narrow"/>
          <w:snapToGrid w:val="0"/>
          <w:sz w:val="18"/>
          <w:szCs w:val="18"/>
        </w:rPr>
      </w:pPr>
      <w:r w:rsidRPr="00043E4C">
        <w:rPr>
          <w:rFonts w:ascii="Arial Narrow" w:hAnsi="Arial Narrow"/>
          <w:snapToGrid w:val="0"/>
          <w:sz w:val="18"/>
          <w:szCs w:val="18"/>
        </w:rPr>
        <w:t>Source: Tables 4-1 and 4-2, pp155 and 164 of the submission; Excel workbook titled ‘Cabometyx DTC Section 4 FINAL’ of the submission.</w:t>
      </w:r>
    </w:p>
    <w:p w14:paraId="27CF4F4B" w14:textId="77777777" w:rsidR="00763EF2" w:rsidRPr="00043E4C" w:rsidRDefault="00763EF2" w:rsidP="00763EF2">
      <w:pPr>
        <w:spacing w:after="120"/>
        <w:contextualSpacing/>
        <w:rPr>
          <w:rFonts w:ascii="Arial Narrow" w:hAnsi="Arial Narrow"/>
          <w:snapToGrid w:val="0"/>
          <w:sz w:val="18"/>
          <w:szCs w:val="18"/>
        </w:rPr>
      </w:pPr>
      <w:r w:rsidRPr="00043E4C">
        <w:rPr>
          <w:rFonts w:ascii="Arial Narrow" w:hAnsi="Arial Narrow"/>
          <w:snapToGrid w:val="0"/>
          <w:sz w:val="18"/>
          <w:szCs w:val="18"/>
        </w:rPr>
        <w:t>1L = first-line; DTC = differentiated thyroid cancer; ECG = electrocardiogram; MBS = Medicare Benefits Schedule; RAI-R = radioactive iodine-refractory; RR-DTC = radioiodine-refractory DTC; TKI = tyrosine kinase inhibitor.</w:t>
      </w:r>
    </w:p>
    <w:p w14:paraId="5721B089" w14:textId="3600102F" w:rsidR="00763EF2" w:rsidRPr="00043E4C" w:rsidRDefault="00763EF2" w:rsidP="00763EF2">
      <w:pPr>
        <w:spacing w:after="120"/>
        <w:contextualSpacing/>
        <w:rPr>
          <w:rFonts w:ascii="Arial Narrow" w:hAnsi="Arial Narrow"/>
          <w:snapToGrid w:val="0"/>
          <w:sz w:val="18"/>
          <w:szCs w:val="18"/>
        </w:rPr>
      </w:pPr>
      <w:r w:rsidRPr="00043E4C">
        <w:rPr>
          <w:rFonts w:ascii="Arial Narrow" w:hAnsi="Arial Narrow"/>
          <w:snapToGrid w:val="0"/>
          <w:sz w:val="18"/>
          <w:szCs w:val="18"/>
          <w:vertAlign w:val="superscript"/>
        </w:rPr>
        <w:t>a</w:t>
      </w:r>
      <w:r w:rsidRPr="00043E4C">
        <w:rPr>
          <w:rFonts w:ascii="Arial Narrow" w:hAnsi="Arial Narrow"/>
          <w:snapToGrid w:val="0"/>
          <w:sz w:val="18"/>
          <w:szCs w:val="18"/>
        </w:rPr>
        <w:t xml:space="preserve"> Evaluated at the time of each new script, i.e., at the time a new Authority prescription is issued (p159 of the submission).</w:t>
      </w:r>
    </w:p>
    <w:p w14:paraId="427E4BC4" w14:textId="77777777" w:rsidR="00763EF2" w:rsidRPr="00043E4C" w:rsidRDefault="00763EF2" w:rsidP="00763EF2">
      <w:pPr>
        <w:spacing w:after="120"/>
        <w:contextualSpacing/>
        <w:rPr>
          <w:rFonts w:ascii="Arial Narrow" w:hAnsi="Arial Narrow"/>
          <w:snapToGrid w:val="0"/>
          <w:sz w:val="18"/>
          <w:szCs w:val="18"/>
        </w:rPr>
      </w:pPr>
      <w:r w:rsidRPr="00043E4C">
        <w:rPr>
          <w:rFonts w:ascii="Arial Narrow" w:hAnsi="Arial Narrow"/>
          <w:snapToGrid w:val="0"/>
          <w:sz w:val="18"/>
          <w:szCs w:val="18"/>
          <w:vertAlign w:val="superscript"/>
        </w:rPr>
        <w:t>b</w:t>
      </w:r>
      <w:r w:rsidRPr="00043E4C">
        <w:rPr>
          <w:rFonts w:ascii="Arial Narrow" w:hAnsi="Arial Narrow"/>
          <w:snapToGrid w:val="0"/>
          <w:sz w:val="18"/>
          <w:szCs w:val="18"/>
        </w:rPr>
        <w:t xml:space="preserve"> Once for each patient, at the commencement of treatment with cabozantinib.</w:t>
      </w:r>
    </w:p>
    <w:p w14:paraId="233288E3" w14:textId="37426481" w:rsidR="00763EF2" w:rsidRDefault="00763EF2" w:rsidP="00FC479C">
      <w:pPr>
        <w:rPr>
          <w:rFonts w:ascii="Arial Narrow" w:hAnsi="Arial Narrow"/>
          <w:snapToGrid w:val="0"/>
          <w:sz w:val="18"/>
          <w:szCs w:val="18"/>
        </w:rPr>
      </w:pPr>
      <w:r w:rsidRPr="00AF1E6C">
        <w:rPr>
          <w:rFonts w:ascii="Arial Narrow" w:hAnsi="Arial Narrow"/>
          <w:snapToGrid w:val="0"/>
          <w:sz w:val="18"/>
          <w:szCs w:val="18"/>
          <w:vertAlign w:val="superscript"/>
        </w:rPr>
        <w:t>c</w:t>
      </w:r>
      <w:r w:rsidRPr="00AF1E6C">
        <w:rPr>
          <w:rFonts w:ascii="Arial Narrow" w:hAnsi="Arial Narrow"/>
          <w:snapToGrid w:val="0"/>
          <w:sz w:val="18"/>
          <w:szCs w:val="18"/>
        </w:rPr>
        <w:t xml:space="preserve"> </w:t>
      </w:r>
      <w:r w:rsidRPr="00E120DC">
        <w:rPr>
          <w:rFonts w:ascii="Arial Narrow" w:hAnsi="Arial Narrow"/>
          <w:snapToGrid w:val="0"/>
          <w:sz w:val="18"/>
          <w:szCs w:val="18"/>
        </w:rPr>
        <w:t>MBS online (accessed 25 July 2023 during the evaluation).</w:t>
      </w:r>
    </w:p>
    <w:p w14:paraId="53674A09" w14:textId="77777777" w:rsidR="00FC479C" w:rsidRPr="004124D2" w:rsidRDefault="00FC479C" w:rsidP="00FC479C">
      <w:pPr>
        <w:pStyle w:val="TableFigureFooter"/>
        <w:rPr>
          <w:i/>
          <w:iCs/>
        </w:rPr>
      </w:pPr>
      <w:r w:rsidRPr="004124D2">
        <w:rPr>
          <w:i/>
          <w:iCs/>
        </w:rPr>
        <w:t>The redacted values correspond to the following ranges:</w:t>
      </w:r>
    </w:p>
    <w:p w14:paraId="6BD76DAD" w14:textId="77D5E984" w:rsidR="00FC479C" w:rsidRPr="00FC479C" w:rsidRDefault="00FC479C" w:rsidP="00FC479C">
      <w:pPr>
        <w:pStyle w:val="TableFigureFooter"/>
        <w:rPr>
          <w:i/>
          <w:iCs/>
        </w:rPr>
      </w:pPr>
      <w:r w:rsidRPr="004124D2">
        <w:rPr>
          <w:i/>
          <w:iCs/>
          <w:vertAlign w:val="superscript"/>
        </w:rPr>
        <w:t>1</w:t>
      </w:r>
      <w:r w:rsidRPr="004124D2">
        <w:rPr>
          <w:i/>
          <w:iCs/>
        </w:rPr>
        <w:t xml:space="preserve"> &lt; 500</w:t>
      </w:r>
    </w:p>
    <w:p w14:paraId="64BA43D5" w14:textId="4352CB5C" w:rsidR="00763EF2" w:rsidRPr="003B5F84" w:rsidRDefault="00763EF2" w:rsidP="004A52A9">
      <w:pPr>
        <w:numPr>
          <w:ilvl w:val="1"/>
          <w:numId w:val="1"/>
        </w:numPr>
        <w:spacing w:after="120"/>
        <w:ind w:left="720"/>
        <w:rPr>
          <w:rFonts w:asciiTheme="minorHAnsi" w:hAnsiTheme="minorHAnsi"/>
          <w:snapToGrid w:val="0"/>
        </w:rPr>
      </w:pPr>
      <w:r w:rsidRPr="0564460C">
        <w:rPr>
          <w:rFonts w:asciiTheme="minorHAnsi" w:hAnsiTheme="minorHAnsi"/>
          <w:snapToGrid w:val="0"/>
        </w:rPr>
        <w:fldChar w:fldCharType="begin" w:fldLock="1"/>
      </w:r>
      <w:r w:rsidRPr="0564460C">
        <w:rPr>
          <w:rFonts w:asciiTheme="minorHAnsi" w:hAnsiTheme="minorHAnsi"/>
          <w:snapToGrid w:val="0"/>
        </w:rPr>
        <w:instrText xml:space="preserve"> REF _Ref104805295 \h  \* MERGEFORMAT </w:instrText>
      </w:r>
      <w:r w:rsidRPr="0564460C">
        <w:rPr>
          <w:rFonts w:asciiTheme="minorHAnsi" w:hAnsiTheme="minorHAnsi"/>
          <w:snapToGrid w:val="0"/>
        </w:rPr>
      </w:r>
      <w:r w:rsidRPr="0564460C">
        <w:rPr>
          <w:rFonts w:asciiTheme="minorHAnsi" w:hAnsiTheme="minorHAnsi"/>
          <w:snapToGrid w:val="0"/>
        </w:rPr>
        <w:fldChar w:fldCharType="separate"/>
      </w:r>
      <w:r w:rsidR="008760F8" w:rsidRPr="008760F8">
        <w:rPr>
          <w:rFonts w:asciiTheme="minorHAnsi" w:hAnsiTheme="minorHAnsi"/>
        </w:rPr>
        <w:t>Table 23</w:t>
      </w:r>
      <w:r w:rsidRPr="0564460C">
        <w:rPr>
          <w:rFonts w:asciiTheme="minorHAnsi" w:hAnsiTheme="minorHAnsi"/>
          <w:snapToGrid w:val="0"/>
        </w:rPr>
        <w:fldChar w:fldCharType="end"/>
      </w:r>
      <w:r w:rsidRPr="0564460C">
        <w:rPr>
          <w:rFonts w:asciiTheme="minorHAnsi" w:hAnsiTheme="minorHAnsi"/>
          <w:snapToGrid w:val="0"/>
        </w:rPr>
        <w:t xml:space="preserve"> presents the estimated use and financial implications. </w:t>
      </w:r>
    </w:p>
    <w:p w14:paraId="58C92B47" w14:textId="4033ACDD" w:rsidR="00763EF2" w:rsidRPr="003B5F84" w:rsidRDefault="00763EF2" w:rsidP="00763EF2">
      <w:pPr>
        <w:keepNext/>
        <w:keepLines/>
        <w:rPr>
          <w:rFonts w:ascii="Arial Narrow" w:hAnsi="Arial Narrow"/>
          <w:b/>
          <w:bCs/>
          <w:sz w:val="20"/>
          <w:szCs w:val="18"/>
        </w:rPr>
      </w:pPr>
      <w:bookmarkStart w:id="99" w:name="_Ref104805295"/>
      <w:r w:rsidRPr="003B5F84">
        <w:rPr>
          <w:rFonts w:ascii="Arial Narrow" w:hAnsi="Arial Narrow"/>
          <w:b/>
          <w:bCs/>
          <w:sz w:val="20"/>
          <w:szCs w:val="18"/>
        </w:rPr>
        <w:lastRenderedPageBreak/>
        <w:t xml:space="preserve">Table </w:t>
      </w:r>
      <w:r w:rsidRPr="003B5F84">
        <w:rPr>
          <w:rFonts w:ascii="Arial Narrow" w:hAnsi="Arial Narrow"/>
          <w:b/>
          <w:bCs/>
          <w:sz w:val="20"/>
          <w:szCs w:val="18"/>
        </w:rPr>
        <w:fldChar w:fldCharType="begin" w:fldLock="1"/>
      </w:r>
      <w:r w:rsidRPr="003B5F84">
        <w:rPr>
          <w:rFonts w:ascii="Arial Narrow" w:hAnsi="Arial Narrow"/>
          <w:b/>
          <w:bCs/>
          <w:sz w:val="20"/>
          <w:szCs w:val="18"/>
        </w:rPr>
        <w:instrText xml:space="preserve"> SEQ Table \* ARABIC </w:instrText>
      </w:r>
      <w:r w:rsidRPr="003B5F84">
        <w:rPr>
          <w:rFonts w:ascii="Arial Narrow" w:hAnsi="Arial Narrow"/>
          <w:b/>
          <w:bCs/>
          <w:sz w:val="20"/>
          <w:szCs w:val="18"/>
        </w:rPr>
        <w:fldChar w:fldCharType="separate"/>
      </w:r>
      <w:r w:rsidR="008760F8">
        <w:rPr>
          <w:rFonts w:ascii="Arial Narrow" w:hAnsi="Arial Narrow"/>
          <w:b/>
          <w:bCs/>
          <w:noProof/>
          <w:sz w:val="20"/>
          <w:szCs w:val="18"/>
        </w:rPr>
        <w:t>23</w:t>
      </w:r>
      <w:r w:rsidRPr="003B5F84">
        <w:rPr>
          <w:rFonts w:ascii="Arial Narrow" w:hAnsi="Arial Narrow"/>
          <w:b/>
          <w:bCs/>
          <w:noProof/>
          <w:sz w:val="20"/>
          <w:szCs w:val="18"/>
        </w:rPr>
        <w:fldChar w:fldCharType="end"/>
      </w:r>
      <w:bookmarkEnd w:id="99"/>
      <w:r w:rsidRPr="003B5F84">
        <w:rPr>
          <w:rFonts w:ascii="Arial Narrow" w:hAnsi="Arial Narrow"/>
          <w:b/>
          <w:bCs/>
          <w:sz w:val="20"/>
          <w:szCs w:val="18"/>
        </w:rPr>
        <w:t>:</w:t>
      </w:r>
      <w:r w:rsidRPr="003B5F84">
        <w:rPr>
          <w:rFonts w:ascii="Arial Narrow" w:hAnsi="Arial Narrow"/>
          <w:b/>
          <w:bCs/>
          <w:sz w:val="20"/>
        </w:rPr>
        <w:t xml:space="preserve"> Estimated use and financial implications (at proposed effective price of cabozantinib)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5"/>
        <w:gridCol w:w="1102"/>
        <w:gridCol w:w="1102"/>
        <w:gridCol w:w="1102"/>
        <w:gridCol w:w="1102"/>
        <w:gridCol w:w="1102"/>
        <w:gridCol w:w="1102"/>
      </w:tblGrid>
      <w:tr w:rsidR="00763EF2" w:rsidRPr="003B5F84" w14:paraId="2CC2F0C0" w14:textId="77777777" w:rsidTr="00CB4A1F">
        <w:trPr>
          <w:tblHeader/>
        </w:trPr>
        <w:tc>
          <w:tcPr>
            <w:tcW w:w="1334" w:type="pct"/>
            <w:tcBorders>
              <w:bottom w:val="nil"/>
            </w:tcBorders>
            <w:shd w:val="clear" w:color="auto" w:fill="auto"/>
            <w:vAlign w:val="center"/>
          </w:tcPr>
          <w:p w14:paraId="388E2806" w14:textId="77777777" w:rsidR="00763EF2" w:rsidRPr="003B5F84" w:rsidRDefault="00763EF2" w:rsidP="00CB4A1F">
            <w:pPr>
              <w:keepNext/>
              <w:jc w:val="center"/>
              <w:rPr>
                <w:rFonts w:ascii="Arial Narrow" w:eastAsiaTheme="majorEastAsia" w:hAnsi="Arial Narrow" w:cs="Times New Roman"/>
                <w:b/>
                <w:sz w:val="20"/>
                <w:lang w:val="en-US"/>
              </w:rPr>
            </w:pPr>
          </w:p>
        </w:tc>
        <w:tc>
          <w:tcPr>
            <w:tcW w:w="611" w:type="pct"/>
            <w:tcBorders>
              <w:bottom w:val="nil"/>
            </w:tcBorders>
            <w:shd w:val="clear" w:color="auto" w:fill="auto"/>
            <w:vAlign w:val="center"/>
          </w:tcPr>
          <w:p w14:paraId="40A230DE" w14:textId="77777777" w:rsidR="00763EF2" w:rsidRPr="003B5F84" w:rsidRDefault="00763EF2"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sz w:val="20"/>
                <w:lang w:val="en-US"/>
              </w:rPr>
              <w:t>Year 1</w:t>
            </w:r>
          </w:p>
        </w:tc>
        <w:tc>
          <w:tcPr>
            <w:tcW w:w="611" w:type="pct"/>
            <w:tcBorders>
              <w:bottom w:val="nil"/>
            </w:tcBorders>
            <w:shd w:val="clear" w:color="auto" w:fill="auto"/>
            <w:vAlign w:val="center"/>
          </w:tcPr>
          <w:p w14:paraId="29398174" w14:textId="77777777" w:rsidR="00763EF2" w:rsidRPr="003B5F84" w:rsidRDefault="00763EF2"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sz w:val="20"/>
                <w:lang w:val="en-US"/>
              </w:rPr>
              <w:t>Year 2</w:t>
            </w:r>
          </w:p>
        </w:tc>
        <w:tc>
          <w:tcPr>
            <w:tcW w:w="611" w:type="pct"/>
            <w:tcBorders>
              <w:bottom w:val="nil"/>
            </w:tcBorders>
            <w:shd w:val="clear" w:color="auto" w:fill="auto"/>
            <w:vAlign w:val="center"/>
          </w:tcPr>
          <w:p w14:paraId="1E27F996" w14:textId="77777777" w:rsidR="00763EF2" w:rsidRPr="003B5F84" w:rsidRDefault="00763EF2"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sz w:val="20"/>
                <w:lang w:val="en-US"/>
              </w:rPr>
              <w:t>Year 3</w:t>
            </w:r>
          </w:p>
        </w:tc>
        <w:tc>
          <w:tcPr>
            <w:tcW w:w="611" w:type="pct"/>
            <w:tcBorders>
              <w:bottom w:val="nil"/>
            </w:tcBorders>
            <w:shd w:val="clear" w:color="auto" w:fill="auto"/>
            <w:vAlign w:val="center"/>
          </w:tcPr>
          <w:p w14:paraId="7E9EBD0A" w14:textId="77777777" w:rsidR="00763EF2" w:rsidRPr="003B5F84" w:rsidRDefault="00763EF2"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sz w:val="20"/>
                <w:lang w:val="en-US"/>
              </w:rPr>
              <w:t>Year 4</w:t>
            </w:r>
          </w:p>
        </w:tc>
        <w:tc>
          <w:tcPr>
            <w:tcW w:w="611" w:type="pct"/>
            <w:tcBorders>
              <w:bottom w:val="nil"/>
            </w:tcBorders>
            <w:shd w:val="clear" w:color="auto" w:fill="auto"/>
            <w:vAlign w:val="center"/>
          </w:tcPr>
          <w:p w14:paraId="2AC728C3" w14:textId="77777777" w:rsidR="00763EF2" w:rsidRPr="003B5F84" w:rsidRDefault="00763EF2"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sz w:val="20"/>
                <w:lang w:val="en-US"/>
              </w:rPr>
              <w:t>Year 5</w:t>
            </w:r>
          </w:p>
        </w:tc>
        <w:tc>
          <w:tcPr>
            <w:tcW w:w="611" w:type="pct"/>
            <w:tcBorders>
              <w:bottom w:val="nil"/>
            </w:tcBorders>
          </w:tcPr>
          <w:p w14:paraId="35738BB2" w14:textId="77777777" w:rsidR="00763EF2" w:rsidRPr="003B5F84" w:rsidRDefault="00763EF2"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sz w:val="20"/>
                <w:lang w:val="en-US"/>
              </w:rPr>
              <w:t>Year 6</w:t>
            </w:r>
          </w:p>
        </w:tc>
      </w:tr>
      <w:tr w:rsidR="00763EF2" w:rsidRPr="003B5F84" w14:paraId="3BF0D672" w14:textId="77777777" w:rsidTr="00CB4A1F">
        <w:trPr>
          <w:tblHeader/>
        </w:trPr>
        <w:tc>
          <w:tcPr>
            <w:tcW w:w="1334" w:type="pct"/>
            <w:tcBorders>
              <w:top w:val="nil"/>
            </w:tcBorders>
            <w:shd w:val="clear" w:color="auto" w:fill="auto"/>
            <w:vAlign w:val="center"/>
          </w:tcPr>
          <w:p w14:paraId="4D9ABB5C" w14:textId="77777777" w:rsidR="00763EF2" w:rsidRPr="003B5F84" w:rsidRDefault="00763EF2" w:rsidP="00CB4A1F">
            <w:pPr>
              <w:keepNext/>
              <w:jc w:val="center"/>
              <w:rPr>
                <w:rFonts w:ascii="Arial Narrow" w:eastAsiaTheme="majorEastAsia" w:hAnsi="Arial Narrow" w:cs="Times New Roman"/>
                <w:b/>
                <w:sz w:val="20"/>
                <w:lang w:val="en-US"/>
              </w:rPr>
            </w:pPr>
          </w:p>
        </w:tc>
        <w:tc>
          <w:tcPr>
            <w:tcW w:w="611" w:type="pct"/>
            <w:tcBorders>
              <w:top w:val="nil"/>
              <w:bottom w:val="single" w:sz="4" w:space="0" w:color="auto"/>
            </w:tcBorders>
            <w:shd w:val="clear" w:color="auto" w:fill="auto"/>
            <w:vAlign w:val="center"/>
          </w:tcPr>
          <w:p w14:paraId="44128872" w14:textId="77777777" w:rsidR="00763EF2" w:rsidRPr="003B5F84" w:rsidRDefault="00763EF2"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color w:val="000000" w:themeColor="text1"/>
                <w:sz w:val="20"/>
                <w:lang w:val="en-US"/>
              </w:rPr>
              <w:t>2024</w:t>
            </w:r>
          </w:p>
        </w:tc>
        <w:tc>
          <w:tcPr>
            <w:tcW w:w="611" w:type="pct"/>
            <w:tcBorders>
              <w:top w:val="nil"/>
              <w:bottom w:val="single" w:sz="4" w:space="0" w:color="auto"/>
            </w:tcBorders>
            <w:shd w:val="clear" w:color="auto" w:fill="auto"/>
            <w:vAlign w:val="center"/>
          </w:tcPr>
          <w:p w14:paraId="160956F5" w14:textId="77777777" w:rsidR="00763EF2" w:rsidRPr="003B5F84" w:rsidRDefault="00763EF2"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color w:val="000000" w:themeColor="text1"/>
                <w:sz w:val="20"/>
                <w:lang w:val="en-US"/>
              </w:rPr>
              <w:t>2025</w:t>
            </w:r>
          </w:p>
        </w:tc>
        <w:tc>
          <w:tcPr>
            <w:tcW w:w="611" w:type="pct"/>
            <w:tcBorders>
              <w:top w:val="nil"/>
              <w:bottom w:val="single" w:sz="4" w:space="0" w:color="auto"/>
            </w:tcBorders>
            <w:shd w:val="clear" w:color="auto" w:fill="auto"/>
            <w:vAlign w:val="center"/>
          </w:tcPr>
          <w:p w14:paraId="7F59AACD" w14:textId="77777777" w:rsidR="00763EF2" w:rsidRPr="003B5F84" w:rsidRDefault="00763EF2"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color w:val="000000" w:themeColor="text1"/>
                <w:sz w:val="20"/>
                <w:lang w:val="en-US"/>
              </w:rPr>
              <w:t>2026</w:t>
            </w:r>
          </w:p>
        </w:tc>
        <w:tc>
          <w:tcPr>
            <w:tcW w:w="611" w:type="pct"/>
            <w:tcBorders>
              <w:top w:val="nil"/>
              <w:bottom w:val="single" w:sz="4" w:space="0" w:color="auto"/>
            </w:tcBorders>
            <w:shd w:val="clear" w:color="auto" w:fill="auto"/>
            <w:vAlign w:val="center"/>
          </w:tcPr>
          <w:p w14:paraId="2DFA6459" w14:textId="77777777" w:rsidR="00763EF2" w:rsidRPr="003B5F84" w:rsidRDefault="00763EF2"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color w:val="000000" w:themeColor="text1"/>
                <w:sz w:val="20"/>
                <w:lang w:val="en-US"/>
              </w:rPr>
              <w:t>2027</w:t>
            </w:r>
          </w:p>
        </w:tc>
        <w:tc>
          <w:tcPr>
            <w:tcW w:w="611" w:type="pct"/>
            <w:tcBorders>
              <w:top w:val="nil"/>
              <w:bottom w:val="single" w:sz="4" w:space="0" w:color="auto"/>
            </w:tcBorders>
            <w:shd w:val="clear" w:color="auto" w:fill="auto"/>
            <w:vAlign w:val="center"/>
          </w:tcPr>
          <w:p w14:paraId="79E87721" w14:textId="77777777" w:rsidR="00763EF2" w:rsidRPr="003B5F84" w:rsidRDefault="00763EF2"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color w:val="000000" w:themeColor="text1"/>
                <w:sz w:val="20"/>
                <w:lang w:val="en-US"/>
              </w:rPr>
              <w:t>2028</w:t>
            </w:r>
          </w:p>
        </w:tc>
        <w:tc>
          <w:tcPr>
            <w:tcW w:w="611" w:type="pct"/>
            <w:tcBorders>
              <w:top w:val="nil"/>
              <w:bottom w:val="single" w:sz="4" w:space="0" w:color="auto"/>
            </w:tcBorders>
            <w:shd w:val="clear" w:color="auto" w:fill="auto"/>
            <w:vAlign w:val="center"/>
          </w:tcPr>
          <w:p w14:paraId="662F3428" w14:textId="77777777" w:rsidR="00763EF2" w:rsidRPr="003B5F84" w:rsidRDefault="00763EF2" w:rsidP="00CB4A1F">
            <w:pPr>
              <w:keepNext/>
              <w:jc w:val="center"/>
              <w:rPr>
                <w:rFonts w:ascii="Arial Narrow" w:eastAsiaTheme="majorEastAsia" w:hAnsi="Arial Narrow" w:cs="Times New Roman"/>
                <w:b/>
                <w:sz w:val="20"/>
                <w:lang w:val="en-US"/>
              </w:rPr>
            </w:pPr>
            <w:r w:rsidRPr="003B5F84">
              <w:rPr>
                <w:rFonts w:ascii="Arial Narrow" w:eastAsiaTheme="majorEastAsia" w:hAnsi="Arial Narrow" w:cs="Times New Roman"/>
                <w:b/>
                <w:color w:val="000000" w:themeColor="text1"/>
                <w:sz w:val="20"/>
                <w:lang w:val="en-US"/>
              </w:rPr>
              <w:t>2029</w:t>
            </w:r>
          </w:p>
        </w:tc>
      </w:tr>
      <w:tr w:rsidR="00763EF2" w:rsidRPr="003B5F84" w14:paraId="6E838869" w14:textId="77777777" w:rsidTr="00CB4A1F">
        <w:tc>
          <w:tcPr>
            <w:tcW w:w="5000" w:type="pct"/>
            <w:gridSpan w:val="7"/>
            <w:shd w:val="clear" w:color="auto" w:fill="auto"/>
            <w:vAlign w:val="center"/>
          </w:tcPr>
          <w:p w14:paraId="215FAD2E" w14:textId="77777777" w:rsidR="00763EF2" w:rsidRPr="003B5F84" w:rsidRDefault="00763EF2" w:rsidP="00CB4A1F">
            <w:pPr>
              <w:keepNext/>
              <w:jc w:val="left"/>
              <w:rPr>
                <w:rFonts w:ascii="Arial Narrow" w:eastAsiaTheme="majorEastAsia" w:hAnsi="Arial Narrow" w:cs="Times New Roman"/>
                <w:b/>
                <w:bCs/>
                <w:color w:val="000000"/>
                <w:sz w:val="20"/>
                <w:lang w:val="en-US"/>
              </w:rPr>
            </w:pPr>
            <w:r w:rsidRPr="003B5F84">
              <w:rPr>
                <w:rFonts w:ascii="Arial Narrow" w:eastAsiaTheme="majorEastAsia" w:hAnsi="Arial Narrow" w:cs="Times New Roman"/>
                <w:b/>
                <w:bCs/>
                <w:color w:val="000000"/>
                <w:sz w:val="20"/>
                <w:lang w:val="en-US"/>
              </w:rPr>
              <w:t>Estimated extent of use</w:t>
            </w:r>
          </w:p>
        </w:tc>
      </w:tr>
      <w:tr w:rsidR="00763EF2" w:rsidRPr="003B5F84" w14:paraId="022144E6" w14:textId="77777777" w:rsidTr="00CB4A1F">
        <w:tc>
          <w:tcPr>
            <w:tcW w:w="1334" w:type="pct"/>
            <w:shd w:val="clear" w:color="auto" w:fill="auto"/>
            <w:vAlign w:val="center"/>
          </w:tcPr>
          <w:p w14:paraId="47152805" w14:textId="2F2FF448" w:rsidR="00763EF2" w:rsidRPr="003B5F84" w:rsidRDefault="00763EF2" w:rsidP="00CB4A1F">
            <w:pPr>
              <w:keepNext/>
              <w:jc w:val="left"/>
              <w:rPr>
                <w:rFonts w:ascii="Times" w:eastAsiaTheme="majorEastAsia" w:hAnsi="Times" w:cstheme="majorBidi"/>
                <w:bCs/>
                <w:sz w:val="20"/>
                <w:vertAlign w:val="superscript"/>
              </w:rPr>
            </w:pPr>
            <w:r w:rsidRPr="003B5F84">
              <w:rPr>
                <w:rFonts w:ascii="Arial Narrow" w:eastAsiaTheme="majorEastAsia" w:hAnsi="Arial Narrow" w:cstheme="majorBidi"/>
                <w:bCs/>
                <w:sz w:val="20"/>
              </w:rPr>
              <w:t>Number of patients treated</w:t>
            </w:r>
          </w:p>
        </w:tc>
        <w:tc>
          <w:tcPr>
            <w:tcW w:w="611" w:type="pct"/>
            <w:vAlign w:val="center"/>
          </w:tcPr>
          <w:p w14:paraId="11AD15AC" w14:textId="480CD40A" w:rsidR="00763EF2" w:rsidRPr="00D22B13" w:rsidRDefault="005860C6" w:rsidP="00CB4A1F">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color w:val="000000" w:themeColor="text1"/>
                <w:sz w:val="20"/>
                <w:szCs w:val="20"/>
              </w:rPr>
              <w:t xml:space="preserve"> </w:t>
            </w:r>
            <w:r w:rsidRPr="005860C6">
              <w:rPr>
                <w:rFonts w:ascii="Arial Narrow" w:eastAsiaTheme="majorEastAsia" w:hAnsi="Arial Narrow" w:cstheme="majorBidi"/>
                <w:color w:val="000000" w:themeColor="text1"/>
                <w:spacing w:val="174"/>
                <w:sz w:val="20"/>
                <w:szCs w:val="20"/>
                <w:shd w:val="solid" w:color="000000" w:fill="000000"/>
                <w:fitText w:val="260" w:id="-1032107008"/>
                <w14:textFill>
                  <w14:solidFill>
                    <w14:schemeClr w14:val="tx1">
                      <w14:alpha w14:val="100000"/>
                    </w14:schemeClr>
                  </w14:solidFill>
                </w14:textFill>
              </w:rPr>
              <w:t>|</w:t>
            </w:r>
            <w:r w:rsidRPr="005860C6">
              <w:rPr>
                <w:rFonts w:ascii="Arial Narrow" w:eastAsiaTheme="majorEastAsia" w:hAnsi="Arial Narrow" w:cstheme="majorBidi"/>
                <w:color w:val="000000" w:themeColor="text1"/>
                <w:spacing w:val="1"/>
                <w:sz w:val="20"/>
                <w:szCs w:val="20"/>
                <w:shd w:val="solid" w:color="000000" w:fill="000000"/>
                <w:fitText w:val="260" w:id="-1032107008"/>
                <w14:textFill>
                  <w14:solidFill>
                    <w14:schemeClr w14:val="tx1">
                      <w14:alpha w14:val="100000"/>
                    </w14:schemeClr>
                  </w14:solidFill>
                </w14:textFill>
              </w:rPr>
              <w:t>|</w:t>
            </w:r>
            <w:r w:rsidR="00043E4C" w:rsidRPr="007700D1">
              <w:rPr>
                <w:rFonts w:ascii="Arial Narrow" w:eastAsiaTheme="majorEastAsia" w:hAnsi="Arial Narrow" w:cstheme="majorBidi"/>
                <w:color w:val="000000" w:themeColor="text1"/>
                <w:sz w:val="20"/>
                <w:szCs w:val="20"/>
                <w:vertAlign w:val="superscript"/>
              </w:rPr>
              <w:t>a</w:t>
            </w:r>
            <w:r w:rsidR="00294862" w:rsidRPr="00D22B13">
              <w:rPr>
                <w:rFonts w:ascii="Arial Narrow" w:eastAsiaTheme="majorEastAsia" w:hAnsi="Arial Narrow" w:cstheme="majorBidi"/>
                <w:color w:val="000000" w:themeColor="text1"/>
                <w:sz w:val="20"/>
                <w:szCs w:val="20"/>
                <w:vertAlign w:val="superscript"/>
              </w:rPr>
              <w:t>1</w:t>
            </w:r>
          </w:p>
        </w:tc>
        <w:tc>
          <w:tcPr>
            <w:tcW w:w="611" w:type="pct"/>
            <w:vAlign w:val="center"/>
          </w:tcPr>
          <w:p w14:paraId="38251065" w14:textId="7FBE637D" w:rsidR="00763EF2" w:rsidRPr="00D22B13" w:rsidRDefault="005860C6" w:rsidP="00CB4A1F">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color w:val="000000" w:themeColor="text1"/>
                <w:sz w:val="20"/>
                <w:szCs w:val="20"/>
              </w:rPr>
              <w:t xml:space="preserve"> </w:t>
            </w:r>
            <w:r w:rsidRPr="005860C6">
              <w:rPr>
                <w:rFonts w:ascii="Arial Narrow" w:eastAsiaTheme="majorEastAsia" w:hAnsi="Arial Narrow" w:cstheme="majorBidi" w:hint="eastAsia"/>
                <w:color w:val="000000" w:themeColor="text1"/>
                <w:w w:val="15"/>
                <w:sz w:val="20"/>
                <w:szCs w:val="20"/>
                <w:shd w:val="solid" w:color="000000" w:fill="000000"/>
                <w:fitText w:val="70" w:id="-1032107006"/>
                <w14:textFill>
                  <w14:solidFill>
                    <w14:schemeClr w14:val="tx1">
                      <w14:alpha w14:val="100000"/>
                    </w14:schemeClr>
                  </w14:solidFill>
                </w14:textFill>
              </w:rPr>
              <w:t xml:space="preserve">　</w:t>
            </w:r>
            <w:r w:rsidRPr="005860C6">
              <w:rPr>
                <w:rFonts w:ascii="Arial Narrow" w:eastAsiaTheme="majorEastAsia" w:hAnsi="Arial Narrow" w:cstheme="majorBidi"/>
                <w:color w:val="000000" w:themeColor="text1"/>
                <w:w w:val="15"/>
                <w:sz w:val="20"/>
                <w:szCs w:val="20"/>
                <w:shd w:val="solid" w:color="000000" w:fill="000000"/>
                <w:fitText w:val="70" w:id="-1032107006"/>
                <w14:textFill>
                  <w14:solidFill>
                    <w14:schemeClr w14:val="tx1">
                      <w14:alpha w14:val="100000"/>
                    </w14:schemeClr>
                  </w14:solidFill>
                </w14:textFill>
              </w:rPr>
              <w:t>|</w:t>
            </w:r>
            <w:r w:rsidRPr="005860C6">
              <w:rPr>
                <w:rFonts w:ascii="Arial Narrow" w:eastAsiaTheme="majorEastAsia" w:hAnsi="Arial Narrow" w:cstheme="majorBidi" w:hint="eastAsia"/>
                <w:color w:val="000000" w:themeColor="text1"/>
                <w:spacing w:val="4"/>
                <w:w w:val="15"/>
                <w:sz w:val="20"/>
                <w:szCs w:val="20"/>
                <w:shd w:val="solid" w:color="000000" w:fill="000000"/>
                <w:fitText w:val="70" w:id="-1032107006"/>
                <w14:textFill>
                  <w14:solidFill>
                    <w14:schemeClr w14:val="tx1">
                      <w14:alpha w14:val="100000"/>
                    </w14:schemeClr>
                  </w14:solidFill>
                </w14:textFill>
              </w:rPr>
              <w:t xml:space="preserve">　</w:t>
            </w:r>
            <w:r w:rsidR="00294862" w:rsidRPr="006C314A">
              <w:rPr>
                <w:rFonts w:ascii="Arial Narrow" w:eastAsiaTheme="majorEastAsia" w:hAnsi="Arial Narrow" w:cstheme="majorBidi"/>
                <w:color w:val="000000" w:themeColor="text1"/>
                <w:sz w:val="20"/>
                <w:szCs w:val="20"/>
                <w:vertAlign w:val="superscript"/>
              </w:rPr>
              <w:t>1</w:t>
            </w:r>
          </w:p>
        </w:tc>
        <w:tc>
          <w:tcPr>
            <w:tcW w:w="611" w:type="pct"/>
            <w:vAlign w:val="center"/>
          </w:tcPr>
          <w:p w14:paraId="00F2D347" w14:textId="64D103BF" w:rsidR="00763EF2" w:rsidRPr="00D22B13" w:rsidRDefault="005860C6" w:rsidP="00CB4A1F">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color w:val="000000" w:themeColor="text1"/>
                <w:sz w:val="20"/>
                <w:szCs w:val="20"/>
              </w:rPr>
              <w:t xml:space="preserve"> </w:t>
            </w:r>
            <w:r w:rsidRPr="005860C6">
              <w:rPr>
                <w:rFonts w:ascii="Arial Narrow" w:eastAsiaTheme="majorEastAsia" w:hAnsi="Arial Narrow" w:cstheme="majorBidi" w:hint="eastAsia"/>
                <w:color w:val="000000" w:themeColor="text1"/>
                <w:w w:val="15"/>
                <w:sz w:val="20"/>
                <w:szCs w:val="20"/>
                <w:shd w:val="solid" w:color="000000" w:fill="000000"/>
                <w:fitText w:val="70" w:id="-1032107005"/>
                <w14:textFill>
                  <w14:solidFill>
                    <w14:schemeClr w14:val="tx1">
                      <w14:alpha w14:val="100000"/>
                    </w14:schemeClr>
                  </w14:solidFill>
                </w14:textFill>
              </w:rPr>
              <w:t xml:space="preserve">　</w:t>
            </w:r>
            <w:r w:rsidRPr="005860C6">
              <w:rPr>
                <w:rFonts w:ascii="Arial Narrow" w:eastAsiaTheme="majorEastAsia" w:hAnsi="Arial Narrow" w:cstheme="majorBidi"/>
                <w:color w:val="000000" w:themeColor="text1"/>
                <w:w w:val="15"/>
                <w:sz w:val="20"/>
                <w:szCs w:val="20"/>
                <w:shd w:val="solid" w:color="000000" w:fill="000000"/>
                <w:fitText w:val="70" w:id="-1032107005"/>
                <w14:textFill>
                  <w14:solidFill>
                    <w14:schemeClr w14:val="tx1">
                      <w14:alpha w14:val="100000"/>
                    </w14:schemeClr>
                  </w14:solidFill>
                </w14:textFill>
              </w:rPr>
              <w:t>|</w:t>
            </w:r>
            <w:r w:rsidRPr="005860C6">
              <w:rPr>
                <w:rFonts w:ascii="Arial Narrow" w:eastAsiaTheme="majorEastAsia" w:hAnsi="Arial Narrow" w:cstheme="majorBidi" w:hint="eastAsia"/>
                <w:color w:val="000000" w:themeColor="text1"/>
                <w:spacing w:val="4"/>
                <w:w w:val="15"/>
                <w:sz w:val="20"/>
                <w:szCs w:val="20"/>
                <w:shd w:val="solid" w:color="000000" w:fill="000000"/>
                <w:fitText w:val="70" w:id="-1032107005"/>
                <w14:textFill>
                  <w14:solidFill>
                    <w14:schemeClr w14:val="tx1">
                      <w14:alpha w14:val="100000"/>
                    </w14:schemeClr>
                  </w14:solidFill>
                </w14:textFill>
              </w:rPr>
              <w:t xml:space="preserve">　</w:t>
            </w:r>
            <w:r w:rsidR="00294862" w:rsidRPr="006C314A">
              <w:rPr>
                <w:rFonts w:ascii="Arial Narrow" w:eastAsiaTheme="majorEastAsia" w:hAnsi="Arial Narrow" w:cstheme="majorBidi"/>
                <w:color w:val="000000" w:themeColor="text1"/>
                <w:sz w:val="20"/>
                <w:szCs w:val="20"/>
                <w:vertAlign w:val="superscript"/>
              </w:rPr>
              <w:t>1</w:t>
            </w:r>
          </w:p>
        </w:tc>
        <w:tc>
          <w:tcPr>
            <w:tcW w:w="611" w:type="pct"/>
            <w:vAlign w:val="center"/>
          </w:tcPr>
          <w:p w14:paraId="7EA0036F" w14:textId="57B6678E" w:rsidR="00763EF2" w:rsidRPr="00D22B13" w:rsidRDefault="005860C6" w:rsidP="00CB4A1F">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color w:val="000000" w:themeColor="text1"/>
                <w:sz w:val="20"/>
                <w:szCs w:val="20"/>
              </w:rPr>
              <w:t xml:space="preserve"> </w:t>
            </w:r>
            <w:r w:rsidRPr="005860C6">
              <w:rPr>
                <w:rFonts w:ascii="Arial Narrow" w:eastAsiaTheme="majorEastAsia" w:hAnsi="Arial Narrow" w:cstheme="majorBidi" w:hint="eastAsia"/>
                <w:color w:val="000000" w:themeColor="text1"/>
                <w:w w:val="15"/>
                <w:sz w:val="20"/>
                <w:szCs w:val="20"/>
                <w:shd w:val="solid" w:color="000000" w:fill="000000"/>
                <w:fitText w:val="70" w:id="-1032107004"/>
                <w14:textFill>
                  <w14:solidFill>
                    <w14:schemeClr w14:val="tx1">
                      <w14:alpha w14:val="100000"/>
                    </w14:schemeClr>
                  </w14:solidFill>
                </w14:textFill>
              </w:rPr>
              <w:t xml:space="preserve">　</w:t>
            </w:r>
            <w:r w:rsidRPr="005860C6">
              <w:rPr>
                <w:rFonts w:ascii="Arial Narrow" w:eastAsiaTheme="majorEastAsia" w:hAnsi="Arial Narrow" w:cstheme="majorBidi"/>
                <w:color w:val="000000" w:themeColor="text1"/>
                <w:w w:val="15"/>
                <w:sz w:val="20"/>
                <w:szCs w:val="20"/>
                <w:shd w:val="solid" w:color="000000" w:fill="000000"/>
                <w:fitText w:val="70" w:id="-1032107004"/>
                <w14:textFill>
                  <w14:solidFill>
                    <w14:schemeClr w14:val="tx1">
                      <w14:alpha w14:val="100000"/>
                    </w14:schemeClr>
                  </w14:solidFill>
                </w14:textFill>
              </w:rPr>
              <w:t>|</w:t>
            </w:r>
            <w:r w:rsidRPr="005860C6">
              <w:rPr>
                <w:rFonts w:ascii="Arial Narrow" w:eastAsiaTheme="majorEastAsia" w:hAnsi="Arial Narrow" w:cstheme="majorBidi" w:hint="eastAsia"/>
                <w:color w:val="000000" w:themeColor="text1"/>
                <w:spacing w:val="4"/>
                <w:w w:val="15"/>
                <w:sz w:val="20"/>
                <w:szCs w:val="20"/>
                <w:shd w:val="solid" w:color="000000" w:fill="000000"/>
                <w:fitText w:val="70" w:id="-1032107004"/>
                <w14:textFill>
                  <w14:solidFill>
                    <w14:schemeClr w14:val="tx1">
                      <w14:alpha w14:val="100000"/>
                    </w14:schemeClr>
                  </w14:solidFill>
                </w14:textFill>
              </w:rPr>
              <w:t xml:space="preserve">　</w:t>
            </w:r>
            <w:r w:rsidR="00294862" w:rsidRPr="006C314A">
              <w:rPr>
                <w:rFonts w:ascii="Arial Narrow" w:eastAsiaTheme="majorEastAsia" w:hAnsi="Arial Narrow" w:cstheme="majorBidi"/>
                <w:color w:val="000000" w:themeColor="text1"/>
                <w:sz w:val="20"/>
                <w:szCs w:val="20"/>
                <w:vertAlign w:val="superscript"/>
              </w:rPr>
              <w:t>1</w:t>
            </w:r>
          </w:p>
        </w:tc>
        <w:tc>
          <w:tcPr>
            <w:tcW w:w="611" w:type="pct"/>
            <w:vAlign w:val="center"/>
          </w:tcPr>
          <w:p w14:paraId="5BB0C5D1" w14:textId="249AD9AB" w:rsidR="00763EF2" w:rsidRPr="00D22B13" w:rsidRDefault="005860C6" w:rsidP="00CB4A1F">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color w:val="000000" w:themeColor="text1"/>
                <w:sz w:val="20"/>
                <w:szCs w:val="20"/>
              </w:rPr>
              <w:t xml:space="preserve"> </w:t>
            </w:r>
            <w:r w:rsidRPr="005860C6">
              <w:rPr>
                <w:rFonts w:ascii="Arial Narrow" w:eastAsiaTheme="majorEastAsia" w:hAnsi="Arial Narrow" w:cstheme="majorBidi" w:hint="eastAsia"/>
                <w:color w:val="000000" w:themeColor="text1"/>
                <w:w w:val="15"/>
                <w:sz w:val="20"/>
                <w:szCs w:val="20"/>
                <w:shd w:val="solid" w:color="000000" w:fill="000000"/>
                <w:fitText w:val="70" w:id="-1032107003"/>
                <w14:textFill>
                  <w14:solidFill>
                    <w14:schemeClr w14:val="tx1">
                      <w14:alpha w14:val="100000"/>
                    </w14:schemeClr>
                  </w14:solidFill>
                </w14:textFill>
              </w:rPr>
              <w:t xml:space="preserve">　</w:t>
            </w:r>
            <w:r w:rsidRPr="005860C6">
              <w:rPr>
                <w:rFonts w:ascii="Arial Narrow" w:eastAsiaTheme="majorEastAsia" w:hAnsi="Arial Narrow" w:cstheme="majorBidi"/>
                <w:color w:val="000000" w:themeColor="text1"/>
                <w:w w:val="15"/>
                <w:sz w:val="20"/>
                <w:szCs w:val="20"/>
                <w:shd w:val="solid" w:color="000000" w:fill="000000"/>
                <w:fitText w:val="70" w:id="-1032107003"/>
                <w14:textFill>
                  <w14:solidFill>
                    <w14:schemeClr w14:val="tx1">
                      <w14:alpha w14:val="100000"/>
                    </w14:schemeClr>
                  </w14:solidFill>
                </w14:textFill>
              </w:rPr>
              <w:t>|</w:t>
            </w:r>
            <w:r w:rsidRPr="005860C6">
              <w:rPr>
                <w:rFonts w:ascii="Arial Narrow" w:eastAsiaTheme="majorEastAsia" w:hAnsi="Arial Narrow" w:cstheme="majorBidi" w:hint="eastAsia"/>
                <w:color w:val="000000" w:themeColor="text1"/>
                <w:spacing w:val="4"/>
                <w:w w:val="15"/>
                <w:sz w:val="20"/>
                <w:szCs w:val="20"/>
                <w:shd w:val="solid" w:color="000000" w:fill="000000"/>
                <w:fitText w:val="70" w:id="-1032107003"/>
                <w14:textFill>
                  <w14:solidFill>
                    <w14:schemeClr w14:val="tx1">
                      <w14:alpha w14:val="100000"/>
                    </w14:schemeClr>
                  </w14:solidFill>
                </w14:textFill>
              </w:rPr>
              <w:t xml:space="preserve">　</w:t>
            </w:r>
            <w:r w:rsidR="00294862" w:rsidRPr="006C314A">
              <w:rPr>
                <w:rFonts w:ascii="Arial Narrow" w:eastAsiaTheme="majorEastAsia" w:hAnsi="Arial Narrow" w:cstheme="majorBidi"/>
                <w:color w:val="000000" w:themeColor="text1"/>
                <w:sz w:val="20"/>
                <w:szCs w:val="20"/>
                <w:vertAlign w:val="superscript"/>
              </w:rPr>
              <w:t>1</w:t>
            </w:r>
          </w:p>
        </w:tc>
        <w:tc>
          <w:tcPr>
            <w:tcW w:w="611" w:type="pct"/>
            <w:vAlign w:val="center"/>
          </w:tcPr>
          <w:p w14:paraId="27A1B81F" w14:textId="7B1055E2" w:rsidR="00763EF2" w:rsidRPr="00D22B13" w:rsidRDefault="005860C6" w:rsidP="00CB4A1F">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color w:val="000000" w:themeColor="text1"/>
                <w:sz w:val="20"/>
                <w:szCs w:val="20"/>
              </w:rPr>
              <w:t xml:space="preserve"> </w:t>
            </w:r>
            <w:r w:rsidRPr="005860C6">
              <w:rPr>
                <w:rFonts w:ascii="Arial Narrow" w:eastAsiaTheme="majorEastAsia" w:hAnsi="Arial Narrow" w:cstheme="majorBidi" w:hint="eastAsia"/>
                <w:color w:val="000000" w:themeColor="text1"/>
                <w:w w:val="15"/>
                <w:sz w:val="20"/>
                <w:szCs w:val="20"/>
                <w:shd w:val="solid" w:color="000000" w:fill="000000"/>
                <w:fitText w:val="70" w:id="-1032107002"/>
                <w14:textFill>
                  <w14:solidFill>
                    <w14:schemeClr w14:val="tx1">
                      <w14:alpha w14:val="100000"/>
                    </w14:schemeClr>
                  </w14:solidFill>
                </w14:textFill>
              </w:rPr>
              <w:t xml:space="preserve">　</w:t>
            </w:r>
            <w:r w:rsidRPr="005860C6">
              <w:rPr>
                <w:rFonts w:ascii="Arial Narrow" w:eastAsiaTheme="majorEastAsia" w:hAnsi="Arial Narrow" w:cstheme="majorBidi"/>
                <w:color w:val="000000" w:themeColor="text1"/>
                <w:w w:val="15"/>
                <w:sz w:val="20"/>
                <w:szCs w:val="20"/>
                <w:shd w:val="solid" w:color="000000" w:fill="000000"/>
                <w:fitText w:val="70" w:id="-1032107002"/>
                <w14:textFill>
                  <w14:solidFill>
                    <w14:schemeClr w14:val="tx1">
                      <w14:alpha w14:val="100000"/>
                    </w14:schemeClr>
                  </w14:solidFill>
                </w14:textFill>
              </w:rPr>
              <w:t>|</w:t>
            </w:r>
            <w:r w:rsidRPr="005860C6">
              <w:rPr>
                <w:rFonts w:ascii="Arial Narrow" w:eastAsiaTheme="majorEastAsia" w:hAnsi="Arial Narrow" w:cstheme="majorBidi" w:hint="eastAsia"/>
                <w:color w:val="000000" w:themeColor="text1"/>
                <w:spacing w:val="4"/>
                <w:w w:val="15"/>
                <w:sz w:val="20"/>
                <w:szCs w:val="20"/>
                <w:shd w:val="solid" w:color="000000" w:fill="000000"/>
                <w:fitText w:val="70" w:id="-1032107002"/>
                <w14:textFill>
                  <w14:solidFill>
                    <w14:schemeClr w14:val="tx1">
                      <w14:alpha w14:val="100000"/>
                    </w14:schemeClr>
                  </w14:solidFill>
                </w14:textFill>
              </w:rPr>
              <w:t xml:space="preserve">　</w:t>
            </w:r>
            <w:r w:rsidR="00294862" w:rsidRPr="006C314A">
              <w:rPr>
                <w:rFonts w:ascii="Arial Narrow" w:eastAsiaTheme="majorEastAsia" w:hAnsi="Arial Narrow" w:cstheme="majorBidi"/>
                <w:color w:val="000000" w:themeColor="text1"/>
                <w:sz w:val="20"/>
                <w:szCs w:val="20"/>
                <w:vertAlign w:val="superscript"/>
              </w:rPr>
              <w:t>1</w:t>
            </w:r>
          </w:p>
        </w:tc>
      </w:tr>
      <w:tr w:rsidR="00763EF2" w:rsidRPr="003B5F84" w14:paraId="06FE972F" w14:textId="77777777" w:rsidTr="00CB4A1F">
        <w:tc>
          <w:tcPr>
            <w:tcW w:w="1334" w:type="pct"/>
            <w:shd w:val="clear" w:color="auto" w:fill="auto"/>
            <w:vAlign w:val="center"/>
          </w:tcPr>
          <w:p w14:paraId="515CD18B" w14:textId="77777777" w:rsidR="00763EF2" w:rsidRPr="003B5F84" w:rsidRDefault="00763EF2" w:rsidP="00CB4A1F">
            <w:pPr>
              <w:keepNext/>
              <w:jc w:val="left"/>
              <w:rPr>
                <w:rFonts w:ascii="Times" w:eastAsiaTheme="majorEastAsia" w:hAnsi="Times" w:cstheme="majorBidi"/>
                <w:bCs/>
                <w:sz w:val="20"/>
              </w:rPr>
            </w:pPr>
            <w:r w:rsidRPr="003B5F84">
              <w:rPr>
                <w:rFonts w:ascii="Arial Narrow" w:eastAsiaTheme="majorEastAsia" w:hAnsi="Arial Narrow" w:cstheme="majorBidi"/>
                <w:bCs/>
                <w:sz w:val="20"/>
              </w:rPr>
              <w:t>Number of scripts dispensed</w:t>
            </w:r>
            <w:r w:rsidRPr="003B5F84">
              <w:rPr>
                <w:rFonts w:ascii="Arial Narrow" w:eastAsiaTheme="majorEastAsia" w:hAnsi="Arial Narrow" w:cstheme="majorBidi"/>
                <w:bCs/>
                <w:sz w:val="20"/>
                <w:vertAlign w:val="superscript"/>
              </w:rPr>
              <w:t>b</w:t>
            </w:r>
          </w:p>
        </w:tc>
        <w:tc>
          <w:tcPr>
            <w:tcW w:w="611" w:type="pct"/>
            <w:tcBorders>
              <w:top w:val="nil"/>
              <w:bottom w:val="single" w:sz="4" w:space="0" w:color="auto"/>
            </w:tcBorders>
            <w:shd w:val="clear" w:color="auto" w:fill="auto"/>
          </w:tcPr>
          <w:p w14:paraId="70DF9EDB" w14:textId="23D73A57" w:rsidR="00763EF2" w:rsidRPr="00D22B13" w:rsidRDefault="005860C6" w:rsidP="00CB4A1F">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5"/>
                <w:sz w:val="20"/>
                <w:szCs w:val="20"/>
                <w:shd w:val="solid" w:color="000000" w:fill="000000"/>
                <w:fitText w:val="70" w:id="-1032107001"/>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zCs w:val="20"/>
                <w:shd w:val="solid" w:color="000000" w:fill="000000"/>
                <w:fitText w:val="70" w:id="-1032107001"/>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zCs w:val="20"/>
                <w:shd w:val="solid" w:color="000000" w:fill="000000"/>
                <w:fitText w:val="70" w:id="-1032107001"/>
                <w14:textFill>
                  <w14:solidFill>
                    <w14:srgbClr w14:val="000000">
                      <w14:alpha w14:val="100000"/>
                    </w14:srgbClr>
                  </w14:solidFill>
                </w14:textFill>
              </w:rPr>
              <w:t xml:space="preserve">　</w:t>
            </w:r>
            <w:r w:rsidR="00294862" w:rsidRPr="00D22B13">
              <w:rPr>
                <w:rFonts w:ascii="Arial Narrow" w:eastAsiaTheme="majorEastAsia" w:hAnsi="Arial Narrow" w:cstheme="majorBidi"/>
                <w:bCs/>
                <w:sz w:val="20"/>
                <w:szCs w:val="20"/>
                <w:vertAlign w:val="superscript"/>
              </w:rPr>
              <w:t>2</w:t>
            </w:r>
          </w:p>
        </w:tc>
        <w:tc>
          <w:tcPr>
            <w:tcW w:w="611" w:type="pct"/>
            <w:tcBorders>
              <w:top w:val="nil"/>
              <w:bottom w:val="single" w:sz="4" w:space="0" w:color="auto"/>
            </w:tcBorders>
            <w:shd w:val="clear" w:color="auto" w:fill="auto"/>
          </w:tcPr>
          <w:p w14:paraId="4DDE34D7" w14:textId="1731BE5D" w:rsidR="00763EF2" w:rsidRPr="00D22B13" w:rsidRDefault="005860C6" w:rsidP="00CB4A1F">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5"/>
                <w:sz w:val="20"/>
                <w:szCs w:val="20"/>
                <w:shd w:val="solid" w:color="000000" w:fill="000000"/>
                <w:fitText w:val="70" w:id="-1032107000"/>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zCs w:val="20"/>
                <w:shd w:val="solid" w:color="000000" w:fill="000000"/>
                <w:fitText w:val="70" w:id="-1032107000"/>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zCs w:val="20"/>
                <w:shd w:val="solid" w:color="000000" w:fill="000000"/>
                <w:fitText w:val="70" w:id="-1032107000"/>
                <w14:textFill>
                  <w14:solidFill>
                    <w14:srgbClr w14:val="000000">
                      <w14:alpha w14:val="100000"/>
                    </w14:srgbClr>
                  </w14:solidFill>
                </w14:textFill>
              </w:rPr>
              <w:t xml:space="preserve">　</w:t>
            </w:r>
            <w:r w:rsidR="00294862" w:rsidRPr="006C314A">
              <w:rPr>
                <w:rFonts w:ascii="Arial Narrow" w:eastAsiaTheme="majorEastAsia" w:hAnsi="Arial Narrow" w:cstheme="majorBidi"/>
                <w:color w:val="000000" w:themeColor="text1"/>
                <w:sz w:val="20"/>
                <w:szCs w:val="20"/>
                <w:vertAlign w:val="superscript"/>
              </w:rPr>
              <w:t>1</w:t>
            </w:r>
          </w:p>
        </w:tc>
        <w:tc>
          <w:tcPr>
            <w:tcW w:w="611" w:type="pct"/>
            <w:tcBorders>
              <w:top w:val="nil"/>
              <w:bottom w:val="single" w:sz="4" w:space="0" w:color="auto"/>
            </w:tcBorders>
            <w:shd w:val="clear" w:color="auto" w:fill="auto"/>
          </w:tcPr>
          <w:p w14:paraId="609DEA8E" w14:textId="20F81624" w:rsidR="00763EF2" w:rsidRPr="00D22B13" w:rsidRDefault="005860C6" w:rsidP="00CB4A1F">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5"/>
                <w:sz w:val="20"/>
                <w:szCs w:val="20"/>
                <w:shd w:val="solid" w:color="000000" w:fill="000000"/>
                <w:fitText w:val="70" w:id="-1032106999"/>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zCs w:val="20"/>
                <w:shd w:val="solid" w:color="000000" w:fill="000000"/>
                <w:fitText w:val="70" w:id="-1032106999"/>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zCs w:val="20"/>
                <w:shd w:val="solid" w:color="000000" w:fill="000000"/>
                <w:fitText w:val="70" w:id="-1032106999"/>
                <w14:textFill>
                  <w14:solidFill>
                    <w14:srgbClr w14:val="000000">
                      <w14:alpha w14:val="100000"/>
                    </w14:srgbClr>
                  </w14:solidFill>
                </w14:textFill>
              </w:rPr>
              <w:t xml:space="preserve">　</w:t>
            </w:r>
            <w:r w:rsidR="00294862" w:rsidRPr="006C314A">
              <w:rPr>
                <w:rFonts w:ascii="Arial Narrow" w:eastAsiaTheme="majorEastAsia" w:hAnsi="Arial Narrow" w:cstheme="majorBidi"/>
                <w:color w:val="000000" w:themeColor="text1"/>
                <w:sz w:val="20"/>
                <w:szCs w:val="20"/>
                <w:vertAlign w:val="superscript"/>
              </w:rPr>
              <w:t>1</w:t>
            </w:r>
          </w:p>
        </w:tc>
        <w:tc>
          <w:tcPr>
            <w:tcW w:w="611" w:type="pct"/>
            <w:tcBorders>
              <w:top w:val="nil"/>
              <w:bottom w:val="single" w:sz="4" w:space="0" w:color="auto"/>
            </w:tcBorders>
            <w:shd w:val="clear" w:color="auto" w:fill="auto"/>
          </w:tcPr>
          <w:p w14:paraId="253C2A3F" w14:textId="7E4DD34D" w:rsidR="00763EF2" w:rsidRPr="00D22B13" w:rsidRDefault="005860C6" w:rsidP="00CB4A1F">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5"/>
                <w:sz w:val="20"/>
                <w:szCs w:val="20"/>
                <w:shd w:val="solid" w:color="000000" w:fill="000000"/>
                <w:fitText w:val="70" w:id="-1032106998"/>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zCs w:val="20"/>
                <w:shd w:val="solid" w:color="000000" w:fill="000000"/>
                <w:fitText w:val="70" w:id="-1032106998"/>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zCs w:val="20"/>
                <w:shd w:val="solid" w:color="000000" w:fill="000000"/>
                <w:fitText w:val="70" w:id="-1032106998"/>
                <w14:textFill>
                  <w14:solidFill>
                    <w14:srgbClr w14:val="000000">
                      <w14:alpha w14:val="100000"/>
                    </w14:srgbClr>
                  </w14:solidFill>
                </w14:textFill>
              </w:rPr>
              <w:t xml:space="preserve">　</w:t>
            </w:r>
            <w:r w:rsidR="00294862" w:rsidRPr="006C314A">
              <w:rPr>
                <w:rFonts w:ascii="Arial Narrow" w:eastAsiaTheme="majorEastAsia" w:hAnsi="Arial Narrow" w:cstheme="majorBidi"/>
                <w:color w:val="000000" w:themeColor="text1"/>
                <w:sz w:val="20"/>
                <w:szCs w:val="20"/>
                <w:vertAlign w:val="superscript"/>
              </w:rPr>
              <w:t>1</w:t>
            </w:r>
          </w:p>
        </w:tc>
        <w:tc>
          <w:tcPr>
            <w:tcW w:w="611" w:type="pct"/>
            <w:tcBorders>
              <w:top w:val="nil"/>
              <w:bottom w:val="single" w:sz="4" w:space="0" w:color="auto"/>
            </w:tcBorders>
            <w:shd w:val="clear" w:color="auto" w:fill="auto"/>
          </w:tcPr>
          <w:p w14:paraId="102D7281" w14:textId="4040C21F" w:rsidR="00763EF2" w:rsidRPr="00D22B13" w:rsidRDefault="005860C6" w:rsidP="00CB4A1F">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5"/>
                <w:sz w:val="20"/>
                <w:szCs w:val="20"/>
                <w:shd w:val="solid" w:color="000000" w:fill="000000"/>
                <w:fitText w:val="70" w:id="-1032106997"/>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zCs w:val="20"/>
                <w:shd w:val="solid" w:color="000000" w:fill="000000"/>
                <w:fitText w:val="70" w:id="-1032106997"/>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zCs w:val="20"/>
                <w:shd w:val="solid" w:color="000000" w:fill="000000"/>
                <w:fitText w:val="70" w:id="-1032106997"/>
                <w14:textFill>
                  <w14:solidFill>
                    <w14:srgbClr w14:val="000000">
                      <w14:alpha w14:val="100000"/>
                    </w14:srgbClr>
                  </w14:solidFill>
                </w14:textFill>
              </w:rPr>
              <w:t xml:space="preserve">　</w:t>
            </w:r>
            <w:r w:rsidR="00294862" w:rsidRPr="006C314A">
              <w:rPr>
                <w:rFonts w:ascii="Arial Narrow" w:eastAsiaTheme="majorEastAsia" w:hAnsi="Arial Narrow" w:cstheme="majorBidi"/>
                <w:color w:val="000000" w:themeColor="text1"/>
                <w:sz w:val="20"/>
                <w:szCs w:val="20"/>
                <w:vertAlign w:val="superscript"/>
              </w:rPr>
              <w:t>1</w:t>
            </w:r>
          </w:p>
        </w:tc>
        <w:tc>
          <w:tcPr>
            <w:tcW w:w="611" w:type="pct"/>
            <w:tcBorders>
              <w:top w:val="nil"/>
              <w:bottom w:val="single" w:sz="4" w:space="0" w:color="auto"/>
            </w:tcBorders>
            <w:shd w:val="clear" w:color="auto" w:fill="auto"/>
          </w:tcPr>
          <w:p w14:paraId="3A8E7A82" w14:textId="71506BC2" w:rsidR="00763EF2" w:rsidRPr="00D22B13" w:rsidRDefault="005860C6" w:rsidP="00CB4A1F">
            <w:pPr>
              <w:keepNext/>
              <w:jc w:val="center"/>
              <w:rPr>
                <w:rFonts w:ascii="Arial Narrow" w:eastAsiaTheme="majorEastAsia" w:hAnsi="Arial Narrow" w:cstheme="majorBidi"/>
                <w:bCs/>
                <w:color w:val="000000"/>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5"/>
                <w:sz w:val="20"/>
                <w:szCs w:val="20"/>
                <w:shd w:val="solid" w:color="000000" w:fill="000000"/>
                <w:fitText w:val="70" w:id="-1032106996"/>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zCs w:val="20"/>
                <w:shd w:val="solid" w:color="000000" w:fill="000000"/>
                <w:fitText w:val="70" w:id="-1032106996"/>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zCs w:val="20"/>
                <w:shd w:val="solid" w:color="000000" w:fill="000000"/>
                <w:fitText w:val="70" w:id="-1032106996"/>
                <w14:textFill>
                  <w14:solidFill>
                    <w14:srgbClr w14:val="000000">
                      <w14:alpha w14:val="100000"/>
                    </w14:srgbClr>
                  </w14:solidFill>
                </w14:textFill>
              </w:rPr>
              <w:t xml:space="preserve">　</w:t>
            </w:r>
            <w:r w:rsidR="00294862" w:rsidRPr="006C314A">
              <w:rPr>
                <w:rFonts w:ascii="Arial Narrow" w:eastAsiaTheme="majorEastAsia" w:hAnsi="Arial Narrow" w:cstheme="majorBidi"/>
                <w:color w:val="000000" w:themeColor="text1"/>
                <w:sz w:val="20"/>
                <w:szCs w:val="20"/>
                <w:vertAlign w:val="superscript"/>
              </w:rPr>
              <w:t>1</w:t>
            </w:r>
          </w:p>
        </w:tc>
      </w:tr>
      <w:tr w:rsidR="00763EF2" w:rsidRPr="003B5F84" w14:paraId="7D7C9566" w14:textId="77777777" w:rsidTr="00CB4A1F">
        <w:tc>
          <w:tcPr>
            <w:tcW w:w="5000" w:type="pct"/>
            <w:gridSpan w:val="7"/>
            <w:shd w:val="clear" w:color="auto" w:fill="auto"/>
            <w:vAlign w:val="center"/>
          </w:tcPr>
          <w:p w14:paraId="6FFAA443" w14:textId="77777777" w:rsidR="00763EF2" w:rsidRPr="003B5F84" w:rsidRDefault="00763EF2" w:rsidP="00CB4A1F">
            <w:pPr>
              <w:keepNext/>
              <w:jc w:val="left"/>
              <w:rPr>
                <w:rFonts w:ascii="Arial Narrow" w:eastAsiaTheme="majorEastAsia" w:hAnsi="Arial Narrow" w:cs="Times New Roman"/>
                <w:b/>
                <w:sz w:val="20"/>
                <w:lang w:val="en-US"/>
              </w:rPr>
            </w:pPr>
            <w:r w:rsidRPr="003B5F84">
              <w:rPr>
                <w:rFonts w:ascii="Arial Narrow" w:eastAsiaTheme="majorEastAsia" w:hAnsi="Arial Narrow" w:cs="Times New Roman"/>
                <w:b/>
                <w:sz w:val="20"/>
                <w:lang w:val="en-US"/>
              </w:rPr>
              <w:t>Estimated financial implications of cabozantinib</w:t>
            </w:r>
          </w:p>
        </w:tc>
      </w:tr>
      <w:tr w:rsidR="00763EF2" w:rsidRPr="003B5F84" w14:paraId="1C61AB96" w14:textId="77777777" w:rsidTr="00CB4A1F">
        <w:tc>
          <w:tcPr>
            <w:tcW w:w="1334" w:type="pct"/>
            <w:shd w:val="clear" w:color="auto" w:fill="auto"/>
            <w:vAlign w:val="center"/>
          </w:tcPr>
          <w:p w14:paraId="2F7C5C06" w14:textId="77777777" w:rsidR="00763EF2" w:rsidRPr="003B5F84" w:rsidRDefault="00763EF2" w:rsidP="00CB4A1F">
            <w:pPr>
              <w:keepNext/>
              <w:jc w:val="left"/>
              <w:rPr>
                <w:rFonts w:ascii="Arial Narrow" w:eastAsiaTheme="majorEastAsia" w:hAnsi="Arial Narrow" w:cstheme="majorBidi"/>
                <w:bCs/>
                <w:sz w:val="19"/>
                <w:szCs w:val="19"/>
              </w:rPr>
            </w:pPr>
            <w:r w:rsidRPr="003B5F84">
              <w:rPr>
                <w:rFonts w:ascii="Arial Narrow" w:eastAsiaTheme="majorEastAsia" w:hAnsi="Arial Narrow" w:cstheme="majorBidi"/>
                <w:bCs/>
                <w:sz w:val="19"/>
                <w:szCs w:val="19"/>
              </w:rPr>
              <w:t>Cost to PBS/RPBS less copayments</w:t>
            </w:r>
          </w:p>
        </w:tc>
        <w:tc>
          <w:tcPr>
            <w:tcW w:w="611" w:type="pct"/>
            <w:shd w:val="clear" w:color="auto" w:fill="auto"/>
            <w:vAlign w:val="center"/>
          </w:tcPr>
          <w:p w14:paraId="50E3104B" w14:textId="1999ED74"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sz w:val="20"/>
                <w:szCs w:val="20"/>
              </w:rPr>
              <w:t xml:space="preserve"> </w:t>
            </w:r>
            <w:r w:rsidRPr="005860C6">
              <w:rPr>
                <w:rFonts w:ascii="Arial Narrow" w:eastAsiaTheme="majorEastAsia" w:hAnsi="Arial Narrow" w:cstheme="majorBidi" w:hint="eastAsia"/>
                <w:color w:val="000000"/>
                <w:w w:val="15"/>
                <w:sz w:val="20"/>
                <w:szCs w:val="20"/>
                <w:shd w:val="solid" w:color="000000" w:fill="000000"/>
                <w:fitText w:val="70" w:id="-1032106995"/>
                <w14:textFill>
                  <w14:solidFill>
                    <w14:srgbClr w14:val="000000">
                      <w14:alpha w14:val="100000"/>
                    </w14:srgbClr>
                  </w14:solidFill>
                </w14:textFill>
              </w:rPr>
              <w:t xml:space="preserve">　</w:t>
            </w:r>
            <w:r w:rsidRPr="005860C6">
              <w:rPr>
                <w:rFonts w:ascii="Arial Narrow" w:eastAsiaTheme="majorEastAsia" w:hAnsi="Arial Narrow" w:cstheme="majorBidi"/>
                <w:color w:val="000000"/>
                <w:w w:val="15"/>
                <w:sz w:val="20"/>
                <w:szCs w:val="20"/>
                <w:shd w:val="solid" w:color="000000" w:fill="000000"/>
                <w:fitText w:val="70" w:id="-1032106995"/>
                <w14:textFill>
                  <w14:solidFill>
                    <w14:srgbClr w14:val="000000">
                      <w14:alpha w14:val="100000"/>
                    </w14:srgbClr>
                  </w14:solidFill>
                </w14:textFill>
              </w:rPr>
              <w:t>|</w:t>
            </w:r>
            <w:r w:rsidRPr="005860C6">
              <w:rPr>
                <w:rFonts w:ascii="Arial Narrow" w:eastAsiaTheme="majorEastAsia" w:hAnsi="Arial Narrow" w:cstheme="majorBidi" w:hint="eastAsia"/>
                <w:color w:val="000000"/>
                <w:spacing w:val="4"/>
                <w:w w:val="15"/>
                <w:sz w:val="20"/>
                <w:szCs w:val="20"/>
                <w:shd w:val="solid" w:color="000000" w:fill="000000"/>
                <w:fitText w:val="70" w:id="-1032106995"/>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c>
          <w:tcPr>
            <w:tcW w:w="611" w:type="pct"/>
            <w:shd w:val="clear" w:color="auto" w:fill="auto"/>
            <w:vAlign w:val="center"/>
          </w:tcPr>
          <w:p w14:paraId="31F4FD57" w14:textId="00DADF78"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sz w:val="20"/>
                <w:szCs w:val="20"/>
              </w:rPr>
              <w:t xml:space="preserve"> </w:t>
            </w:r>
            <w:r w:rsidRPr="005860C6">
              <w:rPr>
                <w:rFonts w:ascii="Arial Narrow" w:eastAsiaTheme="majorEastAsia" w:hAnsi="Arial Narrow" w:cstheme="majorBidi" w:hint="eastAsia"/>
                <w:color w:val="000000"/>
                <w:w w:val="15"/>
                <w:sz w:val="20"/>
                <w:szCs w:val="20"/>
                <w:shd w:val="solid" w:color="000000" w:fill="000000"/>
                <w:fitText w:val="70" w:id="-1032106994"/>
                <w14:textFill>
                  <w14:solidFill>
                    <w14:srgbClr w14:val="000000">
                      <w14:alpha w14:val="100000"/>
                    </w14:srgbClr>
                  </w14:solidFill>
                </w14:textFill>
              </w:rPr>
              <w:t xml:space="preserve">　</w:t>
            </w:r>
            <w:r w:rsidRPr="005860C6">
              <w:rPr>
                <w:rFonts w:ascii="Arial Narrow" w:eastAsiaTheme="majorEastAsia" w:hAnsi="Arial Narrow" w:cstheme="majorBidi"/>
                <w:color w:val="000000"/>
                <w:w w:val="15"/>
                <w:sz w:val="20"/>
                <w:szCs w:val="20"/>
                <w:shd w:val="solid" w:color="000000" w:fill="000000"/>
                <w:fitText w:val="70" w:id="-1032106994"/>
                <w14:textFill>
                  <w14:solidFill>
                    <w14:srgbClr w14:val="000000">
                      <w14:alpha w14:val="100000"/>
                    </w14:srgbClr>
                  </w14:solidFill>
                </w14:textFill>
              </w:rPr>
              <w:t>|</w:t>
            </w:r>
            <w:r w:rsidRPr="005860C6">
              <w:rPr>
                <w:rFonts w:ascii="Arial Narrow" w:eastAsiaTheme="majorEastAsia" w:hAnsi="Arial Narrow" w:cstheme="majorBidi" w:hint="eastAsia"/>
                <w:color w:val="000000"/>
                <w:spacing w:val="4"/>
                <w:w w:val="15"/>
                <w:sz w:val="20"/>
                <w:szCs w:val="20"/>
                <w:shd w:val="solid" w:color="000000" w:fill="000000"/>
                <w:fitText w:val="70" w:id="-1032106994"/>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c>
          <w:tcPr>
            <w:tcW w:w="611" w:type="pct"/>
            <w:shd w:val="clear" w:color="auto" w:fill="auto"/>
            <w:vAlign w:val="center"/>
          </w:tcPr>
          <w:p w14:paraId="1EA7C242" w14:textId="13575B1A"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sz w:val="20"/>
                <w:szCs w:val="20"/>
              </w:rPr>
              <w:t xml:space="preserve"> </w:t>
            </w:r>
            <w:r w:rsidRPr="005860C6">
              <w:rPr>
                <w:rFonts w:ascii="Arial Narrow" w:eastAsiaTheme="majorEastAsia" w:hAnsi="Arial Narrow" w:cstheme="majorBidi" w:hint="eastAsia"/>
                <w:color w:val="000000"/>
                <w:w w:val="15"/>
                <w:sz w:val="20"/>
                <w:szCs w:val="20"/>
                <w:shd w:val="solid" w:color="000000" w:fill="000000"/>
                <w:fitText w:val="70" w:id="-1032106993"/>
                <w14:textFill>
                  <w14:solidFill>
                    <w14:srgbClr w14:val="000000">
                      <w14:alpha w14:val="100000"/>
                    </w14:srgbClr>
                  </w14:solidFill>
                </w14:textFill>
              </w:rPr>
              <w:t xml:space="preserve">　</w:t>
            </w:r>
            <w:r w:rsidRPr="005860C6">
              <w:rPr>
                <w:rFonts w:ascii="Arial Narrow" w:eastAsiaTheme="majorEastAsia" w:hAnsi="Arial Narrow" w:cstheme="majorBidi"/>
                <w:color w:val="000000"/>
                <w:w w:val="15"/>
                <w:sz w:val="20"/>
                <w:szCs w:val="20"/>
                <w:shd w:val="solid" w:color="000000" w:fill="000000"/>
                <w:fitText w:val="70" w:id="-1032106993"/>
                <w14:textFill>
                  <w14:solidFill>
                    <w14:srgbClr w14:val="000000">
                      <w14:alpha w14:val="100000"/>
                    </w14:srgbClr>
                  </w14:solidFill>
                </w14:textFill>
              </w:rPr>
              <w:t>|</w:t>
            </w:r>
            <w:r w:rsidRPr="005860C6">
              <w:rPr>
                <w:rFonts w:ascii="Arial Narrow" w:eastAsiaTheme="majorEastAsia" w:hAnsi="Arial Narrow" w:cstheme="majorBidi" w:hint="eastAsia"/>
                <w:color w:val="000000"/>
                <w:spacing w:val="4"/>
                <w:w w:val="15"/>
                <w:sz w:val="20"/>
                <w:szCs w:val="20"/>
                <w:shd w:val="solid" w:color="000000" w:fill="000000"/>
                <w:fitText w:val="70" w:id="-1032106993"/>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c>
          <w:tcPr>
            <w:tcW w:w="611" w:type="pct"/>
            <w:shd w:val="clear" w:color="auto" w:fill="auto"/>
            <w:vAlign w:val="center"/>
          </w:tcPr>
          <w:p w14:paraId="24D414AD" w14:textId="21BA57A0"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sz w:val="20"/>
                <w:szCs w:val="20"/>
              </w:rPr>
              <w:t xml:space="preserve"> </w:t>
            </w:r>
            <w:r w:rsidRPr="005860C6">
              <w:rPr>
                <w:rFonts w:ascii="Arial Narrow" w:eastAsiaTheme="majorEastAsia" w:hAnsi="Arial Narrow" w:cstheme="majorBidi" w:hint="eastAsia"/>
                <w:color w:val="000000"/>
                <w:w w:val="15"/>
                <w:sz w:val="20"/>
                <w:szCs w:val="20"/>
                <w:shd w:val="solid" w:color="000000" w:fill="000000"/>
                <w:fitText w:val="70" w:id="-1032106992"/>
                <w14:textFill>
                  <w14:solidFill>
                    <w14:srgbClr w14:val="000000">
                      <w14:alpha w14:val="100000"/>
                    </w14:srgbClr>
                  </w14:solidFill>
                </w14:textFill>
              </w:rPr>
              <w:t xml:space="preserve">　</w:t>
            </w:r>
            <w:r w:rsidRPr="005860C6">
              <w:rPr>
                <w:rFonts w:ascii="Arial Narrow" w:eastAsiaTheme="majorEastAsia" w:hAnsi="Arial Narrow" w:cstheme="majorBidi"/>
                <w:color w:val="000000"/>
                <w:w w:val="15"/>
                <w:sz w:val="20"/>
                <w:szCs w:val="20"/>
                <w:shd w:val="solid" w:color="000000" w:fill="000000"/>
                <w:fitText w:val="70" w:id="-1032106992"/>
                <w14:textFill>
                  <w14:solidFill>
                    <w14:srgbClr w14:val="000000">
                      <w14:alpha w14:val="100000"/>
                    </w14:srgbClr>
                  </w14:solidFill>
                </w14:textFill>
              </w:rPr>
              <w:t>|</w:t>
            </w:r>
            <w:r w:rsidRPr="005860C6">
              <w:rPr>
                <w:rFonts w:ascii="Arial Narrow" w:eastAsiaTheme="majorEastAsia" w:hAnsi="Arial Narrow" w:cstheme="majorBidi" w:hint="eastAsia"/>
                <w:color w:val="000000"/>
                <w:spacing w:val="4"/>
                <w:w w:val="15"/>
                <w:sz w:val="20"/>
                <w:szCs w:val="20"/>
                <w:shd w:val="solid" w:color="000000" w:fill="000000"/>
                <w:fitText w:val="70" w:id="-1032106992"/>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c>
          <w:tcPr>
            <w:tcW w:w="611" w:type="pct"/>
            <w:shd w:val="clear" w:color="auto" w:fill="auto"/>
            <w:vAlign w:val="center"/>
          </w:tcPr>
          <w:p w14:paraId="7729FB40" w14:textId="22B59CF8"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sz w:val="20"/>
                <w:szCs w:val="20"/>
              </w:rPr>
              <w:t xml:space="preserve"> </w:t>
            </w:r>
            <w:r w:rsidRPr="005860C6">
              <w:rPr>
                <w:rFonts w:ascii="Arial Narrow" w:eastAsiaTheme="majorEastAsia" w:hAnsi="Arial Narrow" w:cstheme="majorBidi" w:hint="eastAsia"/>
                <w:color w:val="000000"/>
                <w:w w:val="15"/>
                <w:sz w:val="20"/>
                <w:szCs w:val="20"/>
                <w:shd w:val="solid" w:color="000000" w:fill="000000"/>
                <w:fitText w:val="70" w:id="-1032107008"/>
                <w14:textFill>
                  <w14:solidFill>
                    <w14:srgbClr w14:val="000000">
                      <w14:alpha w14:val="100000"/>
                    </w14:srgbClr>
                  </w14:solidFill>
                </w14:textFill>
              </w:rPr>
              <w:t xml:space="preserve">　</w:t>
            </w:r>
            <w:r w:rsidRPr="005860C6">
              <w:rPr>
                <w:rFonts w:ascii="Arial Narrow" w:eastAsiaTheme="majorEastAsia" w:hAnsi="Arial Narrow" w:cstheme="majorBidi"/>
                <w:color w:val="000000"/>
                <w:w w:val="15"/>
                <w:sz w:val="20"/>
                <w:szCs w:val="20"/>
                <w:shd w:val="solid" w:color="000000" w:fill="000000"/>
                <w:fitText w:val="70" w:id="-1032107008"/>
                <w14:textFill>
                  <w14:solidFill>
                    <w14:srgbClr w14:val="000000">
                      <w14:alpha w14:val="100000"/>
                    </w14:srgbClr>
                  </w14:solidFill>
                </w14:textFill>
              </w:rPr>
              <w:t>|</w:t>
            </w:r>
            <w:r w:rsidRPr="005860C6">
              <w:rPr>
                <w:rFonts w:ascii="Arial Narrow" w:eastAsiaTheme="majorEastAsia" w:hAnsi="Arial Narrow" w:cstheme="majorBidi" w:hint="eastAsia"/>
                <w:color w:val="000000"/>
                <w:spacing w:val="4"/>
                <w:w w:val="15"/>
                <w:sz w:val="20"/>
                <w:szCs w:val="20"/>
                <w:shd w:val="solid" w:color="000000" w:fill="000000"/>
                <w:fitText w:val="70" w:id="-1032107008"/>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c>
          <w:tcPr>
            <w:tcW w:w="611" w:type="pct"/>
            <w:vAlign w:val="center"/>
          </w:tcPr>
          <w:p w14:paraId="2098AE41" w14:textId="672A56DA"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sz w:val="20"/>
                <w:szCs w:val="20"/>
              </w:rPr>
              <w:t xml:space="preserve"> </w:t>
            </w:r>
            <w:r w:rsidRPr="005860C6">
              <w:rPr>
                <w:rFonts w:ascii="Arial Narrow" w:eastAsiaTheme="majorEastAsia" w:hAnsi="Arial Narrow" w:cstheme="majorBidi" w:hint="eastAsia"/>
                <w:color w:val="000000"/>
                <w:w w:val="15"/>
                <w:sz w:val="20"/>
                <w:szCs w:val="20"/>
                <w:shd w:val="solid" w:color="000000" w:fill="000000"/>
                <w:fitText w:val="70" w:id="-1032107007"/>
                <w14:textFill>
                  <w14:solidFill>
                    <w14:srgbClr w14:val="000000">
                      <w14:alpha w14:val="100000"/>
                    </w14:srgbClr>
                  </w14:solidFill>
                </w14:textFill>
              </w:rPr>
              <w:t xml:space="preserve">　</w:t>
            </w:r>
            <w:r w:rsidRPr="005860C6">
              <w:rPr>
                <w:rFonts w:ascii="Arial Narrow" w:eastAsiaTheme="majorEastAsia" w:hAnsi="Arial Narrow" w:cstheme="majorBidi"/>
                <w:color w:val="000000"/>
                <w:w w:val="15"/>
                <w:sz w:val="20"/>
                <w:szCs w:val="20"/>
                <w:shd w:val="solid" w:color="000000" w:fill="000000"/>
                <w:fitText w:val="70" w:id="-1032107007"/>
                <w14:textFill>
                  <w14:solidFill>
                    <w14:srgbClr w14:val="000000">
                      <w14:alpha w14:val="100000"/>
                    </w14:srgbClr>
                  </w14:solidFill>
                </w14:textFill>
              </w:rPr>
              <w:t>|</w:t>
            </w:r>
            <w:r w:rsidRPr="005860C6">
              <w:rPr>
                <w:rFonts w:ascii="Arial Narrow" w:eastAsiaTheme="majorEastAsia" w:hAnsi="Arial Narrow" w:cstheme="majorBidi" w:hint="eastAsia"/>
                <w:color w:val="000000"/>
                <w:spacing w:val="4"/>
                <w:w w:val="15"/>
                <w:sz w:val="20"/>
                <w:szCs w:val="20"/>
                <w:shd w:val="solid" w:color="000000" w:fill="000000"/>
                <w:fitText w:val="70" w:id="-1032107007"/>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r>
      <w:tr w:rsidR="00763EF2" w:rsidRPr="003B5F84" w14:paraId="2C868A60" w14:textId="77777777" w:rsidTr="00CB4A1F">
        <w:tc>
          <w:tcPr>
            <w:tcW w:w="5000" w:type="pct"/>
            <w:gridSpan w:val="7"/>
            <w:shd w:val="clear" w:color="auto" w:fill="auto"/>
            <w:vAlign w:val="center"/>
          </w:tcPr>
          <w:p w14:paraId="6A006744" w14:textId="77777777" w:rsidR="00763EF2" w:rsidRPr="003B5F84" w:rsidRDefault="00763EF2" w:rsidP="00CB4A1F">
            <w:pPr>
              <w:keepNext/>
              <w:jc w:val="left"/>
              <w:rPr>
                <w:rFonts w:ascii="Arial Narrow" w:eastAsiaTheme="majorEastAsia" w:hAnsi="Arial Narrow" w:cstheme="majorBidi"/>
                <w:b/>
                <w:sz w:val="20"/>
              </w:rPr>
            </w:pPr>
            <w:r w:rsidRPr="003B5F84">
              <w:rPr>
                <w:rFonts w:ascii="Arial Narrow" w:eastAsiaTheme="majorEastAsia" w:hAnsi="Arial Narrow" w:cstheme="majorBidi"/>
                <w:b/>
                <w:sz w:val="20"/>
              </w:rPr>
              <w:t>Estimated financial implications for other medicines</w:t>
            </w:r>
          </w:p>
        </w:tc>
      </w:tr>
      <w:tr w:rsidR="00763EF2" w:rsidRPr="003B5F84" w14:paraId="08FC84A4" w14:textId="77777777" w:rsidTr="00CB4A1F">
        <w:tc>
          <w:tcPr>
            <w:tcW w:w="1334" w:type="pct"/>
            <w:shd w:val="clear" w:color="auto" w:fill="auto"/>
            <w:vAlign w:val="center"/>
          </w:tcPr>
          <w:p w14:paraId="40774337" w14:textId="77777777" w:rsidR="00763EF2" w:rsidRPr="003B5F84" w:rsidRDefault="00763EF2" w:rsidP="00CB4A1F">
            <w:pPr>
              <w:keepNext/>
              <w:jc w:val="left"/>
              <w:rPr>
                <w:rFonts w:ascii="Arial Narrow" w:eastAsiaTheme="majorEastAsia" w:hAnsi="Arial Narrow" w:cstheme="majorBidi"/>
                <w:bCs/>
                <w:sz w:val="19"/>
                <w:szCs w:val="19"/>
              </w:rPr>
            </w:pPr>
            <w:r w:rsidRPr="003B5F84">
              <w:rPr>
                <w:rFonts w:ascii="Arial Narrow" w:eastAsiaTheme="majorEastAsia" w:hAnsi="Arial Narrow" w:cstheme="majorBidi"/>
                <w:bCs/>
                <w:sz w:val="19"/>
                <w:szCs w:val="19"/>
              </w:rPr>
              <w:t>Cost to PBS/RPBS less copayments</w:t>
            </w:r>
          </w:p>
        </w:tc>
        <w:tc>
          <w:tcPr>
            <w:tcW w:w="611" w:type="pct"/>
            <w:tcBorders>
              <w:top w:val="single" w:sz="4" w:space="0" w:color="auto"/>
              <w:bottom w:val="single" w:sz="4" w:space="0" w:color="auto"/>
            </w:tcBorders>
            <w:shd w:val="clear" w:color="auto" w:fill="auto"/>
            <w:vAlign w:val="center"/>
          </w:tcPr>
          <w:p w14:paraId="3A5A739E" w14:textId="5EFCB7D7" w:rsidR="00763EF2" w:rsidRPr="00D22B13" w:rsidRDefault="005860C6" w:rsidP="00CB4A1F">
            <w:pPr>
              <w:keepNext/>
              <w:jc w:val="center"/>
              <w:rPr>
                <w:rFonts w:ascii="Arial Narrow" w:eastAsiaTheme="majorEastAsia" w:hAnsi="Arial Narrow" w:cstheme="majorBidi"/>
                <w:bCs/>
                <w:sz w:val="20"/>
                <w:highlight w:val="darkGray"/>
                <w:vertAlign w:val="superscript"/>
              </w:rPr>
            </w:pPr>
            <w:r>
              <w:rPr>
                <w:rFonts w:ascii="Arial Narrow" w:eastAsiaTheme="majorEastAsia" w:hAnsi="Arial Narrow" w:cstheme="majorBidi"/>
                <w:bCs/>
                <w:sz w:val="20"/>
              </w:rPr>
              <w:t xml:space="preserve"> </w:t>
            </w:r>
            <w:r w:rsidRPr="005860C6">
              <w:rPr>
                <w:rFonts w:ascii="Arial Narrow" w:eastAsiaTheme="majorEastAsia" w:hAnsi="Arial Narrow" w:cstheme="majorBidi" w:hint="eastAsia"/>
                <w:bCs/>
                <w:color w:val="000000"/>
                <w:w w:val="15"/>
                <w:sz w:val="20"/>
                <w:shd w:val="solid" w:color="000000" w:fill="000000"/>
                <w:fitText w:val="70" w:id="-1032107006"/>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hd w:val="solid" w:color="000000" w:fill="000000"/>
                <w:fitText w:val="70" w:id="-1032107006"/>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hd w:val="solid" w:color="000000" w:fill="000000"/>
                <w:fitText w:val="70" w:id="-1032107006"/>
                <w14:textFill>
                  <w14:solidFill>
                    <w14:srgbClr w14:val="000000">
                      <w14:alpha w14:val="100000"/>
                    </w14:srgbClr>
                  </w14:solidFill>
                </w14:textFill>
              </w:rPr>
              <w:t xml:space="preserve">　</w:t>
            </w:r>
            <w:r w:rsidR="007700D1">
              <w:rPr>
                <w:rFonts w:ascii="Arial Narrow" w:eastAsiaTheme="majorEastAsia" w:hAnsi="Arial Narrow" w:cstheme="majorBidi"/>
                <w:bCs/>
                <w:sz w:val="20"/>
                <w:vertAlign w:val="superscript"/>
              </w:rPr>
              <w:t>3</w:t>
            </w:r>
          </w:p>
        </w:tc>
        <w:tc>
          <w:tcPr>
            <w:tcW w:w="611" w:type="pct"/>
            <w:tcBorders>
              <w:top w:val="single" w:sz="4" w:space="0" w:color="auto"/>
              <w:bottom w:val="single" w:sz="4" w:space="0" w:color="auto"/>
            </w:tcBorders>
            <w:shd w:val="clear" w:color="auto" w:fill="auto"/>
            <w:vAlign w:val="center"/>
          </w:tcPr>
          <w:p w14:paraId="3B1237AF" w14:textId="776A0C7F"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5860C6">
              <w:rPr>
                <w:rFonts w:ascii="Arial Narrow" w:eastAsiaTheme="majorEastAsia" w:hAnsi="Arial Narrow" w:cstheme="majorBidi" w:hint="eastAsia"/>
                <w:bCs/>
                <w:color w:val="000000"/>
                <w:w w:val="15"/>
                <w:sz w:val="20"/>
                <w:shd w:val="solid" w:color="000000" w:fill="000000"/>
                <w:fitText w:val="70" w:id="-1032107005"/>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hd w:val="solid" w:color="000000" w:fill="000000"/>
                <w:fitText w:val="70" w:id="-1032107005"/>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hd w:val="solid" w:color="000000" w:fill="000000"/>
                <w:fitText w:val="70" w:id="-1032107005"/>
                <w14:textFill>
                  <w14:solidFill>
                    <w14:srgbClr w14:val="000000">
                      <w14:alpha w14:val="100000"/>
                    </w14:srgbClr>
                  </w14:solidFill>
                </w14:textFill>
              </w:rPr>
              <w:t xml:space="preserve">　</w:t>
            </w:r>
            <w:r w:rsidR="007700D1">
              <w:rPr>
                <w:rFonts w:ascii="Arial Narrow" w:eastAsiaTheme="majorEastAsia" w:hAnsi="Arial Narrow" w:cstheme="majorBidi"/>
                <w:bCs/>
                <w:sz w:val="20"/>
                <w:vertAlign w:val="superscript"/>
              </w:rPr>
              <w:t>3</w:t>
            </w:r>
          </w:p>
        </w:tc>
        <w:tc>
          <w:tcPr>
            <w:tcW w:w="611" w:type="pct"/>
            <w:tcBorders>
              <w:top w:val="single" w:sz="4" w:space="0" w:color="auto"/>
              <w:bottom w:val="single" w:sz="4" w:space="0" w:color="auto"/>
            </w:tcBorders>
            <w:shd w:val="clear" w:color="auto" w:fill="auto"/>
            <w:vAlign w:val="center"/>
          </w:tcPr>
          <w:p w14:paraId="44EF12C2" w14:textId="25C09B69"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5860C6">
              <w:rPr>
                <w:rFonts w:ascii="Arial Narrow" w:eastAsiaTheme="majorEastAsia" w:hAnsi="Arial Narrow" w:cstheme="majorBidi" w:hint="eastAsia"/>
                <w:bCs/>
                <w:color w:val="000000"/>
                <w:w w:val="15"/>
                <w:sz w:val="20"/>
                <w:shd w:val="solid" w:color="000000" w:fill="000000"/>
                <w:fitText w:val="70" w:id="-1032107004"/>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hd w:val="solid" w:color="000000" w:fill="000000"/>
                <w:fitText w:val="70" w:id="-1032107004"/>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hd w:val="solid" w:color="000000" w:fill="000000"/>
                <w:fitText w:val="70" w:id="-1032107004"/>
                <w14:textFill>
                  <w14:solidFill>
                    <w14:srgbClr w14:val="000000">
                      <w14:alpha w14:val="100000"/>
                    </w14:srgbClr>
                  </w14:solidFill>
                </w14:textFill>
              </w:rPr>
              <w:t xml:space="preserve">　</w:t>
            </w:r>
            <w:r w:rsidR="007700D1">
              <w:rPr>
                <w:rFonts w:ascii="Arial Narrow" w:eastAsiaTheme="majorEastAsia" w:hAnsi="Arial Narrow" w:cstheme="majorBidi"/>
                <w:bCs/>
                <w:sz w:val="20"/>
                <w:vertAlign w:val="superscript"/>
              </w:rPr>
              <w:t>3</w:t>
            </w:r>
          </w:p>
        </w:tc>
        <w:tc>
          <w:tcPr>
            <w:tcW w:w="611" w:type="pct"/>
            <w:tcBorders>
              <w:top w:val="single" w:sz="4" w:space="0" w:color="auto"/>
              <w:bottom w:val="single" w:sz="4" w:space="0" w:color="auto"/>
            </w:tcBorders>
            <w:shd w:val="clear" w:color="auto" w:fill="auto"/>
            <w:vAlign w:val="center"/>
          </w:tcPr>
          <w:p w14:paraId="22AF82AE" w14:textId="16406DC3"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5860C6">
              <w:rPr>
                <w:rFonts w:ascii="Arial Narrow" w:eastAsiaTheme="majorEastAsia" w:hAnsi="Arial Narrow" w:cstheme="majorBidi" w:hint="eastAsia"/>
                <w:bCs/>
                <w:color w:val="000000"/>
                <w:w w:val="15"/>
                <w:sz w:val="20"/>
                <w:shd w:val="solid" w:color="000000" w:fill="000000"/>
                <w:fitText w:val="70" w:id="-1032107003"/>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hd w:val="solid" w:color="000000" w:fill="000000"/>
                <w:fitText w:val="70" w:id="-1032107003"/>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hd w:val="solid" w:color="000000" w:fill="000000"/>
                <w:fitText w:val="70" w:id="-1032107003"/>
                <w14:textFill>
                  <w14:solidFill>
                    <w14:srgbClr w14:val="000000">
                      <w14:alpha w14:val="100000"/>
                    </w14:srgbClr>
                  </w14:solidFill>
                </w14:textFill>
              </w:rPr>
              <w:t xml:space="preserve">　</w:t>
            </w:r>
            <w:r w:rsidR="007700D1">
              <w:rPr>
                <w:rFonts w:ascii="Arial Narrow" w:eastAsiaTheme="majorEastAsia" w:hAnsi="Arial Narrow" w:cstheme="majorBidi"/>
                <w:bCs/>
                <w:sz w:val="20"/>
                <w:vertAlign w:val="superscript"/>
              </w:rPr>
              <w:t>3</w:t>
            </w:r>
          </w:p>
        </w:tc>
        <w:tc>
          <w:tcPr>
            <w:tcW w:w="611" w:type="pct"/>
            <w:tcBorders>
              <w:top w:val="single" w:sz="4" w:space="0" w:color="auto"/>
              <w:bottom w:val="single" w:sz="4" w:space="0" w:color="auto"/>
            </w:tcBorders>
            <w:shd w:val="clear" w:color="auto" w:fill="auto"/>
            <w:vAlign w:val="center"/>
          </w:tcPr>
          <w:p w14:paraId="42351DC2" w14:textId="53D24AD3"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5860C6">
              <w:rPr>
                <w:rFonts w:ascii="Arial Narrow" w:eastAsiaTheme="majorEastAsia" w:hAnsi="Arial Narrow" w:cstheme="majorBidi" w:hint="eastAsia"/>
                <w:bCs/>
                <w:color w:val="000000"/>
                <w:w w:val="15"/>
                <w:sz w:val="20"/>
                <w:shd w:val="solid" w:color="000000" w:fill="000000"/>
                <w:fitText w:val="70" w:id="-1032107002"/>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hd w:val="solid" w:color="000000" w:fill="000000"/>
                <w:fitText w:val="70" w:id="-1032107002"/>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hd w:val="solid" w:color="000000" w:fill="000000"/>
                <w:fitText w:val="70" w:id="-1032107002"/>
                <w14:textFill>
                  <w14:solidFill>
                    <w14:srgbClr w14:val="000000">
                      <w14:alpha w14:val="100000"/>
                    </w14:srgbClr>
                  </w14:solidFill>
                </w14:textFill>
              </w:rPr>
              <w:t xml:space="preserve">　</w:t>
            </w:r>
            <w:r w:rsidR="007700D1">
              <w:rPr>
                <w:rFonts w:ascii="Arial Narrow" w:eastAsiaTheme="majorEastAsia" w:hAnsi="Arial Narrow" w:cstheme="majorBidi"/>
                <w:bCs/>
                <w:sz w:val="20"/>
                <w:vertAlign w:val="superscript"/>
              </w:rPr>
              <w:t>3</w:t>
            </w:r>
          </w:p>
        </w:tc>
        <w:tc>
          <w:tcPr>
            <w:tcW w:w="611" w:type="pct"/>
            <w:tcBorders>
              <w:top w:val="single" w:sz="4" w:space="0" w:color="auto"/>
              <w:bottom w:val="single" w:sz="4" w:space="0" w:color="auto"/>
            </w:tcBorders>
            <w:shd w:val="clear" w:color="auto" w:fill="auto"/>
            <w:vAlign w:val="center"/>
          </w:tcPr>
          <w:p w14:paraId="0AC37F6F" w14:textId="03FFCA8F"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rPr>
              <w:t xml:space="preserve"> </w:t>
            </w:r>
            <w:r w:rsidRPr="005860C6">
              <w:rPr>
                <w:rFonts w:ascii="Arial Narrow" w:eastAsiaTheme="majorEastAsia" w:hAnsi="Arial Narrow" w:cstheme="majorBidi" w:hint="eastAsia"/>
                <w:bCs/>
                <w:color w:val="000000"/>
                <w:w w:val="15"/>
                <w:sz w:val="20"/>
                <w:shd w:val="solid" w:color="000000" w:fill="000000"/>
                <w:fitText w:val="70" w:id="-1032107001"/>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hd w:val="solid" w:color="000000" w:fill="000000"/>
                <w:fitText w:val="70" w:id="-1032107001"/>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hd w:val="solid" w:color="000000" w:fill="000000"/>
                <w:fitText w:val="70" w:id="-1032107001"/>
                <w14:textFill>
                  <w14:solidFill>
                    <w14:srgbClr w14:val="000000">
                      <w14:alpha w14:val="100000"/>
                    </w14:srgbClr>
                  </w14:solidFill>
                </w14:textFill>
              </w:rPr>
              <w:t xml:space="preserve">　</w:t>
            </w:r>
            <w:r w:rsidR="007700D1">
              <w:rPr>
                <w:rFonts w:ascii="Arial Narrow" w:eastAsiaTheme="majorEastAsia" w:hAnsi="Arial Narrow" w:cstheme="majorBidi"/>
                <w:bCs/>
                <w:sz w:val="20"/>
                <w:vertAlign w:val="superscript"/>
              </w:rPr>
              <w:t>3</w:t>
            </w:r>
          </w:p>
        </w:tc>
      </w:tr>
      <w:tr w:rsidR="00763EF2" w:rsidRPr="003B5F84" w14:paraId="7AA7198D" w14:textId="77777777" w:rsidTr="00CB4A1F">
        <w:tc>
          <w:tcPr>
            <w:tcW w:w="5000" w:type="pct"/>
            <w:gridSpan w:val="7"/>
            <w:shd w:val="clear" w:color="auto" w:fill="auto"/>
            <w:vAlign w:val="center"/>
          </w:tcPr>
          <w:p w14:paraId="5A794DB6" w14:textId="77777777" w:rsidR="00763EF2" w:rsidRPr="003B5F84" w:rsidRDefault="00763EF2" w:rsidP="00CB4A1F">
            <w:pPr>
              <w:keepNext/>
              <w:jc w:val="left"/>
              <w:rPr>
                <w:rFonts w:ascii="Arial Narrow" w:eastAsiaTheme="majorEastAsia" w:hAnsi="Arial Narrow" w:cs="Times New Roman"/>
                <w:b/>
                <w:sz w:val="20"/>
                <w:lang w:val="en-US"/>
              </w:rPr>
            </w:pPr>
            <w:r w:rsidRPr="003B5F84">
              <w:rPr>
                <w:rFonts w:ascii="Arial Narrow" w:eastAsiaTheme="majorEastAsia" w:hAnsi="Arial Narrow" w:cs="Times New Roman"/>
                <w:b/>
                <w:sz w:val="20"/>
                <w:lang w:val="en-US"/>
              </w:rPr>
              <w:t>Net financial implications</w:t>
            </w:r>
            <w:r w:rsidRPr="003B5F84">
              <w:rPr>
                <w:rFonts w:ascii="Arial Narrow" w:eastAsiaTheme="majorEastAsia" w:hAnsi="Arial Narrow" w:cs="Times New Roman"/>
                <w:b/>
                <w:color w:val="4BACC6" w:themeColor="accent5"/>
                <w:sz w:val="20"/>
                <w:lang w:val="en-US"/>
              </w:rPr>
              <w:t xml:space="preserve"> </w:t>
            </w:r>
          </w:p>
        </w:tc>
      </w:tr>
      <w:tr w:rsidR="00763EF2" w:rsidRPr="006A6EFB" w14:paraId="6E6CC082" w14:textId="77777777" w:rsidTr="00CB4A1F">
        <w:tc>
          <w:tcPr>
            <w:tcW w:w="1334" w:type="pct"/>
            <w:shd w:val="clear" w:color="auto" w:fill="auto"/>
            <w:vAlign w:val="center"/>
          </w:tcPr>
          <w:p w14:paraId="778C3FA3" w14:textId="77777777" w:rsidR="00763EF2" w:rsidRPr="006A6EFB" w:rsidRDefault="00763EF2" w:rsidP="00CB4A1F">
            <w:pPr>
              <w:keepNext/>
              <w:jc w:val="left"/>
              <w:rPr>
                <w:rFonts w:ascii="Arial Narrow" w:eastAsiaTheme="majorEastAsia" w:hAnsi="Arial Narrow" w:cstheme="majorBidi"/>
                <w:b/>
                <w:sz w:val="19"/>
                <w:szCs w:val="19"/>
              </w:rPr>
            </w:pPr>
            <w:r w:rsidRPr="006A6EFB">
              <w:rPr>
                <w:rFonts w:ascii="Arial Narrow" w:eastAsiaTheme="majorEastAsia" w:hAnsi="Arial Narrow" w:cstheme="majorBidi"/>
                <w:b/>
                <w:sz w:val="19"/>
                <w:szCs w:val="19"/>
              </w:rPr>
              <w:t>Net cost to PBS/RPBS</w:t>
            </w:r>
          </w:p>
        </w:tc>
        <w:tc>
          <w:tcPr>
            <w:tcW w:w="611" w:type="pct"/>
            <w:tcBorders>
              <w:top w:val="single" w:sz="4" w:space="0" w:color="auto"/>
              <w:bottom w:val="single" w:sz="4" w:space="0" w:color="auto"/>
            </w:tcBorders>
            <w:shd w:val="clear" w:color="auto" w:fill="auto"/>
            <w:vAlign w:val="center"/>
          </w:tcPr>
          <w:p w14:paraId="5A725583" w14:textId="202C972A" w:rsidR="00763EF2" w:rsidRPr="001779C8" w:rsidRDefault="005860C6" w:rsidP="00CB4A1F">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szCs w:val="20"/>
              </w:rPr>
              <w:t xml:space="preserve"> </w:t>
            </w:r>
            <w:r w:rsidRPr="005860C6">
              <w:rPr>
                <w:rFonts w:ascii="Arial Narrow" w:eastAsiaTheme="majorEastAsia" w:hAnsi="Arial Narrow" w:cstheme="majorBidi" w:hint="eastAsia"/>
                <w:b/>
                <w:color w:val="000000"/>
                <w:w w:val="26"/>
                <w:sz w:val="20"/>
                <w:szCs w:val="20"/>
                <w:shd w:val="solid" w:color="000000" w:fill="000000"/>
                <w:fitText w:val="120" w:id="-1032107000"/>
                <w14:textFill>
                  <w14:solidFill>
                    <w14:srgbClr w14:val="000000">
                      <w14:alpha w14:val="100000"/>
                    </w14:srgbClr>
                  </w14:solidFill>
                </w14:textFill>
              </w:rPr>
              <w:t xml:space="preserve">　</w:t>
            </w:r>
            <w:r w:rsidRPr="005860C6">
              <w:rPr>
                <w:rFonts w:ascii="Arial Narrow" w:eastAsiaTheme="majorEastAsia" w:hAnsi="Arial Narrow" w:cstheme="majorBidi"/>
                <w:b/>
                <w:color w:val="000000"/>
                <w:w w:val="26"/>
                <w:sz w:val="20"/>
                <w:szCs w:val="20"/>
                <w:shd w:val="solid" w:color="000000" w:fill="000000"/>
                <w:fitText w:val="120" w:id="-1032107000"/>
                <w14:textFill>
                  <w14:solidFill>
                    <w14:srgbClr w14:val="000000">
                      <w14:alpha w14:val="100000"/>
                    </w14:srgbClr>
                  </w14:solidFill>
                </w14:textFill>
              </w:rPr>
              <w:t>|</w:t>
            </w:r>
            <w:r w:rsidRPr="005860C6">
              <w:rPr>
                <w:rFonts w:ascii="Arial Narrow" w:eastAsiaTheme="majorEastAsia" w:hAnsi="Arial Narrow" w:cstheme="majorBidi" w:hint="eastAsia"/>
                <w:b/>
                <w:color w:val="000000"/>
                <w:spacing w:val="4"/>
                <w:w w:val="26"/>
                <w:sz w:val="20"/>
                <w:szCs w:val="20"/>
                <w:shd w:val="solid" w:color="000000" w:fill="000000"/>
                <w:fitText w:val="120" w:id="-1032107000"/>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c>
          <w:tcPr>
            <w:tcW w:w="611" w:type="pct"/>
            <w:tcBorders>
              <w:top w:val="single" w:sz="4" w:space="0" w:color="auto"/>
              <w:bottom w:val="single" w:sz="4" w:space="0" w:color="auto"/>
            </w:tcBorders>
            <w:shd w:val="clear" w:color="auto" w:fill="auto"/>
            <w:vAlign w:val="center"/>
          </w:tcPr>
          <w:p w14:paraId="6F4761D2" w14:textId="7D115710" w:rsidR="00763EF2" w:rsidRPr="001779C8" w:rsidRDefault="005860C6" w:rsidP="00CB4A1F">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szCs w:val="20"/>
              </w:rPr>
              <w:t xml:space="preserve"> </w:t>
            </w:r>
            <w:r w:rsidRPr="005860C6">
              <w:rPr>
                <w:rFonts w:ascii="Arial Narrow" w:eastAsiaTheme="majorEastAsia" w:hAnsi="Arial Narrow" w:cstheme="majorBidi" w:hint="eastAsia"/>
                <w:b/>
                <w:color w:val="000000"/>
                <w:w w:val="26"/>
                <w:sz w:val="20"/>
                <w:szCs w:val="20"/>
                <w:shd w:val="solid" w:color="000000" w:fill="000000"/>
                <w:fitText w:val="120" w:id="-1032106999"/>
                <w14:textFill>
                  <w14:solidFill>
                    <w14:srgbClr w14:val="000000">
                      <w14:alpha w14:val="100000"/>
                    </w14:srgbClr>
                  </w14:solidFill>
                </w14:textFill>
              </w:rPr>
              <w:t xml:space="preserve">　</w:t>
            </w:r>
            <w:r w:rsidRPr="005860C6">
              <w:rPr>
                <w:rFonts w:ascii="Arial Narrow" w:eastAsiaTheme="majorEastAsia" w:hAnsi="Arial Narrow" w:cstheme="majorBidi"/>
                <w:b/>
                <w:color w:val="000000"/>
                <w:w w:val="26"/>
                <w:sz w:val="20"/>
                <w:szCs w:val="20"/>
                <w:shd w:val="solid" w:color="000000" w:fill="000000"/>
                <w:fitText w:val="120" w:id="-1032106999"/>
                <w14:textFill>
                  <w14:solidFill>
                    <w14:srgbClr w14:val="000000">
                      <w14:alpha w14:val="100000"/>
                    </w14:srgbClr>
                  </w14:solidFill>
                </w14:textFill>
              </w:rPr>
              <w:t>|</w:t>
            </w:r>
            <w:r w:rsidRPr="005860C6">
              <w:rPr>
                <w:rFonts w:ascii="Arial Narrow" w:eastAsiaTheme="majorEastAsia" w:hAnsi="Arial Narrow" w:cstheme="majorBidi" w:hint="eastAsia"/>
                <w:b/>
                <w:color w:val="000000"/>
                <w:spacing w:val="4"/>
                <w:w w:val="26"/>
                <w:sz w:val="20"/>
                <w:szCs w:val="20"/>
                <w:shd w:val="solid" w:color="000000" w:fill="000000"/>
                <w:fitText w:val="120" w:id="-1032106999"/>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c>
          <w:tcPr>
            <w:tcW w:w="611" w:type="pct"/>
            <w:tcBorders>
              <w:top w:val="single" w:sz="4" w:space="0" w:color="auto"/>
              <w:bottom w:val="single" w:sz="4" w:space="0" w:color="auto"/>
            </w:tcBorders>
            <w:shd w:val="clear" w:color="auto" w:fill="auto"/>
            <w:vAlign w:val="center"/>
          </w:tcPr>
          <w:p w14:paraId="2080B053" w14:textId="5B7160E4" w:rsidR="00763EF2" w:rsidRPr="001779C8" w:rsidRDefault="005860C6" w:rsidP="00CB4A1F">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szCs w:val="20"/>
              </w:rPr>
              <w:t xml:space="preserve"> </w:t>
            </w:r>
            <w:r w:rsidRPr="005860C6">
              <w:rPr>
                <w:rFonts w:ascii="Arial Narrow" w:eastAsiaTheme="majorEastAsia" w:hAnsi="Arial Narrow" w:cstheme="majorBidi" w:hint="eastAsia"/>
                <w:b/>
                <w:color w:val="000000"/>
                <w:w w:val="26"/>
                <w:sz w:val="20"/>
                <w:szCs w:val="20"/>
                <w:shd w:val="solid" w:color="000000" w:fill="000000"/>
                <w:fitText w:val="120" w:id="-1032106998"/>
                <w14:textFill>
                  <w14:solidFill>
                    <w14:srgbClr w14:val="000000">
                      <w14:alpha w14:val="100000"/>
                    </w14:srgbClr>
                  </w14:solidFill>
                </w14:textFill>
              </w:rPr>
              <w:t xml:space="preserve">　</w:t>
            </w:r>
            <w:r w:rsidRPr="005860C6">
              <w:rPr>
                <w:rFonts w:ascii="Arial Narrow" w:eastAsiaTheme="majorEastAsia" w:hAnsi="Arial Narrow" w:cstheme="majorBidi"/>
                <w:b/>
                <w:color w:val="000000"/>
                <w:w w:val="26"/>
                <w:sz w:val="20"/>
                <w:szCs w:val="20"/>
                <w:shd w:val="solid" w:color="000000" w:fill="000000"/>
                <w:fitText w:val="120" w:id="-1032106998"/>
                <w14:textFill>
                  <w14:solidFill>
                    <w14:srgbClr w14:val="000000">
                      <w14:alpha w14:val="100000"/>
                    </w14:srgbClr>
                  </w14:solidFill>
                </w14:textFill>
              </w:rPr>
              <w:t>|</w:t>
            </w:r>
            <w:r w:rsidRPr="005860C6">
              <w:rPr>
                <w:rFonts w:ascii="Arial Narrow" w:eastAsiaTheme="majorEastAsia" w:hAnsi="Arial Narrow" w:cstheme="majorBidi" w:hint="eastAsia"/>
                <w:b/>
                <w:color w:val="000000"/>
                <w:spacing w:val="4"/>
                <w:w w:val="26"/>
                <w:sz w:val="20"/>
                <w:szCs w:val="20"/>
                <w:shd w:val="solid" w:color="000000" w:fill="000000"/>
                <w:fitText w:val="120" w:id="-1032106998"/>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c>
          <w:tcPr>
            <w:tcW w:w="611" w:type="pct"/>
            <w:tcBorders>
              <w:top w:val="single" w:sz="4" w:space="0" w:color="auto"/>
              <w:bottom w:val="single" w:sz="4" w:space="0" w:color="auto"/>
            </w:tcBorders>
            <w:shd w:val="clear" w:color="auto" w:fill="auto"/>
            <w:vAlign w:val="center"/>
          </w:tcPr>
          <w:p w14:paraId="03F91D86" w14:textId="4A587A20" w:rsidR="00763EF2" w:rsidRPr="001779C8" w:rsidRDefault="005860C6" w:rsidP="00CB4A1F">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szCs w:val="20"/>
              </w:rPr>
              <w:t xml:space="preserve"> </w:t>
            </w:r>
            <w:r w:rsidRPr="005860C6">
              <w:rPr>
                <w:rFonts w:ascii="Arial Narrow" w:eastAsiaTheme="majorEastAsia" w:hAnsi="Arial Narrow" w:cstheme="majorBidi" w:hint="eastAsia"/>
                <w:b/>
                <w:color w:val="000000"/>
                <w:w w:val="26"/>
                <w:sz w:val="20"/>
                <w:szCs w:val="20"/>
                <w:shd w:val="solid" w:color="000000" w:fill="000000"/>
                <w:fitText w:val="120" w:id="-1032106997"/>
                <w14:textFill>
                  <w14:solidFill>
                    <w14:srgbClr w14:val="000000">
                      <w14:alpha w14:val="100000"/>
                    </w14:srgbClr>
                  </w14:solidFill>
                </w14:textFill>
              </w:rPr>
              <w:t xml:space="preserve">　</w:t>
            </w:r>
            <w:r w:rsidRPr="005860C6">
              <w:rPr>
                <w:rFonts w:ascii="Arial Narrow" w:eastAsiaTheme="majorEastAsia" w:hAnsi="Arial Narrow" w:cstheme="majorBidi"/>
                <w:b/>
                <w:color w:val="000000"/>
                <w:w w:val="26"/>
                <w:sz w:val="20"/>
                <w:szCs w:val="20"/>
                <w:shd w:val="solid" w:color="000000" w:fill="000000"/>
                <w:fitText w:val="120" w:id="-1032106997"/>
                <w14:textFill>
                  <w14:solidFill>
                    <w14:srgbClr w14:val="000000">
                      <w14:alpha w14:val="100000"/>
                    </w14:srgbClr>
                  </w14:solidFill>
                </w14:textFill>
              </w:rPr>
              <w:t>|</w:t>
            </w:r>
            <w:r w:rsidRPr="005860C6">
              <w:rPr>
                <w:rFonts w:ascii="Arial Narrow" w:eastAsiaTheme="majorEastAsia" w:hAnsi="Arial Narrow" w:cstheme="majorBidi" w:hint="eastAsia"/>
                <w:b/>
                <w:color w:val="000000"/>
                <w:spacing w:val="4"/>
                <w:w w:val="26"/>
                <w:sz w:val="20"/>
                <w:szCs w:val="20"/>
                <w:shd w:val="solid" w:color="000000" w:fill="000000"/>
                <w:fitText w:val="120" w:id="-1032106997"/>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c>
          <w:tcPr>
            <w:tcW w:w="611" w:type="pct"/>
            <w:tcBorders>
              <w:top w:val="single" w:sz="4" w:space="0" w:color="auto"/>
              <w:bottom w:val="single" w:sz="4" w:space="0" w:color="auto"/>
            </w:tcBorders>
            <w:shd w:val="clear" w:color="auto" w:fill="auto"/>
            <w:vAlign w:val="center"/>
          </w:tcPr>
          <w:p w14:paraId="06EE4818" w14:textId="08EAF01A" w:rsidR="00763EF2" w:rsidRPr="001779C8" w:rsidRDefault="005860C6" w:rsidP="00CB4A1F">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szCs w:val="20"/>
              </w:rPr>
              <w:t xml:space="preserve"> </w:t>
            </w:r>
            <w:r w:rsidRPr="005860C6">
              <w:rPr>
                <w:rFonts w:ascii="Arial Narrow" w:eastAsiaTheme="majorEastAsia" w:hAnsi="Arial Narrow" w:cstheme="majorBidi" w:hint="eastAsia"/>
                <w:b/>
                <w:color w:val="000000"/>
                <w:w w:val="26"/>
                <w:sz w:val="20"/>
                <w:szCs w:val="20"/>
                <w:shd w:val="solid" w:color="000000" w:fill="000000"/>
                <w:fitText w:val="120" w:id="-1032106996"/>
                <w14:textFill>
                  <w14:solidFill>
                    <w14:srgbClr w14:val="000000">
                      <w14:alpha w14:val="100000"/>
                    </w14:srgbClr>
                  </w14:solidFill>
                </w14:textFill>
              </w:rPr>
              <w:t xml:space="preserve">　</w:t>
            </w:r>
            <w:r w:rsidRPr="005860C6">
              <w:rPr>
                <w:rFonts w:ascii="Arial Narrow" w:eastAsiaTheme="majorEastAsia" w:hAnsi="Arial Narrow" w:cstheme="majorBidi"/>
                <w:b/>
                <w:color w:val="000000"/>
                <w:w w:val="26"/>
                <w:sz w:val="20"/>
                <w:szCs w:val="20"/>
                <w:shd w:val="solid" w:color="000000" w:fill="000000"/>
                <w:fitText w:val="120" w:id="-1032106996"/>
                <w14:textFill>
                  <w14:solidFill>
                    <w14:srgbClr w14:val="000000">
                      <w14:alpha w14:val="100000"/>
                    </w14:srgbClr>
                  </w14:solidFill>
                </w14:textFill>
              </w:rPr>
              <w:t>|</w:t>
            </w:r>
            <w:r w:rsidRPr="005860C6">
              <w:rPr>
                <w:rFonts w:ascii="Arial Narrow" w:eastAsiaTheme="majorEastAsia" w:hAnsi="Arial Narrow" w:cstheme="majorBidi" w:hint="eastAsia"/>
                <w:b/>
                <w:color w:val="000000"/>
                <w:spacing w:val="4"/>
                <w:w w:val="26"/>
                <w:sz w:val="20"/>
                <w:szCs w:val="20"/>
                <w:shd w:val="solid" w:color="000000" w:fill="000000"/>
                <w:fitText w:val="120" w:id="-1032106996"/>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c>
          <w:tcPr>
            <w:tcW w:w="611" w:type="pct"/>
            <w:tcBorders>
              <w:top w:val="single" w:sz="4" w:space="0" w:color="auto"/>
              <w:bottom w:val="single" w:sz="4" w:space="0" w:color="auto"/>
            </w:tcBorders>
            <w:shd w:val="clear" w:color="auto" w:fill="auto"/>
            <w:vAlign w:val="center"/>
          </w:tcPr>
          <w:p w14:paraId="7E506CD9" w14:textId="4411DC26" w:rsidR="00763EF2" w:rsidRPr="001779C8" w:rsidRDefault="005860C6" w:rsidP="00CB4A1F">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z w:val="20"/>
                <w:szCs w:val="20"/>
              </w:rPr>
              <w:t xml:space="preserve"> </w:t>
            </w:r>
            <w:r w:rsidRPr="005860C6">
              <w:rPr>
                <w:rFonts w:ascii="Arial Narrow" w:eastAsiaTheme="majorEastAsia" w:hAnsi="Arial Narrow" w:cstheme="majorBidi" w:hint="eastAsia"/>
                <w:b/>
                <w:color w:val="000000"/>
                <w:w w:val="26"/>
                <w:sz w:val="20"/>
                <w:szCs w:val="20"/>
                <w:shd w:val="solid" w:color="000000" w:fill="000000"/>
                <w:fitText w:val="120" w:id="-1032106995"/>
                <w14:textFill>
                  <w14:solidFill>
                    <w14:srgbClr w14:val="000000">
                      <w14:alpha w14:val="100000"/>
                    </w14:srgbClr>
                  </w14:solidFill>
                </w14:textFill>
              </w:rPr>
              <w:t xml:space="preserve">　</w:t>
            </w:r>
            <w:r w:rsidRPr="005860C6">
              <w:rPr>
                <w:rFonts w:ascii="Arial Narrow" w:eastAsiaTheme="majorEastAsia" w:hAnsi="Arial Narrow" w:cstheme="majorBidi"/>
                <w:b/>
                <w:color w:val="000000"/>
                <w:w w:val="26"/>
                <w:sz w:val="20"/>
                <w:szCs w:val="20"/>
                <w:shd w:val="solid" w:color="000000" w:fill="000000"/>
                <w:fitText w:val="120" w:id="-1032106995"/>
                <w14:textFill>
                  <w14:solidFill>
                    <w14:srgbClr w14:val="000000">
                      <w14:alpha w14:val="100000"/>
                    </w14:srgbClr>
                  </w14:solidFill>
                </w14:textFill>
              </w:rPr>
              <w:t>|</w:t>
            </w:r>
            <w:r w:rsidRPr="005860C6">
              <w:rPr>
                <w:rFonts w:ascii="Arial Narrow" w:eastAsiaTheme="majorEastAsia" w:hAnsi="Arial Narrow" w:cstheme="majorBidi" w:hint="eastAsia"/>
                <w:b/>
                <w:color w:val="000000"/>
                <w:spacing w:val="4"/>
                <w:w w:val="26"/>
                <w:sz w:val="20"/>
                <w:szCs w:val="20"/>
                <w:shd w:val="solid" w:color="000000" w:fill="000000"/>
                <w:fitText w:val="120" w:id="-1032106995"/>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r>
      <w:tr w:rsidR="00763EF2" w:rsidRPr="003B5F84" w14:paraId="1B8528B9" w14:textId="77777777" w:rsidTr="00CB4A1F">
        <w:tc>
          <w:tcPr>
            <w:tcW w:w="1334" w:type="pct"/>
            <w:shd w:val="clear" w:color="auto" w:fill="auto"/>
            <w:vAlign w:val="center"/>
          </w:tcPr>
          <w:p w14:paraId="5D2228D8" w14:textId="77777777" w:rsidR="00763EF2" w:rsidRPr="003B5F84" w:rsidRDefault="00763EF2" w:rsidP="00CB4A1F">
            <w:pPr>
              <w:keepNext/>
              <w:jc w:val="left"/>
              <w:rPr>
                <w:rFonts w:ascii="Times" w:eastAsiaTheme="majorEastAsia" w:hAnsi="Times" w:cstheme="majorBidi"/>
                <w:bCs/>
                <w:sz w:val="20"/>
              </w:rPr>
            </w:pPr>
            <w:r w:rsidRPr="003B5F84">
              <w:rPr>
                <w:rFonts w:ascii="Arial Narrow" w:eastAsiaTheme="majorEastAsia" w:hAnsi="Arial Narrow" w:cstheme="majorBidi"/>
                <w:bCs/>
                <w:sz w:val="19"/>
                <w:szCs w:val="19"/>
              </w:rPr>
              <w:t>Net cost to MBS</w:t>
            </w:r>
          </w:p>
        </w:tc>
        <w:tc>
          <w:tcPr>
            <w:tcW w:w="611" w:type="pct"/>
            <w:shd w:val="clear" w:color="auto" w:fill="auto"/>
            <w:vAlign w:val="center"/>
          </w:tcPr>
          <w:p w14:paraId="0285DCC9" w14:textId="772C4191"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5"/>
                <w:sz w:val="20"/>
                <w:szCs w:val="20"/>
                <w:shd w:val="solid" w:color="000000" w:fill="000000"/>
                <w:fitText w:val="70" w:id="-1032106994"/>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zCs w:val="20"/>
                <w:shd w:val="solid" w:color="000000" w:fill="000000"/>
                <w:fitText w:val="70" w:id="-1032106994"/>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zCs w:val="20"/>
                <w:shd w:val="solid" w:color="000000" w:fill="000000"/>
                <w:fitText w:val="70" w:id="-1032106994"/>
                <w14:textFill>
                  <w14:solidFill>
                    <w14:srgbClr w14:val="000000">
                      <w14:alpha w14:val="100000"/>
                    </w14:srgbClr>
                  </w14:solidFill>
                </w14:textFill>
              </w:rPr>
              <w:t xml:space="preserve">　</w:t>
            </w:r>
            <w:r w:rsidR="007700D1">
              <w:rPr>
                <w:rFonts w:ascii="Arial Narrow" w:eastAsiaTheme="majorEastAsia" w:hAnsi="Arial Narrow" w:cstheme="majorBidi"/>
                <w:bCs/>
                <w:sz w:val="20"/>
                <w:szCs w:val="20"/>
                <w:vertAlign w:val="superscript"/>
              </w:rPr>
              <w:t>3</w:t>
            </w:r>
          </w:p>
        </w:tc>
        <w:tc>
          <w:tcPr>
            <w:tcW w:w="611" w:type="pct"/>
            <w:shd w:val="clear" w:color="auto" w:fill="auto"/>
            <w:vAlign w:val="center"/>
          </w:tcPr>
          <w:p w14:paraId="6473B73A" w14:textId="55269FFE"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5"/>
                <w:sz w:val="20"/>
                <w:szCs w:val="20"/>
                <w:shd w:val="solid" w:color="000000" w:fill="000000"/>
                <w:fitText w:val="70" w:id="-1032106993"/>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zCs w:val="20"/>
                <w:shd w:val="solid" w:color="000000" w:fill="000000"/>
                <w:fitText w:val="70" w:id="-1032106993"/>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zCs w:val="20"/>
                <w:shd w:val="solid" w:color="000000" w:fill="000000"/>
                <w:fitText w:val="70" w:id="-1032106993"/>
                <w14:textFill>
                  <w14:solidFill>
                    <w14:srgbClr w14:val="000000">
                      <w14:alpha w14:val="100000"/>
                    </w14:srgbClr>
                  </w14:solidFill>
                </w14:textFill>
              </w:rPr>
              <w:t xml:space="preserve">　</w:t>
            </w:r>
            <w:r w:rsidR="00F3088E" w:rsidRPr="006C314A">
              <w:rPr>
                <w:rFonts w:ascii="Arial Narrow" w:eastAsiaTheme="majorEastAsia" w:hAnsi="Arial Narrow" w:cstheme="majorBidi"/>
                <w:bCs/>
                <w:sz w:val="20"/>
                <w:szCs w:val="20"/>
                <w:vertAlign w:val="superscript"/>
              </w:rPr>
              <w:t>3</w:t>
            </w:r>
          </w:p>
        </w:tc>
        <w:tc>
          <w:tcPr>
            <w:tcW w:w="611" w:type="pct"/>
            <w:shd w:val="clear" w:color="auto" w:fill="auto"/>
            <w:vAlign w:val="center"/>
          </w:tcPr>
          <w:p w14:paraId="46490C5B" w14:textId="76C48172"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5"/>
                <w:sz w:val="20"/>
                <w:szCs w:val="20"/>
                <w:shd w:val="solid" w:color="000000" w:fill="000000"/>
                <w:fitText w:val="70" w:id="-1032106992"/>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zCs w:val="20"/>
                <w:shd w:val="solid" w:color="000000" w:fill="000000"/>
                <w:fitText w:val="70" w:id="-1032106992"/>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zCs w:val="20"/>
                <w:shd w:val="solid" w:color="000000" w:fill="000000"/>
                <w:fitText w:val="70" w:id="-1032106992"/>
                <w14:textFill>
                  <w14:solidFill>
                    <w14:srgbClr w14:val="000000">
                      <w14:alpha w14:val="100000"/>
                    </w14:srgbClr>
                  </w14:solidFill>
                </w14:textFill>
              </w:rPr>
              <w:t xml:space="preserve">　</w:t>
            </w:r>
            <w:r w:rsidR="00F3088E" w:rsidRPr="006C314A">
              <w:rPr>
                <w:rFonts w:ascii="Arial Narrow" w:eastAsiaTheme="majorEastAsia" w:hAnsi="Arial Narrow" w:cstheme="majorBidi"/>
                <w:bCs/>
                <w:sz w:val="20"/>
                <w:szCs w:val="20"/>
                <w:vertAlign w:val="superscript"/>
              </w:rPr>
              <w:t>3</w:t>
            </w:r>
          </w:p>
        </w:tc>
        <w:tc>
          <w:tcPr>
            <w:tcW w:w="611" w:type="pct"/>
            <w:shd w:val="clear" w:color="auto" w:fill="auto"/>
            <w:vAlign w:val="center"/>
          </w:tcPr>
          <w:p w14:paraId="7B6BD932" w14:textId="2E392191"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5"/>
                <w:sz w:val="20"/>
                <w:szCs w:val="20"/>
                <w:shd w:val="solid" w:color="000000" w:fill="000000"/>
                <w:fitText w:val="70" w:id="-1032107008"/>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zCs w:val="20"/>
                <w:shd w:val="solid" w:color="000000" w:fill="000000"/>
                <w:fitText w:val="70" w:id="-1032107008"/>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zCs w:val="20"/>
                <w:shd w:val="solid" w:color="000000" w:fill="000000"/>
                <w:fitText w:val="70" w:id="-1032107008"/>
                <w14:textFill>
                  <w14:solidFill>
                    <w14:srgbClr w14:val="000000">
                      <w14:alpha w14:val="100000"/>
                    </w14:srgbClr>
                  </w14:solidFill>
                </w14:textFill>
              </w:rPr>
              <w:t xml:space="preserve">　</w:t>
            </w:r>
            <w:r w:rsidR="00F3088E" w:rsidRPr="006C314A">
              <w:rPr>
                <w:rFonts w:ascii="Arial Narrow" w:eastAsiaTheme="majorEastAsia" w:hAnsi="Arial Narrow" w:cstheme="majorBidi"/>
                <w:bCs/>
                <w:sz w:val="20"/>
                <w:szCs w:val="20"/>
                <w:vertAlign w:val="superscript"/>
              </w:rPr>
              <w:t>3</w:t>
            </w:r>
          </w:p>
        </w:tc>
        <w:tc>
          <w:tcPr>
            <w:tcW w:w="611" w:type="pct"/>
            <w:shd w:val="clear" w:color="auto" w:fill="auto"/>
            <w:vAlign w:val="center"/>
          </w:tcPr>
          <w:p w14:paraId="737840B5" w14:textId="0660C001"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5"/>
                <w:sz w:val="20"/>
                <w:szCs w:val="20"/>
                <w:shd w:val="solid" w:color="000000" w:fill="000000"/>
                <w:fitText w:val="70" w:id="-1032107007"/>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zCs w:val="20"/>
                <w:shd w:val="solid" w:color="000000" w:fill="000000"/>
                <w:fitText w:val="70" w:id="-1032107007"/>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zCs w:val="20"/>
                <w:shd w:val="solid" w:color="000000" w:fill="000000"/>
                <w:fitText w:val="70" w:id="-1032107007"/>
                <w14:textFill>
                  <w14:solidFill>
                    <w14:srgbClr w14:val="000000">
                      <w14:alpha w14:val="100000"/>
                    </w14:srgbClr>
                  </w14:solidFill>
                </w14:textFill>
              </w:rPr>
              <w:t xml:space="preserve">　</w:t>
            </w:r>
            <w:r w:rsidR="00F3088E" w:rsidRPr="006C314A">
              <w:rPr>
                <w:rFonts w:ascii="Arial Narrow" w:eastAsiaTheme="majorEastAsia" w:hAnsi="Arial Narrow" w:cstheme="majorBidi"/>
                <w:bCs/>
                <w:sz w:val="20"/>
                <w:szCs w:val="20"/>
                <w:vertAlign w:val="superscript"/>
              </w:rPr>
              <w:t>3</w:t>
            </w:r>
          </w:p>
        </w:tc>
        <w:tc>
          <w:tcPr>
            <w:tcW w:w="611" w:type="pct"/>
            <w:shd w:val="clear" w:color="auto" w:fill="auto"/>
            <w:vAlign w:val="center"/>
          </w:tcPr>
          <w:p w14:paraId="67574F2C" w14:textId="34AFFD0D" w:rsidR="00763EF2" w:rsidRPr="00D22B13" w:rsidRDefault="005860C6" w:rsidP="00CB4A1F">
            <w:pPr>
              <w:keepNext/>
              <w:jc w:val="center"/>
              <w:rPr>
                <w:rFonts w:ascii="Arial Narrow" w:eastAsiaTheme="majorEastAsia" w:hAnsi="Arial Narrow" w:cstheme="majorBidi"/>
                <w:bCs/>
                <w:sz w:val="20"/>
                <w:highlight w:val="darkGray"/>
              </w:rPr>
            </w:pPr>
            <w:r>
              <w:rPr>
                <w:rFonts w:ascii="Arial Narrow" w:eastAsiaTheme="majorEastAsia" w:hAnsi="Arial Narrow" w:cstheme="majorBidi"/>
                <w:bCs/>
                <w:sz w:val="20"/>
                <w:szCs w:val="20"/>
              </w:rPr>
              <w:t xml:space="preserve"> </w:t>
            </w:r>
            <w:r w:rsidRPr="005860C6">
              <w:rPr>
                <w:rFonts w:ascii="Arial Narrow" w:eastAsiaTheme="majorEastAsia" w:hAnsi="Arial Narrow" w:cstheme="majorBidi" w:hint="eastAsia"/>
                <w:bCs/>
                <w:color w:val="000000"/>
                <w:w w:val="15"/>
                <w:sz w:val="20"/>
                <w:szCs w:val="20"/>
                <w:shd w:val="solid" w:color="000000" w:fill="000000"/>
                <w:fitText w:val="70" w:id="-1032107006"/>
                <w14:textFill>
                  <w14:solidFill>
                    <w14:srgbClr w14:val="000000">
                      <w14:alpha w14:val="100000"/>
                    </w14:srgbClr>
                  </w14:solidFill>
                </w14:textFill>
              </w:rPr>
              <w:t xml:space="preserve">　</w:t>
            </w:r>
            <w:r w:rsidRPr="005860C6">
              <w:rPr>
                <w:rFonts w:ascii="Arial Narrow" w:eastAsiaTheme="majorEastAsia" w:hAnsi="Arial Narrow" w:cstheme="majorBidi"/>
                <w:bCs/>
                <w:color w:val="000000"/>
                <w:w w:val="15"/>
                <w:sz w:val="20"/>
                <w:szCs w:val="20"/>
                <w:shd w:val="solid" w:color="000000" w:fill="000000"/>
                <w:fitText w:val="70" w:id="-1032107006"/>
                <w14:textFill>
                  <w14:solidFill>
                    <w14:srgbClr w14:val="000000">
                      <w14:alpha w14:val="100000"/>
                    </w14:srgbClr>
                  </w14:solidFill>
                </w14:textFill>
              </w:rPr>
              <w:t>|</w:t>
            </w:r>
            <w:r w:rsidRPr="005860C6">
              <w:rPr>
                <w:rFonts w:ascii="Arial Narrow" w:eastAsiaTheme="majorEastAsia" w:hAnsi="Arial Narrow" w:cstheme="majorBidi" w:hint="eastAsia"/>
                <w:bCs/>
                <w:color w:val="000000"/>
                <w:spacing w:val="4"/>
                <w:w w:val="15"/>
                <w:sz w:val="20"/>
                <w:szCs w:val="20"/>
                <w:shd w:val="solid" w:color="000000" w:fill="000000"/>
                <w:fitText w:val="70" w:id="-1032107006"/>
                <w14:textFill>
                  <w14:solidFill>
                    <w14:srgbClr w14:val="000000">
                      <w14:alpha w14:val="100000"/>
                    </w14:srgbClr>
                  </w14:solidFill>
                </w14:textFill>
              </w:rPr>
              <w:t xml:space="preserve">　</w:t>
            </w:r>
            <w:r w:rsidR="00F3088E" w:rsidRPr="006C314A">
              <w:rPr>
                <w:rFonts w:ascii="Arial Narrow" w:eastAsiaTheme="majorEastAsia" w:hAnsi="Arial Narrow" w:cstheme="majorBidi"/>
                <w:bCs/>
                <w:sz w:val="20"/>
                <w:szCs w:val="20"/>
                <w:vertAlign w:val="superscript"/>
              </w:rPr>
              <w:t>3</w:t>
            </w:r>
          </w:p>
        </w:tc>
      </w:tr>
      <w:tr w:rsidR="00763EF2" w:rsidRPr="006A6EFB" w14:paraId="6115827B" w14:textId="77777777" w:rsidTr="00CB4A1F">
        <w:tc>
          <w:tcPr>
            <w:tcW w:w="1334" w:type="pct"/>
            <w:shd w:val="clear" w:color="auto" w:fill="auto"/>
            <w:vAlign w:val="center"/>
          </w:tcPr>
          <w:p w14:paraId="5E77FD99" w14:textId="77777777" w:rsidR="00763EF2" w:rsidRPr="006A6EFB" w:rsidRDefault="00763EF2" w:rsidP="00CB4A1F">
            <w:pPr>
              <w:keepNext/>
              <w:jc w:val="left"/>
              <w:rPr>
                <w:rFonts w:ascii="Arial Narrow" w:eastAsiaTheme="majorEastAsia" w:hAnsi="Arial Narrow" w:cstheme="majorBidi"/>
                <w:b/>
                <w:sz w:val="19"/>
                <w:szCs w:val="19"/>
              </w:rPr>
            </w:pPr>
            <w:r w:rsidRPr="006A6EFB">
              <w:rPr>
                <w:rFonts w:ascii="Arial Narrow" w:eastAsiaTheme="majorEastAsia" w:hAnsi="Arial Narrow" w:cstheme="majorBidi"/>
                <w:b/>
                <w:sz w:val="19"/>
                <w:szCs w:val="19"/>
              </w:rPr>
              <w:t>Net cost to PBS/RPBS/MBS</w:t>
            </w:r>
          </w:p>
        </w:tc>
        <w:tc>
          <w:tcPr>
            <w:tcW w:w="611" w:type="pct"/>
            <w:shd w:val="clear" w:color="auto" w:fill="auto"/>
            <w:vAlign w:val="center"/>
          </w:tcPr>
          <w:p w14:paraId="3C48BFDB" w14:textId="17A68686" w:rsidR="00763EF2" w:rsidRPr="001779C8" w:rsidRDefault="005860C6" w:rsidP="00CB4A1F">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napToGrid w:val="0"/>
                <w:sz w:val="20"/>
                <w:szCs w:val="20"/>
              </w:rPr>
              <w:t xml:space="preserve"> </w:t>
            </w:r>
            <w:r w:rsidRPr="005860C6">
              <w:rPr>
                <w:rFonts w:ascii="Arial Narrow" w:eastAsiaTheme="majorEastAsia" w:hAnsi="Arial Narrow" w:cstheme="majorBidi" w:hint="eastAsia"/>
                <w:b/>
                <w:snapToGrid w:val="0"/>
                <w:color w:val="000000"/>
                <w:w w:val="26"/>
                <w:sz w:val="20"/>
                <w:szCs w:val="20"/>
                <w:shd w:val="solid" w:color="000000" w:fill="000000"/>
                <w:fitText w:val="120" w:id="-1032107005"/>
                <w14:textFill>
                  <w14:solidFill>
                    <w14:srgbClr w14:val="000000">
                      <w14:alpha w14:val="100000"/>
                    </w14:srgbClr>
                  </w14:solidFill>
                </w14:textFill>
              </w:rPr>
              <w:t xml:space="preserve">　</w:t>
            </w:r>
            <w:r w:rsidRPr="005860C6">
              <w:rPr>
                <w:rFonts w:ascii="Arial Narrow" w:eastAsiaTheme="majorEastAsia" w:hAnsi="Arial Narrow" w:cstheme="majorBidi"/>
                <w:b/>
                <w:snapToGrid w:val="0"/>
                <w:color w:val="000000"/>
                <w:w w:val="26"/>
                <w:sz w:val="20"/>
                <w:szCs w:val="20"/>
                <w:shd w:val="solid" w:color="000000" w:fill="000000"/>
                <w:fitText w:val="120" w:id="-1032107005"/>
                <w14:textFill>
                  <w14:solidFill>
                    <w14:srgbClr w14:val="000000">
                      <w14:alpha w14:val="100000"/>
                    </w14:srgbClr>
                  </w14:solidFill>
                </w14:textFill>
              </w:rPr>
              <w:t>|</w:t>
            </w:r>
            <w:r w:rsidRPr="005860C6">
              <w:rPr>
                <w:rFonts w:ascii="Arial Narrow" w:eastAsiaTheme="majorEastAsia" w:hAnsi="Arial Narrow" w:cstheme="majorBidi" w:hint="eastAsia"/>
                <w:b/>
                <w:snapToGrid w:val="0"/>
                <w:color w:val="000000"/>
                <w:spacing w:val="4"/>
                <w:w w:val="26"/>
                <w:sz w:val="20"/>
                <w:szCs w:val="20"/>
                <w:shd w:val="solid" w:color="000000" w:fill="000000"/>
                <w:fitText w:val="120" w:id="-1032107005"/>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c>
          <w:tcPr>
            <w:tcW w:w="611" w:type="pct"/>
            <w:shd w:val="clear" w:color="auto" w:fill="auto"/>
            <w:vAlign w:val="center"/>
          </w:tcPr>
          <w:p w14:paraId="4DF51644" w14:textId="75882C39" w:rsidR="00763EF2" w:rsidRPr="001779C8" w:rsidRDefault="005860C6" w:rsidP="00CB4A1F">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napToGrid w:val="0"/>
                <w:sz w:val="20"/>
                <w:szCs w:val="20"/>
              </w:rPr>
              <w:t xml:space="preserve"> </w:t>
            </w:r>
            <w:r w:rsidRPr="005860C6">
              <w:rPr>
                <w:rFonts w:ascii="Arial Narrow" w:eastAsiaTheme="majorEastAsia" w:hAnsi="Arial Narrow" w:cstheme="majorBidi" w:hint="eastAsia"/>
                <w:b/>
                <w:snapToGrid w:val="0"/>
                <w:color w:val="000000"/>
                <w:w w:val="26"/>
                <w:sz w:val="20"/>
                <w:szCs w:val="20"/>
                <w:shd w:val="solid" w:color="000000" w:fill="000000"/>
                <w:fitText w:val="120" w:id="-1032107004"/>
                <w14:textFill>
                  <w14:solidFill>
                    <w14:srgbClr w14:val="000000">
                      <w14:alpha w14:val="100000"/>
                    </w14:srgbClr>
                  </w14:solidFill>
                </w14:textFill>
              </w:rPr>
              <w:t xml:space="preserve">　</w:t>
            </w:r>
            <w:r w:rsidRPr="005860C6">
              <w:rPr>
                <w:rFonts w:ascii="Arial Narrow" w:eastAsiaTheme="majorEastAsia" w:hAnsi="Arial Narrow" w:cstheme="majorBidi"/>
                <w:b/>
                <w:snapToGrid w:val="0"/>
                <w:color w:val="000000"/>
                <w:w w:val="26"/>
                <w:sz w:val="20"/>
                <w:szCs w:val="20"/>
                <w:shd w:val="solid" w:color="000000" w:fill="000000"/>
                <w:fitText w:val="120" w:id="-1032107004"/>
                <w14:textFill>
                  <w14:solidFill>
                    <w14:srgbClr w14:val="000000">
                      <w14:alpha w14:val="100000"/>
                    </w14:srgbClr>
                  </w14:solidFill>
                </w14:textFill>
              </w:rPr>
              <w:t>|</w:t>
            </w:r>
            <w:r w:rsidRPr="005860C6">
              <w:rPr>
                <w:rFonts w:ascii="Arial Narrow" w:eastAsiaTheme="majorEastAsia" w:hAnsi="Arial Narrow" w:cstheme="majorBidi" w:hint="eastAsia"/>
                <w:b/>
                <w:snapToGrid w:val="0"/>
                <w:color w:val="000000"/>
                <w:spacing w:val="4"/>
                <w:w w:val="26"/>
                <w:sz w:val="20"/>
                <w:szCs w:val="20"/>
                <w:shd w:val="solid" w:color="000000" w:fill="000000"/>
                <w:fitText w:val="120" w:id="-1032107004"/>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c>
          <w:tcPr>
            <w:tcW w:w="611" w:type="pct"/>
            <w:shd w:val="clear" w:color="auto" w:fill="auto"/>
            <w:vAlign w:val="center"/>
          </w:tcPr>
          <w:p w14:paraId="4E640326" w14:textId="1F17F07F" w:rsidR="00763EF2" w:rsidRPr="001779C8" w:rsidRDefault="005860C6" w:rsidP="00CB4A1F">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napToGrid w:val="0"/>
                <w:sz w:val="20"/>
                <w:szCs w:val="20"/>
              </w:rPr>
              <w:t xml:space="preserve"> </w:t>
            </w:r>
            <w:r w:rsidRPr="005860C6">
              <w:rPr>
                <w:rFonts w:ascii="Arial Narrow" w:eastAsiaTheme="majorEastAsia" w:hAnsi="Arial Narrow" w:cstheme="majorBidi" w:hint="eastAsia"/>
                <w:b/>
                <w:snapToGrid w:val="0"/>
                <w:color w:val="000000"/>
                <w:w w:val="26"/>
                <w:sz w:val="20"/>
                <w:szCs w:val="20"/>
                <w:shd w:val="solid" w:color="000000" w:fill="000000"/>
                <w:fitText w:val="120" w:id="-1032107003"/>
                <w14:textFill>
                  <w14:solidFill>
                    <w14:srgbClr w14:val="000000">
                      <w14:alpha w14:val="100000"/>
                    </w14:srgbClr>
                  </w14:solidFill>
                </w14:textFill>
              </w:rPr>
              <w:t xml:space="preserve">　</w:t>
            </w:r>
            <w:r w:rsidRPr="005860C6">
              <w:rPr>
                <w:rFonts w:ascii="Arial Narrow" w:eastAsiaTheme="majorEastAsia" w:hAnsi="Arial Narrow" w:cstheme="majorBidi"/>
                <w:b/>
                <w:snapToGrid w:val="0"/>
                <w:color w:val="000000"/>
                <w:w w:val="26"/>
                <w:sz w:val="20"/>
                <w:szCs w:val="20"/>
                <w:shd w:val="solid" w:color="000000" w:fill="000000"/>
                <w:fitText w:val="120" w:id="-1032107003"/>
                <w14:textFill>
                  <w14:solidFill>
                    <w14:srgbClr w14:val="000000">
                      <w14:alpha w14:val="100000"/>
                    </w14:srgbClr>
                  </w14:solidFill>
                </w14:textFill>
              </w:rPr>
              <w:t>|</w:t>
            </w:r>
            <w:r w:rsidRPr="005860C6">
              <w:rPr>
                <w:rFonts w:ascii="Arial Narrow" w:eastAsiaTheme="majorEastAsia" w:hAnsi="Arial Narrow" w:cstheme="majorBidi" w:hint="eastAsia"/>
                <w:b/>
                <w:snapToGrid w:val="0"/>
                <w:color w:val="000000"/>
                <w:spacing w:val="4"/>
                <w:w w:val="26"/>
                <w:sz w:val="20"/>
                <w:szCs w:val="20"/>
                <w:shd w:val="solid" w:color="000000" w:fill="000000"/>
                <w:fitText w:val="120" w:id="-1032107003"/>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c>
          <w:tcPr>
            <w:tcW w:w="611" w:type="pct"/>
            <w:shd w:val="clear" w:color="auto" w:fill="auto"/>
            <w:vAlign w:val="center"/>
          </w:tcPr>
          <w:p w14:paraId="6DD9977A" w14:textId="611B7F5F" w:rsidR="00763EF2" w:rsidRPr="001779C8" w:rsidRDefault="005860C6" w:rsidP="00CB4A1F">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napToGrid w:val="0"/>
                <w:sz w:val="20"/>
                <w:szCs w:val="20"/>
              </w:rPr>
              <w:t xml:space="preserve"> </w:t>
            </w:r>
            <w:r w:rsidRPr="005860C6">
              <w:rPr>
                <w:rFonts w:ascii="Arial Narrow" w:eastAsiaTheme="majorEastAsia" w:hAnsi="Arial Narrow" w:cstheme="majorBidi" w:hint="eastAsia"/>
                <w:b/>
                <w:snapToGrid w:val="0"/>
                <w:color w:val="000000"/>
                <w:w w:val="26"/>
                <w:sz w:val="20"/>
                <w:szCs w:val="20"/>
                <w:shd w:val="solid" w:color="000000" w:fill="000000"/>
                <w:fitText w:val="120" w:id="-1032107002"/>
                <w14:textFill>
                  <w14:solidFill>
                    <w14:srgbClr w14:val="000000">
                      <w14:alpha w14:val="100000"/>
                    </w14:srgbClr>
                  </w14:solidFill>
                </w14:textFill>
              </w:rPr>
              <w:t xml:space="preserve">　</w:t>
            </w:r>
            <w:r w:rsidRPr="005860C6">
              <w:rPr>
                <w:rFonts w:ascii="Arial Narrow" w:eastAsiaTheme="majorEastAsia" w:hAnsi="Arial Narrow" w:cstheme="majorBidi"/>
                <w:b/>
                <w:snapToGrid w:val="0"/>
                <w:color w:val="000000"/>
                <w:w w:val="26"/>
                <w:sz w:val="20"/>
                <w:szCs w:val="20"/>
                <w:shd w:val="solid" w:color="000000" w:fill="000000"/>
                <w:fitText w:val="120" w:id="-1032107002"/>
                <w14:textFill>
                  <w14:solidFill>
                    <w14:srgbClr w14:val="000000">
                      <w14:alpha w14:val="100000"/>
                    </w14:srgbClr>
                  </w14:solidFill>
                </w14:textFill>
              </w:rPr>
              <w:t>|</w:t>
            </w:r>
            <w:r w:rsidRPr="005860C6">
              <w:rPr>
                <w:rFonts w:ascii="Arial Narrow" w:eastAsiaTheme="majorEastAsia" w:hAnsi="Arial Narrow" w:cstheme="majorBidi" w:hint="eastAsia"/>
                <w:b/>
                <w:snapToGrid w:val="0"/>
                <w:color w:val="000000"/>
                <w:spacing w:val="4"/>
                <w:w w:val="26"/>
                <w:sz w:val="20"/>
                <w:szCs w:val="20"/>
                <w:shd w:val="solid" w:color="000000" w:fill="000000"/>
                <w:fitText w:val="120" w:id="-1032107002"/>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c>
          <w:tcPr>
            <w:tcW w:w="611" w:type="pct"/>
            <w:shd w:val="clear" w:color="auto" w:fill="auto"/>
            <w:vAlign w:val="center"/>
          </w:tcPr>
          <w:p w14:paraId="4F9518E2" w14:textId="208E0E18" w:rsidR="00763EF2" w:rsidRPr="001779C8" w:rsidRDefault="005860C6" w:rsidP="00CB4A1F">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napToGrid w:val="0"/>
                <w:sz w:val="20"/>
                <w:szCs w:val="20"/>
              </w:rPr>
              <w:t xml:space="preserve"> </w:t>
            </w:r>
            <w:r w:rsidRPr="005860C6">
              <w:rPr>
                <w:rFonts w:ascii="Arial Narrow" w:eastAsiaTheme="majorEastAsia" w:hAnsi="Arial Narrow" w:cstheme="majorBidi" w:hint="eastAsia"/>
                <w:b/>
                <w:snapToGrid w:val="0"/>
                <w:color w:val="000000"/>
                <w:w w:val="26"/>
                <w:sz w:val="20"/>
                <w:szCs w:val="20"/>
                <w:shd w:val="solid" w:color="000000" w:fill="000000"/>
                <w:fitText w:val="120" w:id="-1032107001"/>
                <w14:textFill>
                  <w14:solidFill>
                    <w14:srgbClr w14:val="000000">
                      <w14:alpha w14:val="100000"/>
                    </w14:srgbClr>
                  </w14:solidFill>
                </w14:textFill>
              </w:rPr>
              <w:t xml:space="preserve">　</w:t>
            </w:r>
            <w:r w:rsidRPr="005860C6">
              <w:rPr>
                <w:rFonts w:ascii="Arial Narrow" w:eastAsiaTheme="majorEastAsia" w:hAnsi="Arial Narrow" w:cstheme="majorBidi"/>
                <w:b/>
                <w:snapToGrid w:val="0"/>
                <w:color w:val="000000"/>
                <w:w w:val="26"/>
                <w:sz w:val="20"/>
                <w:szCs w:val="20"/>
                <w:shd w:val="solid" w:color="000000" w:fill="000000"/>
                <w:fitText w:val="120" w:id="-1032107001"/>
                <w14:textFill>
                  <w14:solidFill>
                    <w14:srgbClr w14:val="000000">
                      <w14:alpha w14:val="100000"/>
                    </w14:srgbClr>
                  </w14:solidFill>
                </w14:textFill>
              </w:rPr>
              <w:t>|</w:t>
            </w:r>
            <w:r w:rsidRPr="005860C6">
              <w:rPr>
                <w:rFonts w:ascii="Arial Narrow" w:eastAsiaTheme="majorEastAsia" w:hAnsi="Arial Narrow" w:cstheme="majorBidi" w:hint="eastAsia"/>
                <w:b/>
                <w:snapToGrid w:val="0"/>
                <w:color w:val="000000"/>
                <w:spacing w:val="4"/>
                <w:w w:val="26"/>
                <w:sz w:val="20"/>
                <w:szCs w:val="20"/>
                <w:shd w:val="solid" w:color="000000" w:fill="000000"/>
                <w:fitText w:val="120" w:id="-1032107001"/>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c>
          <w:tcPr>
            <w:tcW w:w="611" w:type="pct"/>
            <w:vAlign w:val="center"/>
          </w:tcPr>
          <w:p w14:paraId="25E86FCB" w14:textId="509A92C9" w:rsidR="00763EF2" w:rsidRPr="001779C8" w:rsidRDefault="005860C6" w:rsidP="00CB4A1F">
            <w:pPr>
              <w:keepNext/>
              <w:jc w:val="center"/>
              <w:rPr>
                <w:rFonts w:ascii="Arial Narrow" w:eastAsiaTheme="majorEastAsia" w:hAnsi="Arial Narrow" w:cstheme="majorBidi"/>
                <w:b/>
                <w:sz w:val="20"/>
                <w:highlight w:val="darkGray"/>
              </w:rPr>
            </w:pPr>
            <w:r>
              <w:rPr>
                <w:rFonts w:ascii="Arial Narrow" w:eastAsiaTheme="majorEastAsia" w:hAnsi="Arial Narrow" w:cstheme="majorBidi"/>
                <w:b/>
                <w:snapToGrid w:val="0"/>
                <w:sz w:val="20"/>
                <w:szCs w:val="20"/>
              </w:rPr>
              <w:t xml:space="preserve"> </w:t>
            </w:r>
            <w:r w:rsidRPr="005860C6">
              <w:rPr>
                <w:rFonts w:ascii="Arial Narrow" w:eastAsiaTheme="majorEastAsia" w:hAnsi="Arial Narrow" w:cstheme="majorBidi" w:hint="eastAsia"/>
                <w:b/>
                <w:snapToGrid w:val="0"/>
                <w:color w:val="000000"/>
                <w:w w:val="26"/>
                <w:sz w:val="20"/>
                <w:szCs w:val="20"/>
                <w:shd w:val="solid" w:color="000000" w:fill="000000"/>
                <w:fitText w:val="120" w:id="-1032107000"/>
                <w14:textFill>
                  <w14:solidFill>
                    <w14:srgbClr w14:val="000000">
                      <w14:alpha w14:val="100000"/>
                    </w14:srgbClr>
                  </w14:solidFill>
                </w14:textFill>
              </w:rPr>
              <w:t xml:space="preserve">　</w:t>
            </w:r>
            <w:r w:rsidRPr="005860C6">
              <w:rPr>
                <w:rFonts w:ascii="Arial Narrow" w:eastAsiaTheme="majorEastAsia" w:hAnsi="Arial Narrow" w:cstheme="majorBidi"/>
                <w:b/>
                <w:snapToGrid w:val="0"/>
                <w:color w:val="000000"/>
                <w:w w:val="26"/>
                <w:sz w:val="20"/>
                <w:szCs w:val="20"/>
                <w:shd w:val="solid" w:color="000000" w:fill="000000"/>
                <w:fitText w:val="120" w:id="-1032107000"/>
                <w14:textFill>
                  <w14:solidFill>
                    <w14:srgbClr w14:val="000000">
                      <w14:alpha w14:val="100000"/>
                    </w14:srgbClr>
                  </w14:solidFill>
                </w14:textFill>
              </w:rPr>
              <w:t>|</w:t>
            </w:r>
            <w:r w:rsidRPr="005860C6">
              <w:rPr>
                <w:rFonts w:ascii="Arial Narrow" w:eastAsiaTheme="majorEastAsia" w:hAnsi="Arial Narrow" w:cstheme="majorBidi" w:hint="eastAsia"/>
                <w:b/>
                <w:snapToGrid w:val="0"/>
                <w:color w:val="000000"/>
                <w:spacing w:val="4"/>
                <w:w w:val="26"/>
                <w:sz w:val="20"/>
                <w:szCs w:val="20"/>
                <w:shd w:val="solid" w:color="000000" w:fill="000000"/>
                <w:fitText w:val="120" w:id="-1032107000"/>
                <w14:textFill>
                  <w14:solidFill>
                    <w14:srgbClr w14:val="000000">
                      <w14:alpha w14:val="100000"/>
                    </w14:srgbClr>
                  </w14:solidFill>
                </w14:textFill>
              </w:rPr>
              <w:t xml:space="preserve">　</w:t>
            </w:r>
            <w:r w:rsidR="007700D1">
              <w:rPr>
                <w:rFonts w:ascii="Arial Narrow" w:eastAsiaTheme="majorEastAsia" w:hAnsi="Arial Narrow" w:cstheme="majorBidi"/>
                <w:sz w:val="20"/>
                <w:szCs w:val="20"/>
                <w:vertAlign w:val="superscript"/>
              </w:rPr>
              <w:t>3</w:t>
            </w:r>
          </w:p>
        </w:tc>
      </w:tr>
    </w:tbl>
    <w:p w14:paraId="113B8A51" w14:textId="77777777" w:rsidR="00763EF2" w:rsidRPr="003B5F84" w:rsidRDefault="00763EF2" w:rsidP="00763EF2">
      <w:pPr>
        <w:pStyle w:val="TableFigureFooter"/>
        <w:rPr>
          <w:b/>
          <w:sz w:val="20"/>
          <w:szCs w:val="16"/>
        </w:rPr>
      </w:pPr>
      <w:r w:rsidRPr="003B5F84">
        <w:t>Source: Excel workbook titled ‘Cabometyx DTC Section 4 FINAL’ of the submission.</w:t>
      </w:r>
    </w:p>
    <w:p w14:paraId="343612E7" w14:textId="26AB67D3" w:rsidR="00763EF2" w:rsidRPr="003B5F84" w:rsidRDefault="00763EF2" w:rsidP="00763EF2">
      <w:pPr>
        <w:pStyle w:val="TableFigureFooter"/>
      </w:pPr>
      <w:r w:rsidRPr="003B5F84">
        <w:rPr>
          <w:vertAlign w:val="superscript"/>
        </w:rPr>
        <w:t>a</w:t>
      </w:r>
      <w:r w:rsidRPr="003B5F84">
        <w:t xml:space="preserve"> </w:t>
      </w:r>
      <w:r w:rsidR="007700D1">
        <w:t>&lt; 500</w:t>
      </w:r>
      <w:r w:rsidR="00043E4C">
        <w:t xml:space="preserve"> patients = </w:t>
      </w:r>
      <w:r w:rsidR="007700D1">
        <w:t>&lt;</w:t>
      </w:r>
      <w:r w:rsidR="00CB5619">
        <w:t>500</w:t>
      </w:r>
      <w:r w:rsidR="00043E4C">
        <w:t xml:space="preserve"> incident patients + </w:t>
      </w:r>
      <w:r w:rsidR="007700D1">
        <w:t>&lt;500</w:t>
      </w:r>
      <w:r w:rsidR="00043E4C">
        <w:t xml:space="preserve"> prevalent patients + </w:t>
      </w:r>
      <w:r w:rsidR="007700D1">
        <w:t>&lt;500</w:t>
      </w:r>
      <w:r w:rsidR="00043E4C">
        <w:t xml:space="preserve"> grandfathered patients</w:t>
      </w:r>
      <w:r w:rsidR="00043E4C" w:rsidRPr="003B5F84">
        <w:t xml:space="preserve"> </w:t>
      </w:r>
    </w:p>
    <w:p w14:paraId="5DC20D4E" w14:textId="76B7D8FE" w:rsidR="00763EF2" w:rsidRDefault="00763EF2" w:rsidP="00763EF2">
      <w:pPr>
        <w:pStyle w:val="TableFigureFooter"/>
      </w:pPr>
      <w:r w:rsidRPr="003B5F84">
        <w:rPr>
          <w:vertAlign w:val="superscript"/>
        </w:rPr>
        <w:t>b</w:t>
      </w:r>
      <w:r w:rsidRPr="003B5F84">
        <w:t xml:space="preserve"> Assuming 8 months treatment per course per patient, based on the extrapolated average time (0.67 year) on treatment from the economic model.</w:t>
      </w:r>
    </w:p>
    <w:p w14:paraId="355AAB87" w14:textId="37ABCCAD" w:rsidR="00294862" w:rsidRPr="00D22B13" w:rsidRDefault="00294862" w:rsidP="00294862">
      <w:pPr>
        <w:pStyle w:val="TableFigureFooter"/>
        <w:rPr>
          <w:i/>
          <w:iCs/>
        </w:rPr>
      </w:pPr>
      <w:bookmarkStart w:id="100" w:name="_Hlk158124156"/>
      <w:r w:rsidRPr="00D22B13">
        <w:rPr>
          <w:i/>
          <w:iCs/>
        </w:rPr>
        <w:t>The redacted values correspond to the following ranges:</w:t>
      </w:r>
    </w:p>
    <w:p w14:paraId="185AE4E7" w14:textId="248D28F2" w:rsidR="00294862" w:rsidRPr="00D22B13" w:rsidRDefault="00294862" w:rsidP="00294862">
      <w:pPr>
        <w:pStyle w:val="TableFigureFooter"/>
        <w:rPr>
          <w:i/>
          <w:iCs/>
        </w:rPr>
      </w:pPr>
      <w:r w:rsidRPr="00D22B13">
        <w:rPr>
          <w:i/>
          <w:iCs/>
          <w:vertAlign w:val="superscript"/>
        </w:rPr>
        <w:t>1</w:t>
      </w:r>
      <w:r w:rsidRPr="00D22B13">
        <w:rPr>
          <w:i/>
          <w:iCs/>
        </w:rPr>
        <w:t xml:space="preserve"> &lt; 500</w:t>
      </w:r>
    </w:p>
    <w:bookmarkEnd w:id="100"/>
    <w:p w14:paraId="54D7E7C8" w14:textId="0E862F43" w:rsidR="00294862" w:rsidRPr="00D22B13" w:rsidRDefault="00294862" w:rsidP="00294862">
      <w:pPr>
        <w:pStyle w:val="TableFigureFooter"/>
        <w:rPr>
          <w:i/>
          <w:iCs/>
        </w:rPr>
      </w:pPr>
      <w:r w:rsidRPr="00D22B13">
        <w:rPr>
          <w:i/>
          <w:iCs/>
          <w:vertAlign w:val="superscript"/>
        </w:rPr>
        <w:t xml:space="preserve">2 </w:t>
      </w:r>
      <w:r w:rsidRPr="00D22B13">
        <w:rPr>
          <w:i/>
          <w:iCs/>
        </w:rPr>
        <w:t>500 to &lt; 5,000</w:t>
      </w:r>
    </w:p>
    <w:p w14:paraId="060C7BD1" w14:textId="22E50B82" w:rsidR="00294862" w:rsidRPr="005C630C" w:rsidRDefault="007700D1" w:rsidP="00763EF2">
      <w:pPr>
        <w:pStyle w:val="TableFigureFooter"/>
      </w:pPr>
      <w:r w:rsidRPr="00D22B13">
        <w:rPr>
          <w:i/>
          <w:iCs/>
          <w:vertAlign w:val="superscript"/>
        </w:rPr>
        <w:t>3</w:t>
      </w:r>
      <w:r w:rsidR="00F3088E" w:rsidRPr="00D22B13">
        <w:rPr>
          <w:i/>
          <w:iCs/>
          <w:vertAlign w:val="superscript"/>
        </w:rPr>
        <w:t xml:space="preserve"> </w:t>
      </w:r>
      <w:r w:rsidR="00294862" w:rsidRPr="00D22B13">
        <w:rPr>
          <w:i/>
          <w:iCs/>
        </w:rPr>
        <w:t>$0 to &lt; $10 million</w:t>
      </w:r>
    </w:p>
    <w:p w14:paraId="78854678" w14:textId="74DD3EF2" w:rsidR="00763EF2" w:rsidRPr="003B5F84" w:rsidRDefault="00763EF2" w:rsidP="004A52A9">
      <w:pPr>
        <w:numPr>
          <w:ilvl w:val="1"/>
          <w:numId w:val="1"/>
        </w:numPr>
        <w:spacing w:after="120"/>
        <w:ind w:left="720"/>
        <w:rPr>
          <w:rFonts w:asciiTheme="minorHAnsi" w:hAnsiTheme="minorHAnsi"/>
          <w:snapToGrid w:val="0"/>
          <w:color w:val="000000" w:themeColor="text1"/>
        </w:rPr>
      </w:pPr>
      <w:bookmarkStart w:id="101" w:name="_Hlk141974717"/>
      <w:r w:rsidRPr="0564460C">
        <w:rPr>
          <w:rFonts w:asciiTheme="minorHAnsi" w:hAnsiTheme="minorHAnsi"/>
          <w:snapToGrid w:val="0"/>
        </w:rPr>
        <w:t xml:space="preserve">The total cost to the PBS/RPBS of listing cabozantinib was estimated to be </w:t>
      </w:r>
      <w:r w:rsidR="00495194">
        <w:rPr>
          <w:rFonts w:asciiTheme="minorHAnsi" w:hAnsiTheme="minorHAnsi"/>
          <w:snapToGrid w:val="0"/>
        </w:rPr>
        <w:t>$</w:t>
      </w:r>
      <w:r w:rsidR="00F3088E" w:rsidRPr="00F3088E">
        <w:rPr>
          <w:rFonts w:asciiTheme="minorHAnsi" w:hAnsiTheme="minorHAnsi"/>
          <w:snapToGrid w:val="0"/>
        </w:rPr>
        <w:t>0 to &lt; $10 </w:t>
      </w:r>
      <w:r w:rsidR="00495194">
        <w:rPr>
          <w:rFonts w:asciiTheme="minorHAnsi" w:hAnsiTheme="minorHAnsi"/>
          <w:snapToGrid w:val="0"/>
        </w:rPr>
        <w:t xml:space="preserve">million in Year 1, </w:t>
      </w:r>
      <w:r w:rsidRPr="0564460C">
        <w:rPr>
          <w:rFonts w:asciiTheme="minorHAnsi" w:hAnsiTheme="minorHAnsi"/>
          <w:snapToGrid w:val="0"/>
        </w:rPr>
        <w:t>$</w:t>
      </w:r>
      <w:r w:rsidR="00F3088E" w:rsidRPr="00F3088E">
        <w:rPr>
          <w:rFonts w:asciiTheme="minorHAnsi" w:hAnsiTheme="minorHAnsi"/>
          <w:snapToGrid w:val="0"/>
        </w:rPr>
        <w:t>0 to &lt; $10 </w:t>
      </w:r>
      <w:r w:rsidRPr="0564460C">
        <w:rPr>
          <w:rFonts w:asciiTheme="minorHAnsi" w:hAnsiTheme="minorHAnsi"/>
          <w:snapToGrid w:val="0"/>
        </w:rPr>
        <w:t>million in Year 6, and total $</w:t>
      </w:r>
      <w:r w:rsidR="00F3088E" w:rsidRPr="00F3088E">
        <w:rPr>
          <w:rFonts w:asciiTheme="minorHAnsi" w:hAnsiTheme="minorHAnsi"/>
          <w:snapToGrid w:val="0"/>
        </w:rPr>
        <w:t>0 to &lt; $10 </w:t>
      </w:r>
      <w:r w:rsidRPr="0564460C">
        <w:rPr>
          <w:rFonts w:asciiTheme="minorHAnsi" w:hAnsiTheme="minorHAnsi"/>
          <w:snapToGrid w:val="0"/>
        </w:rPr>
        <w:t xml:space="preserve">million </w:t>
      </w:r>
      <w:r w:rsidR="002C17A0">
        <w:rPr>
          <w:rFonts w:asciiTheme="minorHAnsi" w:hAnsiTheme="minorHAnsi"/>
          <w:snapToGrid w:val="0"/>
        </w:rPr>
        <w:t xml:space="preserve">over </w:t>
      </w:r>
      <w:r w:rsidRPr="0564460C">
        <w:rPr>
          <w:rFonts w:asciiTheme="minorHAnsi" w:hAnsiTheme="minorHAnsi"/>
          <w:snapToGrid w:val="0"/>
        </w:rPr>
        <w:t xml:space="preserve">the first 6 years of </w:t>
      </w:r>
      <w:r w:rsidRPr="0564460C">
        <w:rPr>
          <w:rFonts w:asciiTheme="minorHAnsi" w:hAnsiTheme="minorHAnsi"/>
          <w:snapToGrid w:val="0"/>
          <w:color w:val="000000" w:themeColor="text1"/>
        </w:rPr>
        <w:t xml:space="preserve">listing, based on the effective price. </w:t>
      </w:r>
    </w:p>
    <w:bookmarkEnd w:id="101"/>
    <w:p w14:paraId="2BED6155" w14:textId="10C55321" w:rsidR="00763EF2" w:rsidRPr="00AE408C" w:rsidRDefault="00763EF2" w:rsidP="004A52A9">
      <w:pPr>
        <w:numPr>
          <w:ilvl w:val="1"/>
          <w:numId w:val="1"/>
        </w:numPr>
        <w:spacing w:after="120"/>
        <w:ind w:left="720"/>
        <w:rPr>
          <w:rFonts w:asciiTheme="minorHAnsi" w:hAnsiTheme="minorHAnsi"/>
          <w:snapToGrid w:val="0"/>
        </w:rPr>
      </w:pPr>
      <w:r w:rsidRPr="00AE408C">
        <w:rPr>
          <w:rFonts w:asciiTheme="minorHAnsi" w:hAnsiTheme="minorHAnsi"/>
          <w:snapToGrid w:val="0"/>
        </w:rPr>
        <w:t xml:space="preserve">The submission used the mean time on treatment (0.67 year or eight months) from the economic model to inform the treatment duration of cabozantinib in the financial estimates. </w:t>
      </w:r>
    </w:p>
    <w:p w14:paraId="57791974" w14:textId="171805A4" w:rsidR="00763EF2" w:rsidRPr="00AE408C" w:rsidRDefault="00763EF2" w:rsidP="004A52A9">
      <w:pPr>
        <w:numPr>
          <w:ilvl w:val="1"/>
          <w:numId w:val="1"/>
        </w:numPr>
        <w:spacing w:after="120"/>
        <w:ind w:left="720"/>
        <w:rPr>
          <w:rFonts w:asciiTheme="minorHAnsi" w:hAnsiTheme="minorHAnsi"/>
          <w:snapToGrid w:val="0"/>
        </w:rPr>
      </w:pPr>
      <w:r w:rsidRPr="00AE408C">
        <w:rPr>
          <w:rFonts w:asciiTheme="minorHAnsi" w:hAnsiTheme="minorHAnsi"/>
          <w:snapToGrid w:val="0"/>
        </w:rPr>
        <w:t>The submission used a distribution of 33%/34%/33%</w:t>
      </w:r>
      <w:r w:rsidRPr="00AE408C">
        <w:rPr>
          <w:rFonts w:asciiTheme="minorHAnsi" w:hAnsiTheme="minorHAnsi"/>
          <w:snapToGrid w:val="0"/>
          <w:vertAlign w:val="superscript"/>
        </w:rPr>
        <w:footnoteReference w:id="36"/>
      </w:r>
      <w:r w:rsidRPr="00AE408C">
        <w:rPr>
          <w:rFonts w:asciiTheme="minorHAnsi" w:hAnsiTheme="minorHAnsi"/>
          <w:snapToGrid w:val="0"/>
        </w:rPr>
        <w:t xml:space="preserve"> for the utilisation of cabozantinib 60 mg/40 mg/20 mg in the financial estimates, based on usage in the COSMIC-311 trial. However, dose modifications and interruptions for adverse events were common in the COSMIC-311 trial. Switching to a lower dose mid-script requires obtaining another script (40 mg or 20 mg); resulting in potential wastage. </w:t>
      </w:r>
      <w:r w:rsidRPr="00AE408C">
        <w:t>Consequently, the financial impact may be underestimated.</w:t>
      </w:r>
      <w:r w:rsidRPr="00AE408C" w:rsidDel="00606EFF">
        <w:rPr>
          <w:rFonts w:asciiTheme="minorHAnsi" w:hAnsiTheme="minorHAnsi"/>
          <w:snapToGrid w:val="0"/>
        </w:rPr>
        <w:t xml:space="preserve"> </w:t>
      </w:r>
      <w:r w:rsidRPr="00AE408C">
        <w:rPr>
          <w:rFonts w:asciiTheme="minorHAnsi" w:hAnsiTheme="minorHAnsi"/>
          <w:snapToGrid w:val="0"/>
        </w:rPr>
        <w:t>PBS utilisation data for cabozantinib for renal cell carcinoma showed that patients initiated and continued with different dose strengths. The PBAC had previously noted that patients may receive prescriptions of varying strengths to assist with dose titration, and this may impact the overall cost of cabozantinib to the PBS (para</w:t>
      </w:r>
      <w:r w:rsidR="00647249">
        <w:rPr>
          <w:rFonts w:asciiTheme="minorHAnsi" w:hAnsiTheme="minorHAnsi"/>
          <w:snapToGrid w:val="0"/>
        </w:rPr>
        <w:t>graph</w:t>
      </w:r>
      <w:r w:rsidRPr="00AE408C">
        <w:rPr>
          <w:rFonts w:asciiTheme="minorHAnsi" w:hAnsiTheme="minorHAnsi"/>
          <w:snapToGrid w:val="0"/>
        </w:rPr>
        <w:t xml:space="preserve"> 7.12, cabozantinib PSD, December 2017 PBAC Meeting). In addition, the PBAC amended the listing of </w:t>
      </w:r>
      <w:r w:rsidRPr="00AE408C">
        <w:rPr>
          <w:rFonts w:asciiTheme="minorHAnsi" w:hAnsiTheme="minorHAnsi"/>
          <w:snapToGrid w:val="0"/>
        </w:rPr>
        <w:lastRenderedPageBreak/>
        <w:t>lenvatinib for DTC to allow for of one pack of 10 mg and two packs of 4 mg capsules (para</w:t>
      </w:r>
      <w:r w:rsidR="00647249">
        <w:rPr>
          <w:rFonts w:asciiTheme="minorHAnsi" w:hAnsiTheme="minorHAnsi"/>
          <w:snapToGrid w:val="0"/>
        </w:rPr>
        <w:t>graph</w:t>
      </w:r>
      <w:r w:rsidRPr="00AE408C">
        <w:rPr>
          <w:rFonts w:asciiTheme="minorHAnsi" w:hAnsiTheme="minorHAnsi"/>
          <w:snapToGrid w:val="0"/>
        </w:rPr>
        <w:t xml:space="preserve"> 5.1, lenvatinib PSD, July 2018 PBAC Meeting).</w:t>
      </w:r>
      <w:r w:rsidRPr="00AE408C">
        <w:rPr>
          <w:rFonts w:asciiTheme="minorHAnsi" w:hAnsiTheme="minorHAnsi"/>
          <w:snapToGrid w:val="0"/>
          <w:vertAlign w:val="superscript"/>
        </w:rPr>
        <w:footnoteReference w:id="37"/>
      </w:r>
    </w:p>
    <w:p w14:paraId="2FC81190" w14:textId="14B1783C" w:rsidR="00EA6E0C" w:rsidRPr="00427986" w:rsidRDefault="00EA6E0C" w:rsidP="004A52A9">
      <w:pPr>
        <w:numPr>
          <w:ilvl w:val="1"/>
          <w:numId w:val="1"/>
        </w:numPr>
        <w:spacing w:after="120"/>
        <w:ind w:left="720"/>
        <w:rPr>
          <w:rFonts w:asciiTheme="minorHAnsi" w:hAnsiTheme="minorHAnsi"/>
          <w:snapToGrid w:val="0"/>
        </w:rPr>
      </w:pPr>
      <w:r w:rsidRPr="00427986">
        <w:rPr>
          <w:rFonts w:asciiTheme="minorHAnsi" w:hAnsiTheme="minorHAnsi"/>
          <w:snapToGrid w:val="0"/>
        </w:rPr>
        <w:t xml:space="preserve">The ESC noted the data provided by the DUSC Secretariat (see </w:t>
      </w:r>
      <w:r w:rsidRPr="00427986">
        <w:rPr>
          <w:rFonts w:asciiTheme="minorHAnsi" w:hAnsiTheme="minorHAnsi"/>
          <w:snapToGrid w:val="0"/>
        </w:rPr>
        <w:fldChar w:fldCharType="begin" w:fldLock="1"/>
      </w:r>
      <w:r w:rsidRPr="00427986">
        <w:rPr>
          <w:rFonts w:asciiTheme="minorHAnsi" w:hAnsiTheme="minorHAnsi"/>
          <w:snapToGrid w:val="0"/>
        </w:rPr>
        <w:instrText xml:space="preserve"> REF _Ref147993994 \h  \* MERGEFORMAT </w:instrText>
      </w:r>
      <w:r w:rsidRPr="00427986">
        <w:rPr>
          <w:rFonts w:asciiTheme="minorHAnsi" w:hAnsiTheme="minorHAnsi"/>
          <w:snapToGrid w:val="0"/>
        </w:rPr>
      </w:r>
      <w:r w:rsidRPr="00427986">
        <w:rPr>
          <w:rFonts w:asciiTheme="minorHAnsi" w:hAnsiTheme="minorHAnsi"/>
          <w:snapToGrid w:val="0"/>
        </w:rPr>
        <w:fldChar w:fldCharType="separate"/>
      </w:r>
      <w:r w:rsidR="008760F8">
        <w:t xml:space="preserve">Table </w:t>
      </w:r>
      <w:r w:rsidR="008760F8">
        <w:rPr>
          <w:noProof/>
        </w:rPr>
        <w:t>24</w:t>
      </w:r>
      <w:r w:rsidRPr="00427986">
        <w:rPr>
          <w:rFonts w:asciiTheme="minorHAnsi" w:hAnsiTheme="minorHAnsi"/>
          <w:snapToGrid w:val="0"/>
        </w:rPr>
        <w:fldChar w:fldCharType="end"/>
      </w:r>
      <w:r w:rsidRPr="00427986">
        <w:rPr>
          <w:rFonts w:asciiTheme="minorHAnsi" w:hAnsiTheme="minorHAnsi"/>
          <w:snapToGrid w:val="0"/>
        </w:rPr>
        <w:t>) of counts of patients receiving first and prevalent supply of lenvatinib for the treatment of RAI-refractory DTC. Based on the count of incident lenvatinib patients the ESC considered that the estimates of cabozantinib patients were potentially overestimated.</w:t>
      </w:r>
    </w:p>
    <w:p w14:paraId="341180A5" w14:textId="566F0488" w:rsidR="00EA6E0C" w:rsidRPr="00EA6E0C" w:rsidRDefault="00EA6E0C" w:rsidP="00EA6E0C">
      <w:pPr>
        <w:pStyle w:val="Caption"/>
        <w:rPr>
          <w:rFonts w:asciiTheme="minorHAnsi" w:hAnsiTheme="minorHAnsi"/>
          <w:i/>
          <w:iCs/>
          <w:snapToGrid w:val="0"/>
        </w:rPr>
      </w:pPr>
      <w:bookmarkStart w:id="102" w:name="_Ref147993994"/>
      <w:r>
        <w:t xml:space="preserve">Table </w:t>
      </w:r>
      <w:r w:rsidR="00737A69">
        <w:fldChar w:fldCharType="begin" w:fldLock="1"/>
      </w:r>
      <w:r w:rsidR="00737A69">
        <w:instrText xml:space="preserve"> SEQ Table \* ARABIC </w:instrText>
      </w:r>
      <w:r w:rsidR="00737A69">
        <w:fldChar w:fldCharType="separate"/>
      </w:r>
      <w:r w:rsidR="008760F8">
        <w:rPr>
          <w:noProof/>
        </w:rPr>
        <w:t>24</w:t>
      </w:r>
      <w:r w:rsidR="00737A69">
        <w:rPr>
          <w:noProof/>
        </w:rPr>
        <w:fldChar w:fldCharType="end"/>
      </w:r>
      <w:bookmarkEnd w:id="102"/>
      <w:r>
        <w:t>: Count of patients receiving lenvatinib on the PBS/RPBS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7"/>
        <w:gridCol w:w="1134"/>
        <w:gridCol w:w="986"/>
        <w:gridCol w:w="994"/>
        <w:gridCol w:w="992"/>
        <w:gridCol w:w="994"/>
        <w:gridCol w:w="940"/>
      </w:tblGrid>
      <w:tr w:rsidR="00EA6E0C" w:rsidRPr="00EA6E0C" w14:paraId="4B70B8EA" w14:textId="77777777" w:rsidTr="0089008D">
        <w:tc>
          <w:tcPr>
            <w:tcW w:w="1651" w:type="pct"/>
            <w:shd w:val="clear" w:color="auto" w:fill="auto"/>
            <w:vAlign w:val="center"/>
          </w:tcPr>
          <w:p w14:paraId="32C32DDF" w14:textId="77777777" w:rsidR="00EA6E0C" w:rsidRPr="00EA6E0C" w:rsidRDefault="00EA6E0C" w:rsidP="0089008D">
            <w:pPr>
              <w:jc w:val="left"/>
              <w:rPr>
                <w:rFonts w:ascii="Arial Narrow" w:hAnsi="Arial Narrow"/>
                <w:bCs/>
                <w:sz w:val="20"/>
                <w:szCs w:val="20"/>
              </w:rPr>
            </w:pPr>
            <w:bookmarkStart w:id="103" w:name="_Hlk147930684"/>
          </w:p>
        </w:tc>
        <w:tc>
          <w:tcPr>
            <w:tcW w:w="629" w:type="pct"/>
            <w:shd w:val="clear" w:color="auto" w:fill="auto"/>
            <w:vAlign w:val="center"/>
          </w:tcPr>
          <w:p w14:paraId="04C3A3DA" w14:textId="77777777" w:rsidR="00EA6E0C" w:rsidRPr="00EA6E0C" w:rsidRDefault="00EA6E0C" w:rsidP="0089008D">
            <w:pPr>
              <w:jc w:val="center"/>
              <w:rPr>
                <w:rFonts w:ascii="Arial Narrow" w:hAnsi="Arial Narrow"/>
                <w:b/>
                <w:bCs/>
                <w:sz w:val="20"/>
                <w:szCs w:val="20"/>
              </w:rPr>
            </w:pPr>
            <w:r w:rsidRPr="00EA6E0C">
              <w:rPr>
                <w:rFonts w:ascii="Arial Narrow" w:hAnsi="Arial Narrow"/>
                <w:b/>
                <w:bCs/>
                <w:sz w:val="20"/>
                <w:szCs w:val="20"/>
              </w:rPr>
              <w:t>FY 2017-18</w:t>
            </w:r>
          </w:p>
        </w:tc>
        <w:tc>
          <w:tcPr>
            <w:tcW w:w="547" w:type="pct"/>
            <w:shd w:val="clear" w:color="auto" w:fill="auto"/>
            <w:vAlign w:val="center"/>
          </w:tcPr>
          <w:p w14:paraId="60718705" w14:textId="77777777" w:rsidR="00EA6E0C" w:rsidRPr="00EA6E0C" w:rsidRDefault="00EA6E0C" w:rsidP="0089008D">
            <w:pPr>
              <w:jc w:val="center"/>
              <w:rPr>
                <w:rFonts w:ascii="Arial Narrow" w:hAnsi="Arial Narrow"/>
                <w:b/>
                <w:bCs/>
                <w:sz w:val="20"/>
                <w:szCs w:val="20"/>
              </w:rPr>
            </w:pPr>
            <w:r w:rsidRPr="00EA6E0C">
              <w:rPr>
                <w:rFonts w:ascii="Arial Narrow" w:hAnsi="Arial Narrow"/>
                <w:b/>
                <w:bCs/>
                <w:sz w:val="20"/>
                <w:szCs w:val="20"/>
              </w:rPr>
              <w:t>FY 2018-19</w:t>
            </w:r>
          </w:p>
        </w:tc>
        <w:tc>
          <w:tcPr>
            <w:tcW w:w="551" w:type="pct"/>
            <w:shd w:val="clear" w:color="auto" w:fill="auto"/>
            <w:vAlign w:val="center"/>
          </w:tcPr>
          <w:p w14:paraId="7E55C270" w14:textId="77777777" w:rsidR="00EA6E0C" w:rsidRPr="00EA6E0C" w:rsidRDefault="00EA6E0C" w:rsidP="0089008D">
            <w:pPr>
              <w:jc w:val="center"/>
              <w:rPr>
                <w:rFonts w:ascii="Arial Narrow" w:hAnsi="Arial Narrow"/>
                <w:b/>
                <w:bCs/>
                <w:sz w:val="20"/>
                <w:szCs w:val="20"/>
              </w:rPr>
            </w:pPr>
            <w:r w:rsidRPr="00EA6E0C">
              <w:rPr>
                <w:rFonts w:ascii="Arial Narrow" w:hAnsi="Arial Narrow"/>
                <w:b/>
                <w:bCs/>
                <w:sz w:val="20"/>
                <w:szCs w:val="20"/>
              </w:rPr>
              <w:t>FY 2019-20</w:t>
            </w:r>
          </w:p>
        </w:tc>
        <w:tc>
          <w:tcPr>
            <w:tcW w:w="550" w:type="pct"/>
            <w:shd w:val="clear" w:color="auto" w:fill="auto"/>
            <w:vAlign w:val="center"/>
          </w:tcPr>
          <w:p w14:paraId="3B112F56" w14:textId="77777777" w:rsidR="00EA6E0C" w:rsidRPr="00EA6E0C" w:rsidRDefault="00EA6E0C" w:rsidP="0089008D">
            <w:pPr>
              <w:jc w:val="center"/>
              <w:rPr>
                <w:rFonts w:ascii="Arial Narrow" w:hAnsi="Arial Narrow"/>
                <w:b/>
                <w:bCs/>
                <w:sz w:val="20"/>
                <w:szCs w:val="20"/>
              </w:rPr>
            </w:pPr>
            <w:r w:rsidRPr="00EA6E0C">
              <w:rPr>
                <w:rFonts w:ascii="Arial Narrow" w:hAnsi="Arial Narrow"/>
                <w:b/>
                <w:bCs/>
                <w:sz w:val="20"/>
                <w:szCs w:val="20"/>
              </w:rPr>
              <w:t>FY 2020-21</w:t>
            </w:r>
          </w:p>
        </w:tc>
        <w:tc>
          <w:tcPr>
            <w:tcW w:w="551" w:type="pct"/>
            <w:shd w:val="clear" w:color="auto" w:fill="auto"/>
            <w:vAlign w:val="center"/>
          </w:tcPr>
          <w:p w14:paraId="1D51B868" w14:textId="77777777" w:rsidR="00EA6E0C" w:rsidRPr="00EA6E0C" w:rsidRDefault="00EA6E0C" w:rsidP="0089008D">
            <w:pPr>
              <w:jc w:val="center"/>
              <w:rPr>
                <w:rFonts w:ascii="Arial Narrow" w:hAnsi="Arial Narrow"/>
                <w:b/>
                <w:bCs/>
                <w:sz w:val="20"/>
                <w:szCs w:val="20"/>
              </w:rPr>
            </w:pPr>
            <w:r w:rsidRPr="00EA6E0C">
              <w:rPr>
                <w:rFonts w:ascii="Arial Narrow" w:hAnsi="Arial Narrow"/>
                <w:b/>
                <w:bCs/>
                <w:sz w:val="20"/>
                <w:szCs w:val="20"/>
              </w:rPr>
              <w:t>FY 2021-22</w:t>
            </w:r>
          </w:p>
        </w:tc>
        <w:tc>
          <w:tcPr>
            <w:tcW w:w="521" w:type="pct"/>
            <w:tcBorders>
              <w:top w:val="single" w:sz="4" w:space="0" w:color="auto"/>
              <w:bottom w:val="single" w:sz="4" w:space="0" w:color="auto"/>
            </w:tcBorders>
            <w:shd w:val="clear" w:color="auto" w:fill="auto"/>
            <w:vAlign w:val="center"/>
          </w:tcPr>
          <w:p w14:paraId="631C302A" w14:textId="77777777" w:rsidR="00EA6E0C" w:rsidRPr="00EA6E0C" w:rsidRDefault="00EA6E0C" w:rsidP="0089008D">
            <w:pPr>
              <w:jc w:val="center"/>
              <w:rPr>
                <w:rFonts w:ascii="Arial Narrow" w:hAnsi="Arial Narrow"/>
                <w:b/>
                <w:bCs/>
                <w:sz w:val="20"/>
                <w:szCs w:val="20"/>
              </w:rPr>
            </w:pPr>
            <w:r w:rsidRPr="00EA6E0C">
              <w:rPr>
                <w:rFonts w:ascii="Arial Narrow" w:hAnsi="Arial Narrow"/>
                <w:b/>
                <w:bCs/>
                <w:sz w:val="20"/>
                <w:szCs w:val="20"/>
              </w:rPr>
              <w:t>FY 2022-23</w:t>
            </w:r>
          </w:p>
        </w:tc>
      </w:tr>
      <w:tr w:rsidR="00EA6E0C" w:rsidRPr="003B5F84" w14:paraId="3B9AF8F8" w14:textId="77777777" w:rsidTr="0089008D">
        <w:tc>
          <w:tcPr>
            <w:tcW w:w="1651" w:type="pct"/>
            <w:shd w:val="clear" w:color="auto" w:fill="auto"/>
            <w:vAlign w:val="center"/>
          </w:tcPr>
          <w:p w14:paraId="69FE9B6D" w14:textId="5CEC6651" w:rsidR="00EA6E0C" w:rsidRPr="00EA6E0C" w:rsidRDefault="00EA6E0C" w:rsidP="0089008D">
            <w:pPr>
              <w:jc w:val="left"/>
              <w:rPr>
                <w:rFonts w:ascii="Arial Narrow" w:hAnsi="Arial Narrow"/>
                <w:bCs/>
                <w:sz w:val="20"/>
                <w:szCs w:val="20"/>
              </w:rPr>
            </w:pPr>
            <w:r>
              <w:rPr>
                <w:rFonts w:ascii="Arial Narrow" w:hAnsi="Arial Narrow"/>
                <w:bCs/>
                <w:sz w:val="20"/>
                <w:szCs w:val="20"/>
              </w:rPr>
              <w:t xml:space="preserve">Count of incident patients receiving first supply of lenvatinib </w:t>
            </w:r>
            <w:r w:rsidRPr="00EA6E0C">
              <w:rPr>
                <w:rFonts w:ascii="Arial Narrow" w:hAnsi="Arial Narrow"/>
                <w:bCs/>
                <w:sz w:val="20"/>
                <w:szCs w:val="20"/>
              </w:rPr>
              <w:t>(10 mg: PBS item 10965D; 4 mg PBS item 10952K)</w:t>
            </w:r>
            <w:r>
              <w:rPr>
                <w:rFonts w:ascii="Arial Narrow" w:hAnsi="Arial Narrow"/>
                <w:bCs/>
                <w:sz w:val="20"/>
                <w:szCs w:val="20"/>
              </w:rPr>
              <w:t>*</w:t>
            </w:r>
          </w:p>
        </w:tc>
        <w:tc>
          <w:tcPr>
            <w:tcW w:w="629" w:type="pct"/>
            <w:shd w:val="clear" w:color="auto" w:fill="auto"/>
            <w:vAlign w:val="center"/>
          </w:tcPr>
          <w:p w14:paraId="679D89F9" w14:textId="2AE9EF80" w:rsidR="00EA6E0C" w:rsidRPr="00D22B13" w:rsidRDefault="005860C6" w:rsidP="0089008D">
            <w:pPr>
              <w:jc w:val="center"/>
              <w:rPr>
                <w:rFonts w:ascii="Arial Narrow" w:hAnsi="Arial Narrow"/>
                <w:sz w:val="20"/>
                <w:szCs w:val="20"/>
                <w:highlight w:val="darkGray"/>
              </w:rPr>
            </w:pPr>
            <w:r>
              <w:rPr>
                <w:rFonts w:ascii="Arial Narrow" w:hAnsi="Arial Narrow"/>
                <w:sz w:val="20"/>
                <w:szCs w:val="20"/>
              </w:rPr>
              <w:t xml:space="preserve"> </w:t>
            </w:r>
            <w:r w:rsidRPr="005860C6">
              <w:rPr>
                <w:rFonts w:ascii="Arial Narrow" w:hAnsi="Arial Narrow" w:hint="eastAsia"/>
                <w:color w:val="000000"/>
                <w:w w:val="15"/>
                <w:sz w:val="20"/>
                <w:szCs w:val="20"/>
                <w:shd w:val="solid" w:color="000000" w:fill="000000"/>
                <w:fitText w:val="60" w:id="-1032106999"/>
                <w14:textFill>
                  <w14:solidFill>
                    <w14:srgbClr w14:val="000000">
                      <w14:alpha w14:val="100000"/>
                    </w14:srgbClr>
                  </w14:solidFill>
                </w14:textFill>
              </w:rPr>
              <w:t xml:space="preserve">　</w:t>
            </w:r>
            <w:r w:rsidRPr="005860C6">
              <w:rPr>
                <w:rFonts w:ascii="Arial Narrow" w:hAnsi="Arial Narrow"/>
                <w:color w:val="000000"/>
                <w:w w:val="15"/>
                <w:sz w:val="20"/>
                <w:szCs w:val="20"/>
                <w:shd w:val="solid" w:color="000000" w:fill="000000"/>
                <w:fitText w:val="60" w:id="-1032106999"/>
                <w14:textFill>
                  <w14:solidFill>
                    <w14:srgbClr w14:val="000000">
                      <w14:alpha w14:val="100000"/>
                    </w14:srgbClr>
                  </w14:solidFill>
                </w14:textFill>
              </w:rPr>
              <w:t>|</w:t>
            </w:r>
            <w:r w:rsidRPr="005860C6">
              <w:rPr>
                <w:rFonts w:ascii="Arial Narrow" w:hAnsi="Arial Narrow" w:hint="eastAsia"/>
                <w:color w:val="000000"/>
                <w:spacing w:val="-5"/>
                <w:w w:val="15"/>
                <w:sz w:val="20"/>
                <w:szCs w:val="20"/>
                <w:shd w:val="solid" w:color="000000" w:fill="000000"/>
                <w:fitText w:val="60" w:id="-1032106999"/>
                <w14:textFill>
                  <w14:solidFill>
                    <w14:srgbClr w14:val="000000">
                      <w14:alpha w14:val="100000"/>
                    </w14:srgbClr>
                  </w14:solidFill>
                </w14:textFill>
              </w:rPr>
              <w:t xml:space="preserve">　</w:t>
            </w:r>
            <w:r w:rsidR="00F3088E" w:rsidRPr="00D22B13">
              <w:rPr>
                <w:rFonts w:ascii="Arial Narrow" w:hAnsi="Arial Narrow"/>
                <w:sz w:val="20"/>
                <w:szCs w:val="20"/>
                <w:vertAlign w:val="superscript"/>
              </w:rPr>
              <w:t>1</w:t>
            </w:r>
          </w:p>
        </w:tc>
        <w:tc>
          <w:tcPr>
            <w:tcW w:w="547" w:type="pct"/>
            <w:shd w:val="clear" w:color="auto" w:fill="auto"/>
            <w:vAlign w:val="center"/>
          </w:tcPr>
          <w:p w14:paraId="21C30C72" w14:textId="60350BFE" w:rsidR="00EA6E0C" w:rsidRPr="00D22B13" w:rsidRDefault="005860C6" w:rsidP="0089008D">
            <w:pPr>
              <w:jc w:val="center"/>
              <w:rPr>
                <w:rFonts w:ascii="Arial Narrow" w:hAnsi="Arial Narrow"/>
                <w:sz w:val="20"/>
                <w:szCs w:val="20"/>
                <w:highlight w:val="darkGray"/>
              </w:rPr>
            </w:pPr>
            <w:r>
              <w:rPr>
                <w:rFonts w:ascii="Arial Narrow" w:hAnsi="Arial Narrow"/>
                <w:sz w:val="20"/>
                <w:szCs w:val="20"/>
              </w:rPr>
              <w:t xml:space="preserve"> </w:t>
            </w:r>
            <w:r w:rsidRPr="005860C6">
              <w:rPr>
                <w:rFonts w:ascii="Arial Narrow" w:hAnsi="Arial Narrow" w:hint="eastAsia"/>
                <w:color w:val="000000"/>
                <w:w w:val="31"/>
                <w:sz w:val="20"/>
                <w:szCs w:val="20"/>
                <w:shd w:val="solid" w:color="000000" w:fill="000000"/>
                <w:fitText w:val="140" w:id="-1032106998"/>
                <w14:textFill>
                  <w14:solidFill>
                    <w14:srgbClr w14:val="000000">
                      <w14:alpha w14:val="100000"/>
                    </w14:srgbClr>
                  </w14:solidFill>
                </w14:textFill>
              </w:rPr>
              <w:t xml:space="preserve">　</w:t>
            </w:r>
            <w:r w:rsidRPr="005860C6">
              <w:rPr>
                <w:rFonts w:ascii="Arial Narrow" w:hAnsi="Arial Narrow"/>
                <w:color w:val="000000"/>
                <w:w w:val="31"/>
                <w:sz w:val="20"/>
                <w:szCs w:val="20"/>
                <w:shd w:val="solid" w:color="000000" w:fill="000000"/>
                <w:fitText w:val="140" w:id="-1032106998"/>
                <w14:textFill>
                  <w14:solidFill>
                    <w14:srgbClr w14:val="000000">
                      <w14:alpha w14:val="100000"/>
                    </w14:srgbClr>
                  </w14:solidFill>
                </w14:textFill>
              </w:rPr>
              <w:t>|</w:t>
            </w:r>
            <w:r w:rsidRPr="005860C6">
              <w:rPr>
                <w:rFonts w:ascii="Arial Narrow" w:hAnsi="Arial Narrow" w:hint="eastAsia"/>
                <w:color w:val="000000"/>
                <w:spacing w:val="4"/>
                <w:w w:val="31"/>
                <w:sz w:val="20"/>
                <w:szCs w:val="20"/>
                <w:shd w:val="solid" w:color="000000" w:fill="000000"/>
                <w:fitText w:val="140" w:id="-1032106998"/>
                <w14:textFill>
                  <w14:solidFill>
                    <w14:srgbClr w14:val="000000">
                      <w14:alpha w14:val="100000"/>
                    </w14:srgbClr>
                  </w14:solidFill>
                </w14:textFill>
              </w:rPr>
              <w:t xml:space="preserve">　</w:t>
            </w:r>
            <w:r w:rsidR="00F3088E" w:rsidRPr="006C314A">
              <w:rPr>
                <w:rFonts w:ascii="Arial Narrow" w:hAnsi="Arial Narrow"/>
                <w:sz w:val="20"/>
                <w:szCs w:val="20"/>
                <w:vertAlign w:val="superscript"/>
              </w:rPr>
              <w:t>1</w:t>
            </w:r>
          </w:p>
        </w:tc>
        <w:tc>
          <w:tcPr>
            <w:tcW w:w="551" w:type="pct"/>
            <w:shd w:val="clear" w:color="auto" w:fill="auto"/>
            <w:vAlign w:val="center"/>
          </w:tcPr>
          <w:p w14:paraId="52C135F9" w14:textId="36446F3B" w:rsidR="00EA6E0C" w:rsidRPr="00D22B13" w:rsidRDefault="005860C6" w:rsidP="0089008D">
            <w:pPr>
              <w:jc w:val="center"/>
              <w:rPr>
                <w:rFonts w:ascii="Arial Narrow" w:hAnsi="Arial Narrow"/>
                <w:sz w:val="20"/>
                <w:szCs w:val="20"/>
                <w:highlight w:val="darkGray"/>
              </w:rPr>
            </w:pPr>
            <w:r>
              <w:rPr>
                <w:rFonts w:ascii="Arial Narrow" w:hAnsi="Arial Narrow"/>
                <w:sz w:val="20"/>
                <w:szCs w:val="20"/>
              </w:rPr>
              <w:t xml:space="preserve"> </w:t>
            </w:r>
            <w:r w:rsidRPr="005860C6">
              <w:rPr>
                <w:rFonts w:ascii="Arial Narrow" w:hAnsi="Arial Narrow" w:hint="eastAsia"/>
                <w:color w:val="000000"/>
                <w:w w:val="29"/>
                <w:sz w:val="20"/>
                <w:szCs w:val="20"/>
                <w:shd w:val="solid" w:color="000000" w:fill="000000"/>
                <w:fitText w:val="130" w:id="-1032106997"/>
                <w14:textFill>
                  <w14:solidFill>
                    <w14:srgbClr w14:val="000000">
                      <w14:alpha w14:val="100000"/>
                    </w14:srgbClr>
                  </w14:solidFill>
                </w14:textFill>
              </w:rPr>
              <w:t xml:space="preserve">　</w:t>
            </w:r>
            <w:r w:rsidRPr="005860C6">
              <w:rPr>
                <w:rFonts w:ascii="Arial Narrow" w:hAnsi="Arial Narrow"/>
                <w:color w:val="000000"/>
                <w:w w:val="29"/>
                <w:sz w:val="20"/>
                <w:szCs w:val="20"/>
                <w:shd w:val="solid" w:color="000000" w:fill="000000"/>
                <w:fitText w:val="130" w:id="-1032106997"/>
                <w14:textFill>
                  <w14:solidFill>
                    <w14:srgbClr w14:val="000000">
                      <w14:alpha w14:val="100000"/>
                    </w14:srgbClr>
                  </w14:solidFill>
                </w14:textFill>
              </w:rPr>
              <w:t>|</w:t>
            </w:r>
            <w:r w:rsidRPr="005860C6">
              <w:rPr>
                <w:rFonts w:ascii="Arial Narrow" w:hAnsi="Arial Narrow" w:hint="eastAsia"/>
                <w:color w:val="000000"/>
                <w:spacing w:val="2"/>
                <w:w w:val="29"/>
                <w:sz w:val="20"/>
                <w:szCs w:val="20"/>
                <w:shd w:val="solid" w:color="000000" w:fill="000000"/>
                <w:fitText w:val="130" w:id="-1032106997"/>
                <w14:textFill>
                  <w14:solidFill>
                    <w14:srgbClr w14:val="000000">
                      <w14:alpha w14:val="100000"/>
                    </w14:srgbClr>
                  </w14:solidFill>
                </w14:textFill>
              </w:rPr>
              <w:t xml:space="preserve">　</w:t>
            </w:r>
            <w:r w:rsidR="00F3088E" w:rsidRPr="006C314A">
              <w:rPr>
                <w:rFonts w:ascii="Arial Narrow" w:hAnsi="Arial Narrow"/>
                <w:sz w:val="20"/>
                <w:szCs w:val="20"/>
                <w:vertAlign w:val="superscript"/>
              </w:rPr>
              <w:t>1</w:t>
            </w:r>
          </w:p>
        </w:tc>
        <w:tc>
          <w:tcPr>
            <w:tcW w:w="550" w:type="pct"/>
            <w:shd w:val="clear" w:color="auto" w:fill="auto"/>
            <w:vAlign w:val="center"/>
          </w:tcPr>
          <w:p w14:paraId="59407303" w14:textId="0B9702C8" w:rsidR="00EA6E0C" w:rsidRPr="00D22B13" w:rsidRDefault="005860C6" w:rsidP="0089008D">
            <w:pPr>
              <w:jc w:val="center"/>
              <w:rPr>
                <w:rFonts w:ascii="Arial Narrow" w:hAnsi="Arial Narrow"/>
                <w:sz w:val="20"/>
                <w:szCs w:val="20"/>
                <w:highlight w:val="darkGray"/>
              </w:rPr>
            </w:pPr>
            <w:r>
              <w:rPr>
                <w:rFonts w:ascii="Arial Narrow" w:hAnsi="Arial Narrow"/>
                <w:sz w:val="20"/>
                <w:szCs w:val="20"/>
              </w:rPr>
              <w:t xml:space="preserve"> </w:t>
            </w:r>
            <w:r w:rsidRPr="005860C6">
              <w:rPr>
                <w:rFonts w:ascii="Arial Narrow" w:hAnsi="Arial Narrow" w:hint="eastAsia"/>
                <w:color w:val="000000"/>
                <w:w w:val="29"/>
                <w:sz w:val="20"/>
                <w:szCs w:val="20"/>
                <w:shd w:val="solid" w:color="000000" w:fill="000000"/>
                <w:fitText w:val="130" w:id="-1032106996"/>
                <w14:textFill>
                  <w14:solidFill>
                    <w14:srgbClr w14:val="000000">
                      <w14:alpha w14:val="100000"/>
                    </w14:srgbClr>
                  </w14:solidFill>
                </w14:textFill>
              </w:rPr>
              <w:t xml:space="preserve">　</w:t>
            </w:r>
            <w:r w:rsidRPr="005860C6">
              <w:rPr>
                <w:rFonts w:ascii="Arial Narrow" w:hAnsi="Arial Narrow"/>
                <w:color w:val="000000"/>
                <w:w w:val="29"/>
                <w:sz w:val="20"/>
                <w:szCs w:val="20"/>
                <w:shd w:val="solid" w:color="000000" w:fill="000000"/>
                <w:fitText w:val="130" w:id="-1032106996"/>
                <w14:textFill>
                  <w14:solidFill>
                    <w14:srgbClr w14:val="000000">
                      <w14:alpha w14:val="100000"/>
                    </w14:srgbClr>
                  </w14:solidFill>
                </w14:textFill>
              </w:rPr>
              <w:t>|</w:t>
            </w:r>
            <w:r w:rsidRPr="005860C6">
              <w:rPr>
                <w:rFonts w:ascii="Arial Narrow" w:hAnsi="Arial Narrow" w:hint="eastAsia"/>
                <w:color w:val="000000"/>
                <w:spacing w:val="2"/>
                <w:w w:val="29"/>
                <w:sz w:val="20"/>
                <w:szCs w:val="20"/>
                <w:shd w:val="solid" w:color="000000" w:fill="000000"/>
                <w:fitText w:val="130" w:id="-1032106996"/>
                <w14:textFill>
                  <w14:solidFill>
                    <w14:srgbClr w14:val="000000">
                      <w14:alpha w14:val="100000"/>
                    </w14:srgbClr>
                  </w14:solidFill>
                </w14:textFill>
              </w:rPr>
              <w:t xml:space="preserve">　</w:t>
            </w:r>
            <w:r w:rsidR="00F3088E" w:rsidRPr="006C314A">
              <w:rPr>
                <w:rFonts w:ascii="Arial Narrow" w:hAnsi="Arial Narrow"/>
                <w:sz w:val="20"/>
                <w:szCs w:val="20"/>
                <w:vertAlign w:val="superscript"/>
              </w:rPr>
              <w:t>1</w:t>
            </w:r>
          </w:p>
        </w:tc>
        <w:tc>
          <w:tcPr>
            <w:tcW w:w="551" w:type="pct"/>
            <w:shd w:val="clear" w:color="auto" w:fill="auto"/>
            <w:vAlign w:val="center"/>
          </w:tcPr>
          <w:p w14:paraId="188926F7" w14:textId="022D0EAB" w:rsidR="00EA6E0C" w:rsidRPr="00D22B13" w:rsidRDefault="005860C6" w:rsidP="0089008D">
            <w:pPr>
              <w:jc w:val="center"/>
              <w:rPr>
                <w:rFonts w:ascii="Arial Narrow" w:hAnsi="Arial Narrow"/>
                <w:bCs/>
                <w:sz w:val="20"/>
                <w:szCs w:val="20"/>
                <w:highlight w:val="darkGray"/>
              </w:rPr>
            </w:pPr>
            <w:r>
              <w:rPr>
                <w:rFonts w:ascii="Arial Narrow" w:hAnsi="Arial Narrow"/>
                <w:bCs/>
                <w:sz w:val="20"/>
                <w:szCs w:val="20"/>
              </w:rPr>
              <w:t xml:space="preserve"> </w:t>
            </w:r>
            <w:r w:rsidRPr="005860C6">
              <w:rPr>
                <w:rFonts w:ascii="Arial Narrow" w:hAnsi="Arial Narrow" w:hint="eastAsia"/>
                <w:bCs/>
                <w:color w:val="000000"/>
                <w:w w:val="29"/>
                <w:sz w:val="20"/>
                <w:szCs w:val="20"/>
                <w:shd w:val="solid" w:color="000000" w:fill="000000"/>
                <w:fitText w:val="130" w:id="-1032106995"/>
                <w14:textFill>
                  <w14:solidFill>
                    <w14:srgbClr w14:val="000000">
                      <w14:alpha w14:val="100000"/>
                    </w14:srgbClr>
                  </w14:solidFill>
                </w14:textFill>
              </w:rPr>
              <w:t xml:space="preserve">　</w:t>
            </w:r>
            <w:r w:rsidRPr="005860C6">
              <w:rPr>
                <w:rFonts w:ascii="Arial Narrow" w:hAnsi="Arial Narrow"/>
                <w:bCs/>
                <w:color w:val="000000"/>
                <w:w w:val="29"/>
                <w:sz w:val="20"/>
                <w:szCs w:val="20"/>
                <w:shd w:val="solid" w:color="000000" w:fill="000000"/>
                <w:fitText w:val="130" w:id="-1032106995"/>
                <w14:textFill>
                  <w14:solidFill>
                    <w14:srgbClr w14:val="000000">
                      <w14:alpha w14:val="100000"/>
                    </w14:srgbClr>
                  </w14:solidFill>
                </w14:textFill>
              </w:rPr>
              <w:t>|</w:t>
            </w:r>
            <w:r w:rsidRPr="005860C6">
              <w:rPr>
                <w:rFonts w:ascii="Arial Narrow" w:hAnsi="Arial Narrow" w:hint="eastAsia"/>
                <w:bCs/>
                <w:color w:val="000000"/>
                <w:spacing w:val="2"/>
                <w:w w:val="29"/>
                <w:sz w:val="20"/>
                <w:szCs w:val="20"/>
                <w:shd w:val="solid" w:color="000000" w:fill="000000"/>
                <w:fitText w:val="130" w:id="-1032106995"/>
                <w14:textFill>
                  <w14:solidFill>
                    <w14:srgbClr w14:val="000000">
                      <w14:alpha w14:val="100000"/>
                    </w14:srgbClr>
                  </w14:solidFill>
                </w14:textFill>
              </w:rPr>
              <w:t xml:space="preserve">　</w:t>
            </w:r>
            <w:r w:rsidR="00F3088E" w:rsidRPr="006C314A">
              <w:rPr>
                <w:rFonts w:ascii="Arial Narrow" w:hAnsi="Arial Narrow"/>
                <w:sz w:val="20"/>
                <w:szCs w:val="20"/>
                <w:vertAlign w:val="superscript"/>
              </w:rPr>
              <w:t>1</w:t>
            </w:r>
          </w:p>
        </w:tc>
        <w:tc>
          <w:tcPr>
            <w:tcW w:w="521" w:type="pct"/>
            <w:tcBorders>
              <w:top w:val="single" w:sz="4" w:space="0" w:color="auto"/>
              <w:bottom w:val="single" w:sz="4" w:space="0" w:color="auto"/>
            </w:tcBorders>
            <w:shd w:val="clear" w:color="auto" w:fill="auto"/>
            <w:vAlign w:val="center"/>
          </w:tcPr>
          <w:p w14:paraId="60A88248" w14:textId="1F2E168A" w:rsidR="00EA6E0C" w:rsidRPr="00D22B13" w:rsidRDefault="005860C6" w:rsidP="0089008D">
            <w:pPr>
              <w:jc w:val="center"/>
              <w:rPr>
                <w:rFonts w:ascii="Arial Narrow" w:hAnsi="Arial Narrow"/>
                <w:bCs/>
                <w:sz w:val="20"/>
                <w:szCs w:val="20"/>
                <w:highlight w:val="darkGray"/>
              </w:rPr>
            </w:pPr>
            <w:r>
              <w:rPr>
                <w:rFonts w:ascii="Arial Narrow" w:hAnsi="Arial Narrow"/>
                <w:bCs/>
                <w:sz w:val="20"/>
                <w:szCs w:val="20"/>
              </w:rPr>
              <w:t xml:space="preserve"> </w:t>
            </w:r>
            <w:r w:rsidRPr="005860C6">
              <w:rPr>
                <w:rFonts w:ascii="Arial Narrow" w:hAnsi="Arial Narrow" w:hint="eastAsia"/>
                <w:bCs/>
                <w:color w:val="000000"/>
                <w:w w:val="33"/>
                <w:sz w:val="20"/>
                <w:szCs w:val="20"/>
                <w:shd w:val="solid" w:color="000000" w:fill="000000"/>
                <w:fitText w:val="150" w:id="-1032106994"/>
                <w14:textFill>
                  <w14:solidFill>
                    <w14:srgbClr w14:val="000000">
                      <w14:alpha w14:val="100000"/>
                    </w14:srgbClr>
                  </w14:solidFill>
                </w14:textFill>
              </w:rPr>
              <w:t xml:space="preserve">　</w:t>
            </w:r>
            <w:r w:rsidRPr="005860C6">
              <w:rPr>
                <w:rFonts w:ascii="Arial Narrow" w:hAnsi="Arial Narrow"/>
                <w:bCs/>
                <w:color w:val="000000"/>
                <w:w w:val="33"/>
                <w:sz w:val="20"/>
                <w:szCs w:val="20"/>
                <w:shd w:val="solid" w:color="000000" w:fill="000000"/>
                <w:fitText w:val="150" w:id="-1032106994"/>
                <w14:textFill>
                  <w14:solidFill>
                    <w14:srgbClr w14:val="000000">
                      <w14:alpha w14:val="100000"/>
                    </w14:srgbClr>
                  </w14:solidFill>
                </w14:textFill>
              </w:rPr>
              <w:t>|</w:t>
            </w:r>
            <w:r w:rsidRPr="005860C6">
              <w:rPr>
                <w:rFonts w:ascii="Arial Narrow" w:hAnsi="Arial Narrow" w:hint="eastAsia"/>
                <w:bCs/>
                <w:color w:val="000000"/>
                <w:spacing w:val="4"/>
                <w:w w:val="33"/>
                <w:sz w:val="20"/>
                <w:szCs w:val="20"/>
                <w:shd w:val="solid" w:color="000000" w:fill="000000"/>
                <w:fitText w:val="150" w:id="-1032106994"/>
                <w14:textFill>
                  <w14:solidFill>
                    <w14:srgbClr w14:val="000000">
                      <w14:alpha w14:val="100000"/>
                    </w14:srgbClr>
                  </w14:solidFill>
                </w14:textFill>
              </w:rPr>
              <w:t xml:space="preserve">　</w:t>
            </w:r>
            <w:r w:rsidR="00F3088E" w:rsidRPr="006C314A">
              <w:rPr>
                <w:rFonts w:ascii="Arial Narrow" w:hAnsi="Arial Narrow"/>
                <w:sz w:val="20"/>
                <w:szCs w:val="20"/>
                <w:vertAlign w:val="superscript"/>
              </w:rPr>
              <w:t>1</w:t>
            </w:r>
          </w:p>
        </w:tc>
      </w:tr>
      <w:tr w:rsidR="00EA6E0C" w:rsidRPr="003B5F84" w14:paraId="295E6E9B" w14:textId="77777777" w:rsidTr="0089008D">
        <w:tc>
          <w:tcPr>
            <w:tcW w:w="1651" w:type="pct"/>
            <w:shd w:val="clear" w:color="auto" w:fill="auto"/>
            <w:vAlign w:val="center"/>
          </w:tcPr>
          <w:p w14:paraId="3E72B3F0" w14:textId="3524C833" w:rsidR="00EA6E0C" w:rsidRPr="00EA6E0C" w:rsidRDefault="00EA6E0C" w:rsidP="0089008D">
            <w:pPr>
              <w:jc w:val="left"/>
              <w:rPr>
                <w:rFonts w:ascii="Arial Narrow" w:hAnsi="Arial Narrow"/>
                <w:bCs/>
                <w:sz w:val="20"/>
                <w:szCs w:val="20"/>
              </w:rPr>
            </w:pPr>
            <w:r>
              <w:rPr>
                <w:rFonts w:ascii="Arial Narrow" w:hAnsi="Arial Narrow"/>
                <w:bCs/>
                <w:sz w:val="20"/>
                <w:szCs w:val="20"/>
              </w:rPr>
              <w:t>C</w:t>
            </w:r>
            <w:r w:rsidRPr="00EA6E0C">
              <w:rPr>
                <w:rFonts w:ascii="Arial Narrow" w:hAnsi="Arial Narrow"/>
                <w:bCs/>
                <w:sz w:val="20"/>
                <w:szCs w:val="20"/>
              </w:rPr>
              <w:t xml:space="preserve">ount of patients </w:t>
            </w:r>
            <w:r>
              <w:rPr>
                <w:rFonts w:ascii="Arial Narrow" w:hAnsi="Arial Narrow"/>
                <w:bCs/>
                <w:sz w:val="20"/>
                <w:szCs w:val="20"/>
              </w:rPr>
              <w:t>receiving prevalent</w:t>
            </w:r>
            <w:r w:rsidRPr="00EA6E0C">
              <w:rPr>
                <w:rFonts w:ascii="Arial Narrow" w:hAnsi="Arial Narrow"/>
                <w:bCs/>
                <w:sz w:val="20"/>
                <w:szCs w:val="20"/>
              </w:rPr>
              <w:t xml:space="preserve"> suppl</w:t>
            </w:r>
            <w:r>
              <w:rPr>
                <w:rFonts w:ascii="Arial Narrow" w:hAnsi="Arial Narrow"/>
                <w:bCs/>
                <w:sz w:val="20"/>
                <w:szCs w:val="20"/>
              </w:rPr>
              <w:t>y of</w:t>
            </w:r>
            <w:r w:rsidRPr="00EA6E0C">
              <w:rPr>
                <w:rFonts w:ascii="Arial Narrow" w:hAnsi="Arial Narrow"/>
                <w:bCs/>
                <w:sz w:val="20"/>
                <w:szCs w:val="20"/>
              </w:rPr>
              <w:t xml:space="preserve"> lenvatinib (10 mg: PBS item 10965D; 4 mg PBS item 10952K) by financial year*</w:t>
            </w:r>
          </w:p>
        </w:tc>
        <w:tc>
          <w:tcPr>
            <w:tcW w:w="629" w:type="pct"/>
            <w:shd w:val="clear" w:color="auto" w:fill="auto"/>
            <w:vAlign w:val="center"/>
          </w:tcPr>
          <w:p w14:paraId="516DCA3D" w14:textId="2633D098" w:rsidR="00EA6E0C" w:rsidRPr="00D22B13" w:rsidRDefault="005860C6" w:rsidP="0089008D">
            <w:pPr>
              <w:jc w:val="center"/>
              <w:rPr>
                <w:rFonts w:ascii="Arial Narrow" w:hAnsi="Arial Narrow"/>
                <w:sz w:val="20"/>
                <w:szCs w:val="20"/>
                <w:highlight w:val="darkGray"/>
              </w:rPr>
            </w:pPr>
            <w:r>
              <w:rPr>
                <w:rFonts w:ascii="Arial Narrow" w:hAnsi="Arial Narrow"/>
                <w:sz w:val="20"/>
                <w:szCs w:val="20"/>
              </w:rPr>
              <w:t xml:space="preserve"> </w:t>
            </w:r>
            <w:r w:rsidRPr="005860C6">
              <w:rPr>
                <w:rFonts w:ascii="Arial Narrow" w:hAnsi="Arial Narrow" w:hint="eastAsia"/>
                <w:color w:val="000000"/>
                <w:w w:val="15"/>
                <w:sz w:val="20"/>
                <w:szCs w:val="20"/>
                <w:shd w:val="solid" w:color="000000" w:fill="000000"/>
                <w:fitText w:val="60" w:id="-1032106993"/>
                <w14:textFill>
                  <w14:solidFill>
                    <w14:srgbClr w14:val="000000">
                      <w14:alpha w14:val="100000"/>
                    </w14:srgbClr>
                  </w14:solidFill>
                </w14:textFill>
              </w:rPr>
              <w:t xml:space="preserve">　</w:t>
            </w:r>
            <w:r w:rsidRPr="005860C6">
              <w:rPr>
                <w:rFonts w:ascii="Arial Narrow" w:hAnsi="Arial Narrow"/>
                <w:color w:val="000000"/>
                <w:w w:val="15"/>
                <w:sz w:val="20"/>
                <w:szCs w:val="20"/>
                <w:shd w:val="solid" w:color="000000" w:fill="000000"/>
                <w:fitText w:val="60" w:id="-1032106993"/>
                <w14:textFill>
                  <w14:solidFill>
                    <w14:srgbClr w14:val="000000">
                      <w14:alpha w14:val="100000"/>
                    </w14:srgbClr>
                  </w14:solidFill>
                </w14:textFill>
              </w:rPr>
              <w:t>|</w:t>
            </w:r>
            <w:r w:rsidRPr="005860C6">
              <w:rPr>
                <w:rFonts w:ascii="Arial Narrow" w:hAnsi="Arial Narrow" w:hint="eastAsia"/>
                <w:color w:val="000000"/>
                <w:spacing w:val="-5"/>
                <w:w w:val="15"/>
                <w:sz w:val="20"/>
                <w:szCs w:val="20"/>
                <w:shd w:val="solid" w:color="000000" w:fill="000000"/>
                <w:fitText w:val="60" w:id="-1032106993"/>
                <w14:textFill>
                  <w14:solidFill>
                    <w14:srgbClr w14:val="000000">
                      <w14:alpha w14:val="100000"/>
                    </w14:srgbClr>
                  </w14:solidFill>
                </w14:textFill>
              </w:rPr>
              <w:t xml:space="preserve">　</w:t>
            </w:r>
            <w:r w:rsidR="00F3088E" w:rsidRPr="006C314A">
              <w:rPr>
                <w:rFonts w:ascii="Arial Narrow" w:hAnsi="Arial Narrow"/>
                <w:sz w:val="20"/>
                <w:szCs w:val="20"/>
                <w:vertAlign w:val="superscript"/>
              </w:rPr>
              <w:t>1</w:t>
            </w:r>
          </w:p>
        </w:tc>
        <w:tc>
          <w:tcPr>
            <w:tcW w:w="547" w:type="pct"/>
            <w:shd w:val="clear" w:color="auto" w:fill="auto"/>
            <w:vAlign w:val="center"/>
          </w:tcPr>
          <w:p w14:paraId="7BF46E02" w14:textId="5B39CFB3" w:rsidR="00EA6E0C" w:rsidRPr="00D22B13" w:rsidRDefault="005860C6" w:rsidP="0089008D">
            <w:pPr>
              <w:jc w:val="center"/>
              <w:rPr>
                <w:rFonts w:ascii="Arial Narrow" w:hAnsi="Arial Narrow"/>
                <w:sz w:val="20"/>
                <w:szCs w:val="20"/>
                <w:highlight w:val="darkGray"/>
              </w:rPr>
            </w:pPr>
            <w:r>
              <w:rPr>
                <w:rFonts w:ascii="Arial Narrow" w:hAnsi="Arial Narrow"/>
                <w:sz w:val="20"/>
                <w:szCs w:val="20"/>
              </w:rPr>
              <w:t xml:space="preserve"> </w:t>
            </w:r>
            <w:r w:rsidRPr="005860C6">
              <w:rPr>
                <w:rFonts w:ascii="Arial Narrow" w:hAnsi="Arial Narrow" w:hint="eastAsia"/>
                <w:color w:val="000000"/>
                <w:w w:val="31"/>
                <w:sz w:val="20"/>
                <w:szCs w:val="20"/>
                <w:shd w:val="solid" w:color="000000" w:fill="000000"/>
                <w:fitText w:val="140" w:id="-1032106992"/>
                <w14:textFill>
                  <w14:solidFill>
                    <w14:srgbClr w14:val="000000">
                      <w14:alpha w14:val="100000"/>
                    </w14:srgbClr>
                  </w14:solidFill>
                </w14:textFill>
              </w:rPr>
              <w:t xml:space="preserve">　</w:t>
            </w:r>
            <w:r w:rsidRPr="005860C6">
              <w:rPr>
                <w:rFonts w:ascii="Arial Narrow" w:hAnsi="Arial Narrow"/>
                <w:color w:val="000000"/>
                <w:w w:val="31"/>
                <w:sz w:val="20"/>
                <w:szCs w:val="20"/>
                <w:shd w:val="solid" w:color="000000" w:fill="000000"/>
                <w:fitText w:val="140" w:id="-1032106992"/>
                <w14:textFill>
                  <w14:solidFill>
                    <w14:srgbClr w14:val="000000">
                      <w14:alpha w14:val="100000"/>
                    </w14:srgbClr>
                  </w14:solidFill>
                </w14:textFill>
              </w:rPr>
              <w:t>|</w:t>
            </w:r>
            <w:r w:rsidRPr="005860C6">
              <w:rPr>
                <w:rFonts w:ascii="Arial Narrow" w:hAnsi="Arial Narrow" w:hint="eastAsia"/>
                <w:color w:val="000000"/>
                <w:spacing w:val="4"/>
                <w:w w:val="31"/>
                <w:sz w:val="20"/>
                <w:szCs w:val="20"/>
                <w:shd w:val="solid" w:color="000000" w:fill="000000"/>
                <w:fitText w:val="140" w:id="-1032106992"/>
                <w14:textFill>
                  <w14:solidFill>
                    <w14:srgbClr w14:val="000000">
                      <w14:alpha w14:val="100000"/>
                    </w14:srgbClr>
                  </w14:solidFill>
                </w14:textFill>
              </w:rPr>
              <w:t xml:space="preserve">　</w:t>
            </w:r>
            <w:r w:rsidR="00F3088E" w:rsidRPr="006C314A">
              <w:rPr>
                <w:rFonts w:ascii="Arial Narrow" w:hAnsi="Arial Narrow"/>
                <w:sz w:val="20"/>
                <w:szCs w:val="20"/>
                <w:vertAlign w:val="superscript"/>
              </w:rPr>
              <w:t>1</w:t>
            </w:r>
          </w:p>
        </w:tc>
        <w:tc>
          <w:tcPr>
            <w:tcW w:w="551" w:type="pct"/>
            <w:shd w:val="clear" w:color="auto" w:fill="auto"/>
            <w:vAlign w:val="center"/>
          </w:tcPr>
          <w:p w14:paraId="6B2D397C" w14:textId="7C39F8EE" w:rsidR="00EA6E0C" w:rsidRPr="00D22B13" w:rsidRDefault="005860C6" w:rsidP="0089008D">
            <w:pPr>
              <w:jc w:val="center"/>
              <w:rPr>
                <w:rFonts w:ascii="Arial Narrow" w:hAnsi="Arial Narrow"/>
                <w:sz w:val="20"/>
                <w:szCs w:val="20"/>
                <w:highlight w:val="darkGray"/>
              </w:rPr>
            </w:pPr>
            <w:r>
              <w:rPr>
                <w:rFonts w:ascii="Arial Narrow" w:hAnsi="Arial Narrow"/>
                <w:sz w:val="20"/>
                <w:szCs w:val="20"/>
              </w:rPr>
              <w:t xml:space="preserve"> </w:t>
            </w:r>
            <w:r w:rsidRPr="005860C6">
              <w:rPr>
                <w:rFonts w:ascii="Arial Narrow" w:hAnsi="Arial Narrow" w:hint="eastAsia"/>
                <w:color w:val="000000"/>
                <w:w w:val="29"/>
                <w:sz w:val="20"/>
                <w:szCs w:val="20"/>
                <w:shd w:val="solid" w:color="000000" w:fill="000000"/>
                <w:fitText w:val="130" w:id="-1032107008"/>
                <w14:textFill>
                  <w14:solidFill>
                    <w14:srgbClr w14:val="000000">
                      <w14:alpha w14:val="100000"/>
                    </w14:srgbClr>
                  </w14:solidFill>
                </w14:textFill>
              </w:rPr>
              <w:t xml:space="preserve">　</w:t>
            </w:r>
            <w:r w:rsidRPr="005860C6">
              <w:rPr>
                <w:rFonts w:ascii="Arial Narrow" w:hAnsi="Arial Narrow"/>
                <w:color w:val="000000"/>
                <w:w w:val="29"/>
                <w:sz w:val="20"/>
                <w:szCs w:val="20"/>
                <w:shd w:val="solid" w:color="000000" w:fill="000000"/>
                <w:fitText w:val="130" w:id="-1032107008"/>
                <w14:textFill>
                  <w14:solidFill>
                    <w14:srgbClr w14:val="000000">
                      <w14:alpha w14:val="100000"/>
                    </w14:srgbClr>
                  </w14:solidFill>
                </w14:textFill>
              </w:rPr>
              <w:t>|</w:t>
            </w:r>
            <w:r w:rsidRPr="005860C6">
              <w:rPr>
                <w:rFonts w:ascii="Arial Narrow" w:hAnsi="Arial Narrow" w:hint="eastAsia"/>
                <w:color w:val="000000"/>
                <w:spacing w:val="2"/>
                <w:w w:val="29"/>
                <w:sz w:val="20"/>
                <w:szCs w:val="20"/>
                <w:shd w:val="solid" w:color="000000" w:fill="000000"/>
                <w:fitText w:val="130" w:id="-1032107008"/>
                <w14:textFill>
                  <w14:solidFill>
                    <w14:srgbClr w14:val="000000">
                      <w14:alpha w14:val="100000"/>
                    </w14:srgbClr>
                  </w14:solidFill>
                </w14:textFill>
              </w:rPr>
              <w:t xml:space="preserve">　</w:t>
            </w:r>
            <w:r w:rsidR="00F3088E" w:rsidRPr="006C314A">
              <w:rPr>
                <w:rFonts w:ascii="Arial Narrow" w:hAnsi="Arial Narrow"/>
                <w:sz w:val="20"/>
                <w:szCs w:val="20"/>
                <w:vertAlign w:val="superscript"/>
              </w:rPr>
              <w:t>1</w:t>
            </w:r>
          </w:p>
        </w:tc>
        <w:tc>
          <w:tcPr>
            <w:tcW w:w="550" w:type="pct"/>
            <w:shd w:val="clear" w:color="auto" w:fill="auto"/>
            <w:vAlign w:val="center"/>
          </w:tcPr>
          <w:p w14:paraId="41034681" w14:textId="6D93EBB3" w:rsidR="00EA6E0C" w:rsidRPr="00D22B13" w:rsidRDefault="005860C6" w:rsidP="0089008D">
            <w:pPr>
              <w:jc w:val="center"/>
              <w:rPr>
                <w:rFonts w:ascii="Arial Narrow" w:hAnsi="Arial Narrow"/>
                <w:sz w:val="20"/>
                <w:szCs w:val="20"/>
                <w:highlight w:val="darkGray"/>
              </w:rPr>
            </w:pPr>
            <w:r>
              <w:rPr>
                <w:rFonts w:ascii="Arial Narrow" w:hAnsi="Arial Narrow"/>
                <w:sz w:val="20"/>
                <w:szCs w:val="20"/>
              </w:rPr>
              <w:t xml:space="preserve"> </w:t>
            </w:r>
            <w:r w:rsidRPr="005860C6">
              <w:rPr>
                <w:rFonts w:ascii="Arial Narrow" w:hAnsi="Arial Narrow" w:hint="eastAsia"/>
                <w:color w:val="000000"/>
                <w:w w:val="29"/>
                <w:sz w:val="20"/>
                <w:szCs w:val="20"/>
                <w:shd w:val="solid" w:color="000000" w:fill="000000"/>
                <w:fitText w:val="130" w:id="-1032107007"/>
                <w14:textFill>
                  <w14:solidFill>
                    <w14:srgbClr w14:val="000000">
                      <w14:alpha w14:val="100000"/>
                    </w14:srgbClr>
                  </w14:solidFill>
                </w14:textFill>
              </w:rPr>
              <w:t xml:space="preserve">　</w:t>
            </w:r>
            <w:r w:rsidRPr="005860C6">
              <w:rPr>
                <w:rFonts w:ascii="Arial Narrow" w:hAnsi="Arial Narrow"/>
                <w:color w:val="000000"/>
                <w:w w:val="29"/>
                <w:sz w:val="20"/>
                <w:szCs w:val="20"/>
                <w:shd w:val="solid" w:color="000000" w:fill="000000"/>
                <w:fitText w:val="130" w:id="-1032107007"/>
                <w14:textFill>
                  <w14:solidFill>
                    <w14:srgbClr w14:val="000000">
                      <w14:alpha w14:val="100000"/>
                    </w14:srgbClr>
                  </w14:solidFill>
                </w14:textFill>
              </w:rPr>
              <w:t>|</w:t>
            </w:r>
            <w:r w:rsidRPr="005860C6">
              <w:rPr>
                <w:rFonts w:ascii="Arial Narrow" w:hAnsi="Arial Narrow" w:hint="eastAsia"/>
                <w:color w:val="000000"/>
                <w:spacing w:val="2"/>
                <w:w w:val="29"/>
                <w:sz w:val="20"/>
                <w:szCs w:val="20"/>
                <w:shd w:val="solid" w:color="000000" w:fill="000000"/>
                <w:fitText w:val="130" w:id="-1032107007"/>
                <w14:textFill>
                  <w14:solidFill>
                    <w14:srgbClr w14:val="000000">
                      <w14:alpha w14:val="100000"/>
                    </w14:srgbClr>
                  </w14:solidFill>
                </w14:textFill>
              </w:rPr>
              <w:t xml:space="preserve">　</w:t>
            </w:r>
            <w:r w:rsidR="00F3088E" w:rsidRPr="006C314A">
              <w:rPr>
                <w:rFonts w:ascii="Arial Narrow" w:hAnsi="Arial Narrow"/>
                <w:sz w:val="20"/>
                <w:szCs w:val="20"/>
                <w:vertAlign w:val="superscript"/>
              </w:rPr>
              <w:t>1</w:t>
            </w:r>
          </w:p>
        </w:tc>
        <w:tc>
          <w:tcPr>
            <w:tcW w:w="551" w:type="pct"/>
            <w:shd w:val="clear" w:color="auto" w:fill="auto"/>
            <w:vAlign w:val="center"/>
          </w:tcPr>
          <w:p w14:paraId="35B49177" w14:textId="52792DA4" w:rsidR="00EA6E0C" w:rsidRPr="00D22B13" w:rsidRDefault="005860C6" w:rsidP="0089008D">
            <w:pPr>
              <w:jc w:val="center"/>
              <w:rPr>
                <w:rFonts w:ascii="Arial Narrow" w:hAnsi="Arial Narrow"/>
                <w:sz w:val="20"/>
                <w:szCs w:val="20"/>
                <w:highlight w:val="darkGray"/>
              </w:rPr>
            </w:pPr>
            <w:r>
              <w:rPr>
                <w:rFonts w:ascii="Arial Narrow" w:hAnsi="Arial Narrow"/>
                <w:bCs/>
                <w:sz w:val="20"/>
                <w:szCs w:val="20"/>
              </w:rPr>
              <w:t xml:space="preserve"> </w:t>
            </w:r>
            <w:r w:rsidRPr="005860C6">
              <w:rPr>
                <w:rFonts w:ascii="Arial Narrow" w:hAnsi="Arial Narrow" w:hint="eastAsia"/>
                <w:bCs/>
                <w:color w:val="000000"/>
                <w:w w:val="29"/>
                <w:sz w:val="20"/>
                <w:szCs w:val="20"/>
                <w:shd w:val="solid" w:color="000000" w:fill="000000"/>
                <w:fitText w:val="130" w:id="-1032107006"/>
                <w14:textFill>
                  <w14:solidFill>
                    <w14:srgbClr w14:val="000000">
                      <w14:alpha w14:val="100000"/>
                    </w14:srgbClr>
                  </w14:solidFill>
                </w14:textFill>
              </w:rPr>
              <w:t xml:space="preserve">　</w:t>
            </w:r>
            <w:r w:rsidRPr="005860C6">
              <w:rPr>
                <w:rFonts w:ascii="Arial Narrow" w:hAnsi="Arial Narrow"/>
                <w:bCs/>
                <w:color w:val="000000"/>
                <w:w w:val="29"/>
                <w:sz w:val="20"/>
                <w:szCs w:val="20"/>
                <w:shd w:val="solid" w:color="000000" w:fill="000000"/>
                <w:fitText w:val="130" w:id="-1032107006"/>
                <w14:textFill>
                  <w14:solidFill>
                    <w14:srgbClr w14:val="000000">
                      <w14:alpha w14:val="100000"/>
                    </w14:srgbClr>
                  </w14:solidFill>
                </w14:textFill>
              </w:rPr>
              <w:t>|</w:t>
            </w:r>
            <w:r w:rsidRPr="005860C6">
              <w:rPr>
                <w:rFonts w:ascii="Arial Narrow" w:hAnsi="Arial Narrow" w:hint="eastAsia"/>
                <w:bCs/>
                <w:color w:val="000000"/>
                <w:spacing w:val="2"/>
                <w:w w:val="29"/>
                <w:sz w:val="20"/>
                <w:szCs w:val="20"/>
                <w:shd w:val="solid" w:color="000000" w:fill="000000"/>
                <w:fitText w:val="130" w:id="-1032107006"/>
                <w14:textFill>
                  <w14:solidFill>
                    <w14:srgbClr w14:val="000000">
                      <w14:alpha w14:val="100000"/>
                    </w14:srgbClr>
                  </w14:solidFill>
                </w14:textFill>
              </w:rPr>
              <w:t xml:space="preserve">　</w:t>
            </w:r>
            <w:r w:rsidR="00F3088E" w:rsidRPr="006C314A">
              <w:rPr>
                <w:rFonts w:ascii="Arial Narrow" w:hAnsi="Arial Narrow"/>
                <w:sz w:val="20"/>
                <w:szCs w:val="20"/>
                <w:vertAlign w:val="superscript"/>
              </w:rPr>
              <w:t>1</w:t>
            </w:r>
          </w:p>
        </w:tc>
        <w:tc>
          <w:tcPr>
            <w:tcW w:w="521" w:type="pct"/>
            <w:tcBorders>
              <w:top w:val="single" w:sz="4" w:space="0" w:color="auto"/>
              <w:bottom w:val="single" w:sz="4" w:space="0" w:color="auto"/>
            </w:tcBorders>
            <w:shd w:val="clear" w:color="auto" w:fill="auto"/>
            <w:vAlign w:val="center"/>
          </w:tcPr>
          <w:p w14:paraId="6B3D4A76" w14:textId="53AD2E1C" w:rsidR="00EA6E0C" w:rsidRPr="00D22B13" w:rsidRDefault="005860C6" w:rsidP="0089008D">
            <w:pPr>
              <w:jc w:val="center"/>
              <w:rPr>
                <w:rFonts w:ascii="Arial Narrow" w:hAnsi="Arial Narrow"/>
                <w:bCs/>
                <w:sz w:val="20"/>
                <w:szCs w:val="20"/>
                <w:highlight w:val="darkGray"/>
              </w:rPr>
            </w:pPr>
            <w:r>
              <w:rPr>
                <w:rFonts w:ascii="Arial Narrow" w:hAnsi="Arial Narrow"/>
                <w:bCs/>
                <w:sz w:val="20"/>
                <w:szCs w:val="20"/>
              </w:rPr>
              <w:t xml:space="preserve"> </w:t>
            </w:r>
            <w:r w:rsidRPr="005860C6">
              <w:rPr>
                <w:rFonts w:ascii="Arial Narrow" w:hAnsi="Arial Narrow" w:hint="eastAsia"/>
                <w:bCs/>
                <w:color w:val="000000"/>
                <w:w w:val="33"/>
                <w:sz w:val="20"/>
                <w:szCs w:val="20"/>
                <w:shd w:val="solid" w:color="000000" w:fill="000000"/>
                <w:fitText w:val="150" w:id="-1032107005"/>
                <w14:textFill>
                  <w14:solidFill>
                    <w14:srgbClr w14:val="000000">
                      <w14:alpha w14:val="100000"/>
                    </w14:srgbClr>
                  </w14:solidFill>
                </w14:textFill>
              </w:rPr>
              <w:t xml:space="preserve">　</w:t>
            </w:r>
            <w:r w:rsidRPr="005860C6">
              <w:rPr>
                <w:rFonts w:ascii="Arial Narrow" w:hAnsi="Arial Narrow"/>
                <w:bCs/>
                <w:color w:val="000000"/>
                <w:w w:val="33"/>
                <w:sz w:val="20"/>
                <w:szCs w:val="20"/>
                <w:shd w:val="solid" w:color="000000" w:fill="000000"/>
                <w:fitText w:val="150" w:id="-1032107005"/>
                <w14:textFill>
                  <w14:solidFill>
                    <w14:srgbClr w14:val="000000">
                      <w14:alpha w14:val="100000"/>
                    </w14:srgbClr>
                  </w14:solidFill>
                </w14:textFill>
              </w:rPr>
              <w:t>|</w:t>
            </w:r>
            <w:r w:rsidRPr="005860C6">
              <w:rPr>
                <w:rFonts w:ascii="Arial Narrow" w:hAnsi="Arial Narrow" w:hint="eastAsia"/>
                <w:bCs/>
                <w:color w:val="000000"/>
                <w:spacing w:val="4"/>
                <w:w w:val="33"/>
                <w:sz w:val="20"/>
                <w:szCs w:val="20"/>
                <w:shd w:val="solid" w:color="000000" w:fill="000000"/>
                <w:fitText w:val="150" w:id="-1032107005"/>
                <w14:textFill>
                  <w14:solidFill>
                    <w14:srgbClr w14:val="000000">
                      <w14:alpha w14:val="100000"/>
                    </w14:srgbClr>
                  </w14:solidFill>
                </w14:textFill>
              </w:rPr>
              <w:t xml:space="preserve">　</w:t>
            </w:r>
            <w:r w:rsidR="00F3088E" w:rsidRPr="006C314A">
              <w:rPr>
                <w:rFonts w:ascii="Arial Narrow" w:hAnsi="Arial Narrow"/>
                <w:sz w:val="20"/>
                <w:szCs w:val="20"/>
                <w:vertAlign w:val="superscript"/>
              </w:rPr>
              <w:t>1</w:t>
            </w:r>
          </w:p>
        </w:tc>
      </w:tr>
    </w:tbl>
    <w:bookmarkEnd w:id="103"/>
    <w:p w14:paraId="76A401A7" w14:textId="4D2D6E03" w:rsidR="00EA6E0C" w:rsidRDefault="00EA6E0C" w:rsidP="00EA6E0C">
      <w:pPr>
        <w:rPr>
          <w:rFonts w:ascii="Arial Narrow" w:hAnsi="Arial Narrow"/>
          <w:sz w:val="18"/>
          <w:szCs w:val="18"/>
        </w:rPr>
      </w:pPr>
      <w:r>
        <w:rPr>
          <w:rFonts w:ascii="Arial Narrow" w:hAnsi="Arial Narrow"/>
          <w:sz w:val="18"/>
          <w:szCs w:val="18"/>
        </w:rPr>
        <w:t>Source: DUSC Secretariat</w:t>
      </w:r>
    </w:p>
    <w:p w14:paraId="62E259C8" w14:textId="430161C3" w:rsidR="00EA6E0C" w:rsidRDefault="00EA6E0C" w:rsidP="00EA6E0C">
      <w:pPr>
        <w:rPr>
          <w:rFonts w:ascii="Arial Narrow" w:hAnsi="Arial Narrow"/>
          <w:sz w:val="18"/>
          <w:szCs w:val="18"/>
        </w:rPr>
      </w:pPr>
      <w:r>
        <w:rPr>
          <w:rFonts w:ascii="Arial Narrow" w:hAnsi="Arial Narrow"/>
          <w:sz w:val="18"/>
          <w:szCs w:val="18"/>
        </w:rPr>
        <w:t>DTC = differentiated thyroid carcinoma; FY = financial year</w:t>
      </w:r>
    </w:p>
    <w:p w14:paraId="4F52008B" w14:textId="73632B6B" w:rsidR="00EA6E0C" w:rsidRDefault="00EA6E0C" w:rsidP="00D22B13">
      <w:pPr>
        <w:rPr>
          <w:rFonts w:ascii="Arial Narrow" w:hAnsi="Arial Narrow"/>
          <w:sz w:val="18"/>
          <w:szCs w:val="18"/>
          <w:vertAlign w:val="superscript"/>
        </w:rPr>
      </w:pPr>
      <w:r w:rsidRPr="00EA6E0C">
        <w:rPr>
          <w:rFonts w:ascii="Arial Narrow" w:hAnsi="Arial Narrow"/>
          <w:sz w:val="18"/>
          <w:szCs w:val="18"/>
        </w:rPr>
        <w:t xml:space="preserve">* Actual patient numbers on </w:t>
      </w:r>
      <w:r>
        <w:rPr>
          <w:rFonts w:ascii="Arial Narrow" w:hAnsi="Arial Narrow"/>
          <w:sz w:val="18"/>
          <w:szCs w:val="18"/>
        </w:rPr>
        <w:t>l</w:t>
      </w:r>
      <w:r w:rsidRPr="00EA6E0C">
        <w:rPr>
          <w:rFonts w:ascii="Arial Narrow" w:hAnsi="Arial Narrow"/>
          <w:sz w:val="18"/>
          <w:szCs w:val="18"/>
        </w:rPr>
        <w:t>envatinib for DTC could not be estimated based on the number of PBS/RPBS services available as the recommended dose for lenvatinib is 24 mg per day (TGA Product Information, Lenvatinib, p2)</w:t>
      </w:r>
      <w:r>
        <w:rPr>
          <w:rFonts w:ascii="Arial Narrow" w:hAnsi="Arial Narrow"/>
          <w:sz w:val="18"/>
          <w:szCs w:val="18"/>
        </w:rPr>
        <w:t>, as dose reductions were recommended for adverse events and as in July 2018 the PBAC amended the listing of lenvatinib to allow for 1 pack of 10 mg and 2 packs of 4 mg capsules</w:t>
      </w:r>
      <w:r w:rsidRPr="00EA6E0C">
        <w:rPr>
          <w:rFonts w:ascii="Arial Narrow" w:hAnsi="Arial Narrow"/>
          <w:sz w:val="18"/>
          <w:szCs w:val="18"/>
          <w:vertAlign w:val="superscript"/>
        </w:rPr>
        <w:t>38</w:t>
      </w:r>
    </w:p>
    <w:p w14:paraId="656C8ABC" w14:textId="7EB44928" w:rsidR="00A45E04" w:rsidRPr="00D22B13" w:rsidRDefault="00F3088E" w:rsidP="00D22B13">
      <w:pPr>
        <w:rPr>
          <w:rFonts w:ascii="Arial Narrow" w:hAnsi="Arial Narrow"/>
          <w:i/>
          <w:iCs/>
          <w:snapToGrid w:val="0"/>
          <w:sz w:val="18"/>
          <w:szCs w:val="18"/>
        </w:rPr>
      </w:pPr>
      <w:r w:rsidRPr="00D22B13">
        <w:rPr>
          <w:rFonts w:ascii="Arial Narrow" w:hAnsi="Arial Narrow"/>
          <w:i/>
          <w:iCs/>
          <w:snapToGrid w:val="0"/>
          <w:sz w:val="18"/>
          <w:szCs w:val="18"/>
        </w:rPr>
        <w:t>The redacted values correspond to the following ranges:</w:t>
      </w:r>
    </w:p>
    <w:p w14:paraId="3E85A740" w14:textId="379F1AD7" w:rsidR="00F3088E" w:rsidRPr="00D22B13" w:rsidRDefault="00F3088E" w:rsidP="00F3088E">
      <w:pPr>
        <w:spacing w:after="120"/>
        <w:rPr>
          <w:rFonts w:ascii="Arial Narrow" w:hAnsi="Arial Narrow"/>
          <w:i/>
          <w:iCs/>
          <w:snapToGrid w:val="0"/>
          <w:sz w:val="18"/>
          <w:szCs w:val="18"/>
        </w:rPr>
      </w:pPr>
      <w:r w:rsidRPr="00D22B13">
        <w:rPr>
          <w:rFonts w:ascii="Arial Narrow" w:hAnsi="Arial Narrow"/>
          <w:i/>
          <w:iCs/>
          <w:snapToGrid w:val="0"/>
          <w:sz w:val="18"/>
          <w:szCs w:val="18"/>
          <w:vertAlign w:val="superscript"/>
        </w:rPr>
        <w:t xml:space="preserve">1 </w:t>
      </w:r>
      <w:r w:rsidRPr="00D22B13">
        <w:rPr>
          <w:rFonts w:ascii="Arial Narrow" w:hAnsi="Arial Narrow"/>
          <w:i/>
          <w:iCs/>
          <w:snapToGrid w:val="0"/>
          <w:sz w:val="18"/>
          <w:szCs w:val="18"/>
        </w:rPr>
        <w:t>&lt;500</w:t>
      </w:r>
    </w:p>
    <w:p w14:paraId="38731C7B" w14:textId="77777777" w:rsidR="00427986" w:rsidRPr="00427986" w:rsidRDefault="00427986" w:rsidP="00427986">
      <w:pPr>
        <w:pStyle w:val="3-BodyText"/>
        <w:numPr>
          <w:ilvl w:val="0"/>
          <w:numId w:val="0"/>
        </w:numPr>
        <w:ind w:left="720"/>
        <w:rPr>
          <w:i/>
          <w:iCs/>
        </w:rPr>
      </w:pPr>
      <w:r w:rsidRPr="00427986">
        <w:rPr>
          <w:i/>
          <w:iCs/>
        </w:rPr>
        <w:t>For more detail on PBAC’s view, see section 7 PBAC outcome.</w:t>
      </w:r>
    </w:p>
    <w:p w14:paraId="59519A1C" w14:textId="77777777" w:rsidR="00427986" w:rsidRPr="0090150D" w:rsidRDefault="00427986" w:rsidP="00427986">
      <w:pPr>
        <w:pStyle w:val="2-SectionHeading"/>
      </w:pPr>
      <w:bookmarkStart w:id="104" w:name="_Hlk76381249"/>
      <w:bookmarkStart w:id="105" w:name="_Hlk76377955"/>
      <w:r w:rsidRPr="0090150D">
        <w:t>PBAC Outcome</w:t>
      </w:r>
    </w:p>
    <w:p w14:paraId="088A8FD5" w14:textId="27C9EEB3" w:rsidR="000E709B" w:rsidRDefault="00427986" w:rsidP="00427986">
      <w:pPr>
        <w:widowControl w:val="0"/>
        <w:numPr>
          <w:ilvl w:val="1"/>
          <w:numId w:val="1"/>
        </w:numPr>
        <w:spacing w:after="120"/>
        <w:ind w:left="720"/>
        <w:rPr>
          <w:rFonts w:asciiTheme="minorHAnsi" w:hAnsiTheme="minorHAnsi"/>
          <w:snapToGrid w:val="0"/>
          <w:lang w:val="en-GB"/>
        </w:rPr>
      </w:pPr>
      <w:r w:rsidRPr="00CE42B4">
        <w:rPr>
          <w:rFonts w:asciiTheme="minorHAnsi" w:hAnsiTheme="minorHAnsi"/>
          <w:snapToGrid w:val="0"/>
          <w:lang w:val="en-GB"/>
        </w:rPr>
        <w:t>The PBAC did not recommend</w:t>
      </w:r>
      <w:r w:rsidR="000E709B">
        <w:rPr>
          <w:rFonts w:asciiTheme="minorHAnsi" w:hAnsiTheme="minorHAnsi"/>
          <w:snapToGrid w:val="0"/>
          <w:lang w:val="en-GB"/>
        </w:rPr>
        <w:t xml:space="preserve"> cabozantinib for the treatment of patients with locally advanced or metastatic differentiated thyroid carcinoma (DTC) who are radioactive iodine (RAI) refractory or ineligible</w:t>
      </w:r>
      <w:r w:rsidR="00846727">
        <w:rPr>
          <w:rFonts w:asciiTheme="minorHAnsi" w:hAnsiTheme="minorHAnsi"/>
          <w:snapToGrid w:val="0"/>
          <w:lang w:val="en-GB"/>
        </w:rPr>
        <w:t xml:space="preserve"> and who have progressed following treatment with a tyrosine kinase inhibitor (TKI) or have developed intolerance to prior vascular endothelial growth factor (VEGF)-targeted therapy</w:t>
      </w:r>
      <w:r w:rsidR="000E709B">
        <w:rPr>
          <w:rFonts w:asciiTheme="minorHAnsi" w:hAnsiTheme="minorHAnsi"/>
          <w:snapToGrid w:val="0"/>
          <w:lang w:val="en-GB"/>
        </w:rPr>
        <w:t xml:space="preserve">. The PBAC noted the clinical need for effective treatments in this setting but considered that the economic model was uncertain and that the incremental cost effectiveness ratio (ICER) was likely underestimated. </w:t>
      </w:r>
    </w:p>
    <w:p w14:paraId="0FB6D4B8" w14:textId="570A9A11" w:rsidR="000E709B" w:rsidRDefault="000E709B" w:rsidP="0042798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primary reason for this decision was the economic evaluation.</w:t>
      </w:r>
    </w:p>
    <w:p w14:paraId="4CC561D4" w14:textId="0C214931" w:rsidR="000E709B" w:rsidRDefault="000E709B" w:rsidP="0042798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acknowledged the advice received via the consumer comments facility which noted the need for alternate DTC treatments, and which were supportive of the submission.</w:t>
      </w:r>
    </w:p>
    <w:p w14:paraId="74018316" w14:textId="379D5E9B" w:rsidR="000E709B" w:rsidRDefault="000E709B" w:rsidP="0042798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considered that the proposed place in therapy for cabozantinib for use in patients who have progressed or developed intolerance whilst receiving or following </w:t>
      </w:r>
      <w:r>
        <w:rPr>
          <w:rFonts w:asciiTheme="minorHAnsi" w:hAnsiTheme="minorHAnsi"/>
          <w:snapToGrid w:val="0"/>
          <w:lang w:val="en-GB"/>
        </w:rPr>
        <w:lastRenderedPageBreak/>
        <w:t>treatment with a VEGF-targeted TKI was appropriate.</w:t>
      </w:r>
    </w:p>
    <w:p w14:paraId="48D0D604" w14:textId="6E63EA78" w:rsidR="00B54FFE" w:rsidRDefault="00B54FFE" w:rsidP="0042798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considered that</w:t>
      </w:r>
      <w:r w:rsidR="0060062E">
        <w:rPr>
          <w:rFonts w:asciiTheme="minorHAnsi" w:hAnsiTheme="minorHAnsi"/>
          <w:snapToGrid w:val="0"/>
          <w:lang w:val="en-GB"/>
        </w:rPr>
        <w:t xml:space="preserve"> the appropriate comparator for cabozantinib plus best supportive care (BSC) was BSC alone</w:t>
      </w:r>
      <w:r>
        <w:rPr>
          <w:rFonts w:asciiTheme="minorHAnsi" w:hAnsiTheme="minorHAnsi"/>
          <w:snapToGrid w:val="0"/>
          <w:lang w:val="en-GB"/>
        </w:rPr>
        <w:t>.</w:t>
      </w:r>
    </w:p>
    <w:p w14:paraId="54EF6AB0" w14:textId="14EF96A9" w:rsidR="000E709B" w:rsidRDefault="000E709B" w:rsidP="0042798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noted that the submission was based on one randomised controlled trial, COSMIC-311, that compared cabozantinib to placebo. The PBAC noted that </w:t>
      </w:r>
      <w:r w:rsidR="00846727">
        <w:rPr>
          <w:rFonts w:asciiTheme="minorHAnsi" w:hAnsiTheme="minorHAnsi"/>
          <w:snapToGrid w:val="0"/>
          <w:lang w:val="en-GB"/>
        </w:rPr>
        <w:t xml:space="preserve">patients were </w:t>
      </w:r>
      <w:r>
        <w:rPr>
          <w:rFonts w:asciiTheme="minorHAnsi" w:hAnsiTheme="minorHAnsi"/>
          <w:snapToGrid w:val="0"/>
          <w:lang w:val="en-GB"/>
        </w:rPr>
        <w:t xml:space="preserve">stratified </w:t>
      </w:r>
      <w:r w:rsidR="00846727">
        <w:rPr>
          <w:rFonts w:asciiTheme="minorHAnsi" w:hAnsiTheme="minorHAnsi"/>
          <w:snapToGrid w:val="0"/>
          <w:lang w:val="en-GB"/>
        </w:rPr>
        <w:t xml:space="preserve">by previous lenvatinib treatment (yes/no) and age </w:t>
      </w:r>
      <w:r w:rsidR="00846727" w:rsidRPr="00427986">
        <w:t>(</w:t>
      </w:r>
      <w:r w:rsidR="00846727" w:rsidRPr="00427986">
        <w:rPr>
          <w:rFonts w:cstheme="minorBidi"/>
        </w:rPr>
        <w:t>≤</w:t>
      </w:r>
      <w:r w:rsidR="00846727" w:rsidRPr="00427986">
        <w:t>65 years versus &gt;65 years)</w:t>
      </w:r>
      <w:r w:rsidR="00846727">
        <w:t xml:space="preserve">. Results for the </w:t>
      </w:r>
      <w:r>
        <w:rPr>
          <w:rFonts w:asciiTheme="minorHAnsi" w:hAnsiTheme="minorHAnsi"/>
          <w:snapToGrid w:val="0"/>
          <w:lang w:val="en-GB"/>
        </w:rPr>
        <w:t xml:space="preserve">subgroup of patients who had received </w:t>
      </w:r>
      <w:r w:rsidR="00B54FFE">
        <w:rPr>
          <w:rFonts w:asciiTheme="minorHAnsi" w:hAnsiTheme="minorHAnsi"/>
          <w:snapToGrid w:val="0"/>
          <w:lang w:val="en-GB"/>
        </w:rPr>
        <w:t xml:space="preserve">prior </w:t>
      </w:r>
      <w:r>
        <w:rPr>
          <w:rFonts w:asciiTheme="minorHAnsi" w:hAnsiTheme="minorHAnsi"/>
          <w:snapToGrid w:val="0"/>
          <w:lang w:val="en-GB"/>
        </w:rPr>
        <w:t>treatment with lenvatinib only were presented as it aligned with the proposed place in therapy.</w:t>
      </w:r>
    </w:p>
    <w:p w14:paraId="109379D5" w14:textId="3971216A" w:rsidR="000E709B" w:rsidRDefault="000E709B" w:rsidP="0042798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noted that cabozantinib was associated with a modest improvement in overall response rate (ORR) in the full intention to treat (ITT) population (</w:t>
      </w:r>
      <w:r w:rsidR="00B54FFE">
        <w:rPr>
          <w:rFonts w:asciiTheme="minorHAnsi" w:hAnsiTheme="minorHAnsi"/>
          <w:snapToGrid w:val="0"/>
          <w:lang w:val="en-GB"/>
        </w:rPr>
        <w:t>r</w:t>
      </w:r>
      <w:r>
        <w:rPr>
          <w:rFonts w:asciiTheme="minorHAnsi" w:hAnsiTheme="minorHAnsi"/>
          <w:snapToGrid w:val="0"/>
          <w:lang w:val="en-GB"/>
        </w:rPr>
        <w:t>isk difference = 11%; 95% CI: 6.4%, 15.9%).</w:t>
      </w:r>
    </w:p>
    <w:p w14:paraId="0D0D18DF" w14:textId="27E81478" w:rsidR="000E709B" w:rsidRDefault="000E709B" w:rsidP="0042798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noted that cabozantinib demonstrated a statistically significant improvement in progression free survival (PFS) in both the full ITT population (HR = 0.22; 95% CI: 0.15, 0.32) and the subgroup who had received </w:t>
      </w:r>
      <w:r w:rsidR="00B54FFE">
        <w:rPr>
          <w:rFonts w:asciiTheme="minorHAnsi" w:hAnsiTheme="minorHAnsi"/>
          <w:snapToGrid w:val="0"/>
          <w:lang w:val="en-GB"/>
        </w:rPr>
        <w:t xml:space="preserve">prior </w:t>
      </w:r>
      <w:r>
        <w:rPr>
          <w:rFonts w:asciiTheme="minorHAnsi" w:hAnsiTheme="minorHAnsi"/>
          <w:snapToGrid w:val="0"/>
          <w:lang w:val="en-GB"/>
        </w:rPr>
        <w:t>treatment with lenvatinib only (HR = 0.28; 95% CI: 0.16, 0.48).</w:t>
      </w:r>
    </w:p>
    <w:p w14:paraId="7C8315D6" w14:textId="5BA8639D" w:rsidR="000E709B" w:rsidRDefault="000E709B" w:rsidP="0042798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noted that the results for overall survival were not statistically significant in either the full ITT population (HR = 0.76; 95% CI: 0.45, 1.31) or the subgroup who had received </w:t>
      </w:r>
      <w:r w:rsidR="00B54FFE">
        <w:rPr>
          <w:rFonts w:asciiTheme="minorHAnsi" w:hAnsiTheme="minorHAnsi"/>
          <w:snapToGrid w:val="0"/>
          <w:lang w:val="en-GB"/>
        </w:rPr>
        <w:t xml:space="preserve">prior </w:t>
      </w:r>
      <w:r>
        <w:rPr>
          <w:rFonts w:asciiTheme="minorHAnsi" w:hAnsiTheme="minorHAnsi"/>
          <w:snapToGrid w:val="0"/>
          <w:lang w:val="en-GB"/>
        </w:rPr>
        <w:t xml:space="preserve">treatment with lenvatinib only (HR = 1.06; 95% CI: 0.45, 2.47). The PBAC noted that the </w:t>
      </w:r>
      <w:r w:rsidR="00846727">
        <w:rPr>
          <w:rFonts w:asciiTheme="minorHAnsi" w:hAnsiTheme="minorHAnsi"/>
          <w:snapToGrid w:val="0"/>
          <w:lang w:val="en-GB"/>
        </w:rPr>
        <w:t>overall survival</w:t>
      </w:r>
      <w:r>
        <w:rPr>
          <w:rFonts w:asciiTheme="minorHAnsi" w:hAnsiTheme="minorHAnsi"/>
          <w:snapToGrid w:val="0"/>
          <w:lang w:val="en-GB"/>
        </w:rPr>
        <w:t xml:space="preserve"> results were confounded by 45% of patients in the placebo arm crossing over to receive treatment with open label cabozantinib following disease progression</w:t>
      </w:r>
      <w:r w:rsidR="00846727">
        <w:rPr>
          <w:rFonts w:asciiTheme="minorHAnsi" w:hAnsiTheme="minorHAnsi"/>
          <w:snapToGrid w:val="0"/>
          <w:lang w:val="en-GB"/>
        </w:rPr>
        <w:t xml:space="preserve">. The PBAC noted that the submission applied the Rank-Preserving Structural Failure Time (RPSFT) method to adjust for the crossover, but that this did not result in a statistical difference in the results (full ITT population: HR = 0.65; 95% CI: 0.28, 1.53; prior lenvatinib only subgroup: HR = 0.98; 95% CI: 0.24, 3.91). Additionally, the PBAC noted that </w:t>
      </w:r>
      <w:r w:rsidR="00B54FFE">
        <w:rPr>
          <w:rFonts w:asciiTheme="minorHAnsi" w:hAnsiTheme="minorHAnsi"/>
          <w:snapToGrid w:val="0"/>
          <w:lang w:val="en-GB"/>
        </w:rPr>
        <w:t>a h</w:t>
      </w:r>
      <w:r>
        <w:rPr>
          <w:rFonts w:asciiTheme="minorHAnsi" w:hAnsiTheme="minorHAnsi"/>
          <w:snapToGrid w:val="0"/>
          <w:lang w:val="en-GB"/>
        </w:rPr>
        <w:t>igh proportion of observations were censored in both the ca</w:t>
      </w:r>
      <w:r w:rsidR="00846727">
        <w:rPr>
          <w:rFonts w:asciiTheme="minorHAnsi" w:hAnsiTheme="minorHAnsi"/>
          <w:snapToGrid w:val="0"/>
          <w:lang w:val="en-GB"/>
        </w:rPr>
        <w:t>bo</w:t>
      </w:r>
      <w:r>
        <w:rPr>
          <w:rFonts w:asciiTheme="minorHAnsi" w:hAnsiTheme="minorHAnsi"/>
          <w:snapToGrid w:val="0"/>
          <w:lang w:val="en-GB"/>
        </w:rPr>
        <w:t>zantinib (78%) and placebo (76%) arms which was driven by the relatively short median follow up (10.1 months)</w:t>
      </w:r>
      <w:r w:rsidR="00B54FFE">
        <w:rPr>
          <w:rFonts w:asciiTheme="minorHAnsi" w:hAnsiTheme="minorHAnsi"/>
          <w:snapToGrid w:val="0"/>
          <w:lang w:val="en-GB"/>
        </w:rPr>
        <w:t xml:space="preserve">. The PBAC considered that these issues increased the uncertainty in the </w:t>
      </w:r>
      <w:r w:rsidR="008575B0">
        <w:rPr>
          <w:rFonts w:asciiTheme="minorHAnsi" w:hAnsiTheme="minorHAnsi"/>
          <w:snapToGrid w:val="0"/>
          <w:lang w:val="en-GB"/>
        </w:rPr>
        <w:t xml:space="preserve">OS </w:t>
      </w:r>
      <w:r w:rsidR="00B54FFE">
        <w:rPr>
          <w:rFonts w:asciiTheme="minorHAnsi" w:hAnsiTheme="minorHAnsi"/>
          <w:snapToGrid w:val="0"/>
          <w:lang w:val="en-GB"/>
        </w:rPr>
        <w:t>results</w:t>
      </w:r>
      <w:r w:rsidR="00D87267">
        <w:rPr>
          <w:rFonts w:asciiTheme="minorHAnsi" w:hAnsiTheme="minorHAnsi"/>
          <w:snapToGrid w:val="0"/>
          <w:lang w:val="en-GB"/>
        </w:rPr>
        <w:t xml:space="preserve">. </w:t>
      </w:r>
    </w:p>
    <w:p w14:paraId="5641B59E" w14:textId="043A2925" w:rsidR="000E709B" w:rsidRDefault="000E709B" w:rsidP="0042798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considered that the submission’s claim that cabozantinib was superior compared to placebo in terms of ORR and PFS was supported. However, the PBAC considered that the superiority of cabozantinib in terms of OS was uncertain due to </w:t>
      </w:r>
      <w:r w:rsidR="008A23F1">
        <w:rPr>
          <w:rFonts w:asciiTheme="minorHAnsi" w:hAnsiTheme="minorHAnsi"/>
          <w:snapToGrid w:val="0"/>
          <w:lang w:val="en-GB"/>
        </w:rPr>
        <w:t>patients randomised to placebo receiving cabozantinib</w:t>
      </w:r>
      <w:r>
        <w:rPr>
          <w:rFonts w:asciiTheme="minorHAnsi" w:hAnsiTheme="minorHAnsi"/>
          <w:snapToGrid w:val="0"/>
          <w:lang w:val="en-GB"/>
        </w:rPr>
        <w:t>, the relatively short follow up and the high number of observations that were censored.</w:t>
      </w:r>
    </w:p>
    <w:p w14:paraId="3AFB2044" w14:textId="744D6145" w:rsidR="000E709B" w:rsidRDefault="000E709B" w:rsidP="0042798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The PBAC noted that patients in the cabozantinib arm of COSMIC-311 reported a higher incidence of Grade 3/4 adverse events (62% versus 28% for patients in the placebo arm) and had a higher incidence of hypertension, diarrhoea, palmar-plant</w:t>
      </w:r>
      <w:r w:rsidR="00BC1720">
        <w:rPr>
          <w:rFonts w:asciiTheme="minorHAnsi" w:hAnsiTheme="minorHAnsi"/>
          <w:snapToGrid w:val="0"/>
          <w:lang w:val="en-GB"/>
        </w:rPr>
        <w:t>a</w:t>
      </w:r>
      <w:r>
        <w:rPr>
          <w:rFonts w:asciiTheme="minorHAnsi" w:hAnsiTheme="minorHAnsi"/>
          <w:snapToGrid w:val="0"/>
          <w:lang w:val="en-GB"/>
        </w:rPr>
        <w:t xml:space="preserve">r </w:t>
      </w:r>
      <w:proofErr w:type="spellStart"/>
      <w:r>
        <w:rPr>
          <w:rFonts w:asciiTheme="minorHAnsi" w:hAnsiTheme="minorHAnsi"/>
          <w:snapToGrid w:val="0"/>
          <w:lang w:val="en-GB"/>
        </w:rPr>
        <w:t>erythrodysaesthesia</w:t>
      </w:r>
      <w:proofErr w:type="spellEnd"/>
      <w:r>
        <w:rPr>
          <w:rFonts w:asciiTheme="minorHAnsi" w:hAnsiTheme="minorHAnsi"/>
          <w:snapToGrid w:val="0"/>
          <w:lang w:val="en-GB"/>
        </w:rPr>
        <w:t xml:space="preserve"> syndrome and fatigue. The PBAC considered that </w:t>
      </w:r>
      <w:r w:rsidR="00B54FFE">
        <w:rPr>
          <w:rFonts w:asciiTheme="minorHAnsi" w:hAnsiTheme="minorHAnsi"/>
          <w:snapToGrid w:val="0"/>
          <w:lang w:val="en-GB"/>
        </w:rPr>
        <w:t xml:space="preserve">the claim that </w:t>
      </w:r>
      <w:r>
        <w:rPr>
          <w:rFonts w:asciiTheme="minorHAnsi" w:hAnsiTheme="minorHAnsi"/>
          <w:snapToGrid w:val="0"/>
          <w:lang w:val="en-GB"/>
        </w:rPr>
        <w:t>cabozantinib was inferior in terms of safety compared to placebo</w:t>
      </w:r>
      <w:r w:rsidR="00B54FFE">
        <w:rPr>
          <w:rFonts w:asciiTheme="minorHAnsi" w:hAnsiTheme="minorHAnsi"/>
          <w:snapToGrid w:val="0"/>
          <w:lang w:val="en-GB"/>
        </w:rPr>
        <w:t xml:space="preserve"> was reasonable</w:t>
      </w:r>
      <w:r>
        <w:rPr>
          <w:rFonts w:asciiTheme="minorHAnsi" w:hAnsiTheme="minorHAnsi"/>
          <w:snapToGrid w:val="0"/>
          <w:lang w:val="en-GB"/>
        </w:rPr>
        <w:t>.</w:t>
      </w:r>
    </w:p>
    <w:p w14:paraId="02110A31" w14:textId="65677DF6" w:rsidR="00D87267" w:rsidRDefault="00D87267" w:rsidP="00427986">
      <w:pPr>
        <w:widowControl w:val="0"/>
        <w:numPr>
          <w:ilvl w:val="1"/>
          <w:numId w:val="1"/>
        </w:numPr>
        <w:spacing w:after="120"/>
        <w:ind w:left="720"/>
        <w:rPr>
          <w:rFonts w:asciiTheme="minorHAnsi" w:hAnsiTheme="minorHAnsi"/>
          <w:snapToGrid w:val="0"/>
          <w:lang w:val="en-GB"/>
        </w:rPr>
      </w:pPr>
      <w:r>
        <w:rPr>
          <w:rFonts w:asciiTheme="minorHAnsi" w:hAnsiTheme="minorHAnsi"/>
          <w:snapToGrid w:val="0"/>
          <w:lang w:val="en-GB"/>
        </w:rPr>
        <w:t xml:space="preserve">The PBAC noted that the economic evaluation </w:t>
      </w:r>
      <w:r w:rsidR="00C6597F">
        <w:rPr>
          <w:rFonts w:asciiTheme="minorHAnsi" w:hAnsiTheme="minorHAnsi"/>
          <w:snapToGrid w:val="0"/>
          <w:lang w:val="en-GB"/>
        </w:rPr>
        <w:t xml:space="preserve">presented in the submission </w:t>
      </w:r>
      <w:r>
        <w:rPr>
          <w:rFonts w:asciiTheme="minorHAnsi" w:hAnsiTheme="minorHAnsi"/>
          <w:snapToGrid w:val="0"/>
          <w:lang w:val="en-GB"/>
        </w:rPr>
        <w:t xml:space="preserve">was based on the subgroup of patients who had received </w:t>
      </w:r>
      <w:r w:rsidR="00B54FFE">
        <w:rPr>
          <w:rFonts w:asciiTheme="minorHAnsi" w:hAnsiTheme="minorHAnsi"/>
          <w:snapToGrid w:val="0"/>
          <w:lang w:val="en-GB"/>
        </w:rPr>
        <w:t xml:space="preserve">prior </w:t>
      </w:r>
      <w:r>
        <w:rPr>
          <w:rFonts w:asciiTheme="minorHAnsi" w:hAnsiTheme="minorHAnsi"/>
          <w:snapToGrid w:val="0"/>
          <w:lang w:val="en-GB"/>
        </w:rPr>
        <w:t xml:space="preserve">treatment with lenvatinib only. </w:t>
      </w:r>
      <w:r w:rsidR="00C6597F">
        <w:rPr>
          <w:rFonts w:asciiTheme="minorHAnsi" w:hAnsiTheme="minorHAnsi"/>
          <w:snapToGrid w:val="0"/>
          <w:lang w:val="en-GB"/>
        </w:rPr>
        <w:lastRenderedPageBreak/>
        <w:t xml:space="preserve">The PBAC noted use of a subgroup increased the extent of uncertainty with the results given </w:t>
      </w:r>
      <w:r w:rsidR="008A23F1">
        <w:rPr>
          <w:rFonts w:asciiTheme="minorHAnsi" w:hAnsiTheme="minorHAnsi"/>
          <w:snapToGrid w:val="0"/>
          <w:lang w:val="en-GB"/>
        </w:rPr>
        <w:t>the</w:t>
      </w:r>
      <w:r w:rsidR="00C6597F">
        <w:rPr>
          <w:rFonts w:asciiTheme="minorHAnsi" w:hAnsiTheme="minorHAnsi"/>
          <w:snapToGrid w:val="0"/>
          <w:lang w:val="en-GB"/>
        </w:rPr>
        <w:t xml:space="preserve"> relatively small </w:t>
      </w:r>
      <w:r w:rsidR="008A23F1">
        <w:rPr>
          <w:rFonts w:asciiTheme="minorHAnsi" w:hAnsiTheme="minorHAnsi"/>
          <w:snapToGrid w:val="0"/>
          <w:lang w:val="en-GB"/>
        </w:rPr>
        <w:t>number of patients informing the analysis</w:t>
      </w:r>
      <w:r w:rsidR="00C6597F">
        <w:rPr>
          <w:rFonts w:asciiTheme="minorHAnsi" w:hAnsiTheme="minorHAnsi"/>
          <w:snapToGrid w:val="0"/>
          <w:lang w:val="en-GB"/>
        </w:rPr>
        <w:t>. However, the PBAC considered this was reasonable in the context of it potentially being more conservative</w:t>
      </w:r>
      <w:r w:rsidR="00A35177">
        <w:rPr>
          <w:rFonts w:asciiTheme="minorHAnsi" w:hAnsiTheme="minorHAnsi"/>
          <w:snapToGrid w:val="0"/>
          <w:lang w:val="en-GB"/>
        </w:rPr>
        <w:t xml:space="preserve"> versus use of the results for the ITT population.</w:t>
      </w:r>
      <w:r w:rsidR="00C6597F">
        <w:rPr>
          <w:rFonts w:asciiTheme="minorHAnsi" w:hAnsiTheme="minorHAnsi"/>
          <w:snapToGrid w:val="0"/>
          <w:lang w:val="en-GB"/>
        </w:rPr>
        <w:t xml:space="preserve"> </w:t>
      </w:r>
      <w:r>
        <w:rPr>
          <w:rFonts w:asciiTheme="minorHAnsi" w:hAnsiTheme="minorHAnsi"/>
          <w:snapToGrid w:val="0"/>
          <w:lang w:val="en-GB"/>
        </w:rPr>
        <w:t xml:space="preserve">The PBAC considered that the 5-year </w:t>
      </w:r>
      <w:r w:rsidR="00A35177">
        <w:rPr>
          <w:rFonts w:asciiTheme="minorHAnsi" w:hAnsiTheme="minorHAnsi"/>
          <w:snapToGrid w:val="0"/>
          <w:lang w:val="en-GB"/>
        </w:rPr>
        <w:t xml:space="preserve">model </w:t>
      </w:r>
      <w:r>
        <w:rPr>
          <w:rFonts w:asciiTheme="minorHAnsi" w:hAnsiTheme="minorHAnsi"/>
          <w:snapToGrid w:val="0"/>
          <w:lang w:val="en-GB"/>
        </w:rPr>
        <w:t>time horizon was reasonable</w:t>
      </w:r>
      <w:r w:rsidR="00A35177">
        <w:rPr>
          <w:rFonts w:asciiTheme="minorHAnsi" w:hAnsiTheme="minorHAnsi"/>
          <w:snapToGrid w:val="0"/>
          <w:lang w:val="en-GB"/>
        </w:rPr>
        <w:t xml:space="preserve">, noting similar results with a </w:t>
      </w:r>
      <w:r w:rsidR="00846727" w:rsidRPr="00846727">
        <w:rPr>
          <w:rFonts w:asciiTheme="minorHAnsi" w:hAnsiTheme="minorHAnsi"/>
          <w:snapToGrid w:val="0"/>
          <w:lang w:val="en-GB"/>
        </w:rPr>
        <w:t>three-year</w:t>
      </w:r>
      <w:r w:rsidR="00A35177">
        <w:rPr>
          <w:rFonts w:asciiTheme="minorHAnsi" w:hAnsiTheme="minorHAnsi"/>
          <w:snapToGrid w:val="0"/>
          <w:lang w:val="en-GB"/>
        </w:rPr>
        <w:t xml:space="preserve"> horizon</w:t>
      </w:r>
      <w:r w:rsidR="00A35177" w:rsidRPr="00846727">
        <w:rPr>
          <w:rFonts w:asciiTheme="minorHAnsi" w:hAnsiTheme="minorHAnsi"/>
          <w:snapToGrid w:val="0"/>
          <w:lang w:val="en-GB"/>
        </w:rPr>
        <w:t xml:space="preserve"> </w:t>
      </w:r>
      <w:r w:rsidR="00A35177">
        <w:rPr>
          <w:rFonts w:asciiTheme="minorHAnsi" w:hAnsiTheme="minorHAnsi"/>
          <w:snapToGrid w:val="0"/>
          <w:lang w:val="en-GB"/>
        </w:rPr>
        <w:t>reflecting that few patients were modelled to be alive after this time point</w:t>
      </w:r>
      <w:r>
        <w:rPr>
          <w:rFonts w:asciiTheme="minorHAnsi" w:hAnsiTheme="minorHAnsi"/>
          <w:snapToGrid w:val="0"/>
          <w:lang w:val="en-GB"/>
        </w:rPr>
        <w:t>.</w:t>
      </w:r>
    </w:p>
    <w:p w14:paraId="4888CEF5" w14:textId="43D69690" w:rsidR="00D87267" w:rsidRDefault="00D87267" w:rsidP="00427986">
      <w:pPr>
        <w:widowControl w:val="0"/>
        <w:numPr>
          <w:ilvl w:val="1"/>
          <w:numId w:val="1"/>
        </w:numPr>
        <w:spacing w:after="120"/>
        <w:ind w:left="720"/>
        <w:rPr>
          <w:rFonts w:asciiTheme="minorHAnsi" w:hAnsiTheme="minorHAnsi"/>
          <w:snapToGrid w:val="0"/>
          <w:lang w:val="en-GB"/>
        </w:rPr>
      </w:pPr>
      <w:bookmarkStart w:id="106" w:name="_Ref151121761"/>
      <w:r>
        <w:rPr>
          <w:rFonts w:asciiTheme="minorHAnsi" w:hAnsiTheme="minorHAnsi"/>
          <w:snapToGrid w:val="0"/>
          <w:lang w:val="en-GB"/>
        </w:rPr>
        <w:t xml:space="preserve">The PBAC noted that the submission applied literature-based utilities (from Fordham, 2015) for the pre-progression (0.87) and post-progression (0.52) health states rather than the trial-based utilities (0.692 and 0.674 respectively). Noting the concerns with the trial-based post-progression value (see paragraph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_Ref151117814 \r \h </w:instrText>
      </w:r>
      <w:r>
        <w:rPr>
          <w:rFonts w:asciiTheme="minorHAnsi" w:hAnsiTheme="minorHAnsi"/>
          <w:snapToGrid w:val="0"/>
          <w:lang w:val="en-GB"/>
        </w:rPr>
      </w:r>
      <w:r>
        <w:rPr>
          <w:rFonts w:asciiTheme="minorHAnsi" w:hAnsiTheme="minorHAnsi"/>
          <w:snapToGrid w:val="0"/>
          <w:lang w:val="en-GB"/>
        </w:rPr>
        <w:fldChar w:fldCharType="separate"/>
      </w:r>
      <w:r w:rsidR="00993AD9">
        <w:rPr>
          <w:rFonts w:asciiTheme="minorHAnsi" w:hAnsiTheme="minorHAnsi"/>
          <w:snapToGrid w:val="0"/>
          <w:lang w:val="en-GB"/>
        </w:rPr>
        <w:t>6.58</w:t>
      </w:r>
      <w:r>
        <w:rPr>
          <w:rFonts w:asciiTheme="minorHAnsi" w:hAnsiTheme="minorHAnsi"/>
          <w:snapToGrid w:val="0"/>
          <w:lang w:val="en-GB"/>
        </w:rPr>
        <w:fldChar w:fldCharType="end"/>
      </w:r>
      <w:r>
        <w:rPr>
          <w:rFonts w:asciiTheme="minorHAnsi" w:hAnsiTheme="minorHAnsi"/>
          <w:snapToGrid w:val="0"/>
          <w:lang w:val="en-GB"/>
        </w:rPr>
        <w:t>), the PBAC agreed with the ESC and advised that the trial-based utility should be applied for the pre-progression health state (0.692) and that the relative utility decrement (-0.278) from Fordham 2015 should be applied to determine the post-progression utility (0.414).</w:t>
      </w:r>
      <w:bookmarkEnd w:id="106"/>
    </w:p>
    <w:p w14:paraId="40F95711" w14:textId="237B7BFB" w:rsidR="00D87267" w:rsidRPr="0011505F" w:rsidRDefault="00D87267" w:rsidP="0011505F">
      <w:pPr>
        <w:widowControl w:val="0"/>
        <w:numPr>
          <w:ilvl w:val="1"/>
          <w:numId w:val="1"/>
        </w:numPr>
        <w:spacing w:after="120"/>
        <w:ind w:left="720"/>
        <w:rPr>
          <w:rFonts w:asciiTheme="minorHAnsi" w:hAnsiTheme="minorHAnsi"/>
          <w:snapToGrid w:val="0"/>
          <w:lang w:val="en-GB"/>
        </w:rPr>
      </w:pPr>
      <w:r w:rsidRPr="0011505F">
        <w:rPr>
          <w:rFonts w:asciiTheme="minorHAnsi" w:hAnsiTheme="minorHAnsi"/>
          <w:snapToGrid w:val="0"/>
          <w:lang w:val="en-GB"/>
        </w:rPr>
        <w:t>The PBAC noted that the submission inappropriately applied the costs of post-progression therapies that were not PBS listed for the indication</w:t>
      </w:r>
      <w:r w:rsidR="0011505F" w:rsidRPr="0011505F">
        <w:rPr>
          <w:rFonts w:asciiTheme="minorHAnsi" w:hAnsiTheme="minorHAnsi"/>
          <w:snapToGrid w:val="0"/>
          <w:lang w:val="en-GB"/>
        </w:rPr>
        <w:t>, and that</w:t>
      </w:r>
      <w:r w:rsidR="00793CD6" w:rsidRPr="0011505F">
        <w:rPr>
          <w:rFonts w:asciiTheme="minorHAnsi" w:hAnsiTheme="minorHAnsi"/>
          <w:snapToGrid w:val="0"/>
          <w:lang w:val="en-GB"/>
        </w:rPr>
        <w:t xml:space="preserve"> this resulted in a cost offset for post-progression therapies of $14,912</w:t>
      </w:r>
      <w:r w:rsidR="0011505F" w:rsidRPr="0011505F">
        <w:rPr>
          <w:rFonts w:asciiTheme="minorHAnsi" w:hAnsiTheme="minorHAnsi"/>
          <w:snapToGrid w:val="0"/>
          <w:lang w:val="en-GB"/>
        </w:rPr>
        <w:t xml:space="preserve">. </w:t>
      </w:r>
      <w:r w:rsidRPr="0011505F">
        <w:rPr>
          <w:rFonts w:asciiTheme="minorHAnsi" w:hAnsiTheme="minorHAnsi"/>
          <w:snapToGrid w:val="0"/>
          <w:lang w:val="en-GB"/>
        </w:rPr>
        <w:t>The PBAC noted that the pre-PBAC response provided a revised base case in which the costs of post-progression surgery, radiotherapy and lenvatinib were included, stating that it was plausible that in the absence of any further treatment option, patients experiencing disease progression may continue lenvatinib.</w:t>
      </w:r>
      <w:r w:rsidR="0011505F" w:rsidRPr="0011505F">
        <w:rPr>
          <w:rFonts w:asciiTheme="minorHAnsi" w:hAnsiTheme="minorHAnsi"/>
          <w:snapToGrid w:val="0"/>
          <w:lang w:val="en-GB"/>
        </w:rPr>
        <w:t xml:space="preserve"> The PBAC noted for the revised base case </w:t>
      </w:r>
      <w:r w:rsidR="00993AD9">
        <w:rPr>
          <w:rFonts w:asciiTheme="minorHAnsi" w:hAnsiTheme="minorHAnsi"/>
          <w:snapToGrid w:val="0"/>
          <w:lang w:val="en-GB"/>
        </w:rPr>
        <w:t xml:space="preserve">a larger proportion of patients were eligible for </w:t>
      </w:r>
      <w:r w:rsidR="0011505F" w:rsidRPr="0011505F">
        <w:rPr>
          <w:rFonts w:asciiTheme="minorHAnsi" w:hAnsiTheme="minorHAnsi"/>
          <w:snapToGrid w:val="0"/>
          <w:lang w:val="en-GB"/>
        </w:rPr>
        <w:t xml:space="preserve">post progression </w:t>
      </w:r>
      <w:r w:rsidR="00993AD9">
        <w:rPr>
          <w:rFonts w:asciiTheme="minorHAnsi" w:hAnsiTheme="minorHAnsi"/>
          <w:snapToGrid w:val="0"/>
          <w:lang w:val="en-GB"/>
        </w:rPr>
        <w:t>treatment</w:t>
      </w:r>
      <w:r w:rsidR="00993AD9" w:rsidRPr="0011505F">
        <w:rPr>
          <w:rFonts w:asciiTheme="minorHAnsi" w:hAnsiTheme="minorHAnsi"/>
          <w:snapToGrid w:val="0"/>
          <w:lang w:val="en-GB"/>
        </w:rPr>
        <w:t xml:space="preserve"> </w:t>
      </w:r>
      <w:r w:rsidR="0011505F" w:rsidRPr="0011505F">
        <w:rPr>
          <w:rFonts w:asciiTheme="minorHAnsi" w:hAnsiTheme="minorHAnsi"/>
          <w:snapToGrid w:val="0"/>
          <w:lang w:val="en-GB"/>
        </w:rPr>
        <w:t>(</w:t>
      </w:r>
      <w:r w:rsidR="00846727">
        <w:rPr>
          <w:rFonts w:asciiTheme="minorHAnsi" w:hAnsiTheme="minorHAnsi"/>
          <w:snapToGrid w:val="0"/>
          <w:lang w:val="en-GB"/>
        </w:rPr>
        <w:t>37.0</w:t>
      </w:r>
      <w:r w:rsidR="0011505F" w:rsidRPr="0011505F">
        <w:rPr>
          <w:rFonts w:asciiTheme="minorHAnsi" w:hAnsiTheme="minorHAnsi"/>
          <w:snapToGrid w:val="0"/>
          <w:lang w:val="en-GB"/>
        </w:rPr>
        <w:t xml:space="preserve">% </w:t>
      </w:r>
      <w:r w:rsidR="00846727">
        <w:rPr>
          <w:rFonts w:asciiTheme="minorHAnsi" w:hAnsiTheme="minorHAnsi"/>
          <w:snapToGrid w:val="0"/>
          <w:lang w:val="en-GB"/>
        </w:rPr>
        <w:t>in the submissions base case versus</w:t>
      </w:r>
      <w:r w:rsidR="0011505F" w:rsidRPr="0011505F">
        <w:rPr>
          <w:rFonts w:asciiTheme="minorHAnsi" w:hAnsiTheme="minorHAnsi"/>
          <w:snapToGrid w:val="0"/>
          <w:lang w:val="en-GB"/>
        </w:rPr>
        <w:t xml:space="preserve"> </w:t>
      </w:r>
      <w:r w:rsidR="00846727">
        <w:rPr>
          <w:rFonts w:asciiTheme="minorHAnsi" w:hAnsiTheme="minorHAnsi"/>
          <w:snapToGrid w:val="0"/>
          <w:lang w:val="en-GB"/>
        </w:rPr>
        <w:t>74.6</w:t>
      </w:r>
      <w:r w:rsidR="0011505F" w:rsidRPr="0011505F">
        <w:rPr>
          <w:rFonts w:asciiTheme="minorHAnsi" w:hAnsiTheme="minorHAnsi"/>
          <w:snapToGrid w:val="0"/>
          <w:lang w:val="en-GB"/>
        </w:rPr>
        <w:t>%</w:t>
      </w:r>
      <w:r w:rsidR="00846727">
        <w:rPr>
          <w:rFonts w:asciiTheme="minorHAnsi" w:hAnsiTheme="minorHAnsi"/>
          <w:snapToGrid w:val="0"/>
          <w:lang w:val="en-GB"/>
        </w:rPr>
        <w:t xml:space="preserve"> in the pre-PBAC response</w:t>
      </w:r>
      <w:r w:rsidR="0011505F" w:rsidRPr="0011505F">
        <w:rPr>
          <w:rFonts w:asciiTheme="minorHAnsi" w:hAnsiTheme="minorHAnsi"/>
          <w:snapToGrid w:val="0"/>
          <w:lang w:val="en-GB"/>
        </w:rPr>
        <w:t xml:space="preserve">) and this increased the cost offset to $17,370. </w:t>
      </w:r>
      <w:r w:rsidR="0011505F">
        <w:rPr>
          <w:rFonts w:asciiTheme="minorHAnsi" w:hAnsiTheme="minorHAnsi"/>
          <w:snapToGrid w:val="0"/>
          <w:lang w:val="en-GB"/>
        </w:rPr>
        <w:t>The PBAC considered if lenvatinib is being used post-progression</w:t>
      </w:r>
      <w:r w:rsidR="00846727">
        <w:rPr>
          <w:rFonts w:asciiTheme="minorHAnsi" w:hAnsiTheme="minorHAnsi"/>
          <w:snapToGrid w:val="0"/>
          <w:lang w:val="en-GB"/>
        </w:rPr>
        <w:t>, then it</w:t>
      </w:r>
      <w:r w:rsidR="0011505F">
        <w:rPr>
          <w:rFonts w:asciiTheme="minorHAnsi" w:hAnsiTheme="minorHAnsi"/>
          <w:snapToGrid w:val="0"/>
          <w:lang w:val="en-GB"/>
        </w:rPr>
        <w:t xml:space="preserve"> would be appropriate to consider it as a comparator treatment rather than subsequent treatment, especially if used in the majority of patients as modelled.</w:t>
      </w:r>
      <w:r w:rsidRPr="0011505F">
        <w:rPr>
          <w:rFonts w:asciiTheme="minorHAnsi" w:hAnsiTheme="minorHAnsi"/>
          <w:snapToGrid w:val="0"/>
          <w:lang w:val="en-GB"/>
        </w:rPr>
        <w:t xml:space="preserve"> </w:t>
      </w:r>
      <w:r w:rsidR="0011505F">
        <w:rPr>
          <w:rFonts w:asciiTheme="minorHAnsi" w:hAnsiTheme="minorHAnsi"/>
          <w:snapToGrid w:val="0"/>
          <w:lang w:val="en-GB"/>
        </w:rPr>
        <w:t>Overall, t</w:t>
      </w:r>
      <w:r w:rsidRPr="0011505F">
        <w:rPr>
          <w:rFonts w:asciiTheme="minorHAnsi" w:hAnsiTheme="minorHAnsi"/>
          <w:snapToGrid w:val="0"/>
          <w:lang w:val="en-GB"/>
        </w:rPr>
        <w:t xml:space="preserve">he PBAC considered that </w:t>
      </w:r>
      <w:r w:rsidR="00C95F01">
        <w:rPr>
          <w:rFonts w:asciiTheme="minorHAnsi" w:hAnsiTheme="minorHAnsi"/>
          <w:snapToGrid w:val="0"/>
          <w:lang w:val="en-GB"/>
        </w:rPr>
        <w:t xml:space="preserve">the post progression costs </w:t>
      </w:r>
      <w:r w:rsidR="00F57C72">
        <w:rPr>
          <w:rFonts w:asciiTheme="minorHAnsi" w:hAnsiTheme="minorHAnsi"/>
          <w:snapToGrid w:val="0"/>
          <w:lang w:val="en-GB"/>
        </w:rPr>
        <w:t xml:space="preserve">as presented in the submissions and the pre-PBAC response were unreliable and </w:t>
      </w:r>
      <w:r w:rsidR="00C95F01">
        <w:rPr>
          <w:rFonts w:asciiTheme="minorHAnsi" w:hAnsiTheme="minorHAnsi"/>
          <w:snapToGrid w:val="0"/>
          <w:lang w:val="en-GB"/>
        </w:rPr>
        <w:t>should be excluded from the base case analysis</w:t>
      </w:r>
      <w:r w:rsidRPr="0011505F">
        <w:rPr>
          <w:rFonts w:asciiTheme="minorHAnsi" w:hAnsiTheme="minorHAnsi"/>
          <w:snapToGrid w:val="0"/>
          <w:lang w:val="en-GB"/>
        </w:rPr>
        <w:t>.</w:t>
      </w:r>
    </w:p>
    <w:p w14:paraId="1C736229" w14:textId="72AA6270" w:rsidR="00D87267" w:rsidRDefault="00D87267" w:rsidP="00427986">
      <w:pPr>
        <w:widowControl w:val="0"/>
        <w:numPr>
          <w:ilvl w:val="1"/>
          <w:numId w:val="1"/>
        </w:numPr>
        <w:spacing w:after="120"/>
        <w:ind w:left="720"/>
        <w:rPr>
          <w:rFonts w:asciiTheme="minorHAnsi" w:hAnsiTheme="minorHAnsi"/>
          <w:snapToGrid w:val="0"/>
          <w:lang w:val="en-GB"/>
        </w:rPr>
      </w:pPr>
      <w:bookmarkStart w:id="107" w:name="_Ref151121857"/>
      <w:r>
        <w:rPr>
          <w:rFonts w:asciiTheme="minorHAnsi" w:hAnsiTheme="minorHAnsi"/>
          <w:snapToGrid w:val="0"/>
          <w:lang w:val="en-GB"/>
        </w:rPr>
        <w:t xml:space="preserve">The PBAC considered that a more appropriate base case would </w:t>
      </w:r>
      <w:r w:rsidR="00846727">
        <w:rPr>
          <w:rFonts w:asciiTheme="minorHAnsi" w:hAnsiTheme="minorHAnsi"/>
          <w:snapToGrid w:val="0"/>
          <w:lang w:val="en-GB"/>
        </w:rPr>
        <w:t xml:space="preserve">be based on the subgroup of patients who had received prior lenvatinib only, </w:t>
      </w:r>
      <w:r>
        <w:rPr>
          <w:rFonts w:asciiTheme="minorHAnsi" w:hAnsiTheme="minorHAnsi"/>
          <w:snapToGrid w:val="0"/>
          <w:lang w:val="en-GB"/>
        </w:rPr>
        <w:t xml:space="preserve">apply the utility values as per paragraph </w:t>
      </w:r>
      <w:r w:rsidR="00846727">
        <w:rPr>
          <w:rFonts w:asciiTheme="minorHAnsi" w:hAnsiTheme="minorHAnsi"/>
          <w:snapToGrid w:val="0"/>
          <w:lang w:val="en-GB"/>
        </w:rPr>
        <w:fldChar w:fldCharType="begin" w:fldLock="1"/>
      </w:r>
      <w:r w:rsidR="00846727">
        <w:rPr>
          <w:rFonts w:asciiTheme="minorHAnsi" w:hAnsiTheme="minorHAnsi"/>
          <w:snapToGrid w:val="0"/>
          <w:lang w:val="en-GB"/>
        </w:rPr>
        <w:instrText xml:space="preserve"> REF _Ref151121761 \r \h </w:instrText>
      </w:r>
      <w:r w:rsidR="00846727">
        <w:rPr>
          <w:rFonts w:asciiTheme="minorHAnsi" w:hAnsiTheme="minorHAnsi"/>
          <w:snapToGrid w:val="0"/>
          <w:lang w:val="en-GB"/>
        </w:rPr>
      </w:r>
      <w:r w:rsidR="00846727">
        <w:rPr>
          <w:rFonts w:asciiTheme="minorHAnsi" w:hAnsiTheme="minorHAnsi"/>
          <w:snapToGrid w:val="0"/>
          <w:lang w:val="en-GB"/>
        </w:rPr>
        <w:fldChar w:fldCharType="separate"/>
      </w:r>
      <w:r w:rsidR="00993AD9">
        <w:rPr>
          <w:rFonts w:asciiTheme="minorHAnsi" w:hAnsiTheme="minorHAnsi"/>
          <w:snapToGrid w:val="0"/>
          <w:lang w:val="en-GB"/>
        </w:rPr>
        <w:t>7.13</w:t>
      </w:r>
      <w:r w:rsidR="00846727">
        <w:rPr>
          <w:rFonts w:asciiTheme="minorHAnsi" w:hAnsiTheme="minorHAnsi"/>
          <w:snapToGrid w:val="0"/>
          <w:lang w:val="en-GB"/>
        </w:rPr>
        <w:fldChar w:fldCharType="end"/>
      </w:r>
      <w:r>
        <w:rPr>
          <w:rFonts w:asciiTheme="minorHAnsi" w:hAnsiTheme="minorHAnsi"/>
          <w:snapToGrid w:val="0"/>
          <w:lang w:val="en-GB"/>
        </w:rPr>
        <w:t xml:space="preserve"> and </w:t>
      </w:r>
      <w:r w:rsidR="00846727">
        <w:rPr>
          <w:rFonts w:asciiTheme="minorHAnsi" w:hAnsiTheme="minorHAnsi"/>
          <w:snapToGrid w:val="0"/>
          <w:lang w:val="en-GB"/>
        </w:rPr>
        <w:t>remove all treatment costs from the post-progression health state</w:t>
      </w:r>
      <w:r>
        <w:rPr>
          <w:rFonts w:asciiTheme="minorHAnsi" w:hAnsiTheme="minorHAnsi"/>
          <w:snapToGrid w:val="0"/>
          <w:lang w:val="en-GB"/>
        </w:rPr>
        <w:t>.</w:t>
      </w:r>
      <w:r w:rsidR="002E0302">
        <w:rPr>
          <w:rFonts w:asciiTheme="minorHAnsi" w:hAnsiTheme="minorHAnsi"/>
          <w:snapToGrid w:val="0"/>
          <w:lang w:val="en-GB"/>
        </w:rPr>
        <w:t xml:space="preserve"> The PBAC noted the ICER for this scenario was $</w:t>
      </w:r>
      <w:r w:rsidR="00E774EB" w:rsidRPr="00E774EB">
        <w:rPr>
          <w:rFonts w:asciiTheme="minorHAnsi" w:hAnsiTheme="minorHAnsi"/>
          <w:snapToGrid w:val="0"/>
        </w:rPr>
        <w:t>155,000 to &lt; $255,000</w:t>
      </w:r>
      <w:r w:rsidR="00E774EB">
        <w:rPr>
          <w:rFonts w:asciiTheme="minorHAnsi" w:hAnsiTheme="minorHAnsi"/>
          <w:snapToGrid w:val="0"/>
        </w:rPr>
        <w:t xml:space="preserve"> </w:t>
      </w:r>
      <w:r w:rsidR="002E0302">
        <w:rPr>
          <w:rFonts w:asciiTheme="minorHAnsi" w:hAnsiTheme="minorHAnsi"/>
          <w:snapToGrid w:val="0"/>
          <w:lang w:val="en-GB"/>
        </w:rPr>
        <w:t>per QALY (</w:t>
      </w:r>
      <w:r w:rsidR="002E0302">
        <w:rPr>
          <w:rFonts w:asciiTheme="minorHAnsi" w:hAnsiTheme="minorHAnsi"/>
          <w:snapToGrid w:val="0"/>
          <w:lang w:val="en-GB"/>
        </w:rPr>
        <w:fldChar w:fldCharType="begin" w:fldLock="1"/>
      </w:r>
      <w:r w:rsidR="002E0302">
        <w:rPr>
          <w:rFonts w:asciiTheme="minorHAnsi" w:hAnsiTheme="minorHAnsi"/>
          <w:snapToGrid w:val="0"/>
          <w:lang w:val="en-GB"/>
        </w:rPr>
        <w:instrText xml:space="preserve"> REF _Ref104804865 \h  \* MERGEFORMAT </w:instrText>
      </w:r>
      <w:r w:rsidR="002E0302">
        <w:rPr>
          <w:rFonts w:asciiTheme="minorHAnsi" w:hAnsiTheme="minorHAnsi"/>
          <w:snapToGrid w:val="0"/>
          <w:lang w:val="en-GB"/>
        </w:rPr>
      </w:r>
      <w:r w:rsidR="002E0302">
        <w:rPr>
          <w:rFonts w:asciiTheme="minorHAnsi" w:hAnsiTheme="minorHAnsi"/>
          <w:snapToGrid w:val="0"/>
          <w:lang w:val="en-GB"/>
        </w:rPr>
        <w:fldChar w:fldCharType="separate"/>
      </w:r>
      <w:r w:rsidR="008760F8" w:rsidRPr="008760F8">
        <w:rPr>
          <w:rFonts w:asciiTheme="minorHAnsi" w:hAnsiTheme="minorHAnsi"/>
          <w:snapToGrid w:val="0"/>
          <w:lang w:val="en-GB"/>
        </w:rPr>
        <w:t>Table 20</w:t>
      </w:r>
      <w:r w:rsidR="002E0302">
        <w:rPr>
          <w:rFonts w:asciiTheme="minorHAnsi" w:hAnsiTheme="minorHAnsi"/>
          <w:snapToGrid w:val="0"/>
          <w:lang w:val="en-GB"/>
        </w:rPr>
        <w:fldChar w:fldCharType="end"/>
      </w:r>
      <w:r w:rsidR="002E0302">
        <w:rPr>
          <w:rFonts w:asciiTheme="minorHAnsi" w:hAnsiTheme="minorHAnsi"/>
          <w:snapToGrid w:val="0"/>
          <w:lang w:val="en-GB"/>
        </w:rPr>
        <w:t>) and considered a price reduction would be required for cabozantinib to be considered cost-effective.</w:t>
      </w:r>
      <w:r>
        <w:rPr>
          <w:rFonts w:asciiTheme="minorHAnsi" w:hAnsiTheme="minorHAnsi"/>
          <w:snapToGrid w:val="0"/>
          <w:lang w:val="en-GB"/>
        </w:rPr>
        <w:t xml:space="preserve"> </w:t>
      </w:r>
      <w:r w:rsidR="005E102C">
        <w:rPr>
          <w:rFonts w:asciiTheme="minorHAnsi" w:hAnsiTheme="minorHAnsi"/>
          <w:snapToGrid w:val="0"/>
          <w:lang w:val="en-GB"/>
        </w:rPr>
        <w:t>N</w:t>
      </w:r>
      <w:r>
        <w:rPr>
          <w:rFonts w:asciiTheme="minorHAnsi" w:hAnsiTheme="minorHAnsi"/>
          <w:snapToGrid w:val="0"/>
          <w:lang w:val="en-GB"/>
        </w:rPr>
        <w:t xml:space="preserve">oting the </w:t>
      </w:r>
      <w:r w:rsidR="00846727">
        <w:rPr>
          <w:rFonts w:asciiTheme="minorHAnsi" w:hAnsiTheme="minorHAnsi"/>
          <w:snapToGrid w:val="0"/>
          <w:lang w:val="en-GB"/>
        </w:rPr>
        <w:t>rare nature of RAI refractory or ineligible DTC</w:t>
      </w:r>
      <w:r w:rsidR="005E102C">
        <w:rPr>
          <w:rFonts w:asciiTheme="minorHAnsi" w:hAnsiTheme="minorHAnsi"/>
          <w:snapToGrid w:val="0"/>
          <w:lang w:val="en-GB"/>
        </w:rPr>
        <w:t>,</w:t>
      </w:r>
      <w:r w:rsidR="00846727">
        <w:rPr>
          <w:rFonts w:asciiTheme="minorHAnsi" w:hAnsiTheme="minorHAnsi"/>
          <w:snapToGrid w:val="0"/>
          <w:lang w:val="en-GB"/>
        </w:rPr>
        <w:t xml:space="preserve"> the poor prognosis following progression</w:t>
      </w:r>
      <w:r w:rsidR="00BC1720">
        <w:rPr>
          <w:rFonts w:asciiTheme="minorHAnsi" w:hAnsiTheme="minorHAnsi"/>
          <w:snapToGrid w:val="0"/>
          <w:lang w:val="en-GB"/>
        </w:rPr>
        <w:t>,</w:t>
      </w:r>
      <w:r w:rsidR="005E102C">
        <w:rPr>
          <w:rFonts w:asciiTheme="minorHAnsi" w:hAnsiTheme="minorHAnsi"/>
          <w:snapToGrid w:val="0"/>
          <w:lang w:val="en-GB"/>
        </w:rPr>
        <w:t xml:space="preserve"> the potentially conservative model assumptions with respect to use of the subgroup data and removal of all post progression costs</w:t>
      </w:r>
      <w:r w:rsidR="00BC1720">
        <w:rPr>
          <w:rFonts w:asciiTheme="minorHAnsi" w:hAnsiTheme="minorHAnsi"/>
          <w:snapToGrid w:val="0"/>
          <w:lang w:val="en-GB"/>
        </w:rPr>
        <w:t xml:space="preserve"> and the small budget impact</w:t>
      </w:r>
      <w:r>
        <w:rPr>
          <w:rFonts w:asciiTheme="minorHAnsi" w:hAnsiTheme="minorHAnsi"/>
          <w:snapToGrid w:val="0"/>
          <w:lang w:val="en-GB"/>
        </w:rPr>
        <w:t>, the PBAC considered that an ICER of less than $100,000 per QALY would be cost effective in this setting.</w:t>
      </w:r>
      <w:bookmarkEnd w:id="107"/>
    </w:p>
    <w:p w14:paraId="475A085D" w14:textId="47CE59D1" w:rsidR="00D87267" w:rsidRDefault="00D87267" w:rsidP="00D87267">
      <w:pPr>
        <w:widowControl w:val="0"/>
        <w:numPr>
          <w:ilvl w:val="1"/>
          <w:numId w:val="1"/>
        </w:numPr>
        <w:spacing w:after="120"/>
        <w:ind w:left="720"/>
        <w:rPr>
          <w:rFonts w:asciiTheme="minorHAnsi" w:hAnsiTheme="minorHAnsi"/>
          <w:snapToGrid w:val="0"/>
          <w:lang w:val="en-GB"/>
        </w:rPr>
      </w:pPr>
      <w:bookmarkStart w:id="108" w:name="_Ref151121924"/>
      <w:r>
        <w:rPr>
          <w:rFonts w:asciiTheme="minorHAnsi" w:hAnsiTheme="minorHAnsi"/>
          <w:snapToGrid w:val="0"/>
          <w:lang w:val="en-GB"/>
        </w:rPr>
        <w:t xml:space="preserve">The PBAC noted that the utilisation and financial impact estimates were overly complex and advised that a modified market share approach based on the utilisation </w:t>
      </w:r>
      <w:r>
        <w:rPr>
          <w:rFonts w:asciiTheme="minorHAnsi" w:hAnsiTheme="minorHAnsi"/>
          <w:snapToGrid w:val="0"/>
          <w:lang w:val="en-GB"/>
        </w:rPr>
        <w:lastRenderedPageBreak/>
        <w:t>data f</w:t>
      </w:r>
      <w:r w:rsidR="006E1447">
        <w:rPr>
          <w:rFonts w:asciiTheme="minorHAnsi" w:hAnsiTheme="minorHAnsi"/>
          <w:snapToGrid w:val="0"/>
          <w:lang w:val="en-GB"/>
        </w:rPr>
        <w:t>or</w:t>
      </w:r>
      <w:r>
        <w:rPr>
          <w:rFonts w:asciiTheme="minorHAnsi" w:hAnsiTheme="minorHAnsi"/>
          <w:snapToGrid w:val="0"/>
          <w:lang w:val="en-GB"/>
        </w:rPr>
        <w:t xml:space="preserve"> lenvatinib</w:t>
      </w:r>
      <w:r w:rsidR="008575B0">
        <w:rPr>
          <w:rFonts w:asciiTheme="minorHAnsi" w:hAnsiTheme="minorHAnsi"/>
          <w:snapToGrid w:val="0"/>
          <w:lang w:val="en-GB"/>
        </w:rPr>
        <w:t xml:space="preserve"> would be more reliable</w:t>
      </w:r>
      <w:r>
        <w:rPr>
          <w:rFonts w:asciiTheme="minorHAnsi" w:hAnsiTheme="minorHAnsi"/>
          <w:snapToGrid w:val="0"/>
          <w:lang w:val="en-GB"/>
        </w:rPr>
        <w:t xml:space="preserve">. The PBAC advised that </w:t>
      </w:r>
      <w:r w:rsidR="00B54FFE">
        <w:rPr>
          <w:rFonts w:asciiTheme="minorHAnsi" w:hAnsiTheme="minorHAnsi"/>
          <w:snapToGrid w:val="0"/>
          <w:lang w:val="en-GB"/>
        </w:rPr>
        <w:t xml:space="preserve">if this approach was adopted, then </w:t>
      </w:r>
      <w:r>
        <w:rPr>
          <w:rFonts w:asciiTheme="minorHAnsi" w:hAnsiTheme="minorHAnsi"/>
          <w:snapToGrid w:val="0"/>
          <w:lang w:val="en-GB"/>
        </w:rPr>
        <w:t>an average of incident lenvatinib patients from 2020 to 2023 could be used as a base</w:t>
      </w:r>
      <w:r w:rsidR="00846727">
        <w:rPr>
          <w:rFonts w:asciiTheme="minorHAnsi" w:hAnsiTheme="minorHAnsi"/>
          <w:snapToGrid w:val="0"/>
          <w:lang w:val="en-GB"/>
        </w:rPr>
        <w:t xml:space="preserve">. The PBAC considered that </w:t>
      </w:r>
      <w:r>
        <w:rPr>
          <w:rFonts w:asciiTheme="minorHAnsi" w:hAnsiTheme="minorHAnsi"/>
          <w:snapToGrid w:val="0"/>
          <w:lang w:val="en-GB"/>
        </w:rPr>
        <w:t xml:space="preserve">approximately 60% </w:t>
      </w:r>
      <w:r w:rsidR="00846727">
        <w:rPr>
          <w:rFonts w:asciiTheme="minorHAnsi" w:hAnsiTheme="minorHAnsi"/>
          <w:snapToGrid w:val="0"/>
          <w:lang w:val="en-GB"/>
        </w:rPr>
        <w:t xml:space="preserve">of </w:t>
      </w:r>
      <w:r w:rsidR="00BC1720">
        <w:rPr>
          <w:rFonts w:asciiTheme="minorHAnsi" w:hAnsiTheme="minorHAnsi"/>
          <w:snapToGrid w:val="0"/>
          <w:lang w:val="en-GB"/>
        </w:rPr>
        <w:t xml:space="preserve">patients who received lenvatinib would be </w:t>
      </w:r>
      <w:r w:rsidR="00846727">
        <w:rPr>
          <w:rFonts w:asciiTheme="minorHAnsi" w:hAnsiTheme="minorHAnsi"/>
          <w:snapToGrid w:val="0"/>
          <w:lang w:val="en-GB"/>
        </w:rPr>
        <w:t xml:space="preserve">eligible </w:t>
      </w:r>
      <w:r>
        <w:rPr>
          <w:rFonts w:asciiTheme="minorHAnsi" w:hAnsiTheme="minorHAnsi"/>
          <w:snapToGrid w:val="0"/>
          <w:lang w:val="en-GB"/>
        </w:rPr>
        <w:t xml:space="preserve">to receive </w:t>
      </w:r>
      <w:r w:rsidR="00BC1720">
        <w:rPr>
          <w:rFonts w:asciiTheme="minorHAnsi" w:hAnsiTheme="minorHAnsi"/>
          <w:snapToGrid w:val="0"/>
          <w:lang w:val="en-GB"/>
        </w:rPr>
        <w:t xml:space="preserve">second line </w:t>
      </w:r>
      <w:r w:rsidR="00846727">
        <w:rPr>
          <w:rFonts w:asciiTheme="minorHAnsi" w:hAnsiTheme="minorHAnsi"/>
          <w:snapToGrid w:val="0"/>
          <w:lang w:val="en-GB"/>
        </w:rPr>
        <w:t>cabozantinib</w:t>
      </w:r>
      <w:r>
        <w:rPr>
          <w:rFonts w:asciiTheme="minorHAnsi" w:hAnsiTheme="minorHAnsi"/>
          <w:snapToGrid w:val="0"/>
          <w:lang w:val="en-GB"/>
        </w:rPr>
        <w:t xml:space="preserve"> (based on the clinician hearing). </w:t>
      </w:r>
      <w:bookmarkEnd w:id="108"/>
    </w:p>
    <w:p w14:paraId="11F6A25F" w14:textId="2C6C4CE3" w:rsidR="00D87267" w:rsidRDefault="000E709B" w:rsidP="00D87267">
      <w:pPr>
        <w:widowControl w:val="0"/>
        <w:numPr>
          <w:ilvl w:val="1"/>
          <w:numId w:val="1"/>
        </w:numPr>
        <w:spacing w:after="120"/>
        <w:ind w:left="720"/>
        <w:rPr>
          <w:rFonts w:asciiTheme="minorHAnsi" w:hAnsiTheme="minorHAnsi"/>
          <w:snapToGrid w:val="0"/>
          <w:lang w:val="en-GB"/>
        </w:rPr>
      </w:pPr>
      <w:bookmarkStart w:id="109" w:name="_Ref151122278"/>
      <w:r>
        <w:rPr>
          <w:rFonts w:asciiTheme="minorHAnsi" w:hAnsiTheme="minorHAnsi"/>
          <w:snapToGrid w:val="0"/>
          <w:lang w:val="en-GB"/>
        </w:rPr>
        <w:t>In terms of the proposed restriction, the PBAC considered that the addition that patients must have thyroid stimulating hormone adequately repressed was appropriate</w:t>
      </w:r>
      <w:r w:rsidR="00D87267">
        <w:rPr>
          <w:rFonts w:asciiTheme="minorHAnsi" w:hAnsiTheme="minorHAnsi"/>
          <w:snapToGrid w:val="0"/>
          <w:lang w:val="en-GB"/>
        </w:rPr>
        <w:t>; however, t</w:t>
      </w:r>
      <w:r>
        <w:rPr>
          <w:rFonts w:asciiTheme="minorHAnsi" w:hAnsiTheme="minorHAnsi"/>
          <w:snapToGrid w:val="0"/>
          <w:lang w:val="en-GB"/>
        </w:rPr>
        <w:t xml:space="preserve">he PBAC did not support treatment beyond progression. </w:t>
      </w:r>
      <w:r w:rsidR="00D87267">
        <w:rPr>
          <w:rFonts w:asciiTheme="minorHAnsi" w:hAnsiTheme="minorHAnsi"/>
          <w:snapToGrid w:val="0"/>
          <w:lang w:val="en-GB"/>
        </w:rPr>
        <w:t xml:space="preserve">The PBAC </w:t>
      </w:r>
      <w:r w:rsidR="005577D0">
        <w:rPr>
          <w:rFonts w:asciiTheme="minorHAnsi" w:hAnsiTheme="minorHAnsi"/>
          <w:snapToGrid w:val="0"/>
          <w:lang w:val="en-GB"/>
        </w:rPr>
        <w:t xml:space="preserve">also </w:t>
      </w:r>
      <w:r w:rsidR="00D87267">
        <w:rPr>
          <w:rFonts w:asciiTheme="minorHAnsi" w:hAnsiTheme="minorHAnsi"/>
          <w:snapToGrid w:val="0"/>
          <w:lang w:val="en-GB"/>
        </w:rPr>
        <w:t xml:space="preserve">considered that the other revisions </w:t>
      </w:r>
      <w:r w:rsidR="005577D0">
        <w:rPr>
          <w:rFonts w:asciiTheme="minorHAnsi" w:hAnsiTheme="minorHAnsi"/>
          <w:snapToGrid w:val="0"/>
          <w:lang w:val="en-GB"/>
        </w:rPr>
        <w:t xml:space="preserve">outlined in Section 3 and </w:t>
      </w:r>
      <w:r w:rsidR="00D87267">
        <w:rPr>
          <w:rFonts w:asciiTheme="minorHAnsi" w:hAnsiTheme="minorHAnsi"/>
          <w:snapToGrid w:val="0"/>
          <w:lang w:val="en-GB"/>
        </w:rPr>
        <w:t>supported in the pre-Sub-Committee response should also be included in a revised restriction.</w:t>
      </w:r>
      <w:bookmarkEnd w:id="109"/>
    </w:p>
    <w:p w14:paraId="532E17BA" w14:textId="10A1DCA8" w:rsidR="00D87267" w:rsidRDefault="00427986" w:rsidP="00D87267">
      <w:pPr>
        <w:widowControl w:val="0"/>
        <w:numPr>
          <w:ilvl w:val="1"/>
          <w:numId w:val="1"/>
        </w:numPr>
        <w:spacing w:after="120"/>
        <w:ind w:left="720"/>
        <w:rPr>
          <w:rFonts w:asciiTheme="minorHAnsi" w:hAnsiTheme="minorHAnsi"/>
          <w:snapToGrid w:val="0"/>
          <w:lang w:val="en-GB"/>
        </w:rPr>
      </w:pPr>
      <w:r w:rsidRPr="00D87267">
        <w:rPr>
          <w:rFonts w:asciiTheme="minorHAnsi" w:hAnsiTheme="minorHAnsi"/>
          <w:snapToGrid w:val="0"/>
          <w:lang w:val="en-GB"/>
        </w:rPr>
        <w:t xml:space="preserve">The PBAC considered the outstanding issues could be easily resolved in a simple resubmission for </w:t>
      </w:r>
      <w:r w:rsidR="00D87267">
        <w:rPr>
          <w:rFonts w:asciiTheme="minorHAnsi" w:hAnsiTheme="minorHAnsi"/>
          <w:snapToGrid w:val="0"/>
          <w:lang w:val="en-GB"/>
        </w:rPr>
        <w:t>cabozantinib</w:t>
      </w:r>
      <w:r w:rsidR="00B54FFE">
        <w:rPr>
          <w:rFonts w:asciiTheme="minorHAnsi" w:hAnsiTheme="minorHAnsi"/>
          <w:snapToGrid w:val="0"/>
          <w:lang w:val="en-GB"/>
        </w:rPr>
        <w:t xml:space="preserve"> </w:t>
      </w:r>
      <w:r w:rsidRPr="00D87267">
        <w:rPr>
          <w:rFonts w:asciiTheme="minorHAnsi" w:hAnsiTheme="minorHAnsi"/>
          <w:snapToGrid w:val="0"/>
          <w:lang w:val="en-GB"/>
        </w:rPr>
        <w:t>using the early re-entry pathway. If the sponsor accepts this pathway, the following changes may address these outstanding issues without requiring further re-evaluation</w:t>
      </w:r>
      <w:r w:rsidR="00D87267">
        <w:rPr>
          <w:rFonts w:asciiTheme="minorHAnsi" w:hAnsiTheme="minorHAnsi"/>
          <w:snapToGrid w:val="0"/>
          <w:lang w:val="en-GB"/>
        </w:rPr>
        <w:t>:</w:t>
      </w:r>
    </w:p>
    <w:p w14:paraId="79A44454" w14:textId="7474E2FC" w:rsidR="00D87267" w:rsidRDefault="00D87267" w:rsidP="00D87267">
      <w:pPr>
        <w:widowControl w:val="0"/>
        <w:numPr>
          <w:ilvl w:val="1"/>
          <w:numId w:val="32"/>
        </w:numPr>
        <w:spacing w:after="120"/>
        <w:ind w:left="1080"/>
        <w:rPr>
          <w:rFonts w:asciiTheme="minorHAnsi" w:hAnsiTheme="minorHAnsi"/>
          <w:snapToGrid w:val="0"/>
          <w:lang w:val="en-GB"/>
        </w:rPr>
      </w:pPr>
      <w:r>
        <w:rPr>
          <w:rFonts w:asciiTheme="minorHAnsi" w:hAnsiTheme="minorHAnsi"/>
          <w:snapToGrid w:val="0"/>
          <w:lang w:val="en-GB"/>
        </w:rPr>
        <w:t xml:space="preserve">Present a revised economic model as per the recommendations in paragraph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_Ref151121857 \r \h </w:instrText>
      </w:r>
      <w:r>
        <w:rPr>
          <w:rFonts w:asciiTheme="minorHAnsi" w:hAnsiTheme="minorHAnsi"/>
          <w:snapToGrid w:val="0"/>
          <w:lang w:val="en-GB"/>
        </w:rPr>
      </w:r>
      <w:r>
        <w:rPr>
          <w:rFonts w:asciiTheme="minorHAnsi" w:hAnsiTheme="minorHAnsi"/>
          <w:snapToGrid w:val="0"/>
          <w:lang w:val="en-GB"/>
        </w:rPr>
        <w:fldChar w:fldCharType="separate"/>
      </w:r>
      <w:r w:rsidR="00846727">
        <w:rPr>
          <w:rFonts w:asciiTheme="minorHAnsi" w:hAnsiTheme="minorHAnsi"/>
          <w:snapToGrid w:val="0"/>
          <w:lang w:val="en-GB"/>
        </w:rPr>
        <w:t>7.15</w:t>
      </w:r>
      <w:r>
        <w:rPr>
          <w:rFonts w:asciiTheme="minorHAnsi" w:hAnsiTheme="minorHAnsi"/>
          <w:snapToGrid w:val="0"/>
          <w:lang w:val="en-GB"/>
        </w:rPr>
        <w:fldChar w:fldCharType="end"/>
      </w:r>
      <w:r>
        <w:rPr>
          <w:rFonts w:asciiTheme="minorHAnsi" w:hAnsiTheme="minorHAnsi"/>
          <w:snapToGrid w:val="0"/>
          <w:lang w:val="en-GB"/>
        </w:rPr>
        <w:t>;</w:t>
      </w:r>
    </w:p>
    <w:p w14:paraId="1A3FD21F" w14:textId="1E669694" w:rsidR="00D87267" w:rsidRDefault="00D87267" w:rsidP="00D87267">
      <w:pPr>
        <w:widowControl w:val="0"/>
        <w:numPr>
          <w:ilvl w:val="1"/>
          <w:numId w:val="32"/>
        </w:numPr>
        <w:spacing w:after="120"/>
        <w:ind w:left="1080"/>
        <w:rPr>
          <w:rFonts w:asciiTheme="minorHAnsi" w:hAnsiTheme="minorHAnsi"/>
          <w:snapToGrid w:val="0"/>
          <w:lang w:val="en-GB"/>
        </w:rPr>
      </w:pPr>
      <w:r>
        <w:rPr>
          <w:rFonts w:asciiTheme="minorHAnsi" w:hAnsiTheme="minorHAnsi"/>
          <w:snapToGrid w:val="0"/>
          <w:lang w:val="en-GB"/>
        </w:rPr>
        <w:t xml:space="preserve">Present revised financial estimates as outlined in paragraph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_Ref151121924 \r \h </w:instrText>
      </w:r>
      <w:r>
        <w:rPr>
          <w:rFonts w:asciiTheme="minorHAnsi" w:hAnsiTheme="minorHAnsi"/>
          <w:snapToGrid w:val="0"/>
          <w:lang w:val="en-GB"/>
        </w:rPr>
      </w:r>
      <w:r>
        <w:rPr>
          <w:rFonts w:asciiTheme="minorHAnsi" w:hAnsiTheme="minorHAnsi"/>
          <w:snapToGrid w:val="0"/>
          <w:lang w:val="en-GB"/>
        </w:rPr>
        <w:fldChar w:fldCharType="separate"/>
      </w:r>
      <w:r w:rsidR="00846727">
        <w:rPr>
          <w:rFonts w:asciiTheme="minorHAnsi" w:hAnsiTheme="minorHAnsi"/>
          <w:snapToGrid w:val="0"/>
          <w:lang w:val="en-GB"/>
        </w:rPr>
        <w:t>7.16</w:t>
      </w:r>
      <w:r>
        <w:rPr>
          <w:rFonts w:asciiTheme="minorHAnsi" w:hAnsiTheme="minorHAnsi"/>
          <w:snapToGrid w:val="0"/>
          <w:lang w:val="en-GB"/>
        </w:rPr>
        <w:fldChar w:fldCharType="end"/>
      </w:r>
      <w:r>
        <w:rPr>
          <w:rFonts w:asciiTheme="minorHAnsi" w:hAnsiTheme="minorHAnsi"/>
          <w:snapToGrid w:val="0"/>
          <w:lang w:val="en-GB"/>
        </w:rPr>
        <w:t xml:space="preserve">; and </w:t>
      </w:r>
    </w:p>
    <w:p w14:paraId="62E87622" w14:textId="60AB7139" w:rsidR="00427986" w:rsidRPr="00D87267" w:rsidRDefault="00D87267" w:rsidP="00D87267">
      <w:pPr>
        <w:widowControl w:val="0"/>
        <w:numPr>
          <w:ilvl w:val="1"/>
          <w:numId w:val="32"/>
        </w:numPr>
        <w:spacing w:after="120"/>
        <w:ind w:left="1080"/>
        <w:rPr>
          <w:rFonts w:asciiTheme="minorHAnsi" w:hAnsiTheme="minorHAnsi"/>
          <w:snapToGrid w:val="0"/>
          <w:lang w:val="en-GB"/>
        </w:rPr>
      </w:pPr>
      <w:r>
        <w:rPr>
          <w:rFonts w:asciiTheme="minorHAnsi" w:hAnsiTheme="minorHAnsi"/>
          <w:snapToGrid w:val="0"/>
          <w:lang w:val="en-GB"/>
        </w:rPr>
        <w:t xml:space="preserve">Present a revised restriction as outlined in paragraph </w:t>
      </w:r>
      <w:r>
        <w:rPr>
          <w:rFonts w:asciiTheme="minorHAnsi" w:hAnsiTheme="minorHAnsi"/>
          <w:snapToGrid w:val="0"/>
          <w:lang w:val="en-GB"/>
        </w:rPr>
        <w:fldChar w:fldCharType="begin" w:fldLock="1"/>
      </w:r>
      <w:r>
        <w:rPr>
          <w:rFonts w:asciiTheme="minorHAnsi" w:hAnsiTheme="minorHAnsi"/>
          <w:snapToGrid w:val="0"/>
          <w:lang w:val="en-GB"/>
        </w:rPr>
        <w:instrText xml:space="preserve"> REF _Ref151122278 \r \h </w:instrText>
      </w:r>
      <w:r>
        <w:rPr>
          <w:rFonts w:asciiTheme="minorHAnsi" w:hAnsiTheme="minorHAnsi"/>
          <w:snapToGrid w:val="0"/>
          <w:lang w:val="en-GB"/>
        </w:rPr>
      </w:r>
      <w:r>
        <w:rPr>
          <w:rFonts w:asciiTheme="minorHAnsi" w:hAnsiTheme="minorHAnsi"/>
          <w:snapToGrid w:val="0"/>
          <w:lang w:val="en-GB"/>
        </w:rPr>
        <w:fldChar w:fldCharType="separate"/>
      </w:r>
      <w:r w:rsidR="00846727">
        <w:rPr>
          <w:rFonts w:asciiTheme="minorHAnsi" w:hAnsiTheme="minorHAnsi"/>
          <w:snapToGrid w:val="0"/>
          <w:lang w:val="en-GB"/>
        </w:rPr>
        <w:t>7.17</w:t>
      </w:r>
      <w:r>
        <w:rPr>
          <w:rFonts w:asciiTheme="minorHAnsi" w:hAnsiTheme="minorHAnsi"/>
          <w:snapToGrid w:val="0"/>
          <w:lang w:val="en-GB"/>
        </w:rPr>
        <w:fldChar w:fldCharType="end"/>
      </w:r>
      <w:r>
        <w:rPr>
          <w:rFonts w:asciiTheme="minorHAnsi" w:hAnsiTheme="minorHAnsi"/>
          <w:snapToGrid w:val="0"/>
          <w:lang w:val="en-GB"/>
        </w:rPr>
        <w:t>.</w:t>
      </w:r>
    </w:p>
    <w:p w14:paraId="7196FAE0" w14:textId="7A9493B3" w:rsidR="00427986" w:rsidRDefault="00427986" w:rsidP="00D87267">
      <w:pPr>
        <w:widowControl w:val="0"/>
        <w:spacing w:after="120"/>
        <w:ind w:left="720"/>
        <w:rPr>
          <w:rFonts w:asciiTheme="minorHAnsi" w:hAnsiTheme="minorHAnsi"/>
          <w:snapToGrid w:val="0"/>
          <w:lang w:val="en-GB"/>
        </w:rPr>
      </w:pPr>
      <w:r w:rsidRPr="00783D74">
        <w:rPr>
          <w:rFonts w:asciiTheme="minorHAnsi" w:hAnsiTheme="minorHAnsi"/>
          <w:snapToGrid w:val="0"/>
          <w:lang w:val="en-GB"/>
        </w:rPr>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5AE63AAF" w14:textId="0D8F582E" w:rsidR="00427986" w:rsidRPr="007B25A2" w:rsidRDefault="00427986" w:rsidP="00D22B13">
      <w:pPr>
        <w:widowControl w:val="0"/>
        <w:numPr>
          <w:ilvl w:val="1"/>
          <w:numId w:val="1"/>
        </w:numPr>
        <w:spacing w:after="120"/>
        <w:ind w:left="720"/>
        <w:rPr>
          <w:rFonts w:asciiTheme="minorHAnsi" w:hAnsiTheme="minorHAnsi"/>
          <w:bCs/>
          <w:snapToGrid w:val="0"/>
          <w:lang w:val="en-GB"/>
        </w:rPr>
      </w:pPr>
      <w:r w:rsidRPr="00525B39">
        <w:rPr>
          <w:rFonts w:asciiTheme="minorHAnsi" w:hAnsiTheme="minorHAnsi"/>
          <w:bCs/>
          <w:snapToGrid w:val="0"/>
          <w:lang w:val="en-GB"/>
        </w:rPr>
        <w:t xml:space="preserve">The PBAC noted that this submission is eligible for an Independent Review. </w:t>
      </w:r>
    </w:p>
    <w:p w14:paraId="4D6634EC" w14:textId="77777777" w:rsidR="00427986" w:rsidRPr="00525B39" w:rsidRDefault="00427986" w:rsidP="00427986">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68E61086" w14:textId="4F3688FE" w:rsidR="00CD2A7C" w:rsidRPr="00CD2A7C" w:rsidRDefault="00427986" w:rsidP="00CD2A7C">
      <w:pPr>
        <w:rPr>
          <w:rFonts w:asciiTheme="minorHAnsi" w:hAnsiTheme="minorHAnsi"/>
          <w:bCs/>
          <w:snapToGrid w:val="0"/>
        </w:rPr>
      </w:pPr>
      <w:r>
        <w:rPr>
          <w:rFonts w:asciiTheme="minorHAnsi" w:hAnsiTheme="minorHAnsi"/>
          <w:bCs/>
          <w:snapToGrid w:val="0"/>
          <w:lang w:val="en-GB"/>
        </w:rPr>
        <w:t>Not recommended</w:t>
      </w:r>
      <w:r w:rsidRPr="00525B39">
        <w:rPr>
          <w:rFonts w:asciiTheme="minorHAnsi" w:hAnsiTheme="minorHAnsi"/>
          <w:bCs/>
          <w:snapToGrid w:val="0"/>
          <w:lang w:val="en-GB"/>
        </w:rPr>
        <w:t xml:space="preserve"> </w:t>
      </w:r>
    </w:p>
    <w:p w14:paraId="5D14D54C" w14:textId="77777777" w:rsidR="00CD2A7C" w:rsidRPr="00CD2A7C" w:rsidRDefault="00CD2A7C" w:rsidP="00CD2A7C">
      <w:pPr>
        <w:pStyle w:val="2-SectionHeading"/>
      </w:pPr>
      <w:r w:rsidRPr="00CD2A7C">
        <w:t>Context for Decision</w:t>
      </w:r>
    </w:p>
    <w:p w14:paraId="03479EAD" w14:textId="77777777" w:rsidR="00CD2A7C" w:rsidRPr="00CD2A7C" w:rsidRDefault="00CD2A7C" w:rsidP="00CD2A7C">
      <w:pPr>
        <w:spacing w:after="120"/>
        <w:ind w:left="720"/>
        <w:rPr>
          <w:rFonts w:asciiTheme="minorHAnsi" w:hAnsiTheme="minorHAnsi"/>
          <w:bCs/>
          <w:lang w:val="en-GB"/>
        </w:rPr>
      </w:pPr>
      <w:r w:rsidRPr="00CD2A7C">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D9F130F" w14:textId="77777777" w:rsidR="00CD2A7C" w:rsidRPr="00CD2A7C" w:rsidRDefault="00CD2A7C" w:rsidP="00CD2A7C">
      <w:pPr>
        <w:pStyle w:val="2-SectionHeading"/>
      </w:pPr>
      <w:r w:rsidRPr="00CD2A7C">
        <w:t>Sponsor’s Comment</w:t>
      </w:r>
    </w:p>
    <w:p w14:paraId="2BACCE78" w14:textId="3AA679B0" w:rsidR="00427986" w:rsidRPr="0046550E" w:rsidRDefault="00CD2A7C" w:rsidP="00993B20">
      <w:pPr>
        <w:spacing w:after="120" w:line="259" w:lineRule="auto"/>
        <w:ind w:firstLine="720"/>
        <w:jc w:val="left"/>
        <w:rPr>
          <w:rFonts w:eastAsiaTheme="minorHAnsi" w:cs="Times New Roman"/>
          <w:b/>
          <w:i/>
          <w:lang w:eastAsia="en-US"/>
        </w:rPr>
      </w:pPr>
      <w:r w:rsidRPr="00CD2A7C">
        <w:rPr>
          <w:rFonts w:asciiTheme="minorHAnsi" w:eastAsiaTheme="minorHAnsi" w:hAnsiTheme="minorHAnsi"/>
          <w:bCs/>
          <w:szCs w:val="22"/>
          <w:lang w:eastAsia="en-US"/>
        </w:rPr>
        <w:t>The sponsor had no comment.</w:t>
      </w:r>
      <w:bookmarkEnd w:id="104"/>
      <w:bookmarkEnd w:id="105"/>
    </w:p>
    <w:sectPr w:rsidR="00427986" w:rsidRPr="0046550E" w:rsidSect="0023484B">
      <w:headerReference w:type="even" r:id="rId19"/>
      <w:headerReference w:type="default" r:id="rId20"/>
      <w:footerReference w:type="even" r:id="rId21"/>
      <w:footerReference w:type="default" r:id="rId22"/>
      <w:headerReference w:type="first" r:id="rId23"/>
      <w:footerReference w:type="first" r:id="rId24"/>
      <w:pgSz w:w="11907" w:h="16840"/>
      <w:pgMar w:top="1440" w:right="1440" w:bottom="1440" w:left="1440" w:header="1440" w:footer="14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E7E1E" w14:textId="77777777" w:rsidR="00623F16" w:rsidRDefault="00623F16" w:rsidP="00124A51">
      <w:r>
        <w:separator/>
      </w:r>
    </w:p>
    <w:p w14:paraId="448912C0" w14:textId="77777777" w:rsidR="00623F16" w:rsidRDefault="00623F16"/>
  </w:endnote>
  <w:endnote w:type="continuationSeparator" w:id="0">
    <w:p w14:paraId="153009C4" w14:textId="77777777" w:rsidR="00623F16" w:rsidRDefault="00623F16" w:rsidP="00124A51">
      <w:r>
        <w:continuationSeparator/>
      </w:r>
    </w:p>
    <w:p w14:paraId="6EF35CD9" w14:textId="77777777" w:rsidR="00623F16" w:rsidRDefault="00623F16"/>
  </w:endnote>
  <w:endnote w:type="continuationNotice" w:id="1">
    <w:p w14:paraId="246C6506" w14:textId="77777777" w:rsidR="00623F16" w:rsidRDefault="00623F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Bold">
    <w:panose1 w:val="020B0704020202020204"/>
    <w:charset w:val="59"/>
    <w:family w:val="auto"/>
    <w:pitch w:val="variable"/>
    <w:sig w:usb0="00000000"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96E03" w14:textId="77777777" w:rsidR="00B1620B" w:rsidRDefault="00B16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D843F2" w:rsidRDefault="00D843F2" w:rsidP="00753B29">
    <w:pPr>
      <w:pStyle w:val="Footer"/>
      <w:jc w:val="center"/>
    </w:pPr>
  </w:p>
  <w:p w14:paraId="37484CD3" w14:textId="101793BE" w:rsidR="00D843F2" w:rsidRPr="007C1CD9" w:rsidRDefault="00737A69" w:rsidP="00753B29">
    <w:pPr>
      <w:pStyle w:val="Footer"/>
      <w:jc w:val="center"/>
    </w:pPr>
    <w:sdt>
      <w:sdtPr>
        <w:id w:val="1036156457"/>
        <w:docPartObj>
          <w:docPartGallery w:val="Page Numbers (Bottom of Page)"/>
          <w:docPartUnique/>
        </w:docPartObj>
      </w:sdtPr>
      <w:sdtEndPr>
        <w:rPr>
          <w:noProof/>
        </w:rPr>
      </w:sdtEndPr>
      <w:sdtContent>
        <w:r w:rsidR="00D843F2" w:rsidRPr="00427986">
          <w:rPr>
            <w:b/>
            <w:bCs/>
          </w:rPr>
          <w:fldChar w:fldCharType="begin"/>
        </w:r>
        <w:r w:rsidR="00D843F2" w:rsidRPr="00427986">
          <w:rPr>
            <w:b/>
            <w:bCs/>
          </w:rPr>
          <w:instrText xml:space="preserve"> PAGE   \* MERGEFORMAT </w:instrText>
        </w:r>
        <w:r w:rsidR="00D843F2" w:rsidRPr="00427986">
          <w:rPr>
            <w:b/>
            <w:bCs/>
          </w:rPr>
          <w:fldChar w:fldCharType="separate"/>
        </w:r>
        <w:r w:rsidR="00D843F2" w:rsidRPr="00427986">
          <w:rPr>
            <w:b/>
            <w:bCs/>
            <w:noProof/>
          </w:rPr>
          <w:t>2</w:t>
        </w:r>
        <w:r w:rsidR="00D843F2" w:rsidRPr="00427986">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A1C3E" w14:textId="77777777" w:rsidR="00B1620B" w:rsidRDefault="00B16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F153A" w14:textId="77777777" w:rsidR="00623F16" w:rsidRDefault="00623F16" w:rsidP="00124A51">
      <w:r>
        <w:separator/>
      </w:r>
    </w:p>
    <w:p w14:paraId="48AE46CF" w14:textId="77777777" w:rsidR="00623F16" w:rsidRDefault="00623F16"/>
  </w:footnote>
  <w:footnote w:type="continuationSeparator" w:id="0">
    <w:p w14:paraId="71958A90" w14:textId="77777777" w:rsidR="00623F16" w:rsidRDefault="00623F16" w:rsidP="00124A51">
      <w:r>
        <w:continuationSeparator/>
      </w:r>
    </w:p>
    <w:p w14:paraId="10F197F3" w14:textId="77777777" w:rsidR="00623F16" w:rsidRDefault="00623F16"/>
  </w:footnote>
  <w:footnote w:type="continuationNotice" w:id="1">
    <w:p w14:paraId="17A26AFF" w14:textId="77777777" w:rsidR="00623F16" w:rsidRDefault="00623F16"/>
  </w:footnote>
  <w:footnote w:id="2">
    <w:p w14:paraId="0E04F98A" w14:textId="175C9C02" w:rsidR="00F6447F" w:rsidRPr="00F6447F" w:rsidRDefault="00F6447F" w:rsidP="00BC112D">
      <w:pPr>
        <w:pStyle w:val="TableFigureFooter"/>
        <w:rPr>
          <w:lang w:val="en-US"/>
        </w:rPr>
      </w:pPr>
      <w:r>
        <w:rPr>
          <w:rStyle w:val="FootnoteReference"/>
        </w:rPr>
        <w:footnoteRef/>
      </w:r>
      <w:r>
        <w:t xml:space="preserve"> World Health Organisation (WHO). International Agency for Research on Cancer. </w:t>
      </w:r>
      <w:hyperlink r:id="rId1" w:history="1">
        <w:r w:rsidRPr="007678EA">
          <w:rPr>
            <w:rStyle w:val="Hyperlink"/>
            <w:i/>
            <w:iCs/>
          </w:rPr>
          <w:t>The Global Cancer Observatory.</w:t>
        </w:r>
      </w:hyperlink>
      <w:r>
        <w:t xml:space="preserve"> </w:t>
      </w:r>
      <w:r w:rsidRPr="00F6447F">
        <w:t>March 2021.</w:t>
      </w:r>
      <w:r>
        <w:t xml:space="preserve"> Australia. </w:t>
      </w:r>
    </w:p>
  </w:footnote>
  <w:footnote w:id="3">
    <w:p w14:paraId="07E43CFB" w14:textId="45453BF1" w:rsidR="00FD119A" w:rsidRPr="00AF1E6C" w:rsidRDefault="00FD119A" w:rsidP="00BC112D">
      <w:pPr>
        <w:pStyle w:val="TableFigureFooter"/>
        <w:rPr>
          <w:lang w:val="en-US"/>
        </w:rPr>
      </w:pPr>
      <w:r w:rsidRPr="00AF1E6C">
        <w:rPr>
          <w:rStyle w:val="FootnoteReference"/>
        </w:rPr>
        <w:footnoteRef/>
      </w:r>
      <w:r w:rsidRPr="00AF1E6C">
        <w:t xml:space="preserve"> Kent WD, Hall SF, Isotalo PA, Houlden RL, George RL, Groome PA. Increased incidence of differentiated thyroid carcinoma and detection of subclinical disease. </w:t>
      </w:r>
      <w:r w:rsidRPr="00E120DC">
        <w:t>CMAJ.</w:t>
      </w:r>
      <w:r w:rsidRPr="00AF1E6C">
        <w:t xml:space="preserve"> 2007;177(11):1357-61</w:t>
      </w:r>
    </w:p>
  </w:footnote>
  <w:footnote w:id="4">
    <w:p w14:paraId="4C65343B" w14:textId="2293CF0E" w:rsidR="00FD119A" w:rsidRPr="00AF1E6C" w:rsidRDefault="00FD119A" w:rsidP="0013477E">
      <w:pPr>
        <w:pStyle w:val="TableFigureFooter"/>
        <w:spacing w:after="0"/>
        <w:rPr>
          <w:szCs w:val="18"/>
          <w:lang w:val="en-US"/>
        </w:rPr>
      </w:pPr>
      <w:r w:rsidRPr="00AF1E6C">
        <w:rPr>
          <w:rStyle w:val="FootnoteReference"/>
          <w:szCs w:val="18"/>
        </w:rPr>
        <w:footnoteRef/>
      </w:r>
      <w:r w:rsidRPr="00AF1E6C">
        <w:rPr>
          <w:szCs w:val="18"/>
        </w:rPr>
        <w:t xml:space="preserve"> Lirov R, Worden FP, Cohen MS. The Treatment of Advanced Thyroid Cancer in the Age of Novel Targeted Therapies. </w:t>
      </w:r>
      <w:r w:rsidRPr="00E120DC">
        <w:rPr>
          <w:szCs w:val="18"/>
        </w:rPr>
        <w:t>Drugs.</w:t>
      </w:r>
      <w:r w:rsidRPr="00AF1E6C">
        <w:rPr>
          <w:szCs w:val="18"/>
        </w:rPr>
        <w:t xml:space="preserve"> 2017;77(7):733-745.</w:t>
      </w:r>
    </w:p>
  </w:footnote>
  <w:footnote w:id="5">
    <w:p w14:paraId="423659EE" w14:textId="1BD125E0" w:rsidR="006E066F" w:rsidRPr="00AF1E6C" w:rsidRDefault="006E066F">
      <w:pPr>
        <w:pStyle w:val="FootnoteText"/>
        <w:rPr>
          <w:rFonts w:ascii="Arial Narrow" w:hAnsi="Arial Narrow"/>
          <w:sz w:val="18"/>
          <w:szCs w:val="18"/>
          <w:lang w:val="en-US"/>
        </w:rPr>
      </w:pPr>
      <w:r w:rsidRPr="00AF1E6C">
        <w:rPr>
          <w:rStyle w:val="FootnoteReference"/>
          <w:rFonts w:ascii="Arial Narrow" w:hAnsi="Arial Narrow"/>
          <w:sz w:val="18"/>
          <w:szCs w:val="18"/>
        </w:rPr>
        <w:footnoteRef/>
      </w:r>
      <w:r w:rsidRPr="00AF1E6C">
        <w:rPr>
          <w:rFonts w:ascii="Arial Narrow" w:hAnsi="Arial Narrow"/>
          <w:sz w:val="18"/>
          <w:szCs w:val="18"/>
        </w:rPr>
        <w:t xml:space="preserve"> Kreissl MC, Janssen MJR, Nagarajah J. Current Treatment Strategies in Metastasized Differentiated Thyroid Cancer. J Nucl Med. 2019 Jan;60(1):9-15.</w:t>
      </w:r>
    </w:p>
  </w:footnote>
  <w:footnote w:id="6">
    <w:p w14:paraId="1DE10700" w14:textId="14D836A5" w:rsidR="004E3147" w:rsidRPr="00AF1E6C" w:rsidRDefault="004E3147">
      <w:pPr>
        <w:pStyle w:val="FootnoteText"/>
        <w:rPr>
          <w:rFonts w:ascii="Arial Narrow" w:hAnsi="Arial Narrow"/>
          <w:sz w:val="18"/>
          <w:szCs w:val="18"/>
          <w:lang w:val="en-US"/>
        </w:rPr>
      </w:pPr>
      <w:r w:rsidRPr="00AF1E6C">
        <w:rPr>
          <w:rStyle w:val="FootnoteReference"/>
          <w:rFonts w:ascii="Arial Narrow" w:hAnsi="Arial Narrow"/>
          <w:sz w:val="18"/>
          <w:szCs w:val="18"/>
        </w:rPr>
        <w:footnoteRef/>
      </w:r>
      <w:r w:rsidRPr="00AF1E6C">
        <w:rPr>
          <w:rFonts w:ascii="Arial Narrow" w:hAnsi="Arial Narrow"/>
          <w:sz w:val="18"/>
          <w:szCs w:val="18"/>
        </w:rPr>
        <w:t xml:space="preserve"> </w:t>
      </w:r>
      <w:r w:rsidR="007A5CFF" w:rsidRPr="00E120DC">
        <w:rPr>
          <w:rFonts w:ascii="Arial Narrow" w:hAnsi="Arial Narrow"/>
          <w:sz w:val="18"/>
          <w:szCs w:val="18"/>
        </w:rPr>
        <w:t xml:space="preserve">Distant metastases occurring in fewer than 10% of patients was inconsistent with </w:t>
      </w:r>
      <w:r w:rsidR="004221D8">
        <w:rPr>
          <w:rFonts w:ascii="Arial Narrow" w:hAnsi="Arial Narrow"/>
          <w:sz w:val="18"/>
          <w:szCs w:val="18"/>
        </w:rPr>
        <w:t>the financial estimates which</w:t>
      </w:r>
      <w:r w:rsidR="007A5CFF" w:rsidRPr="00E120DC">
        <w:rPr>
          <w:rFonts w:ascii="Arial Narrow" w:hAnsi="Arial Narrow"/>
          <w:sz w:val="18"/>
          <w:szCs w:val="18"/>
        </w:rPr>
        <w:t xml:space="preserve"> estimated the ‘proportion of DTC patients with advanced/metastatic disease’ to be 27.50%.</w:t>
      </w:r>
    </w:p>
  </w:footnote>
  <w:footnote w:id="7">
    <w:p w14:paraId="4D597741" w14:textId="45B51E00" w:rsidR="00AD2375" w:rsidRPr="00E120DC" w:rsidRDefault="00AD2375">
      <w:pPr>
        <w:pStyle w:val="FootnoteText"/>
        <w:rPr>
          <w:rFonts w:ascii="Arial Narrow" w:hAnsi="Arial Narrow"/>
          <w:sz w:val="18"/>
          <w:szCs w:val="18"/>
          <w:lang w:val="en-US"/>
        </w:rPr>
      </w:pPr>
      <w:r w:rsidRPr="00E120DC">
        <w:rPr>
          <w:rStyle w:val="FootnoteReference"/>
          <w:rFonts w:ascii="Arial Narrow" w:hAnsi="Arial Narrow"/>
          <w:sz w:val="18"/>
          <w:szCs w:val="18"/>
        </w:rPr>
        <w:footnoteRef/>
      </w:r>
      <w:r w:rsidRPr="00E120DC">
        <w:rPr>
          <w:rFonts w:ascii="Arial Narrow" w:hAnsi="Arial Narrow"/>
          <w:sz w:val="18"/>
          <w:szCs w:val="18"/>
        </w:rPr>
        <w:t xml:space="preserve"> </w:t>
      </w:r>
      <w:r w:rsidR="005461B8" w:rsidRPr="00E120DC">
        <w:rPr>
          <w:rFonts w:ascii="Arial Narrow" w:hAnsi="Arial Narrow"/>
          <w:sz w:val="18"/>
          <w:szCs w:val="18"/>
        </w:rPr>
        <w:t xml:space="preserve">This was inconsistent with </w:t>
      </w:r>
      <w:r w:rsidR="004221D8">
        <w:rPr>
          <w:rFonts w:ascii="Arial Narrow" w:hAnsi="Arial Narrow"/>
          <w:sz w:val="18"/>
          <w:szCs w:val="18"/>
        </w:rPr>
        <w:t>the financial estimates which</w:t>
      </w:r>
      <w:r w:rsidR="005461B8" w:rsidRPr="00E120DC">
        <w:rPr>
          <w:rFonts w:ascii="Arial Narrow" w:hAnsi="Arial Narrow"/>
          <w:sz w:val="18"/>
          <w:szCs w:val="18"/>
        </w:rPr>
        <w:t xml:space="preserve"> estimated the 'proportion of RAI-refractory patients among advanced/metastatic DTC (%)’ to be 33.30%.</w:t>
      </w:r>
    </w:p>
  </w:footnote>
  <w:footnote w:id="8">
    <w:p w14:paraId="144DD710" w14:textId="40A33FED" w:rsidR="00FE1ADA" w:rsidRPr="00AF1E6C" w:rsidRDefault="00FE1ADA">
      <w:pPr>
        <w:pStyle w:val="FootnoteText"/>
        <w:rPr>
          <w:rFonts w:ascii="Arial Narrow" w:hAnsi="Arial Narrow"/>
          <w:sz w:val="18"/>
          <w:szCs w:val="18"/>
          <w:lang w:val="en-US"/>
        </w:rPr>
      </w:pPr>
      <w:r w:rsidRPr="00AF1E6C">
        <w:rPr>
          <w:rStyle w:val="FootnoteReference"/>
          <w:rFonts w:ascii="Arial Narrow" w:hAnsi="Arial Narrow"/>
          <w:sz w:val="18"/>
          <w:szCs w:val="18"/>
        </w:rPr>
        <w:footnoteRef/>
      </w:r>
      <w:r w:rsidRPr="00AF1E6C">
        <w:rPr>
          <w:rFonts w:ascii="Arial Narrow" w:hAnsi="Arial Narrow"/>
          <w:sz w:val="18"/>
          <w:szCs w:val="18"/>
        </w:rPr>
        <w:t xml:space="preserve">   Fugazzola L, Elisei R, Fuhrer D, Jarzab B, Leboulleux S, Newbold K, Smit J. 2019 European Thyroid Association Guidelines for the Treatment and Follow-Up of Advanced Radioiodine-Refractory Thyroid Cancer. Eur Thyroid J. 2019. ;8(5):227-245.</w:t>
      </w:r>
    </w:p>
  </w:footnote>
  <w:footnote w:id="9">
    <w:p w14:paraId="12AFD170" w14:textId="086363EB" w:rsidR="00861B0B" w:rsidRPr="00AF1E6C" w:rsidRDefault="00861B0B">
      <w:pPr>
        <w:pStyle w:val="FootnoteText"/>
        <w:rPr>
          <w:rFonts w:ascii="Arial Narrow" w:hAnsi="Arial Narrow"/>
          <w:sz w:val="18"/>
          <w:szCs w:val="18"/>
          <w:lang w:val="en-US"/>
        </w:rPr>
      </w:pPr>
      <w:r w:rsidRPr="00AF1E6C">
        <w:rPr>
          <w:rStyle w:val="FootnoteReference"/>
          <w:rFonts w:ascii="Arial Narrow" w:hAnsi="Arial Narrow"/>
          <w:sz w:val="18"/>
          <w:szCs w:val="18"/>
        </w:rPr>
        <w:footnoteRef/>
      </w:r>
      <w:r w:rsidRPr="00AF1E6C">
        <w:rPr>
          <w:rFonts w:ascii="Arial Narrow" w:hAnsi="Arial Narrow"/>
          <w:sz w:val="18"/>
          <w:szCs w:val="18"/>
        </w:rPr>
        <w:t xml:space="preserve"> </w:t>
      </w:r>
      <w:r w:rsidR="008221D8" w:rsidRPr="00AF1E6C">
        <w:rPr>
          <w:rFonts w:ascii="Arial Narrow" w:hAnsi="Arial Narrow"/>
          <w:sz w:val="18"/>
          <w:szCs w:val="18"/>
        </w:rPr>
        <w:t>Fugazzola 2019</w:t>
      </w:r>
    </w:p>
  </w:footnote>
  <w:footnote w:id="10">
    <w:p w14:paraId="46C7E3E7" w14:textId="2779396C" w:rsidR="008221D8" w:rsidRPr="00AF1E6C" w:rsidRDefault="008221D8">
      <w:pPr>
        <w:pStyle w:val="FootnoteText"/>
        <w:rPr>
          <w:lang w:val="en-US"/>
        </w:rPr>
      </w:pPr>
      <w:r w:rsidRPr="00AF1E6C">
        <w:rPr>
          <w:rStyle w:val="FootnoteReference"/>
          <w:rFonts w:ascii="Arial Narrow" w:hAnsi="Arial Narrow"/>
          <w:sz w:val="18"/>
          <w:szCs w:val="18"/>
        </w:rPr>
        <w:footnoteRef/>
      </w:r>
      <w:r w:rsidRPr="00AF1E6C">
        <w:rPr>
          <w:rFonts w:ascii="Arial Narrow" w:hAnsi="Arial Narrow"/>
          <w:sz w:val="18"/>
          <w:szCs w:val="18"/>
        </w:rPr>
        <w:t xml:space="preserve"> Links TP, van Tol KM, Jager PL, Plukker JT, Piers DA, Boezen HM, Dullaart RP, de Vries EG, Sluiter WJ. Life expectancy in differentiated thyroid cancer: a novel approach to survival analysis. Endocr Relat Cancer. 2005(2):273-80.</w:t>
      </w:r>
    </w:p>
  </w:footnote>
  <w:footnote w:id="11">
    <w:p w14:paraId="47825698" w14:textId="31E61C9D" w:rsidR="00366D40" w:rsidRPr="00366D40" w:rsidRDefault="00366D40">
      <w:pPr>
        <w:pStyle w:val="FootnoteText"/>
        <w:rPr>
          <w:lang w:val="en-US"/>
        </w:rPr>
      </w:pPr>
      <w:r w:rsidRPr="00AF1E6C">
        <w:rPr>
          <w:rStyle w:val="FootnoteReference"/>
          <w:rFonts w:ascii="Arial Narrow" w:hAnsi="Arial Narrow"/>
          <w:sz w:val="18"/>
          <w:szCs w:val="18"/>
        </w:rPr>
        <w:footnoteRef/>
      </w:r>
      <w:r w:rsidRPr="00AF1E6C">
        <w:rPr>
          <w:rFonts w:ascii="Arial Narrow" w:hAnsi="Arial Narrow"/>
          <w:sz w:val="18"/>
          <w:szCs w:val="18"/>
        </w:rPr>
        <w:t xml:space="preserve"> </w:t>
      </w:r>
      <w:r w:rsidR="00830937" w:rsidRPr="00AF1E6C">
        <w:rPr>
          <w:rFonts w:ascii="Arial Narrow" w:hAnsi="Arial Narrow"/>
          <w:sz w:val="18"/>
          <w:szCs w:val="18"/>
        </w:rPr>
        <w:t>Fugazzola</w:t>
      </w:r>
      <w:r w:rsidR="00830937" w:rsidRPr="00830937">
        <w:rPr>
          <w:rFonts w:ascii="Arial Narrow" w:hAnsi="Arial Narrow"/>
          <w:sz w:val="18"/>
          <w:szCs w:val="18"/>
        </w:rPr>
        <w:t xml:space="preserve"> et al 2019.</w:t>
      </w:r>
    </w:p>
  </w:footnote>
  <w:footnote w:id="12">
    <w:p w14:paraId="30DB7207" w14:textId="1ECAC433" w:rsidR="00683529" w:rsidRPr="00830937" w:rsidRDefault="00683529" w:rsidP="00363FD7">
      <w:pPr>
        <w:pStyle w:val="TableFigureFooter"/>
        <w:rPr>
          <w:lang w:val="en-US"/>
        </w:rPr>
      </w:pPr>
      <w:r w:rsidRPr="00830937">
        <w:rPr>
          <w:rStyle w:val="FootnoteReference"/>
          <w:szCs w:val="18"/>
        </w:rPr>
        <w:footnoteRef/>
      </w:r>
      <w:r w:rsidRPr="00830937">
        <w:rPr>
          <w:szCs w:val="18"/>
        </w:rPr>
        <w:t xml:space="preserve"> National Comprehensive Cancer Network (NCCN) Guidelines for Thyroid Carcinoma. Interim on V.3.2021 -10/15/2021</w:t>
      </w:r>
      <w:r w:rsidR="00254947" w:rsidRPr="00830937">
        <w:rPr>
          <w:szCs w:val="18"/>
        </w:rPr>
        <w:t>/</w:t>
      </w:r>
      <w:r w:rsidR="00254947" w:rsidRPr="00830937">
        <w:t xml:space="preserve"> </w:t>
      </w:r>
      <w:r w:rsidR="00254947" w:rsidRPr="00830937">
        <w:rPr>
          <w:szCs w:val="18"/>
        </w:rPr>
        <w:t>National Comprehensive Cancer Network.</w:t>
      </w:r>
      <w:r w:rsidR="00DD4D69" w:rsidRPr="00830937">
        <w:rPr>
          <w:szCs w:val="18"/>
        </w:rPr>
        <w:t xml:space="preserve"> </w:t>
      </w:r>
      <w:r w:rsidR="00254947" w:rsidRPr="00830937">
        <w:rPr>
          <w:szCs w:val="18"/>
        </w:rPr>
        <w:t>Thyroid Cancer. Guidelines for Patients. 2022:28</w:t>
      </w:r>
      <w:r w:rsidR="008226EB" w:rsidRPr="00830937">
        <w:rPr>
          <w:szCs w:val="18"/>
        </w:rPr>
        <w:t xml:space="preserve"> </w:t>
      </w:r>
    </w:p>
  </w:footnote>
  <w:footnote w:id="13">
    <w:p w14:paraId="1963DD7D" w14:textId="74A9CADF" w:rsidR="00683529" w:rsidRPr="00683529" w:rsidRDefault="00683529" w:rsidP="00363FD7">
      <w:pPr>
        <w:pStyle w:val="TableFigureFooter"/>
        <w:rPr>
          <w:szCs w:val="18"/>
          <w:lang w:val="en-US"/>
        </w:rPr>
      </w:pPr>
      <w:r w:rsidRPr="00830937">
        <w:rPr>
          <w:rStyle w:val="FootnoteReference"/>
          <w:szCs w:val="18"/>
        </w:rPr>
        <w:footnoteRef/>
      </w:r>
      <w:r w:rsidRPr="00830937">
        <w:rPr>
          <w:szCs w:val="18"/>
        </w:rPr>
        <w:t xml:space="preserve"> Filetti S, Durante C, Hartl DM, Leboulleux S, Locati LD, Newbold K, Papotti MG, Berruti A; </w:t>
      </w:r>
      <w:hyperlink r:id="rId2" w:history="1">
        <w:r w:rsidRPr="00830937">
          <w:rPr>
            <w:rStyle w:val="Hyperlink"/>
            <w:szCs w:val="18"/>
          </w:rPr>
          <w:t>ESMO Guidelines Committee.</w:t>
        </w:r>
      </w:hyperlink>
      <w:r w:rsidRPr="00830937">
        <w:rPr>
          <w:szCs w:val="18"/>
        </w:rPr>
        <w:t xml:space="preserve"> ESMO Clinical Practice Guideline update</w:t>
      </w:r>
      <w:r w:rsidRPr="00683529">
        <w:rPr>
          <w:szCs w:val="18"/>
        </w:rPr>
        <w:t xml:space="preserve"> on the use of systemic therapy in advanced thyroid cancer. Ann Oncol. 2022 Jul;33(7):674-684.</w:t>
      </w:r>
    </w:p>
  </w:footnote>
  <w:footnote w:id="14">
    <w:p w14:paraId="64018E31" w14:textId="77777777" w:rsidR="00180F22" w:rsidRPr="00040B14" w:rsidRDefault="00180F22" w:rsidP="00180F22">
      <w:pPr>
        <w:pStyle w:val="TableFigureFooter"/>
        <w:rPr>
          <w:lang w:val="en-US"/>
        </w:rPr>
      </w:pPr>
      <w:r>
        <w:rPr>
          <w:rStyle w:val="FootnoteReference"/>
        </w:rPr>
        <w:footnoteRef/>
      </w:r>
      <w:r>
        <w:t xml:space="preserve"> </w:t>
      </w:r>
      <w:r w:rsidRPr="00040B14">
        <w:t xml:space="preserve">Schlumberger M, Tahara M, Wirth LJ, Robinson B, Brose MS, Elisei R, Habra MA, Newbold K, Shah MH, Hoff AO, Gianoukakis AG, Kiyota N, Taylor MH, Kim SB, Krzyzanowska MK, Dutcus CE, de las Heras B, Zhu J, Sherman SI. Lenvatinib versus placebo in radioiodine-refractory thyroid cancer. N Engl J Med. 2015 Feb 12;372(7):621-30. </w:t>
      </w:r>
    </w:p>
  </w:footnote>
  <w:footnote w:id="15">
    <w:p w14:paraId="2AB8E3AA" w14:textId="77777777" w:rsidR="00180F22" w:rsidRPr="00040B14" w:rsidRDefault="00180F22" w:rsidP="00180F22">
      <w:pPr>
        <w:pStyle w:val="TableFigureFooter"/>
        <w:rPr>
          <w:lang w:val="en-US"/>
        </w:rPr>
      </w:pPr>
      <w:r>
        <w:rPr>
          <w:rStyle w:val="FootnoteReference"/>
        </w:rPr>
        <w:footnoteRef/>
      </w:r>
      <w:r>
        <w:t xml:space="preserve"> </w:t>
      </w:r>
      <w:r w:rsidRPr="00040B14">
        <w:t>Brose MS, Nutting CM, Jarzab B, Elisei R, Siena S, Bastholt L, de la Fouchardiere C, Pacini F, Paschke R, Shong YK, Sherman SI, Smit JW, Chung J, Kappeler C, Peña C, Molnár I, Schlumberger MJ; DECISION investigators. Sorafenib in radioactive iodine-refractory, locally advanced or metastatic differentiated thyroid cancer: a randomised, double-blind, phase 3 trial. Lancet. 2014 Jul 26;384(9940):319-28.</w:t>
      </w:r>
    </w:p>
  </w:footnote>
  <w:footnote w:id="16">
    <w:p w14:paraId="72F45197" w14:textId="4A7C6993" w:rsidR="008F16A2" w:rsidRPr="008F16A2" w:rsidRDefault="008F16A2" w:rsidP="00BC3AFB">
      <w:pPr>
        <w:pStyle w:val="TableFigureFooter"/>
        <w:rPr>
          <w:lang w:val="en-US"/>
        </w:rPr>
      </w:pPr>
      <w:r>
        <w:rPr>
          <w:rStyle w:val="FootnoteReference"/>
        </w:rPr>
        <w:footnoteRef/>
      </w:r>
      <w:r>
        <w:t xml:space="preserve"> </w:t>
      </w:r>
      <w:r w:rsidRPr="008F16A2">
        <w:t>Inverse Probability of Censoring Weights (IPCW) allows patients to be artificially censored at the time of switch</w:t>
      </w:r>
      <w:r w:rsidR="00080B76">
        <w:t>,</w:t>
      </w:r>
      <w:r w:rsidRPr="008F16A2">
        <w:t xml:space="preserve"> remaining observations are weighted based upon covariate values and model the probability of being censored (Latimer N et al. The Challenge of Early Crossover in Oncology Trials. ScHARR, University of Sheffield,</w:t>
      </w:r>
      <w:r w:rsidR="00B866DB">
        <w:t xml:space="preserve"> </w:t>
      </w:r>
      <w:r w:rsidRPr="008F16A2">
        <w:t>2014).</w:t>
      </w:r>
    </w:p>
  </w:footnote>
  <w:footnote w:id="17">
    <w:p w14:paraId="40C7A1CD" w14:textId="12B9E860" w:rsidR="00D15931" w:rsidRPr="00D15931" w:rsidRDefault="00D15931" w:rsidP="00BC3AFB">
      <w:pPr>
        <w:pStyle w:val="TableFigureFooter"/>
        <w:rPr>
          <w:lang w:val="en-US"/>
        </w:rPr>
      </w:pPr>
      <w:r>
        <w:rPr>
          <w:rStyle w:val="FootnoteReference"/>
        </w:rPr>
        <w:footnoteRef/>
      </w:r>
      <w:r>
        <w:t xml:space="preserve"> </w:t>
      </w:r>
      <w:r w:rsidRPr="00D15931">
        <w:t xml:space="preserve">Rank preserving structural failure time (RPSFT) </w:t>
      </w:r>
      <w:r w:rsidR="00B12AC1">
        <w:t xml:space="preserve">uses </w:t>
      </w:r>
      <w:r w:rsidR="00B12AC1" w:rsidRPr="00B12AC1">
        <w:t>counterfactual survival times to those that would have been observed if no treatment had been</w:t>
      </w:r>
      <w:r w:rsidR="00B12AC1">
        <w:t xml:space="preserve"> </w:t>
      </w:r>
      <w:r w:rsidR="00080B76">
        <w:t xml:space="preserve">given </w:t>
      </w:r>
      <w:r w:rsidR="00B12AC1">
        <w:t>(Latimer N et al.</w:t>
      </w:r>
      <w:r w:rsidR="00B12AC1" w:rsidRPr="00B12AC1">
        <w:t xml:space="preserve"> The Challenge of Early Crossover in Oncology Trials. ScHARR, University of Sheffield,</w:t>
      </w:r>
      <w:r w:rsidR="00B866DB">
        <w:t xml:space="preserve"> </w:t>
      </w:r>
      <w:r w:rsidR="00B12AC1">
        <w:t xml:space="preserve">2014). </w:t>
      </w:r>
    </w:p>
  </w:footnote>
  <w:footnote w:id="18">
    <w:p w14:paraId="357840A2" w14:textId="44063294" w:rsidR="00EC6228" w:rsidRPr="00EC6228" w:rsidRDefault="00EC6228" w:rsidP="00BC3AFB">
      <w:pPr>
        <w:pStyle w:val="TableFigureFooter"/>
        <w:rPr>
          <w:lang w:val="en-US"/>
        </w:rPr>
      </w:pPr>
      <w:r>
        <w:rPr>
          <w:rStyle w:val="FootnoteReference"/>
        </w:rPr>
        <w:footnoteRef/>
      </w:r>
      <w:r>
        <w:t xml:space="preserve"> </w:t>
      </w:r>
      <w:r>
        <w:rPr>
          <w:lang w:val="en-US"/>
        </w:rPr>
        <w:t>The ‘two-</w:t>
      </w:r>
      <w:r w:rsidR="00B12AC1">
        <w:rPr>
          <w:lang w:val="en-US"/>
        </w:rPr>
        <w:t>stage ‘method</w:t>
      </w:r>
      <w:r>
        <w:rPr>
          <w:lang w:val="en-US"/>
        </w:rPr>
        <w:t xml:space="preserve"> </w:t>
      </w:r>
      <w:r w:rsidR="00B12AC1" w:rsidRPr="00B12AC1">
        <w:rPr>
          <w:lang w:val="en-US"/>
        </w:rPr>
        <w:t>estimate</w:t>
      </w:r>
      <w:r w:rsidR="00B12AC1">
        <w:rPr>
          <w:lang w:val="en-US"/>
        </w:rPr>
        <w:t>s</w:t>
      </w:r>
      <w:r w:rsidR="00B12AC1" w:rsidRPr="00B12AC1">
        <w:rPr>
          <w:lang w:val="en-US"/>
        </w:rPr>
        <w:t xml:space="preserve"> the effect of switching to treatment post-progression, by contrasting post progression survival times in th</w:t>
      </w:r>
      <w:r w:rsidR="00B12AC1">
        <w:rPr>
          <w:lang w:val="en-US"/>
        </w:rPr>
        <w:t>e</w:t>
      </w:r>
      <w:r w:rsidR="00B12AC1" w:rsidRPr="00B12AC1">
        <w:rPr>
          <w:lang w:val="en-US"/>
        </w:rPr>
        <w:t xml:space="preserve"> control </w:t>
      </w:r>
      <w:r w:rsidR="00B82455">
        <w:rPr>
          <w:lang w:val="en-US"/>
        </w:rPr>
        <w:t xml:space="preserve">arm </w:t>
      </w:r>
      <w:r w:rsidR="00B12AC1" w:rsidRPr="00B12AC1">
        <w:rPr>
          <w:lang w:val="en-US"/>
        </w:rPr>
        <w:t xml:space="preserve"> patients who switch post progression with those who do not</w:t>
      </w:r>
      <w:r w:rsidR="00B12AC1">
        <w:rPr>
          <w:lang w:val="en-US"/>
        </w:rPr>
        <w:t xml:space="preserve"> (Latimer N et al. </w:t>
      </w:r>
      <w:r w:rsidR="00B12AC1" w:rsidRPr="00B12AC1">
        <w:rPr>
          <w:lang w:val="en-US"/>
        </w:rPr>
        <w:t>The Challenge of Early Crossover in Oncology Trials</w:t>
      </w:r>
      <w:r w:rsidR="00B12AC1">
        <w:rPr>
          <w:lang w:val="en-US"/>
        </w:rPr>
        <w:t xml:space="preserve">. </w:t>
      </w:r>
      <w:r w:rsidR="00B12AC1" w:rsidRPr="00B12AC1">
        <w:rPr>
          <w:lang w:val="en-US"/>
        </w:rPr>
        <w:t>ScHARR, University of Sheffield,</w:t>
      </w:r>
      <w:r w:rsidR="00B866DB">
        <w:rPr>
          <w:lang w:val="en-US"/>
        </w:rPr>
        <w:t xml:space="preserve"> </w:t>
      </w:r>
      <w:r w:rsidR="00B12AC1">
        <w:rPr>
          <w:lang w:val="en-US"/>
        </w:rPr>
        <w:t xml:space="preserve">2014). </w:t>
      </w:r>
    </w:p>
  </w:footnote>
  <w:footnote w:id="19">
    <w:p w14:paraId="5703E30A" w14:textId="16A34AC0" w:rsidR="001C566A" w:rsidRPr="001C566A" w:rsidRDefault="001C566A" w:rsidP="006B546D">
      <w:pPr>
        <w:pStyle w:val="TableFigureFooter"/>
        <w:rPr>
          <w:lang w:val="en-US"/>
        </w:rPr>
      </w:pPr>
      <w:r>
        <w:rPr>
          <w:rStyle w:val="FootnoteReference"/>
        </w:rPr>
        <w:footnoteRef/>
      </w:r>
      <w:r>
        <w:t xml:space="preserve"> </w:t>
      </w:r>
      <w:r w:rsidRPr="001C566A">
        <w:t xml:space="preserve">Brose MS, Robinson BG, Sherman SI, Jarzab B, Lin CC, Vaisman F, Hoff AO, Hitre E, Bowles DW, Sen S, Oliver JW, Banerjee K, Keam B, Capdevila J. Cabozantinib for previously treated radioiodine-refractory differentiated thyroid cancer: Updated results from the phase 3 COSMIC-311 trial. </w:t>
      </w:r>
      <w:r w:rsidRPr="001C566A">
        <w:rPr>
          <w:i/>
          <w:iCs/>
        </w:rPr>
        <w:t>Cancer.</w:t>
      </w:r>
      <w:r w:rsidRPr="001C566A">
        <w:t xml:space="preserve"> 2022 Dec 15;128(24):4203-4212.</w:t>
      </w:r>
    </w:p>
  </w:footnote>
  <w:footnote w:id="20">
    <w:p w14:paraId="2279D760" w14:textId="6E8FE38A" w:rsidR="00084748" w:rsidRPr="0019731F" w:rsidRDefault="00084748" w:rsidP="00BC112D">
      <w:pPr>
        <w:pStyle w:val="TableFigureFooter"/>
        <w:rPr>
          <w:lang w:val="en-US"/>
        </w:rPr>
      </w:pPr>
      <w:r>
        <w:rPr>
          <w:rStyle w:val="FootnoteReference"/>
        </w:rPr>
        <w:footnoteRef/>
      </w:r>
      <w:r>
        <w:t xml:space="preserve"> </w:t>
      </w:r>
      <w:hyperlink r:id="rId3" w:history="1">
        <w:r w:rsidRPr="00180F22">
          <w:rPr>
            <w:rStyle w:val="Hyperlink"/>
            <w:color w:val="auto"/>
          </w:rPr>
          <w:t>Ilerhunmwuwa,</w:t>
        </w:r>
      </w:hyperlink>
      <w:r w:rsidRPr="0019731F">
        <w:t xml:space="preserve"> NP. Et al. (2023) Correlations between overall response rate, progression-free survival and overall survival with kinase inhibitors in radioiodine-refractory differentiated thyroid cancers: A systematic review and meta-analysis. Journal of Clinical Oncology 2023 41:16_suppl, e18087-e18087</w:t>
      </w:r>
    </w:p>
  </w:footnote>
  <w:footnote w:id="21">
    <w:p w14:paraId="374835FF" w14:textId="77777777" w:rsidR="00084748" w:rsidRPr="00040B14" w:rsidRDefault="00084748" w:rsidP="00BC112D">
      <w:pPr>
        <w:pStyle w:val="TableFigureFooter"/>
        <w:rPr>
          <w:lang w:val="en-US"/>
        </w:rPr>
      </w:pPr>
      <w:r>
        <w:rPr>
          <w:rStyle w:val="FootnoteReference"/>
        </w:rPr>
        <w:footnoteRef/>
      </w:r>
      <w:r>
        <w:t xml:space="preserve"> </w:t>
      </w:r>
      <w:r w:rsidRPr="00040B14">
        <w:t xml:space="preserve">Schlumberger M, Tahara M, Wirth LJ, Robinson B, Brose MS, Elisei R, Habra MA, Newbold K, Shah MH, Hoff AO, Gianoukakis AG, Kiyota N, Taylor MH, Kim SB, Krzyzanowska MK, Dutcus CE, de las Heras B, Zhu J, Sherman SI. Lenvatinib versus placebo in radioiodine-refractory thyroid cancer. N Engl J Med. 2015 Feb 12;372(7):621-30. </w:t>
      </w:r>
    </w:p>
  </w:footnote>
  <w:footnote w:id="22">
    <w:p w14:paraId="684C5359" w14:textId="77777777" w:rsidR="00084748" w:rsidRPr="00040B14" w:rsidRDefault="00084748" w:rsidP="00BC112D">
      <w:pPr>
        <w:pStyle w:val="TableFigureFooter"/>
        <w:rPr>
          <w:lang w:val="en-US"/>
        </w:rPr>
      </w:pPr>
      <w:r>
        <w:rPr>
          <w:rStyle w:val="FootnoteReference"/>
        </w:rPr>
        <w:footnoteRef/>
      </w:r>
      <w:r>
        <w:t xml:space="preserve"> </w:t>
      </w:r>
      <w:r w:rsidRPr="00040B14">
        <w:t>Brose MS, Nutting CM, Jarzab B, Elisei R, Siena S, Bastholt L, de la Fouchardiere C, Pacini F, Paschke R, Shong YK, Sherman SI, Smit JW, Chung J, Kappeler C, Peña C, Molnár I, Schlumberger MJ; DECISION investigators. Sorafenib in radioactive iodine-refractory, locally advanced or metastatic differentiated thyroid cancer: a randomised, double-blind, phase 3 trial. Lancet. 2014 Jul 26;384(9940):319-28.</w:t>
      </w:r>
    </w:p>
  </w:footnote>
  <w:footnote w:id="23">
    <w:p w14:paraId="3D1EA266" w14:textId="4F3757A9" w:rsidR="00763EF2" w:rsidRPr="004F0616" w:rsidRDefault="00763EF2" w:rsidP="00763EF2">
      <w:pPr>
        <w:pStyle w:val="TableFigureFooter"/>
        <w:rPr>
          <w:lang w:val="en-US"/>
        </w:rPr>
      </w:pPr>
      <w:r>
        <w:rPr>
          <w:rStyle w:val="FootnoteReference"/>
        </w:rPr>
        <w:footnoteRef/>
      </w:r>
      <w:r>
        <w:t xml:space="preserve"> </w:t>
      </w:r>
      <w:r w:rsidRPr="004F0616">
        <w:t xml:space="preserve">N = 68 in cabozantinib + BSC treatment </w:t>
      </w:r>
      <w:r w:rsidR="00F7485C">
        <w:t>arm</w:t>
      </w:r>
      <w:r w:rsidRPr="004F0616">
        <w:t xml:space="preserve"> versus N = 34 in BSC control </w:t>
      </w:r>
      <w:r w:rsidR="00F7485C">
        <w:t>arm</w:t>
      </w:r>
      <w:r w:rsidRPr="004F0616">
        <w:t xml:space="preserve"> (source: Table 14.1.8.1.1, Prior Non-Radiation Anti-Cancer Therapy Population: ITT, p27 in COSMIC-311 csr add 14.1 demography and baseline characteristics (CCO2).</w:t>
      </w:r>
    </w:p>
  </w:footnote>
  <w:footnote w:id="24">
    <w:p w14:paraId="5B4901EA" w14:textId="69F23F52" w:rsidR="00763EF2" w:rsidRPr="008760F8" w:rsidRDefault="00763EF2" w:rsidP="00763EF2">
      <w:pPr>
        <w:pStyle w:val="TableFigureFooter"/>
        <w:rPr>
          <w:szCs w:val="18"/>
          <w:lang w:val="en-US"/>
        </w:rPr>
      </w:pPr>
      <w:r>
        <w:rPr>
          <w:rStyle w:val="FootnoteReference"/>
        </w:rPr>
        <w:footnoteRef/>
      </w:r>
      <w:r>
        <w:t xml:space="preserve"> Using unadjusted overall survival resulted in a slight </w:t>
      </w:r>
      <w:r w:rsidRPr="0001702B">
        <w:t xml:space="preserve">decrease </w:t>
      </w:r>
      <w:r w:rsidRPr="008760F8">
        <w:rPr>
          <w:szCs w:val="18"/>
        </w:rPr>
        <w:t>in the ICER (</w:t>
      </w:r>
      <w:r w:rsidR="008760F8" w:rsidRPr="008760F8">
        <w:rPr>
          <w:szCs w:val="18"/>
        </w:rPr>
        <w:fldChar w:fldCharType="begin"/>
      </w:r>
      <w:r w:rsidR="008760F8" w:rsidRPr="008760F8">
        <w:rPr>
          <w:szCs w:val="18"/>
        </w:rPr>
        <w:instrText xml:space="preserve"> REF _Ref104804865 \h  \* MERGEFORMAT </w:instrText>
      </w:r>
      <w:r w:rsidR="008760F8" w:rsidRPr="008760F8">
        <w:rPr>
          <w:szCs w:val="18"/>
        </w:rPr>
      </w:r>
      <w:r w:rsidR="008760F8" w:rsidRPr="008760F8">
        <w:rPr>
          <w:szCs w:val="18"/>
        </w:rPr>
        <w:fldChar w:fldCharType="separate"/>
      </w:r>
      <w:r w:rsidR="00737A69" w:rsidRPr="00737A69">
        <w:rPr>
          <w:szCs w:val="18"/>
        </w:rPr>
        <w:t xml:space="preserve">Table </w:t>
      </w:r>
      <w:r w:rsidR="00737A69" w:rsidRPr="00737A69">
        <w:rPr>
          <w:noProof/>
          <w:szCs w:val="18"/>
        </w:rPr>
        <w:t>20</w:t>
      </w:r>
      <w:r w:rsidR="008760F8" w:rsidRPr="008760F8">
        <w:rPr>
          <w:szCs w:val="18"/>
        </w:rPr>
        <w:fldChar w:fldCharType="end"/>
      </w:r>
      <w:r w:rsidRPr="008760F8">
        <w:rPr>
          <w:szCs w:val="18"/>
        </w:rPr>
        <w:t>).</w:t>
      </w:r>
    </w:p>
  </w:footnote>
  <w:footnote w:id="25">
    <w:p w14:paraId="1ADB4633" w14:textId="28F60AA1" w:rsidR="00763EF2" w:rsidRPr="00082A2F" w:rsidRDefault="00763EF2" w:rsidP="00763EF2">
      <w:pPr>
        <w:pStyle w:val="TableFigureFooter"/>
        <w:rPr>
          <w:lang w:val="en-US"/>
        </w:rPr>
      </w:pPr>
      <w:r>
        <w:rPr>
          <w:rStyle w:val="FootnoteReference"/>
        </w:rPr>
        <w:footnoteRef/>
      </w:r>
      <w:r>
        <w:t xml:space="preserve"> Para</w:t>
      </w:r>
      <w:r w:rsidR="00647249">
        <w:t>graph</w:t>
      </w:r>
      <w:r>
        <w:t xml:space="preserve"> 3.6, </w:t>
      </w:r>
      <w:r w:rsidRPr="00082A2F">
        <w:rPr>
          <w:i/>
          <w:iCs/>
        </w:rPr>
        <w:t>Final draft guidance – Cabozantinib for previously treated advanced differentiated thyroid cancer unsuitable for or refractory to radioactive iodine</w:t>
      </w:r>
      <w:r>
        <w:t xml:space="preserve">, NICE, June 2023 [available: </w:t>
      </w:r>
      <w:hyperlink r:id="rId4" w:history="1">
        <w:r w:rsidRPr="003460F5">
          <w:rPr>
            <w:rStyle w:val="Hyperlink"/>
          </w:rPr>
          <w:t>https://www.nice.org.uk/guidance/gid-ta10932/documents/674</w:t>
        </w:r>
      </w:hyperlink>
      <w:r>
        <w:t>; accessed 28 July 2023].</w:t>
      </w:r>
    </w:p>
  </w:footnote>
  <w:footnote w:id="26">
    <w:p w14:paraId="47E34661" w14:textId="715946B4" w:rsidR="00763EF2" w:rsidRPr="00754392" w:rsidRDefault="00763EF2" w:rsidP="00763EF2">
      <w:pPr>
        <w:pStyle w:val="TableFigureFooter"/>
        <w:rPr>
          <w:lang w:val="en-US"/>
        </w:rPr>
      </w:pPr>
      <w:r>
        <w:rPr>
          <w:rStyle w:val="FootnoteReference"/>
        </w:rPr>
        <w:footnoteRef/>
      </w:r>
      <w:r>
        <w:t xml:space="preserve"> </w:t>
      </w:r>
      <w:r w:rsidRPr="00754392">
        <w:t xml:space="preserve">The submission stated: "The economic model utilises the Kaplan Meier curves up to the point of median follow-up (10.2 months), and then applies an extrapolation beyond that point" (p123 of the submission). The median follow-up for PFS and OS was 10.1 months for cabozantinib (+BSC) treatment </w:t>
      </w:r>
      <w:r>
        <w:t>arm</w:t>
      </w:r>
      <w:r w:rsidRPr="00754392">
        <w:t xml:space="preserve"> in the COSMIC-311 trial (Full ITT Population, clinical cutoff 8 February 2021) (Table 6, p19, CSR Addendum 1).</w:t>
      </w:r>
    </w:p>
  </w:footnote>
  <w:footnote w:id="27">
    <w:p w14:paraId="78D514F4" w14:textId="77777777" w:rsidR="00763EF2" w:rsidRPr="00630471" w:rsidRDefault="00763EF2" w:rsidP="00763EF2">
      <w:pPr>
        <w:pStyle w:val="TableFigureFooter"/>
        <w:rPr>
          <w:szCs w:val="18"/>
        </w:rPr>
      </w:pPr>
      <w:r w:rsidRPr="00630471">
        <w:rPr>
          <w:rStyle w:val="FootnoteReference"/>
          <w:szCs w:val="18"/>
        </w:rPr>
        <w:footnoteRef/>
      </w:r>
      <w:r w:rsidRPr="00630471">
        <w:rPr>
          <w:szCs w:val="18"/>
        </w:rPr>
        <w:t xml:space="preserve"> PBAC (2016) Guidelines for preparing a submission to the Pharmaceutical Benefits Advisory Committee, version 5.0, September 2016, Australian Government Department of Health. Page 76, Section 3A.5.1,</w:t>
      </w:r>
    </w:p>
  </w:footnote>
  <w:footnote w:id="28">
    <w:p w14:paraId="2191D90B" w14:textId="77777777" w:rsidR="00763EF2" w:rsidRPr="00B10735" w:rsidRDefault="00763EF2" w:rsidP="00763EF2">
      <w:pPr>
        <w:pStyle w:val="TableFigureFooter"/>
        <w:rPr>
          <w:rStyle w:val="TableFigureFooterChar"/>
          <w:lang w:val="en-US"/>
        </w:rPr>
      </w:pPr>
      <w:r>
        <w:rPr>
          <w:rStyle w:val="FootnoteReference"/>
        </w:rPr>
        <w:footnoteRef/>
      </w:r>
      <w:r>
        <w:t xml:space="preserve"> </w:t>
      </w:r>
      <w:r w:rsidRPr="00B10735">
        <w:rPr>
          <w:rStyle w:val="TableFigureFooterChar"/>
        </w:rPr>
        <w:t xml:space="preserve">McCaffrey N, Kaambwa B, Currow DC, Ratcliffe J. Health-related quality of life measured using the EQ-5D-5L: South Australian population norms. </w:t>
      </w:r>
      <w:r w:rsidRPr="00B10735">
        <w:rPr>
          <w:rStyle w:val="TableFigureFooterChar"/>
          <w:i/>
          <w:iCs/>
        </w:rPr>
        <w:t>Health Qual Life Outcomes</w:t>
      </w:r>
      <w:r w:rsidRPr="00B10735">
        <w:rPr>
          <w:rStyle w:val="TableFigureFooterChar"/>
        </w:rPr>
        <w:t>. 2016 Sep 20;14(1):133. doi: 10.1186/s12955-016-0537-0. PMID: 27644755; PMCID: PMC5028927.</w:t>
      </w:r>
      <w:r w:rsidRPr="00200D50">
        <w:rPr>
          <w:rStyle w:val="TableFigureFooterChar"/>
        </w:rPr>
        <w:t xml:space="preserve"> </w:t>
      </w:r>
    </w:p>
  </w:footnote>
  <w:footnote w:id="29">
    <w:p w14:paraId="000A2C38" w14:textId="3647A4BE" w:rsidR="00763EF2" w:rsidRPr="00DD55DA" w:rsidRDefault="00763EF2" w:rsidP="00763EF2">
      <w:pPr>
        <w:pStyle w:val="TableFigureFooter"/>
        <w:rPr>
          <w:rStyle w:val="TableFigureFooterChar"/>
          <w:lang w:val="en-US"/>
        </w:rPr>
      </w:pPr>
      <w:r>
        <w:rPr>
          <w:rStyle w:val="FootnoteReference"/>
        </w:rPr>
        <w:footnoteRef/>
      </w:r>
      <w:r>
        <w:t xml:space="preserve"> </w:t>
      </w:r>
      <w:r>
        <w:rPr>
          <w:rStyle w:val="TableFigureFooterChar"/>
        </w:rPr>
        <w:t xml:space="preserve">The UK general population utility was 0.82 and both the sponsor and the assessment </w:t>
      </w:r>
      <w:r w:rsidR="00F7485C">
        <w:rPr>
          <w:rStyle w:val="TableFigureFooterChar"/>
        </w:rPr>
        <w:t>arm</w:t>
      </w:r>
      <w:r>
        <w:rPr>
          <w:rStyle w:val="TableFigureFooterChar"/>
        </w:rPr>
        <w:t xml:space="preserve"> for the appraisal agreed that an age-adjusted general population utility cap should be applied in the model (para</w:t>
      </w:r>
      <w:r w:rsidR="00647249">
        <w:rPr>
          <w:rStyle w:val="TableFigureFooterChar"/>
        </w:rPr>
        <w:t>graph</w:t>
      </w:r>
      <w:r w:rsidRPr="00DD55DA">
        <w:rPr>
          <w:rStyle w:val="TableFigureFooterChar"/>
        </w:rPr>
        <w:t xml:space="preserve"> 3.9, Cabozantinib for previously treated advanced differentiated thyroid cancer unsuitable for or refractory to radioactive iodine, Final draft guidance, NICE, June 2023</w:t>
      </w:r>
      <w:r>
        <w:rPr>
          <w:rStyle w:val="TableFigureFooterChar"/>
        </w:rPr>
        <w:t>).</w:t>
      </w:r>
    </w:p>
  </w:footnote>
  <w:footnote w:id="30">
    <w:p w14:paraId="214F1937" w14:textId="77777777" w:rsidR="00763EF2" w:rsidRPr="00885240" w:rsidRDefault="00763EF2" w:rsidP="00763EF2">
      <w:pPr>
        <w:pStyle w:val="TableFigureFooter"/>
      </w:pPr>
      <w:r>
        <w:rPr>
          <w:rStyle w:val="FootnoteReference"/>
        </w:rPr>
        <w:footnoteRef/>
      </w:r>
      <w:r>
        <w:t xml:space="preserve"> </w:t>
      </w:r>
      <w:r w:rsidRPr="00885240">
        <w:t>Lenvatinib and sorafenib for treating differentiated thyroid cancer after radioactive iodine. Technology appraisal guidance, TA535, NICE, 8 August 2018.</w:t>
      </w:r>
    </w:p>
  </w:footnote>
  <w:footnote w:id="31">
    <w:p w14:paraId="728727A6" w14:textId="0464E3F5" w:rsidR="00763EF2" w:rsidRPr="00D471F0" w:rsidRDefault="00763EF2" w:rsidP="00763EF2">
      <w:pPr>
        <w:pStyle w:val="TableFigureFooter"/>
        <w:rPr>
          <w:lang w:val="en-US"/>
        </w:rPr>
      </w:pPr>
      <w:r>
        <w:rPr>
          <w:rStyle w:val="FootnoteReference"/>
        </w:rPr>
        <w:footnoteRef/>
      </w:r>
      <w:r>
        <w:t xml:space="preserve"> Para</w:t>
      </w:r>
      <w:r w:rsidR="00647249">
        <w:t>graph</w:t>
      </w:r>
      <w:r>
        <w:t xml:space="preserve"> 3.9, </w:t>
      </w:r>
      <w:r w:rsidRPr="00D471F0">
        <w:t>Cabozantinib for previously treated advanced differentiated thyroid cancer unsuitable for or refractory to radioactive iodine</w:t>
      </w:r>
      <w:r>
        <w:t>, Final draft guidance, NICE, June 2023.</w:t>
      </w:r>
      <w:r w:rsidRPr="00F7742E">
        <w:t xml:space="preserve"> </w:t>
      </w:r>
      <w:r>
        <w:t>The unadjusted mean utility in Fordham 2015 was d</w:t>
      </w:r>
      <w:r w:rsidRPr="00F7742E">
        <w:t>erived from reduced parameter model (health states only)</w:t>
      </w:r>
      <w:r>
        <w:t>.</w:t>
      </w:r>
    </w:p>
  </w:footnote>
  <w:footnote w:id="32">
    <w:p w14:paraId="61CC65D6" w14:textId="76602686" w:rsidR="00763EF2" w:rsidRPr="00AF1E6C" w:rsidRDefault="00763EF2" w:rsidP="00763EF2">
      <w:pPr>
        <w:pStyle w:val="TableFigureFooter"/>
        <w:rPr>
          <w:lang w:val="en-US"/>
        </w:rPr>
      </w:pPr>
      <w:r>
        <w:rPr>
          <w:rStyle w:val="FootnoteReference"/>
        </w:rPr>
        <w:footnoteRef/>
      </w:r>
      <w:r>
        <w:t xml:space="preserve"> </w:t>
      </w:r>
      <w:bookmarkStart w:id="89" w:name="_Hlk142466731"/>
      <w:r w:rsidRPr="00AF1E6C">
        <w:t xml:space="preserve">14.63% [(7.04-6.01)/7.04], calculated based on the difference in mean duration of exposure for including (7.04 months) and excluding (6.01 months) dose holds in the cabozantinib (+BSC) treatment arm </w:t>
      </w:r>
      <w:bookmarkEnd w:id="89"/>
      <w:r w:rsidRPr="00AF1E6C">
        <w:t xml:space="preserve">(Safety Population, N=170) (source: Table 3, p10 of CSR Addendum 2). </w:t>
      </w:r>
    </w:p>
  </w:footnote>
  <w:footnote w:id="33">
    <w:p w14:paraId="796BB5AE" w14:textId="77777777" w:rsidR="00763EF2" w:rsidRPr="00E120DC" w:rsidRDefault="00763EF2" w:rsidP="00763EF2">
      <w:pPr>
        <w:pStyle w:val="TableFigureFooter"/>
        <w:rPr>
          <w:lang w:val="en-US"/>
        </w:rPr>
      </w:pPr>
      <w:r w:rsidRPr="00AF1E6C">
        <w:rPr>
          <w:rStyle w:val="FootnoteReference"/>
        </w:rPr>
        <w:footnoteRef/>
      </w:r>
      <w:r w:rsidRPr="00AF1E6C">
        <w:t xml:space="preserve"> </w:t>
      </w:r>
      <w:r w:rsidRPr="00E120DC">
        <w:t>95% CI lower and upper confidence intervals (CI) of the mean duration of exposure were calculated based on the means and standard deviations provided in the CSR (and assuming normal distribution). Minimal interruption (2.56%) was calculated using the lower 95% CI (6.35%) of the mean duration of exposure (including holds) and the upper 95% CI (6.19 months) of the mean duration of exposure (excluding holds), using the same method as in the submission (i.e., 2.56% = [(6.35-6.19/6.35].</w:t>
      </w:r>
    </w:p>
  </w:footnote>
  <w:footnote w:id="34">
    <w:p w14:paraId="3425C67A" w14:textId="77777777" w:rsidR="00763EF2" w:rsidRPr="00E120DC" w:rsidRDefault="00763EF2" w:rsidP="00763EF2">
      <w:pPr>
        <w:pStyle w:val="TableFigureFooter"/>
        <w:rPr>
          <w:lang w:val="en-US"/>
        </w:rPr>
      </w:pPr>
      <w:r>
        <w:rPr>
          <w:rStyle w:val="FootnoteReference"/>
        </w:rPr>
        <w:footnoteRef/>
      </w:r>
      <w:r>
        <w:t xml:space="preserve"> </w:t>
      </w:r>
      <w:r w:rsidRPr="00E120DC">
        <w:t>Maximal interruption (24.56%) was calculated using the upper 95% CI (7.73%) of the mean duration of exposure (including holds) and the lower 95% CI (5.83 months) of the mean duration of exposure (excluding holds), using the same method as in the submission (i.e., 24.56% = [(7.73-5.83/7.73].</w:t>
      </w:r>
    </w:p>
  </w:footnote>
  <w:footnote w:id="35">
    <w:p w14:paraId="784D1510" w14:textId="3A213A72" w:rsidR="004124D2" w:rsidRPr="00FC479C" w:rsidRDefault="00763EF2" w:rsidP="00763EF2">
      <w:pPr>
        <w:pStyle w:val="TableFigureFooter"/>
      </w:pPr>
      <w:r>
        <w:rPr>
          <w:rStyle w:val="FootnoteReference"/>
        </w:rPr>
        <w:footnoteRef/>
      </w:r>
      <w:r>
        <w:t xml:space="preserve"> </w:t>
      </w:r>
      <w:r w:rsidRPr="00E120DC">
        <w:t xml:space="preserve">Average annual growth rate of thyroid cancer incidence 2020-2022, calculated during the evaluation based on data from Table S1a.1: Cancer incidence counts, age-specific rates, age-standardised rates (2001 Australian Standard, WHO and Segi populations), by sex, age group, actual data from 1982 to 2018 and projections to 2022, Data tables: CDIA 2022: Book 1a – Cancer incidence (age-standardised rates and 5-year age groups), </w:t>
      </w:r>
      <w:r w:rsidRPr="00AF1E6C">
        <w:t>Cancer data in Australia</w:t>
      </w:r>
      <w:r w:rsidRPr="00E120DC">
        <w:t xml:space="preserve">, web report, last updated 4 October 2022 [available: </w:t>
      </w:r>
      <w:hyperlink r:id="rId5" w:history="1">
        <w:r w:rsidRPr="00E120DC">
          <w:rPr>
            <w:rStyle w:val="Hyperlink"/>
          </w:rPr>
          <w:t>https://www.aihw.gov.au/reports/cancer/cancer-data-in-australia/data</w:t>
        </w:r>
      </w:hyperlink>
      <w:r w:rsidRPr="00E120DC">
        <w:t>; accessed 2 August 2023].</w:t>
      </w:r>
    </w:p>
  </w:footnote>
  <w:footnote w:id="36">
    <w:p w14:paraId="505D34CE" w14:textId="77777777" w:rsidR="00763EF2" w:rsidRPr="00EA6E0C" w:rsidRDefault="00763EF2" w:rsidP="00763EF2">
      <w:pPr>
        <w:pStyle w:val="TableFigureFooter"/>
        <w:rPr>
          <w:lang w:val="en-US"/>
        </w:rPr>
      </w:pPr>
      <w:r>
        <w:rPr>
          <w:rStyle w:val="FootnoteReference"/>
        </w:rPr>
        <w:footnoteRef/>
      </w:r>
      <w:r>
        <w:t xml:space="preserve"> Lowest dose level received 60 mg/40 mg/20 mg/Missing = 32%/34%/33%/1% (excluding dose interruptions in which 0 mg was given), Table 4 Dose reductions due to an adverse event (Safety Population), p12</w:t>
      </w:r>
      <w:r w:rsidRPr="00C71224">
        <w:t xml:space="preserve"> </w:t>
      </w:r>
      <w:r>
        <w:t xml:space="preserve">of </w:t>
      </w:r>
      <w:r w:rsidRPr="00C71224">
        <w:t>CSR Addendum 2</w:t>
      </w:r>
      <w:r>
        <w:t xml:space="preserve">. The submission used 33% for cabozantinib 60 mg rather than 32% reported in the CSR. </w:t>
      </w:r>
      <w:r w:rsidRPr="00EA6E0C">
        <w:t>It appeared that the 33% for 60 mg included the missing 1%.</w:t>
      </w:r>
    </w:p>
  </w:footnote>
  <w:footnote w:id="37">
    <w:p w14:paraId="22BFAE0F" w14:textId="0DBD5D58" w:rsidR="00763EF2" w:rsidRPr="0082771C" w:rsidRDefault="00763EF2" w:rsidP="00763EF2">
      <w:pPr>
        <w:pStyle w:val="TableFigureFooter"/>
        <w:rPr>
          <w:lang w:val="en-US"/>
        </w:rPr>
      </w:pPr>
      <w:r>
        <w:rPr>
          <w:rStyle w:val="FootnoteReference"/>
        </w:rPr>
        <w:footnoteRef/>
      </w:r>
      <w:r>
        <w:t xml:space="preserve"> At the </w:t>
      </w:r>
      <w:r w:rsidRPr="0082771C">
        <w:t>July 2018 Meeting</w:t>
      </w:r>
      <w:r>
        <w:t>, the PBAC</w:t>
      </w:r>
      <w:r w:rsidRPr="0082771C">
        <w:t xml:space="preserve"> considered a minor submission requesting an amendment to the current PBS listing of lenvatinib to allow for the prescribing of one pack of 10 mg and two packs of 4 mg capsules. The rationale behind the proposed amendment was to allow “easier prescribing of doses that differed from the recommended starting dose of 24 mg per day” and citing benefits of cost-savings from reduced wastage (para</w:t>
      </w:r>
      <w:r w:rsidR="00647249">
        <w:t>graphs</w:t>
      </w:r>
      <w:r w:rsidRPr="0082771C">
        <w:t xml:space="preserve"> 3.25 and 4.4, Lenvatinib for DTC PSD, July 2018 PBAC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18BC6" w14:textId="77777777" w:rsidR="00B1620B" w:rsidRDefault="00B16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23EB2CA6" w:rsidR="00D843F2" w:rsidRPr="00195452" w:rsidRDefault="00247602" w:rsidP="00D822E2">
    <w:pPr>
      <w:pStyle w:val="Header"/>
      <w:rPr>
        <w:rFonts w:asciiTheme="minorHAnsi" w:hAnsiTheme="minorHAnsi"/>
        <w:i/>
        <w:color w:val="808080"/>
      </w:rPr>
    </w:pPr>
    <w:r w:rsidRPr="00247602">
      <w:rPr>
        <w:rFonts w:asciiTheme="minorHAnsi" w:hAnsiTheme="minorHAnsi"/>
        <w:i/>
        <w:color w:val="808080"/>
      </w:rPr>
      <w:t xml:space="preserve">Public Summary Document </w:t>
    </w:r>
    <w:r w:rsidR="00427986">
      <w:rPr>
        <w:rFonts w:asciiTheme="minorHAnsi" w:hAnsiTheme="minorHAnsi"/>
        <w:i/>
        <w:color w:val="808080"/>
      </w:rPr>
      <w:t xml:space="preserve">- </w:t>
    </w:r>
    <w:r w:rsidR="002939A4">
      <w:rPr>
        <w:rFonts w:asciiTheme="minorHAnsi" w:hAnsiTheme="minorHAnsi"/>
        <w:i/>
        <w:color w:val="808080"/>
      </w:rPr>
      <w:t>November</w:t>
    </w:r>
    <w:r w:rsidR="00D843F2">
      <w:rPr>
        <w:rFonts w:asciiTheme="minorHAnsi" w:hAnsiTheme="minorHAnsi"/>
        <w:i/>
        <w:color w:val="808080"/>
      </w:rPr>
      <w:t xml:space="preserve"> 202</w:t>
    </w:r>
    <w:r w:rsidR="002939A4">
      <w:rPr>
        <w:rFonts w:asciiTheme="minorHAnsi" w:hAnsiTheme="minorHAnsi"/>
        <w:i/>
        <w:color w:val="808080"/>
      </w:rPr>
      <w:t>3</w:t>
    </w:r>
    <w:r w:rsidR="00D843F2">
      <w:rPr>
        <w:rFonts w:asciiTheme="minorHAnsi" w:hAnsiTheme="minorHAnsi"/>
        <w:i/>
        <w:color w:val="808080"/>
      </w:rPr>
      <w:t xml:space="preserve"> </w:t>
    </w:r>
    <w:r w:rsidR="00D843F2" w:rsidRPr="00195452">
      <w:rPr>
        <w:rFonts w:asciiTheme="minorHAnsi" w:hAnsiTheme="minorHAnsi"/>
        <w:i/>
        <w:color w:val="808080"/>
      </w:rPr>
      <w:t>PBAC Meeting</w:t>
    </w:r>
  </w:p>
  <w:p w14:paraId="03AF943B" w14:textId="77777777" w:rsidR="00D843F2" w:rsidRPr="008C7ECB" w:rsidRDefault="00D843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0946" w14:textId="77777777" w:rsidR="00B1620B" w:rsidRDefault="00B16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090001"/>
    <w:lvl w:ilvl="0">
      <w:start w:val="1"/>
      <w:numFmt w:val="bullet"/>
      <w:lvlText w:val=""/>
      <w:lvlJc w:val="left"/>
      <w:pPr>
        <w:ind w:left="72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6535FA5"/>
    <w:multiLevelType w:val="hybridMultilevel"/>
    <w:tmpl w:val="B1EC443E"/>
    <w:lvl w:ilvl="0" w:tplc="0C090001">
      <w:start w:val="1"/>
      <w:numFmt w:val="bullet"/>
      <w:lvlText w:val=""/>
      <w:lvlJc w:val="left"/>
      <w:pPr>
        <w:ind w:left="720" w:hanging="360"/>
      </w:pPr>
      <w:rPr>
        <w:rFonts w:ascii="Symbol" w:hAnsi="Symbol" w:hint="default"/>
        <w:b w:val="0"/>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C750B9"/>
    <w:multiLevelType w:val="multilevel"/>
    <w:tmpl w:val="7B6094BE"/>
    <w:lvl w:ilvl="0">
      <w:start w:val="1"/>
      <w:numFmt w:val="decimal"/>
      <w:lvlText w:val="%1"/>
      <w:lvlJc w:val="left"/>
      <w:pPr>
        <w:ind w:left="720" w:hanging="720"/>
      </w:pPr>
      <w:rPr>
        <w:rFonts w:hint="default"/>
        <w:b/>
      </w:rPr>
    </w:lvl>
    <w:lvl w:ilvl="1">
      <w:start w:val="1"/>
      <w:numFmt w:val="bullet"/>
      <w:lvlText w:val=""/>
      <w:lvlJc w:val="left"/>
      <w:pPr>
        <w:ind w:left="1495"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913C8D"/>
    <w:multiLevelType w:val="multilevel"/>
    <w:tmpl w:val="481228BC"/>
    <w:lvl w:ilvl="0">
      <w:start w:val="1"/>
      <w:numFmt w:val="decimal"/>
      <w:lvlText w:val="%1"/>
      <w:lvlJc w:val="left"/>
      <w:pPr>
        <w:ind w:left="720" w:hanging="720"/>
      </w:pPr>
      <w:rPr>
        <w:rFonts w:hint="default"/>
        <w:b/>
      </w:rPr>
    </w:lvl>
    <w:lvl w:ilvl="1">
      <w:start w:val="1"/>
      <w:numFmt w:val="bullet"/>
      <w:lvlText w:val=""/>
      <w:lvlJc w:val="left"/>
      <w:pPr>
        <w:ind w:left="1495"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0180324"/>
    <w:multiLevelType w:val="hybridMultilevel"/>
    <w:tmpl w:val="E3E446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FE683A"/>
    <w:multiLevelType w:val="multilevel"/>
    <w:tmpl w:val="EB1C1DC6"/>
    <w:lvl w:ilvl="0">
      <w:start w:val="1"/>
      <w:numFmt w:val="decimal"/>
      <w:lvlText w:val="%1"/>
      <w:lvlJc w:val="left"/>
      <w:pPr>
        <w:ind w:left="720" w:hanging="720"/>
      </w:pPr>
      <w:rPr>
        <w:rFonts w:hint="default"/>
        <w:b/>
      </w:rPr>
    </w:lvl>
    <w:lvl w:ilvl="1">
      <w:start w:val="1"/>
      <w:numFmt w:val="bullet"/>
      <w:lvlText w:val=""/>
      <w:lvlJc w:val="left"/>
      <w:pPr>
        <w:ind w:left="1495"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F816BD"/>
    <w:multiLevelType w:val="hybridMultilevel"/>
    <w:tmpl w:val="FC76FC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5E01A3E"/>
    <w:multiLevelType w:val="hybridMultilevel"/>
    <w:tmpl w:val="58704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4C2E98"/>
    <w:multiLevelType w:val="hybridMultilevel"/>
    <w:tmpl w:val="C8C25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481757"/>
    <w:multiLevelType w:val="hybridMultilevel"/>
    <w:tmpl w:val="4BF08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8D67A6"/>
    <w:multiLevelType w:val="hybridMultilevel"/>
    <w:tmpl w:val="6AD61DB0"/>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D661AB"/>
    <w:multiLevelType w:val="hybridMultilevel"/>
    <w:tmpl w:val="59E297C0"/>
    <w:lvl w:ilvl="0" w:tplc="1DD83B40">
      <w:start w:val="1"/>
      <w:numFmt w:val="decimal"/>
      <w:lvlText w:val="%1."/>
      <w:lvlJc w:val="left"/>
      <w:pPr>
        <w:ind w:left="360" w:hanging="360"/>
      </w:pPr>
      <w:rPr>
        <w:b w:val="0"/>
        <w:b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0"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0084FBF"/>
    <w:multiLevelType w:val="hybridMultilevel"/>
    <w:tmpl w:val="47C2347C"/>
    <w:lvl w:ilvl="0" w:tplc="65423536">
      <w:start w:val="1"/>
      <w:numFmt w:val="bullet"/>
      <w:pStyle w:val="TableBullets"/>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3" w15:restartNumberingAfterBreak="0">
    <w:nsid w:val="61857FB5"/>
    <w:multiLevelType w:val="hybridMultilevel"/>
    <w:tmpl w:val="47F05406"/>
    <w:lvl w:ilvl="0" w:tplc="EAD0DA80">
      <w:start w:val="1"/>
      <w:numFmt w:val="bullet"/>
      <w:lvlText w:val="•"/>
      <w:lvlJc w:val="left"/>
      <w:pPr>
        <w:tabs>
          <w:tab w:val="num" w:pos="720"/>
        </w:tabs>
        <w:ind w:left="720" w:hanging="360"/>
      </w:pPr>
      <w:rPr>
        <w:rFonts w:ascii="Arial" w:hAnsi="Arial" w:hint="default"/>
      </w:rPr>
    </w:lvl>
    <w:lvl w:ilvl="1" w:tplc="222AF6E2">
      <w:start w:val="1"/>
      <w:numFmt w:val="bullet"/>
      <w:lvlText w:val="•"/>
      <w:lvlJc w:val="left"/>
      <w:pPr>
        <w:tabs>
          <w:tab w:val="num" w:pos="1440"/>
        </w:tabs>
        <w:ind w:left="1440" w:hanging="360"/>
      </w:pPr>
      <w:rPr>
        <w:rFonts w:ascii="Arial" w:hAnsi="Arial" w:hint="default"/>
      </w:rPr>
    </w:lvl>
    <w:lvl w:ilvl="2" w:tplc="D6F89DE2" w:tentative="1">
      <w:start w:val="1"/>
      <w:numFmt w:val="bullet"/>
      <w:lvlText w:val="•"/>
      <w:lvlJc w:val="left"/>
      <w:pPr>
        <w:tabs>
          <w:tab w:val="num" w:pos="2160"/>
        </w:tabs>
        <w:ind w:left="2160" w:hanging="360"/>
      </w:pPr>
      <w:rPr>
        <w:rFonts w:ascii="Arial" w:hAnsi="Arial" w:hint="default"/>
      </w:rPr>
    </w:lvl>
    <w:lvl w:ilvl="3" w:tplc="8E9EBE1C" w:tentative="1">
      <w:start w:val="1"/>
      <w:numFmt w:val="bullet"/>
      <w:lvlText w:val="•"/>
      <w:lvlJc w:val="left"/>
      <w:pPr>
        <w:tabs>
          <w:tab w:val="num" w:pos="2880"/>
        </w:tabs>
        <w:ind w:left="2880" w:hanging="360"/>
      </w:pPr>
      <w:rPr>
        <w:rFonts w:ascii="Arial" w:hAnsi="Arial" w:hint="default"/>
      </w:rPr>
    </w:lvl>
    <w:lvl w:ilvl="4" w:tplc="AB4AC612" w:tentative="1">
      <w:start w:val="1"/>
      <w:numFmt w:val="bullet"/>
      <w:lvlText w:val="•"/>
      <w:lvlJc w:val="left"/>
      <w:pPr>
        <w:tabs>
          <w:tab w:val="num" w:pos="3600"/>
        </w:tabs>
        <w:ind w:left="3600" w:hanging="360"/>
      </w:pPr>
      <w:rPr>
        <w:rFonts w:ascii="Arial" w:hAnsi="Arial" w:hint="default"/>
      </w:rPr>
    </w:lvl>
    <w:lvl w:ilvl="5" w:tplc="3B5C833E" w:tentative="1">
      <w:start w:val="1"/>
      <w:numFmt w:val="bullet"/>
      <w:lvlText w:val="•"/>
      <w:lvlJc w:val="left"/>
      <w:pPr>
        <w:tabs>
          <w:tab w:val="num" w:pos="4320"/>
        </w:tabs>
        <w:ind w:left="4320" w:hanging="360"/>
      </w:pPr>
      <w:rPr>
        <w:rFonts w:ascii="Arial" w:hAnsi="Arial" w:hint="default"/>
      </w:rPr>
    </w:lvl>
    <w:lvl w:ilvl="6" w:tplc="6D2C8B6E" w:tentative="1">
      <w:start w:val="1"/>
      <w:numFmt w:val="bullet"/>
      <w:lvlText w:val="•"/>
      <w:lvlJc w:val="left"/>
      <w:pPr>
        <w:tabs>
          <w:tab w:val="num" w:pos="5040"/>
        </w:tabs>
        <w:ind w:left="5040" w:hanging="360"/>
      </w:pPr>
      <w:rPr>
        <w:rFonts w:ascii="Arial" w:hAnsi="Arial" w:hint="default"/>
      </w:rPr>
    </w:lvl>
    <w:lvl w:ilvl="7" w:tplc="9C32999E" w:tentative="1">
      <w:start w:val="1"/>
      <w:numFmt w:val="bullet"/>
      <w:lvlText w:val="•"/>
      <w:lvlJc w:val="left"/>
      <w:pPr>
        <w:tabs>
          <w:tab w:val="num" w:pos="5760"/>
        </w:tabs>
        <w:ind w:left="5760" w:hanging="360"/>
      </w:pPr>
      <w:rPr>
        <w:rFonts w:ascii="Arial" w:hAnsi="Arial" w:hint="default"/>
      </w:rPr>
    </w:lvl>
    <w:lvl w:ilvl="8" w:tplc="B1F2337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335439A"/>
    <w:multiLevelType w:val="hybridMultilevel"/>
    <w:tmpl w:val="232EFDD6"/>
    <w:lvl w:ilvl="0" w:tplc="0C090001">
      <w:start w:val="1"/>
      <w:numFmt w:val="bullet"/>
      <w:lvlText w:val=""/>
      <w:lvlJc w:val="left"/>
      <w:pPr>
        <w:ind w:left="720" w:hanging="360"/>
      </w:pPr>
      <w:rPr>
        <w:rFonts w:ascii="Symbol" w:hAnsi="Symbol" w:hint="default"/>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642E74AF"/>
    <w:multiLevelType w:val="hybridMultilevel"/>
    <w:tmpl w:val="0472E1D6"/>
    <w:lvl w:ilvl="0" w:tplc="B6A8DF66">
      <w:start w:val="1"/>
      <w:numFmt w:val="lowerLetter"/>
      <w:pStyle w:val="TableLetters"/>
      <w:lvlText w:val="%1)"/>
      <w:lvlJc w:val="left"/>
      <w:pPr>
        <w:ind w:left="397" w:hanging="170"/>
      </w:pPr>
    </w:lvl>
    <w:lvl w:ilvl="1" w:tplc="0C090003">
      <w:start w:val="1"/>
      <w:numFmt w:val="lowerLetter"/>
      <w:lvlText w:val="%2."/>
      <w:lvlJc w:val="left"/>
      <w:pPr>
        <w:ind w:left="1440" w:hanging="360"/>
      </w:pPr>
    </w:lvl>
    <w:lvl w:ilvl="2" w:tplc="0C090005">
      <w:start w:val="1"/>
      <w:numFmt w:val="lowerRoman"/>
      <w:lvlText w:val="%3."/>
      <w:lvlJc w:val="right"/>
      <w:pPr>
        <w:ind w:left="2160" w:hanging="180"/>
      </w:pPr>
    </w:lvl>
    <w:lvl w:ilvl="3" w:tplc="0C090001">
      <w:start w:val="1"/>
      <w:numFmt w:val="decimal"/>
      <w:lvlText w:val="%4."/>
      <w:lvlJc w:val="left"/>
      <w:pPr>
        <w:ind w:left="2880" w:hanging="360"/>
      </w:pPr>
    </w:lvl>
    <w:lvl w:ilvl="4" w:tplc="0C090003">
      <w:start w:val="1"/>
      <w:numFmt w:val="lowerLetter"/>
      <w:lvlText w:val="%5."/>
      <w:lvlJc w:val="left"/>
      <w:pPr>
        <w:ind w:left="3600" w:hanging="360"/>
      </w:pPr>
    </w:lvl>
    <w:lvl w:ilvl="5" w:tplc="0C090005">
      <w:start w:val="1"/>
      <w:numFmt w:val="lowerRoman"/>
      <w:lvlText w:val="%6."/>
      <w:lvlJc w:val="right"/>
      <w:pPr>
        <w:ind w:left="4320" w:hanging="180"/>
      </w:pPr>
    </w:lvl>
    <w:lvl w:ilvl="6" w:tplc="0C090001">
      <w:start w:val="1"/>
      <w:numFmt w:val="decimal"/>
      <w:lvlText w:val="%7."/>
      <w:lvlJc w:val="left"/>
      <w:pPr>
        <w:ind w:left="5040" w:hanging="360"/>
      </w:pPr>
    </w:lvl>
    <w:lvl w:ilvl="7" w:tplc="0C090003">
      <w:start w:val="1"/>
      <w:numFmt w:val="lowerLetter"/>
      <w:lvlText w:val="%8."/>
      <w:lvlJc w:val="left"/>
      <w:pPr>
        <w:ind w:left="5760" w:hanging="360"/>
      </w:pPr>
    </w:lvl>
    <w:lvl w:ilvl="8" w:tplc="0C090005">
      <w:start w:val="1"/>
      <w:numFmt w:val="lowerRoman"/>
      <w:lvlText w:val="%9."/>
      <w:lvlJc w:val="right"/>
      <w:pPr>
        <w:ind w:left="6480" w:hanging="180"/>
      </w:pPr>
    </w:lvl>
  </w:abstractNum>
  <w:abstractNum w:abstractNumId="26"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7" w15:restartNumberingAfterBreak="0">
    <w:nsid w:val="64EC7917"/>
    <w:multiLevelType w:val="hybridMultilevel"/>
    <w:tmpl w:val="6CB4B17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6AF22442"/>
    <w:multiLevelType w:val="hybridMultilevel"/>
    <w:tmpl w:val="265AA924"/>
    <w:lvl w:ilvl="0" w:tplc="7A70A314">
      <w:start w:val="1"/>
      <w:numFmt w:val="bullet"/>
      <w:lvlText w:val=""/>
      <w:lvlJc w:val="left"/>
      <w:pPr>
        <w:ind w:left="720" w:hanging="360"/>
      </w:pPr>
      <w:rPr>
        <w:rFonts w:ascii="Symbol" w:hAnsi="Symbol" w:hint="default"/>
        <w:color w:val="000000" w:themeColor="text1"/>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735BB9"/>
    <w:multiLevelType w:val="hybridMultilevel"/>
    <w:tmpl w:val="ECC274C4"/>
    <w:lvl w:ilvl="0" w:tplc="2E283F5E">
      <w:start w:val="1"/>
      <w:numFmt w:val="decimal"/>
      <w:lvlText w:val="%1."/>
      <w:lvlJc w:val="left"/>
      <w:pPr>
        <w:ind w:left="360" w:hanging="360"/>
      </w:pPr>
      <w:rPr>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4D0FDF"/>
    <w:multiLevelType w:val="hybridMultilevel"/>
    <w:tmpl w:val="294CB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4D033C"/>
    <w:multiLevelType w:val="multilevel"/>
    <w:tmpl w:val="CEDC746A"/>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855"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24766804">
    <w:abstractNumId w:val="32"/>
  </w:num>
  <w:num w:numId="2" w16cid:durableId="353044437">
    <w:abstractNumId w:val="16"/>
  </w:num>
  <w:num w:numId="3" w16cid:durableId="797801453">
    <w:abstractNumId w:val="17"/>
  </w:num>
  <w:num w:numId="4" w16cid:durableId="2018261838">
    <w:abstractNumId w:val="0"/>
  </w:num>
  <w:num w:numId="5" w16cid:durableId="2102681194">
    <w:abstractNumId w:val="26"/>
  </w:num>
  <w:num w:numId="6" w16cid:durableId="344989525">
    <w:abstractNumId w:val="22"/>
  </w:num>
  <w:num w:numId="7" w16cid:durableId="358941329">
    <w:abstractNumId w:val="13"/>
  </w:num>
  <w:num w:numId="8" w16cid:durableId="1282297379">
    <w:abstractNumId w:val="7"/>
  </w:num>
  <w:num w:numId="9" w16cid:durableId="11077129">
    <w:abstractNumId w:val="24"/>
  </w:num>
  <w:num w:numId="10" w16cid:durableId="2132085589">
    <w:abstractNumId w:val="27"/>
  </w:num>
  <w:num w:numId="11" w16cid:durableId="211432373">
    <w:abstractNumId w:val="11"/>
  </w:num>
  <w:num w:numId="12" w16cid:durableId="1797137353">
    <w:abstractNumId w:val="31"/>
  </w:num>
  <w:num w:numId="13" w16cid:durableId="1679893730">
    <w:abstractNumId w:val="14"/>
  </w:num>
  <w:num w:numId="14" w16cid:durableId="770128413">
    <w:abstractNumId w:val="6"/>
  </w:num>
  <w:num w:numId="15" w16cid:durableId="21311228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00576267">
    <w:abstractNumId w:val="5"/>
  </w:num>
  <w:num w:numId="17" w16cid:durableId="1587107595">
    <w:abstractNumId w:val="18"/>
  </w:num>
  <w:num w:numId="18" w16cid:durableId="132798305">
    <w:abstractNumId w:val="2"/>
  </w:num>
  <w:num w:numId="19" w16cid:durableId="1693264180">
    <w:abstractNumId w:val="15"/>
  </w:num>
  <w:num w:numId="20" w16cid:durableId="525681140">
    <w:abstractNumId w:val="30"/>
  </w:num>
  <w:num w:numId="21" w16cid:durableId="1228414230">
    <w:abstractNumId w:val="28"/>
  </w:num>
  <w:num w:numId="22" w16cid:durableId="1259603363">
    <w:abstractNumId w:val="3"/>
  </w:num>
  <w:num w:numId="23" w16cid:durableId="1862741915">
    <w:abstractNumId w:val="19"/>
  </w:num>
  <w:num w:numId="24" w16cid:durableId="2054117860">
    <w:abstractNumId w:val="20"/>
  </w:num>
  <w:num w:numId="25" w16cid:durableId="1467697209">
    <w:abstractNumId w:val="4"/>
  </w:num>
  <w:num w:numId="26" w16cid:durableId="1899701468">
    <w:abstractNumId w:val="1"/>
  </w:num>
  <w:num w:numId="27" w16cid:durableId="1244488922">
    <w:abstractNumId w:val="10"/>
  </w:num>
  <w:num w:numId="28" w16cid:durableId="1455825367">
    <w:abstractNumId w:val="12"/>
  </w:num>
  <w:num w:numId="29" w16cid:durableId="1516577904">
    <w:abstractNumId w:val="9"/>
  </w:num>
  <w:num w:numId="30" w16cid:durableId="1297443176">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96389238">
    <w:abstractNumId w:val="29"/>
  </w:num>
  <w:num w:numId="32" w16cid:durableId="1015619565">
    <w:abstractNumId w:val="8"/>
  </w:num>
  <w:num w:numId="33" w16cid:durableId="610019108">
    <w:abstractNumId w:val="23"/>
  </w:num>
  <w:num w:numId="34" w16cid:durableId="505285357">
    <w:abstractNumId w:val="32"/>
  </w:num>
  <w:num w:numId="35" w16cid:durableId="918752661">
    <w:abstractNumId w:val="3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I0MrY0NTa2MLWwMDBV0lEKTi0uzszPAykwM6gFAMg7NfstAAAA"/>
  </w:docVars>
  <w:rsids>
    <w:rsidRoot w:val="00E65E79"/>
    <w:rsid w:val="00000790"/>
    <w:rsid w:val="00000CCE"/>
    <w:rsid w:val="0000110B"/>
    <w:rsid w:val="0000121D"/>
    <w:rsid w:val="000018C0"/>
    <w:rsid w:val="00001C36"/>
    <w:rsid w:val="00002B7E"/>
    <w:rsid w:val="0000319B"/>
    <w:rsid w:val="00003499"/>
    <w:rsid w:val="00003829"/>
    <w:rsid w:val="000039B7"/>
    <w:rsid w:val="00004BA6"/>
    <w:rsid w:val="0000513D"/>
    <w:rsid w:val="000056B9"/>
    <w:rsid w:val="0000639A"/>
    <w:rsid w:val="00007129"/>
    <w:rsid w:val="00007578"/>
    <w:rsid w:val="000110E7"/>
    <w:rsid w:val="00012249"/>
    <w:rsid w:val="0001266B"/>
    <w:rsid w:val="00012F01"/>
    <w:rsid w:val="00013247"/>
    <w:rsid w:val="00013BD9"/>
    <w:rsid w:val="00014ADA"/>
    <w:rsid w:val="000154FD"/>
    <w:rsid w:val="00015886"/>
    <w:rsid w:val="00015B4E"/>
    <w:rsid w:val="000162EF"/>
    <w:rsid w:val="0001640D"/>
    <w:rsid w:val="0001677E"/>
    <w:rsid w:val="00016924"/>
    <w:rsid w:val="00016F8C"/>
    <w:rsid w:val="0001702B"/>
    <w:rsid w:val="000207C9"/>
    <w:rsid w:val="00021F0B"/>
    <w:rsid w:val="00022244"/>
    <w:rsid w:val="0002225F"/>
    <w:rsid w:val="00022302"/>
    <w:rsid w:val="000226A2"/>
    <w:rsid w:val="00022E9D"/>
    <w:rsid w:val="0002351A"/>
    <w:rsid w:val="00023763"/>
    <w:rsid w:val="000246F5"/>
    <w:rsid w:val="00024EB5"/>
    <w:rsid w:val="0002513E"/>
    <w:rsid w:val="00025216"/>
    <w:rsid w:val="00026828"/>
    <w:rsid w:val="00026A97"/>
    <w:rsid w:val="00026E30"/>
    <w:rsid w:val="00026F5E"/>
    <w:rsid w:val="000274B8"/>
    <w:rsid w:val="00030751"/>
    <w:rsid w:val="00030DD1"/>
    <w:rsid w:val="00032060"/>
    <w:rsid w:val="000325AA"/>
    <w:rsid w:val="00033863"/>
    <w:rsid w:val="00033C28"/>
    <w:rsid w:val="00035DC0"/>
    <w:rsid w:val="00036102"/>
    <w:rsid w:val="00036829"/>
    <w:rsid w:val="00036EAC"/>
    <w:rsid w:val="00036EC8"/>
    <w:rsid w:val="00037EBF"/>
    <w:rsid w:val="00040895"/>
    <w:rsid w:val="00041021"/>
    <w:rsid w:val="000410A0"/>
    <w:rsid w:val="00041171"/>
    <w:rsid w:val="00043463"/>
    <w:rsid w:val="000435EE"/>
    <w:rsid w:val="00043C37"/>
    <w:rsid w:val="00043E4C"/>
    <w:rsid w:val="000441E2"/>
    <w:rsid w:val="00044979"/>
    <w:rsid w:val="00044D3F"/>
    <w:rsid w:val="00045017"/>
    <w:rsid w:val="00045A2B"/>
    <w:rsid w:val="00046058"/>
    <w:rsid w:val="00046836"/>
    <w:rsid w:val="0004698F"/>
    <w:rsid w:val="00046D64"/>
    <w:rsid w:val="00050133"/>
    <w:rsid w:val="000508C2"/>
    <w:rsid w:val="00050A6F"/>
    <w:rsid w:val="00051039"/>
    <w:rsid w:val="00051B99"/>
    <w:rsid w:val="00051DE1"/>
    <w:rsid w:val="00052760"/>
    <w:rsid w:val="00052EDC"/>
    <w:rsid w:val="000539D0"/>
    <w:rsid w:val="00053B68"/>
    <w:rsid w:val="00053F15"/>
    <w:rsid w:val="00054485"/>
    <w:rsid w:val="000544DA"/>
    <w:rsid w:val="00054621"/>
    <w:rsid w:val="000546D7"/>
    <w:rsid w:val="00054A8D"/>
    <w:rsid w:val="00055941"/>
    <w:rsid w:val="00055F58"/>
    <w:rsid w:val="0005664D"/>
    <w:rsid w:val="00056ECF"/>
    <w:rsid w:val="00056F5B"/>
    <w:rsid w:val="00057204"/>
    <w:rsid w:val="00057A74"/>
    <w:rsid w:val="000604DF"/>
    <w:rsid w:val="0006136D"/>
    <w:rsid w:val="00061F3C"/>
    <w:rsid w:val="00063297"/>
    <w:rsid w:val="00063B21"/>
    <w:rsid w:val="000653B5"/>
    <w:rsid w:val="0006578A"/>
    <w:rsid w:val="00066360"/>
    <w:rsid w:val="00066614"/>
    <w:rsid w:val="00066661"/>
    <w:rsid w:val="000667D4"/>
    <w:rsid w:val="00066920"/>
    <w:rsid w:val="00066AF8"/>
    <w:rsid w:val="00067A4B"/>
    <w:rsid w:val="0007066B"/>
    <w:rsid w:val="00071248"/>
    <w:rsid w:val="000714B4"/>
    <w:rsid w:val="00071DA3"/>
    <w:rsid w:val="000720B9"/>
    <w:rsid w:val="00072365"/>
    <w:rsid w:val="00072506"/>
    <w:rsid w:val="00073794"/>
    <w:rsid w:val="000737F7"/>
    <w:rsid w:val="00074236"/>
    <w:rsid w:val="000750C6"/>
    <w:rsid w:val="00075D3B"/>
    <w:rsid w:val="0007672F"/>
    <w:rsid w:val="00076792"/>
    <w:rsid w:val="00076B54"/>
    <w:rsid w:val="000774F0"/>
    <w:rsid w:val="00077CE4"/>
    <w:rsid w:val="00080909"/>
    <w:rsid w:val="00080B76"/>
    <w:rsid w:val="00080E4F"/>
    <w:rsid w:val="00080ED9"/>
    <w:rsid w:val="000812CA"/>
    <w:rsid w:val="000812D6"/>
    <w:rsid w:val="00081BEF"/>
    <w:rsid w:val="00081E63"/>
    <w:rsid w:val="0008200C"/>
    <w:rsid w:val="0008258D"/>
    <w:rsid w:val="000826F1"/>
    <w:rsid w:val="00082C55"/>
    <w:rsid w:val="00082D22"/>
    <w:rsid w:val="00083E99"/>
    <w:rsid w:val="00083FF8"/>
    <w:rsid w:val="00084748"/>
    <w:rsid w:val="00084FA8"/>
    <w:rsid w:val="00085053"/>
    <w:rsid w:val="000856C5"/>
    <w:rsid w:val="00085C31"/>
    <w:rsid w:val="0008635E"/>
    <w:rsid w:val="00087E4A"/>
    <w:rsid w:val="00087F0A"/>
    <w:rsid w:val="000902D9"/>
    <w:rsid w:val="000906D0"/>
    <w:rsid w:val="00090C7E"/>
    <w:rsid w:val="00090FB9"/>
    <w:rsid w:val="000911AC"/>
    <w:rsid w:val="00091DCB"/>
    <w:rsid w:val="00092600"/>
    <w:rsid w:val="0009262B"/>
    <w:rsid w:val="00093310"/>
    <w:rsid w:val="00093B65"/>
    <w:rsid w:val="00094169"/>
    <w:rsid w:val="0009445C"/>
    <w:rsid w:val="00095200"/>
    <w:rsid w:val="00095FE5"/>
    <w:rsid w:val="00096284"/>
    <w:rsid w:val="00096D4D"/>
    <w:rsid w:val="0009738F"/>
    <w:rsid w:val="000978E9"/>
    <w:rsid w:val="00097BF3"/>
    <w:rsid w:val="000A0009"/>
    <w:rsid w:val="000A1BC0"/>
    <w:rsid w:val="000A2192"/>
    <w:rsid w:val="000A280B"/>
    <w:rsid w:val="000A29B4"/>
    <w:rsid w:val="000A2F9E"/>
    <w:rsid w:val="000A3345"/>
    <w:rsid w:val="000A3E47"/>
    <w:rsid w:val="000A44E4"/>
    <w:rsid w:val="000A4AC7"/>
    <w:rsid w:val="000A4C98"/>
    <w:rsid w:val="000A522B"/>
    <w:rsid w:val="000A6039"/>
    <w:rsid w:val="000A6B21"/>
    <w:rsid w:val="000A6E2F"/>
    <w:rsid w:val="000A7453"/>
    <w:rsid w:val="000A7D08"/>
    <w:rsid w:val="000B0121"/>
    <w:rsid w:val="000B0670"/>
    <w:rsid w:val="000B0E75"/>
    <w:rsid w:val="000B1510"/>
    <w:rsid w:val="000B2C43"/>
    <w:rsid w:val="000B2DCB"/>
    <w:rsid w:val="000B4851"/>
    <w:rsid w:val="000B499E"/>
    <w:rsid w:val="000B4E26"/>
    <w:rsid w:val="000B557F"/>
    <w:rsid w:val="000B55D8"/>
    <w:rsid w:val="000B5CE0"/>
    <w:rsid w:val="000B6AFE"/>
    <w:rsid w:val="000B6CAC"/>
    <w:rsid w:val="000B730B"/>
    <w:rsid w:val="000B7612"/>
    <w:rsid w:val="000B78AE"/>
    <w:rsid w:val="000C0183"/>
    <w:rsid w:val="000C03AF"/>
    <w:rsid w:val="000C1FB6"/>
    <w:rsid w:val="000C2DAC"/>
    <w:rsid w:val="000C3DF9"/>
    <w:rsid w:val="000C44A7"/>
    <w:rsid w:val="000C4CF2"/>
    <w:rsid w:val="000C6713"/>
    <w:rsid w:val="000D03F6"/>
    <w:rsid w:val="000D092A"/>
    <w:rsid w:val="000D130A"/>
    <w:rsid w:val="000D17F5"/>
    <w:rsid w:val="000D1959"/>
    <w:rsid w:val="000D1BFC"/>
    <w:rsid w:val="000D1C07"/>
    <w:rsid w:val="000D1D5D"/>
    <w:rsid w:val="000D281A"/>
    <w:rsid w:val="000D2848"/>
    <w:rsid w:val="000D326A"/>
    <w:rsid w:val="000D3596"/>
    <w:rsid w:val="000D38E5"/>
    <w:rsid w:val="000D51FB"/>
    <w:rsid w:val="000D6679"/>
    <w:rsid w:val="000D7695"/>
    <w:rsid w:val="000E0033"/>
    <w:rsid w:val="000E0640"/>
    <w:rsid w:val="000E135D"/>
    <w:rsid w:val="000E15A6"/>
    <w:rsid w:val="000E23A6"/>
    <w:rsid w:val="000E2D4A"/>
    <w:rsid w:val="000E30F7"/>
    <w:rsid w:val="000E4315"/>
    <w:rsid w:val="000E5F29"/>
    <w:rsid w:val="000E709B"/>
    <w:rsid w:val="000E73EC"/>
    <w:rsid w:val="000F00BA"/>
    <w:rsid w:val="000F11E6"/>
    <w:rsid w:val="000F1BA8"/>
    <w:rsid w:val="000F316A"/>
    <w:rsid w:val="000F3C74"/>
    <w:rsid w:val="000F4908"/>
    <w:rsid w:val="000F4BB8"/>
    <w:rsid w:val="000F4FA9"/>
    <w:rsid w:val="000F53FB"/>
    <w:rsid w:val="000F6DCF"/>
    <w:rsid w:val="000F7127"/>
    <w:rsid w:val="000F778C"/>
    <w:rsid w:val="000F79DB"/>
    <w:rsid w:val="000F7B54"/>
    <w:rsid w:val="001000B3"/>
    <w:rsid w:val="001003A2"/>
    <w:rsid w:val="001009C8"/>
    <w:rsid w:val="00100F8A"/>
    <w:rsid w:val="001017CE"/>
    <w:rsid w:val="00101E50"/>
    <w:rsid w:val="00102B3A"/>
    <w:rsid w:val="001035DF"/>
    <w:rsid w:val="00104261"/>
    <w:rsid w:val="0010452E"/>
    <w:rsid w:val="0010540A"/>
    <w:rsid w:val="00105AE2"/>
    <w:rsid w:val="001060C6"/>
    <w:rsid w:val="001063EC"/>
    <w:rsid w:val="00106B80"/>
    <w:rsid w:val="00107B4D"/>
    <w:rsid w:val="0011032E"/>
    <w:rsid w:val="0011089A"/>
    <w:rsid w:val="001110EF"/>
    <w:rsid w:val="00112624"/>
    <w:rsid w:val="0011302B"/>
    <w:rsid w:val="0011348B"/>
    <w:rsid w:val="00113686"/>
    <w:rsid w:val="0011505F"/>
    <w:rsid w:val="0011579B"/>
    <w:rsid w:val="00115982"/>
    <w:rsid w:val="001163F8"/>
    <w:rsid w:val="001165AF"/>
    <w:rsid w:val="00116C53"/>
    <w:rsid w:val="00116F02"/>
    <w:rsid w:val="00120486"/>
    <w:rsid w:val="00121593"/>
    <w:rsid w:val="00121799"/>
    <w:rsid w:val="00121DD0"/>
    <w:rsid w:val="001222FC"/>
    <w:rsid w:val="00123902"/>
    <w:rsid w:val="00123ADC"/>
    <w:rsid w:val="00124A51"/>
    <w:rsid w:val="00124AE0"/>
    <w:rsid w:val="00124FA6"/>
    <w:rsid w:val="00125105"/>
    <w:rsid w:val="0012591B"/>
    <w:rsid w:val="00126621"/>
    <w:rsid w:val="00126B1D"/>
    <w:rsid w:val="00126F67"/>
    <w:rsid w:val="00127FC4"/>
    <w:rsid w:val="001300AC"/>
    <w:rsid w:val="001301E9"/>
    <w:rsid w:val="001301F1"/>
    <w:rsid w:val="00130E69"/>
    <w:rsid w:val="00131D82"/>
    <w:rsid w:val="00131E07"/>
    <w:rsid w:val="00132146"/>
    <w:rsid w:val="00132B22"/>
    <w:rsid w:val="00132D53"/>
    <w:rsid w:val="00133D36"/>
    <w:rsid w:val="001345BE"/>
    <w:rsid w:val="0013477E"/>
    <w:rsid w:val="001349FB"/>
    <w:rsid w:val="00136473"/>
    <w:rsid w:val="00136996"/>
    <w:rsid w:val="00136B16"/>
    <w:rsid w:val="00136C4A"/>
    <w:rsid w:val="00137017"/>
    <w:rsid w:val="00137645"/>
    <w:rsid w:val="001377CC"/>
    <w:rsid w:val="0014015A"/>
    <w:rsid w:val="00140E99"/>
    <w:rsid w:val="00141CB8"/>
    <w:rsid w:val="0014257D"/>
    <w:rsid w:val="001427E6"/>
    <w:rsid w:val="00143297"/>
    <w:rsid w:val="00143374"/>
    <w:rsid w:val="00143F67"/>
    <w:rsid w:val="0014474A"/>
    <w:rsid w:val="00144C1B"/>
    <w:rsid w:val="00145234"/>
    <w:rsid w:val="00145540"/>
    <w:rsid w:val="001456B0"/>
    <w:rsid w:val="0014613A"/>
    <w:rsid w:val="00147388"/>
    <w:rsid w:val="001478F5"/>
    <w:rsid w:val="00150500"/>
    <w:rsid w:val="00151306"/>
    <w:rsid w:val="00151886"/>
    <w:rsid w:val="00151A84"/>
    <w:rsid w:val="00152384"/>
    <w:rsid w:val="0015392A"/>
    <w:rsid w:val="001547AB"/>
    <w:rsid w:val="00155336"/>
    <w:rsid w:val="001554BE"/>
    <w:rsid w:val="00155A55"/>
    <w:rsid w:val="00156F8F"/>
    <w:rsid w:val="00157130"/>
    <w:rsid w:val="001576B1"/>
    <w:rsid w:val="0016047B"/>
    <w:rsid w:val="0016077E"/>
    <w:rsid w:val="00160A4C"/>
    <w:rsid w:val="00160C16"/>
    <w:rsid w:val="001610A9"/>
    <w:rsid w:val="00161DAF"/>
    <w:rsid w:val="00161F6C"/>
    <w:rsid w:val="00162913"/>
    <w:rsid w:val="001638AB"/>
    <w:rsid w:val="00163C55"/>
    <w:rsid w:val="00163EFF"/>
    <w:rsid w:val="00163F66"/>
    <w:rsid w:val="0016478E"/>
    <w:rsid w:val="00165EC4"/>
    <w:rsid w:val="001661FB"/>
    <w:rsid w:val="001671A0"/>
    <w:rsid w:val="0016727C"/>
    <w:rsid w:val="0016767F"/>
    <w:rsid w:val="00170631"/>
    <w:rsid w:val="00170C60"/>
    <w:rsid w:val="001726D8"/>
    <w:rsid w:val="001730B6"/>
    <w:rsid w:val="00173565"/>
    <w:rsid w:val="00173B07"/>
    <w:rsid w:val="00174FF4"/>
    <w:rsid w:val="00175019"/>
    <w:rsid w:val="001751FA"/>
    <w:rsid w:val="0017535C"/>
    <w:rsid w:val="0017750C"/>
    <w:rsid w:val="001779C8"/>
    <w:rsid w:val="00177D29"/>
    <w:rsid w:val="00180F22"/>
    <w:rsid w:val="00181606"/>
    <w:rsid w:val="001818BB"/>
    <w:rsid w:val="00181C10"/>
    <w:rsid w:val="00181D9C"/>
    <w:rsid w:val="001828FE"/>
    <w:rsid w:val="001837FF"/>
    <w:rsid w:val="0018380E"/>
    <w:rsid w:val="00184B0E"/>
    <w:rsid w:val="00184E58"/>
    <w:rsid w:val="00186D86"/>
    <w:rsid w:val="0018710D"/>
    <w:rsid w:val="0018714B"/>
    <w:rsid w:val="0018728F"/>
    <w:rsid w:val="0018752F"/>
    <w:rsid w:val="00190A07"/>
    <w:rsid w:val="00192B86"/>
    <w:rsid w:val="00193838"/>
    <w:rsid w:val="00194AD8"/>
    <w:rsid w:val="00195222"/>
    <w:rsid w:val="00195452"/>
    <w:rsid w:val="001957AA"/>
    <w:rsid w:val="00195DA5"/>
    <w:rsid w:val="001960D6"/>
    <w:rsid w:val="0019648F"/>
    <w:rsid w:val="001975D8"/>
    <w:rsid w:val="001A1482"/>
    <w:rsid w:val="001A178E"/>
    <w:rsid w:val="001A28FB"/>
    <w:rsid w:val="001A2A3B"/>
    <w:rsid w:val="001A388E"/>
    <w:rsid w:val="001A43FA"/>
    <w:rsid w:val="001A45B5"/>
    <w:rsid w:val="001A47C5"/>
    <w:rsid w:val="001A5046"/>
    <w:rsid w:val="001A5293"/>
    <w:rsid w:val="001A535D"/>
    <w:rsid w:val="001A59D6"/>
    <w:rsid w:val="001A59FB"/>
    <w:rsid w:val="001A5E9E"/>
    <w:rsid w:val="001A6354"/>
    <w:rsid w:val="001A6366"/>
    <w:rsid w:val="001A7AE8"/>
    <w:rsid w:val="001B0103"/>
    <w:rsid w:val="001B03FB"/>
    <w:rsid w:val="001B204E"/>
    <w:rsid w:val="001B2372"/>
    <w:rsid w:val="001B3443"/>
    <w:rsid w:val="001B4D20"/>
    <w:rsid w:val="001B4DC4"/>
    <w:rsid w:val="001B520D"/>
    <w:rsid w:val="001B5884"/>
    <w:rsid w:val="001B69A7"/>
    <w:rsid w:val="001B6BB1"/>
    <w:rsid w:val="001B76CF"/>
    <w:rsid w:val="001B7C47"/>
    <w:rsid w:val="001B7F84"/>
    <w:rsid w:val="001C2A9B"/>
    <w:rsid w:val="001C3804"/>
    <w:rsid w:val="001C3DD6"/>
    <w:rsid w:val="001C4299"/>
    <w:rsid w:val="001C4874"/>
    <w:rsid w:val="001C5225"/>
    <w:rsid w:val="001C566A"/>
    <w:rsid w:val="001C5F94"/>
    <w:rsid w:val="001C6343"/>
    <w:rsid w:val="001C6E66"/>
    <w:rsid w:val="001C789B"/>
    <w:rsid w:val="001C798B"/>
    <w:rsid w:val="001D0050"/>
    <w:rsid w:val="001D0732"/>
    <w:rsid w:val="001D0A3E"/>
    <w:rsid w:val="001D0FBD"/>
    <w:rsid w:val="001D1100"/>
    <w:rsid w:val="001D1175"/>
    <w:rsid w:val="001D117E"/>
    <w:rsid w:val="001D1374"/>
    <w:rsid w:val="001D1391"/>
    <w:rsid w:val="001D1A80"/>
    <w:rsid w:val="001D2567"/>
    <w:rsid w:val="001D25D7"/>
    <w:rsid w:val="001D35DE"/>
    <w:rsid w:val="001D369B"/>
    <w:rsid w:val="001D40B8"/>
    <w:rsid w:val="001D50B0"/>
    <w:rsid w:val="001D50B2"/>
    <w:rsid w:val="001D5C91"/>
    <w:rsid w:val="001D6208"/>
    <w:rsid w:val="001D6582"/>
    <w:rsid w:val="001D71F4"/>
    <w:rsid w:val="001D72FB"/>
    <w:rsid w:val="001D7362"/>
    <w:rsid w:val="001D7645"/>
    <w:rsid w:val="001D7A20"/>
    <w:rsid w:val="001E033A"/>
    <w:rsid w:val="001E11A0"/>
    <w:rsid w:val="001E1607"/>
    <w:rsid w:val="001E1E86"/>
    <w:rsid w:val="001E238E"/>
    <w:rsid w:val="001E2483"/>
    <w:rsid w:val="001E2B1E"/>
    <w:rsid w:val="001E2CFF"/>
    <w:rsid w:val="001E2F24"/>
    <w:rsid w:val="001E30D4"/>
    <w:rsid w:val="001E34DF"/>
    <w:rsid w:val="001E43A9"/>
    <w:rsid w:val="001E4E4F"/>
    <w:rsid w:val="001E52EB"/>
    <w:rsid w:val="001E61D2"/>
    <w:rsid w:val="001E6FD4"/>
    <w:rsid w:val="001E740C"/>
    <w:rsid w:val="001E76AC"/>
    <w:rsid w:val="001F0061"/>
    <w:rsid w:val="001F0333"/>
    <w:rsid w:val="001F1235"/>
    <w:rsid w:val="001F1773"/>
    <w:rsid w:val="001F1CB3"/>
    <w:rsid w:val="001F29DF"/>
    <w:rsid w:val="001F37DE"/>
    <w:rsid w:val="001F38B5"/>
    <w:rsid w:val="001F4081"/>
    <w:rsid w:val="001F7361"/>
    <w:rsid w:val="002001F2"/>
    <w:rsid w:val="0020097E"/>
    <w:rsid w:val="002011B0"/>
    <w:rsid w:val="00201DA9"/>
    <w:rsid w:val="00203181"/>
    <w:rsid w:val="00203783"/>
    <w:rsid w:val="0020385F"/>
    <w:rsid w:val="00203BA4"/>
    <w:rsid w:val="00205C54"/>
    <w:rsid w:val="002068A0"/>
    <w:rsid w:val="00207021"/>
    <w:rsid w:val="0020732F"/>
    <w:rsid w:val="002074B1"/>
    <w:rsid w:val="0020751A"/>
    <w:rsid w:val="00207D00"/>
    <w:rsid w:val="00207D21"/>
    <w:rsid w:val="002105C1"/>
    <w:rsid w:val="00210778"/>
    <w:rsid w:val="00210BD1"/>
    <w:rsid w:val="002116FD"/>
    <w:rsid w:val="00213EF5"/>
    <w:rsid w:val="00214FC7"/>
    <w:rsid w:val="00215195"/>
    <w:rsid w:val="002151B1"/>
    <w:rsid w:val="00215C45"/>
    <w:rsid w:val="0021677B"/>
    <w:rsid w:val="00216BF5"/>
    <w:rsid w:val="00216C33"/>
    <w:rsid w:val="00217493"/>
    <w:rsid w:val="002207BF"/>
    <w:rsid w:val="002209B8"/>
    <w:rsid w:val="00220A9A"/>
    <w:rsid w:val="00221E2F"/>
    <w:rsid w:val="00223254"/>
    <w:rsid w:val="00223B49"/>
    <w:rsid w:val="00223D5A"/>
    <w:rsid w:val="00224DD4"/>
    <w:rsid w:val="00225ECF"/>
    <w:rsid w:val="00226843"/>
    <w:rsid w:val="00226CFA"/>
    <w:rsid w:val="0022748D"/>
    <w:rsid w:val="002278A0"/>
    <w:rsid w:val="002309CC"/>
    <w:rsid w:val="00231BA9"/>
    <w:rsid w:val="0023209F"/>
    <w:rsid w:val="00232790"/>
    <w:rsid w:val="00232798"/>
    <w:rsid w:val="00232E60"/>
    <w:rsid w:val="00233C01"/>
    <w:rsid w:val="0023413C"/>
    <w:rsid w:val="00234568"/>
    <w:rsid w:val="002346F0"/>
    <w:rsid w:val="0023484B"/>
    <w:rsid w:val="00235C4C"/>
    <w:rsid w:val="0023629D"/>
    <w:rsid w:val="00236F14"/>
    <w:rsid w:val="00237255"/>
    <w:rsid w:val="002377ED"/>
    <w:rsid w:val="00237B37"/>
    <w:rsid w:val="0024003E"/>
    <w:rsid w:val="002410F0"/>
    <w:rsid w:val="00241743"/>
    <w:rsid w:val="00241AC9"/>
    <w:rsid w:val="00241C8F"/>
    <w:rsid w:val="00241EDB"/>
    <w:rsid w:val="0024221D"/>
    <w:rsid w:val="002424AF"/>
    <w:rsid w:val="002439DC"/>
    <w:rsid w:val="002441D2"/>
    <w:rsid w:val="002443F1"/>
    <w:rsid w:val="00244B10"/>
    <w:rsid w:val="00244D13"/>
    <w:rsid w:val="00244DC8"/>
    <w:rsid w:val="0024588F"/>
    <w:rsid w:val="002458BA"/>
    <w:rsid w:val="00245B00"/>
    <w:rsid w:val="00245CE9"/>
    <w:rsid w:val="0024636C"/>
    <w:rsid w:val="00247602"/>
    <w:rsid w:val="00247925"/>
    <w:rsid w:val="00250125"/>
    <w:rsid w:val="0025090E"/>
    <w:rsid w:val="00251006"/>
    <w:rsid w:val="00251A80"/>
    <w:rsid w:val="00251B11"/>
    <w:rsid w:val="00251D17"/>
    <w:rsid w:val="002524D5"/>
    <w:rsid w:val="00252F7D"/>
    <w:rsid w:val="00253B1D"/>
    <w:rsid w:val="00253EA0"/>
    <w:rsid w:val="00254471"/>
    <w:rsid w:val="0025469D"/>
    <w:rsid w:val="00254947"/>
    <w:rsid w:val="00254DCF"/>
    <w:rsid w:val="0025534B"/>
    <w:rsid w:val="00255BB7"/>
    <w:rsid w:val="00256A7D"/>
    <w:rsid w:val="00257015"/>
    <w:rsid w:val="00257541"/>
    <w:rsid w:val="002579C8"/>
    <w:rsid w:val="00257A39"/>
    <w:rsid w:val="00257AC4"/>
    <w:rsid w:val="00257BBE"/>
    <w:rsid w:val="00260351"/>
    <w:rsid w:val="00261EEF"/>
    <w:rsid w:val="00262A1A"/>
    <w:rsid w:val="00262A87"/>
    <w:rsid w:val="00262AD8"/>
    <w:rsid w:val="00262CDF"/>
    <w:rsid w:val="00262FC5"/>
    <w:rsid w:val="0026498F"/>
    <w:rsid w:val="00264D26"/>
    <w:rsid w:val="00267642"/>
    <w:rsid w:val="00267AEA"/>
    <w:rsid w:val="002700E6"/>
    <w:rsid w:val="0027129F"/>
    <w:rsid w:val="0027294B"/>
    <w:rsid w:val="0027338C"/>
    <w:rsid w:val="00273EB4"/>
    <w:rsid w:val="00274682"/>
    <w:rsid w:val="00275158"/>
    <w:rsid w:val="00275A4C"/>
    <w:rsid w:val="00275C5A"/>
    <w:rsid w:val="00276D82"/>
    <w:rsid w:val="00276EB0"/>
    <w:rsid w:val="002770A3"/>
    <w:rsid w:val="00280F1A"/>
    <w:rsid w:val="00281014"/>
    <w:rsid w:val="0028134E"/>
    <w:rsid w:val="00282124"/>
    <w:rsid w:val="0028279A"/>
    <w:rsid w:val="0028333E"/>
    <w:rsid w:val="0028352A"/>
    <w:rsid w:val="00284B59"/>
    <w:rsid w:val="00284D99"/>
    <w:rsid w:val="002851FC"/>
    <w:rsid w:val="00285BCE"/>
    <w:rsid w:val="00286517"/>
    <w:rsid w:val="0028665D"/>
    <w:rsid w:val="00287871"/>
    <w:rsid w:val="00290016"/>
    <w:rsid w:val="0029027D"/>
    <w:rsid w:val="00290D9F"/>
    <w:rsid w:val="002910AC"/>
    <w:rsid w:val="002915B4"/>
    <w:rsid w:val="0029276D"/>
    <w:rsid w:val="0029362D"/>
    <w:rsid w:val="002939A4"/>
    <w:rsid w:val="00293C7D"/>
    <w:rsid w:val="00293DB6"/>
    <w:rsid w:val="002940E0"/>
    <w:rsid w:val="00294786"/>
    <w:rsid w:val="00294862"/>
    <w:rsid w:val="0029514E"/>
    <w:rsid w:val="00295C82"/>
    <w:rsid w:val="00295F2B"/>
    <w:rsid w:val="00296DF4"/>
    <w:rsid w:val="002A03DD"/>
    <w:rsid w:val="002A0B95"/>
    <w:rsid w:val="002A0CA0"/>
    <w:rsid w:val="002A0D83"/>
    <w:rsid w:val="002A14AB"/>
    <w:rsid w:val="002A27EB"/>
    <w:rsid w:val="002A2ADE"/>
    <w:rsid w:val="002A2F50"/>
    <w:rsid w:val="002A2FA3"/>
    <w:rsid w:val="002A31B6"/>
    <w:rsid w:val="002A3221"/>
    <w:rsid w:val="002A38C5"/>
    <w:rsid w:val="002A42DB"/>
    <w:rsid w:val="002A4C13"/>
    <w:rsid w:val="002A6D9A"/>
    <w:rsid w:val="002A721F"/>
    <w:rsid w:val="002A7943"/>
    <w:rsid w:val="002B0040"/>
    <w:rsid w:val="002B05A1"/>
    <w:rsid w:val="002B09A4"/>
    <w:rsid w:val="002B1C1F"/>
    <w:rsid w:val="002B2259"/>
    <w:rsid w:val="002B3292"/>
    <w:rsid w:val="002B3CF8"/>
    <w:rsid w:val="002B432F"/>
    <w:rsid w:val="002B4CEB"/>
    <w:rsid w:val="002B4F9D"/>
    <w:rsid w:val="002B62B3"/>
    <w:rsid w:val="002B6754"/>
    <w:rsid w:val="002B6CCE"/>
    <w:rsid w:val="002B70D7"/>
    <w:rsid w:val="002B7393"/>
    <w:rsid w:val="002C09CC"/>
    <w:rsid w:val="002C0E44"/>
    <w:rsid w:val="002C1597"/>
    <w:rsid w:val="002C17A0"/>
    <w:rsid w:val="002C1A49"/>
    <w:rsid w:val="002C2510"/>
    <w:rsid w:val="002C2775"/>
    <w:rsid w:val="002C27C1"/>
    <w:rsid w:val="002C36E3"/>
    <w:rsid w:val="002C3D37"/>
    <w:rsid w:val="002C4839"/>
    <w:rsid w:val="002C505E"/>
    <w:rsid w:val="002C5099"/>
    <w:rsid w:val="002C5889"/>
    <w:rsid w:val="002C5942"/>
    <w:rsid w:val="002C5F9E"/>
    <w:rsid w:val="002C71CE"/>
    <w:rsid w:val="002D08F8"/>
    <w:rsid w:val="002D185F"/>
    <w:rsid w:val="002D381B"/>
    <w:rsid w:val="002D577C"/>
    <w:rsid w:val="002D5B58"/>
    <w:rsid w:val="002D72D5"/>
    <w:rsid w:val="002D755D"/>
    <w:rsid w:val="002D7832"/>
    <w:rsid w:val="002E0302"/>
    <w:rsid w:val="002E08AA"/>
    <w:rsid w:val="002E1071"/>
    <w:rsid w:val="002E1492"/>
    <w:rsid w:val="002E15B9"/>
    <w:rsid w:val="002E2158"/>
    <w:rsid w:val="002E2522"/>
    <w:rsid w:val="002E2907"/>
    <w:rsid w:val="002E2B30"/>
    <w:rsid w:val="002E349D"/>
    <w:rsid w:val="002E3D42"/>
    <w:rsid w:val="002E4EE0"/>
    <w:rsid w:val="002E4F02"/>
    <w:rsid w:val="002E58C7"/>
    <w:rsid w:val="002E6A84"/>
    <w:rsid w:val="002E7722"/>
    <w:rsid w:val="002E7DF1"/>
    <w:rsid w:val="002F0526"/>
    <w:rsid w:val="002F060E"/>
    <w:rsid w:val="002F07BA"/>
    <w:rsid w:val="002F0DA9"/>
    <w:rsid w:val="002F0F93"/>
    <w:rsid w:val="002F1014"/>
    <w:rsid w:val="002F1E3B"/>
    <w:rsid w:val="002F25E4"/>
    <w:rsid w:val="002F3999"/>
    <w:rsid w:val="002F456F"/>
    <w:rsid w:val="002F4BFA"/>
    <w:rsid w:val="002F4C07"/>
    <w:rsid w:val="002F5452"/>
    <w:rsid w:val="002F55F0"/>
    <w:rsid w:val="002F5699"/>
    <w:rsid w:val="002F5973"/>
    <w:rsid w:val="002F5EAA"/>
    <w:rsid w:val="002F5F77"/>
    <w:rsid w:val="002F643C"/>
    <w:rsid w:val="002F6AC5"/>
    <w:rsid w:val="002F6B34"/>
    <w:rsid w:val="002F7017"/>
    <w:rsid w:val="002F71C0"/>
    <w:rsid w:val="002F74F1"/>
    <w:rsid w:val="002F758D"/>
    <w:rsid w:val="002F766C"/>
    <w:rsid w:val="002F77FE"/>
    <w:rsid w:val="002F7F76"/>
    <w:rsid w:val="00301017"/>
    <w:rsid w:val="0030115F"/>
    <w:rsid w:val="0030155F"/>
    <w:rsid w:val="00301E87"/>
    <w:rsid w:val="0030569A"/>
    <w:rsid w:val="0030587B"/>
    <w:rsid w:val="00306D98"/>
    <w:rsid w:val="003071A9"/>
    <w:rsid w:val="0030786C"/>
    <w:rsid w:val="0031031A"/>
    <w:rsid w:val="00310958"/>
    <w:rsid w:val="00310981"/>
    <w:rsid w:val="003109A4"/>
    <w:rsid w:val="00310E4B"/>
    <w:rsid w:val="0031114B"/>
    <w:rsid w:val="003115A1"/>
    <w:rsid w:val="00311CEE"/>
    <w:rsid w:val="00311D9B"/>
    <w:rsid w:val="003124D9"/>
    <w:rsid w:val="00312594"/>
    <w:rsid w:val="00313BA5"/>
    <w:rsid w:val="00313C13"/>
    <w:rsid w:val="003140FE"/>
    <w:rsid w:val="00315498"/>
    <w:rsid w:val="0031600B"/>
    <w:rsid w:val="00316474"/>
    <w:rsid w:val="00316877"/>
    <w:rsid w:val="00316B83"/>
    <w:rsid w:val="00316BF5"/>
    <w:rsid w:val="00317F93"/>
    <w:rsid w:val="003203BC"/>
    <w:rsid w:val="0032045A"/>
    <w:rsid w:val="0032123E"/>
    <w:rsid w:val="00321A54"/>
    <w:rsid w:val="00322107"/>
    <w:rsid w:val="00322273"/>
    <w:rsid w:val="0032231A"/>
    <w:rsid w:val="00322355"/>
    <w:rsid w:val="00322846"/>
    <w:rsid w:val="003229E2"/>
    <w:rsid w:val="00324B9C"/>
    <w:rsid w:val="00325852"/>
    <w:rsid w:val="003260A2"/>
    <w:rsid w:val="00326DA7"/>
    <w:rsid w:val="003270E4"/>
    <w:rsid w:val="00330790"/>
    <w:rsid w:val="00330DAA"/>
    <w:rsid w:val="00330F5C"/>
    <w:rsid w:val="00331108"/>
    <w:rsid w:val="00332359"/>
    <w:rsid w:val="00333B9D"/>
    <w:rsid w:val="00333F8C"/>
    <w:rsid w:val="00334F6F"/>
    <w:rsid w:val="003361E7"/>
    <w:rsid w:val="003366C9"/>
    <w:rsid w:val="003371B0"/>
    <w:rsid w:val="00337272"/>
    <w:rsid w:val="00337840"/>
    <w:rsid w:val="00340721"/>
    <w:rsid w:val="00340DF1"/>
    <w:rsid w:val="00340E7B"/>
    <w:rsid w:val="003425DC"/>
    <w:rsid w:val="0034311E"/>
    <w:rsid w:val="00345730"/>
    <w:rsid w:val="00346402"/>
    <w:rsid w:val="00347B28"/>
    <w:rsid w:val="003517F9"/>
    <w:rsid w:val="00351BA9"/>
    <w:rsid w:val="00352071"/>
    <w:rsid w:val="00354F64"/>
    <w:rsid w:val="003552CF"/>
    <w:rsid w:val="00355B04"/>
    <w:rsid w:val="0035620E"/>
    <w:rsid w:val="003575BE"/>
    <w:rsid w:val="00360345"/>
    <w:rsid w:val="00360727"/>
    <w:rsid w:val="003616D0"/>
    <w:rsid w:val="00361A05"/>
    <w:rsid w:val="00361AFE"/>
    <w:rsid w:val="003620E9"/>
    <w:rsid w:val="003624C4"/>
    <w:rsid w:val="00362BAC"/>
    <w:rsid w:val="0036319D"/>
    <w:rsid w:val="00363B00"/>
    <w:rsid w:val="00363FD7"/>
    <w:rsid w:val="003654AC"/>
    <w:rsid w:val="0036677B"/>
    <w:rsid w:val="00366D40"/>
    <w:rsid w:val="003710CF"/>
    <w:rsid w:val="00372A30"/>
    <w:rsid w:val="0037358A"/>
    <w:rsid w:val="00373EB0"/>
    <w:rsid w:val="003750F6"/>
    <w:rsid w:val="003754B7"/>
    <w:rsid w:val="003760FC"/>
    <w:rsid w:val="00376D16"/>
    <w:rsid w:val="00376D31"/>
    <w:rsid w:val="00380FE3"/>
    <w:rsid w:val="00381085"/>
    <w:rsid w:val="003818FE"/>
    <w:rsid w:val="00381B21"/>
    <w:rsid w:val="00381F10"/>
    <w:rsid w:val="00382133"/>
    <w:rsid w:val="00382962"/>
    <w:rsid w:val="003830B3"/>
    <w:rsid w:val="00383631"/>
    <w:rsid w:val="0038365C"/>
    <w:rsid w:val="0038369B"/>
    <w:rsid w:val="00383988"/>
    <w:rsid w:val="00383B78"/>
    <w:rsid w:val="00383F04"/>
    <w:rsid w:val="00384F53"/>
    <w:rsid w:val="00385A9D"/>
    <w:rsid w:val="00385FE6"/>
    <w:rsid w:val="00386A1C"/>
    <w:rsid w:val="003870C3"/>
    <w:rsid w:val="00387107"/>
    <w:rsid w:val="00387121"/>
    <w:rsid w:val="003875FE"/>
    <w:rsid w:val="003902B1"/>
    <w:rsid w:val="003905CC"/>
    <w:rsid w:val="00390CF3"/>
    <w:rsid w:val="00390FA2"/>
    <w:rsid w:val="0039179C"/>
    <w:rsid w:val="00392484"/>
    <w:rsid w:val="00392936"/>
    <w:rsid w:val="003933C3"/>
    <w:rsid w:val="00393622"/>
    <w:rsid w:val="00394607"/>
    <w:rsid w:val="003952A2"/>
    <w:rsid w:val="0039547D"/>
    <w:rsid w:val="00395EBB"/>
    <w:rsid w:val="00396896"/>
    <w:rsid w:val="00396B05"/>
    <w:rsid w:val="00396FD0"/>
    <w:rsid w:val="00397883"/>
    <w:rsid w:val="003A1A7A"/>
    <w:rsid w:val="003A2392"/>
    <w:rsid w:val="003A23B7"/>
    <w:rsid w:val="003A2831"/>
    <w:rsid w:val="003A2948"/>
    <w:rsid w:val="003A2C8E"/>
    <w:rsid w:val="003A3CB6"/>
    <w:rsid w:val="003A3ED1"/>
    <w:rsid w:val="003A3F03"/>
    <w:rsid w:val="003A409E"/>
    <w:rsid w:val="003A44DB"/>
    <w:rsid w:val="003A479B"/>
    <w:rsid w:val="003A4A1D"/>
    <w:rsid w:val="003A4C14"/>
    <w:rsid w:val="003A5BBC"/>
    <w:rsid w:val="003A70E0"/>
    <w:rsid w:val="003B0D60"/>
    <w:rsid w:val="003B3971"/>
    <w:rsid w:val="003B3A50"/>
    <w:rsid w:val="003B3AAE"/>
    <w:rsid w:val="003B3DF4"/>
    <w:rsid w:val="003B3EE1"/>
    <w:rsid w:val="003B55A9"/>
    <w:rsid w:val="003B55D1"/>
    <w:rsid w:val="003B5885"/>
    <w:rsid w:val="003B5B61"/>
    <w:rsid w:val="003B5E3F"/>
    <w:rsid w:val="003B5F84"/>
    <w:rsid w:val="003B7E9F"/>
    <w:rsid w:val="003C059D"/>
    <w:rsid w:val="003C1641"/>
    <w:rsid w:val="003C1654"/>
    <w:rsid w:val="003C2D07"/>
    <w:rsid w:val="003C41E8"/>
    <w:rsid w:val="003C4740"/>
    <w:rsid w:val="003C524B"/>
    <w:rsid w:val="003C5542"/>
    <w:rsid w:val="003C5FB6"/>
    <w:rsid w:val="003C7C15"/>
    <w:rsid w:val="003C7CAB"/>
    <w:rsid w:val="003C7D19"/>
    <w:rsid w:val="003C7D2F"/>
    <w:rsid w:val="003D031D"/>
    <w:rsid w:val="003D0C5A"/>
    <w:rsid w:val="003D149B"/>
    <w:rsid w:val="003D1828"/>
    <w:rsid w:val="003D1DE4"/>
    <w:rsid w:val="003D1E9A"/>
    <w:rsid w:val="003D2422"/>
    <w:rsid w:val="003D28E3"/>
    <w:rsid w:val="003D2E6D"/>
    <w:rsid w:val="003D39A1"/>
    <w:rsid w:val="003D3BEB"/>
    <w:rsid w:val="003D3FBF"/>
    <w:rsid w:val="003D4A30"/>
    <w:rsid w:val="003D4D21"/>
    <w:rsid w:val="003D5715"/>
    <w:rsid w:val="003D6BA6"/>
    <w:rsid w:val="003D73CB"/>
    <w:rsid w:val="003D7452"/>
    <w:rsid w:val="003D7958"/>
    <w:rsid w:val="003D79BB"/>
    <w:rsid w:val="003D7B1D"/>
    <w:rsid w:val="003D7C98"/>
    <w:rsid w:val="003D7D9D"/>
    <w:rsid w:val="003E00B9"/>
    <w:rsid w:val="003E0241"/>
    <w:rsid w:val="003E0543"/>
    <w:rsid w:val="003E23F9"/>
    <w:rsid w:val="003E2403"/>
    <w:rsid w:val="003E29BC"/>
    <w:rsid w:val="003E2EF0"/>
    <w:rsid w:val="003E2F8E"/>
    <w:rsid w:val="003E32CA"/>
    <w:rsid w:val="003E3694"/>
    <w:rsid w:val="003E40E8"/>
    <w:rsid w:val="003E4BC8"/>
    <w:rsid w:val="003E5072"/>
    <w:rsid w:val="003E5300"/>
    <w:rsid w:val="003E5603"/>
    <w:rsid w:val="003E5C3E"/>
    <w:rsid w:val="003E7221"/>
    <w:rsid w:val="003E749E"/>
    <w:rsid w:val="003E7C79"/>
    <w:rsid w:val="003F00CE"/>
    <w:rsid w:val="003F081A"/>
    <w:rsid w:val="003F1958"/>
    <w:rsid w:val="003F19BA"/>
    <w:rsid w:val="003F4156"/>
    <w:rsid w:val="003F43B9"/>
    <w:rsid w:val="003F4682"/>
    <w:rsid w:val="003F5ADF"/>
    <w:rsid w:val="003F686E"/>
    <w:rsid w:val="003F7C4A"/>
    <w:rsid w:val="00400B29"/>
    <w:rsid w:val="00401573"/>
    <w:rsid w:val="0040183E"/>
    <w:rsid w:val="00401E92"/>
    <w:rsid w:val="00402812"/>
    <w:rsid w:val="00404634"/>
    <w:rsid w:val="00404C90"/>
    <w:rsid w:val="00404F94"/>
    <w:rsid w:val="0040504B"/>
    <w:rsid w:val="004059F4"/>
    <w:rsid w:val="00405FCB"/>
    <w:rsid w:val="0040618B"/>
    <w:rsid w:val="00407FE5"/>
    <w:rsid w:val="004101B0"/>
    <w:rsid w:val="00410326"/>
    <w:rsid w:val="00410708"/>
    <w:rsid w:val="00410EC7"/>
    <w:rsid w:val="00411B39"/>
    <w:rsid w:val="00412025"/>
    <w:rsid w:val="004124D2"/>
    <w:rsid w:val="004127A7"/>
    <w:rsid w:val="00413A1E"/>
    <w:rsid w:val="00414476"/>
    <w:rsid w:val="00414C2E"/>
    <w:rsid w:val="004151CF"/>
    <w:rsid w:val="004152AC"/>
    <w:rsid w:val="00415E51"/>
    <w:rsid w:val="0041605B"/>
    <w:rsid w:val="00416364"/>
    <w:rsid w:val="00416E45"/>
    <w:rsid w:val="0041793C"/>
    <w:rsid w:val="0042047F"/>
    <w:rsid w:val="00420500"/>
    <w:rsid w:val="00420511"/>
    <w:rsid w:val="00420AA6"/>
    <w:rsid w:val="00420B9F"/>
    <w:rsid w:val="0042192C"/>
    <w:rsid w:val="00421FD3"/>
    <w:rsid w:val="00421FF0"/>
    <w:rsid w:val="004221D8"/>
    <w:rsid w:val="00422260"/>
    <w:rsid w:val="00422285"/>
    <w:rsid w:val="00422369"/>
    <w:rsid w:val="00422BCE"/>
    <w:rsid w:val="004230A5"/>
    <w:rsid w:val="0042413F"/>
    <w:rsid w:val="00424252"/>
    <w:rsid w:val="00424584"/>
    <w:rsid w:val="00424933"/>
    <w:rsid w:val="00425E6F"/>
    <w:rsid w:val="00426EBA"/>
    <w:rsid w:val="00427986"/>
    <w:rsid w:val="004279CB"/>
    <w:rsid w:val="00430003"/>
    <w:rsid w:val="00430174"/>
    <w:rsid w:val="00431202"/>
    <w:rsid w:val="004319F8"/>
    <w:rsid w:val="00431E55"/>
    <w:rsid w:val="004320F5"/>
    <w:rsid w:val="004321F6"/>
    <w:rsid w:val="004325EC"/>
    <w:rsid w:val="004326D2"/>
    <w:rsid w:val="004329DC"/>
    <w:rsid w:val="00432F98"/>
    <w:rsid w:val="00433044"/>
    <w:rsid w:val="0043400E"/>
    <w:rsid w:val="00434088"/>
    <w:rsid w:val="00434A0F"/>
    <w:rsid w:val="004350B0"/>
    <w:rsid w:val="00435F7F"/>
    <w:rsid w:val="00436532"/>
    <w:rsid w:val="004375B9"/>
    <w:rsid w:val="00437965"/>
    <w:rsid w:val="00437A72"/>
    <w:rsid w:val="00440472"/>
    <w:rsid w:val="0044120E"/>
    <w:rsid w:val="004421E3"/>
    <w:rsid w:val="004428D0"/>
    <w:rsid w:val="00443395"/>
    <w:rsid w:val="00444185"/>
    <w:rsid w:val="004443A7"/>
    <w:rsid w:val="0044442C"/>
    <w:rsid w:val="00445941"/>
    <w:rsid w:val="004464EB"/>
    <w:rsid w:val="0044702F"/>
    <w:rsid w:val="00447D26"/>
    <w:rsid w:val="00447DFC"/>
    <w:rsid w:val="00452F25"/>
    <w:rsid w:val="00453B42"/>
    <w:rsid w:val="00455A09"/>
    <w:rsid w:val="00455D45"/>
    <w:rsid w:val="00457405"/>
    <w:rsid w:val="00457641"/>
    <w:rsid w:val="004578D5"/>
    <w:rsid w:val="00460414"/>
    <w:rsid w:val="00460CED"/>
    <w:rsid w:val="00460D39"/>
    <w:rsid w:val="00462BB8"/>
    <w:rsid w:val="00464595"/>
    <w:rsid w:val="0046550E"/>
    <w:rsid w:val="004658B5"/>
    <w:rsid w:val="00466366"/>
    <w:rsid w:val="00466E18"/>
    <w:rsid w:val="004671EC"/>
    <w:rsid w:val="0046734E"/>
    <w:rsid w:val="004702A6"/>
    <w:rsid w:val="00471EA5"/>
    <w:rsid w:val="00472A79"/>
    <w:rsid w:val="00473169"/>
    <w:rsid w:val="00473F19"/>
    <w:rsid w:val="00473F25"/>
    <w:rsid w:val="00474857"/>
    <w:rsid w:val="004749DA"/>
    <w:rsid w:val="00475073"/>
    <w:rsid w:val="00475880"/>
    <w:rsid w:val="00475E22"/>
    <w:rsid w:val="004767D4"/>
    <w:rsid w:val="00477615"/>
    <w:rsid w:val="00480357"/>
    <w:rsid w:val="0048088E"/>
    <w:rsid w:val="00480B6E"/>
    <w:rsid w:val="00480F2B"/>
    <w:rsid w:val="004813FA"/>
    <w:rsid w:val="00481A38"/>
    <w:rsid w:val="00481B62"/>
    <w:rsid w:val="00482720"/>
    <w:rsid w:val="00482BB5"/>
    <w:rsid w:val="004835E7"/>
    <w:rsid w:val="00483B91"/>
    <w:rsid w:val="004859E1"/>
    <w:rsid w:val="004859E5"/>
    <w:rsid w:val="00485B5E"/>
    <w:rsid w:val="0048626C"/>
    <w:rsid w:val="0048665D"/>
    <w:rsid w:val="004867E2"/>
    <w:rsid w:val="00487216"/>
    <w:rsid w:val="00490425"/>
    <w:rsid w:val="00490B17"/>
    <w:rsid w:val="00491B3A"/>
    <w:rsid w:val="00491DC1"/>
    <w:rsid w:val="0049248C"/>
    <w:rsid w:val="00492CFD"/>
    <w:rsid w:val="004935EA"/>
    <w:rsid w:val="0049382B"/>
    <w:rsid w:val="00494207"/>
    <w:rsid w:val="00494DD5"/>
    <w:rsid w:val="00495194"/>
    <w:rsid w:val="00495DA2"/>
    <w:rsid w:val="004962D2"/>
    <w:rsid w:val="0049772D"/>
    <w:rsid w:val="004A0CFF"/>
    <w:rsid w:val="004A0DA1"/>
    <w:rsid w:val="004A13D6"/>
    <w:rsid w:val="004A1B9A"/>
    <w:rsid w:val="004A30BC"/>
    <w:rsid w:val="004A52A9"/>
    <w:rsid w:val="004A52E9"/>
    <w:rsid w:val="004A5D71"/>
    <w:rsid w:val="004A6040"/>
    <w:rsid w:val="004A6597"/>
    <w:rsid w:val="004A6B4E"/>
    <w:rsid w:val="004A7848"/>
    <w:rsid w:val="004A793B"/>
    <w:rsid w:val="004B083C"/>
    <w:rsid w:val="004B1CB4"/>
    <w:rsid w:val="004B2F18"/>
    <w:rsid w:val="004B2FDA"/>
    <w:rsid w:val="004B315B"/>
    <w:rsid w:val="004B3DDB"/>
    <w:rsid w:val="004B3F01"/>
    <w:rsid w:val="004B44FD"/>
    <w:rsid w:val="004B5CFC"/>
    <w:rsid w:val="004B61F1"/>
    <w:rsid w:val="004B6505"/>
    <w:rsid w:val="004B6756"/>
    <w:rsid w:val="004B6F79"/>
    <w:rsid w:val="004B774D"/>
    <w:rsid w:val="004C15E0"/>
    <w:rsid w:val="004C200A"/>
    <w:rsid w:val="004C2AC2"/>
    <w:rsid w:val="004C2F11"/>
    <w:rsid w:val="004C475E"/>
    <w:rsid w:val="004C47BE"/>
    <w:rsid w:val="004C4AED"/>
    <w:rsid w:val="004D078B"/>
    <w:rsid w:val="004D0BD5"/>
    <w:rsid w:val="004D0CD2"/>
    <w:rsid w:val="004D1E67"/>
    <w:rsid w:val="004D2C2D"/>
    <w:rsid w:val="004D2CC0"/>
    <w:rsid w:val="004D3AE5"/>
    <w:rsid w:val="004D49D2"/>
    <w:rsid w:val="004D4F6C"/>
    <w:rsid w:val="004D69B5"/>
    <w:rsid w:val="004D7227"/>
    <w:rsid w:val="004D7B5E"/>
    <w:rsid w:val="004E08ED"/>
    <w:rsid w:val="004E0E7F"/>
    <w:rsid w:val="004E0EB8"/>
    <w:rsid w:val="004E1070"/>
    <w:rsid w:val="004E18E9"/>
    <w:rsid w:val="004E1ADA"/>
    <w:rsid w:val="004E1EA7"/>
    <w:rsid w:val="004E2ADC"/>
    <w:rsid w:val="004E3147"/>
    <w:rsid w:val="004E43B2"/>
    <w:rsid w:val="004E5363"/>
    <w:rsid w:val="004E563A"/>
    <w:rsid w:val="004E584A"/>
    <w:rsid w:val="004E5D33"/>
    <w:rsid w:val="004E5DB5"/>
    <w:rsid w:val="004F0F48"/>
    <w:rsid w:val="004F1D02"/>
    <w:rsid w:val="004F24E7"/>
    <w:rsid w:val="004F2679"/>
    <w:rsid w:val="004F2F21"/>
    <w:rsid w:val="004F38D5"/>
    <w:rsid w:val="004F3DE5"/>
    <w:rsid w:val="004F6913"/>
    <w:rsid w:val="004F6BC9"/>
    <w:rsid w:val="004F7865"/>
    <w:rsid w:val="004F7957"/>
    <w:rsid w:val="004F7B9A"/>
    <w:rsid w:val="004F7DFD"/>
    <w:rsid w:val="005002A6"/>
    <w:rsid w:val="00500849"/>
    <w:rsid w:val="00500938"/>
    <w:rsid w:val="005016B6"/>
    <w:rsid w:val="0050174E"/>
    <w:rsid w:val="00501854"/>
    <w:rsid w:val="00501A1A"/>
    <w:rsid w:val="00501F24"/>
    <w:rsid w:val="0050219B"/>
    <w:rsid w:val="00502897"/>
    <w:rsid w:val="00503216"/>
    <w:rsid w:val="00503F17"/>
    <w:rsid w:val="00503F3A"/>
    <w:rsid w:val="005048AE"/>
    <w:rsid w:val="00505631"/>
    <w:rsid w:val="00505EE5"/>
    <w:rsid w:val="00506928"/>
    <w:rsid w:val="00506DFE"/>
    <w:rsid w:val="005077EF"/>
    <w:rsid w:val="00507F66"/>
    <w:rsid w:val="00510850"/>
    <w:rsid w:val="00510FA1"/>
    <w:rsid w:val="00510FF1"/>
    <w:rsid w:val="005110CD"/>
    <w:rsid w:val="00511425"/>
    <w:rsid w:val="00511AD5"/>
    <w:rsid w:val="00511DC7"/>
    <w:rsid w:val="00512D4E"/>
    <w:rsid w:val="00512EAF"/>
    <w:rsid w:val="005137BB"/>
    <w:rsid w:val="005142C5"/>
    <w:rsid w:val="0051441D"/>
    <w:rsid w:val="0051466F"/>
    <w:rsid w:val="00514AE5"/>
    <w:rsid w:val="0051501B"/>
    <w:rsid w:val="005152B5"/>
    <w:rsid w:val="00515352"/>
    <w:rsid w:val="00515886"/>
    <w:rsid w:val="00517B98"/>
    <w:rsid w:val="0052123C"/>
    <w:rsid w:val="005212AD"/>
    <w:rsid w:val="00521319"/>
    <w:rsid w:val="00521432"/>
    <w:rsid w:val="005224D8"/>
    <w:rsid w:val="00522BC8"/>
    <w:rsid w:val="005236E3"/>
    <w:rsid w:val="00523C28"/>
    <w:rsid w:val="0052499D"/>
    <w:rsid w:val="00524FA6"/>
    <w:rsid w:val="005260D7"/>
    <w:rsid w:val="00527065"/>
    <w:rsid w:val="0052794F"/>
    <w:rsid w:val="005308A7"/>
    <w:rsid w:val="0053176B"/>
    <w:rsid w:val="005326B2"/>
    <w:rsid w:val="00532CF3"/>
    <w:rsid w:val="005341B3"/>
    <w:rsid w:val="00534B0A"/>
    <w:rsid w:val="00534D13"/>
    <w:rsid w:val="00535157"/>
    <w:rsid w:val="00535A4A"/>
    <w:rsid w:val="00536534"/>
    <w:rsid w:val="00536F42"/>
    <w:rsid w:val="00537086"/>
    <w:rsid w:val="00537182"/>
    <w:rsid w:val="00537350"/>
    <w:rsid w:val="00540F96"/>
    <w:rsid w:val="00541EDD"/>
    <w:rsid w:val="00541EEB"/>
    <w:rsid w:val="00542450"/>
    <w:rsid w:val="00542743"/>
    <w:rsid w:val="00542C2D"/>
    <w:rsid w:val="00544E8A"/>
    <w:rsid w:val="00545D2B"/>
    <w:rsid w:val="005461B8"/>
    <w:rsid w:val="0054629E"/>
    <w:rsid w:val="005465EC"/>
    <w:rsid w:val="00546CAC"/>
    <w:rsid w:val="00546F5B"/>
    <w:rsid w:val="005478BD"/>
    <w:rsid w:val="005479E3"/>
    <w:rsid w:val="00547A6E"/>
    <w:rsid w:val="00550414"/>
    <w:rsid w:val="00550A06"/>
    <w:rsid w:val="00550BC2"/>
    <w:rsid w:val="00551985"/>
    <w:rsid w:val="00552BD3"/>
    <w:rsid w:val="005532A0"/>
    <w:rsid w:val="00554129"/>
    <w:rsid w:val="00554B32"/>
    <w:rsid w:val="00554C31"/>
    <w:rsid w:val="00554F12"/>
    <w:rsid w:val="00555109"/>
    <w:rsid w:val="00555AC4"/>
    <w:rsid w:val="00556070"/>
    <w:rsid w:val="00556B35"/>
    <w:rsid w:val="0055741A"/>
    <w:rsid w:val="005574C7"/>
    <w:rsid w:val="005574EA"/>
    <w:rsid w:val="005577D0"/>
    <w:rsid w:val="00557FB7"/>
    <w:rsid w:val="00560055"/>
    <w:rsid w:val="005611B7"/>
    <w:rsid w:val="005618D4"/>
    <w:rsid w:val="00563AC2"/>
    <w:rsid w:val="00563B31"/>
    <w:rsid w:val="00564867"/>
    <w:rsid w:val="00565C79"/>
    <w:rsid w:val="00565DF0"/>
    <w:rsid w:val="00565E44"/>
    <w:rsid w:val="00565FAD"/>
    <w:rsid w:val="00566290"/>
    <w:rsid w:val="0056696F"/>
    <w:rsid w:val="00570BE1"/>
    <w:rsid w:val="00571DDA"/>
    <w:rsid w:val="0057216A"/>
    <w:rsid w:val="00572269"/>
    <w:rsid w:val="0057244A"/>
    <w:rsid w:val="00572694"/>
    <w:rsid w:val="00572F26"/>
    <w:rsid w:val="005732EC"/>
    <w:rsid w:val="00573456"/>
    <w:rsid w:val="005750C5"/>
    <w:rsid w:val="005752DE"/>
    <w:rsid w:val="00575C26"/>
    <w:rsid w:val="00575CA4"/>
    <w:rsid w:val="00575D60"/>
    <w:rsid w:val="00575D8D"/>
    <w:rsid w:val="00576972"/>
    <w:rsid w:val="00577248"/>
    <w:rsid w:val="00577466"/>
    <w:rsid w:val="00577FF7"/>
    <w:rsid w:val="00580081"/>
    <w:rsid w:val="00581080"/>
    <w:rsid w:val="0058112A"/>
    <w:rsid w:val="0058190E"/>
    <w:rsid w:val="00582361"/>
    <w:rsid w:val="00583699"/>
    <w:rsid w:val="0058371B"/>
    <w:rsid w:val="00585411"/>
    <w:rsid w:val="00585CDD"/>
    <w:rsid w:val="00585EB3"/>
    <w:rsid w:val="005860C6"/>
    <w:rsid w:val="00586EF3"/>
    <w:rsid w:val="00587058"/>
    <w:rsid w:val="005908DB"/>
    <w:rsid w:val="00591364"/>
    <w:rsid w:val="00591957"/>
    <w:rsid w:val="00592851"/>
    <w:rsid w:val="00592A45"/>
    <w:rsid w:val="00593983"/>
    <w:rsid w:val="00594491"/>
    <w:rsid w:val="005946AE"/>
    <w:rsid w:val="005947E0"/>
    <w:rsid w:val="00594E68"/>
    <w:rsid w:val="00595254"/>
    <w:rsid w:val="00595480"/>
    <w:rsid w:val="0059575A"/>
    <w:rsid w:val="005957D0"/>
    <w:rsid w:val="005967A5"/>
    <w:rsid w:val="00597BF9"/>
    <w:rsid w:val="005A0A56"/>
    <w:rsid w:val="005A0BDF"/>
    <w:rsid w:val="005A0C11"/>
    <w:rsid w:val="005A11A2"/>
    <w:rsid w:val="005A131D"/>
    <w:rsid w:val="005A1CBE"/>
    <w:rsid w:val="005A244D"/>
    <w:rsid w:val="005A2CE5"/>
    <w:rsid w:val="005A2FA3"/>
    <w:rsid w:val="005A3099"/>
    <w:rsid w:val="005A309A"/>
    <w:rsid w:val="005A373D"/>
    <w:rsid w:val="005A3A08"/>
    <w:rsid w:val="005A5AF9"/>
    <w:rsid w:val="005A5C85"/>
    <w:rsid w:val="005A67E0"/>
    <w:rsid w:val="005A6F6C"/>
    <w:rsid w:val="005A70AB"/>
    <w:rsid w:val="005B0A60"/>
    <w:rsid w:val="005B0B58"/>
    <w:rsid w:val="005B10ED"/>
    <w:rsid w:val="005B2388"/>
    <w:rsid w:val="005B2739"/>
    <w:rsid w:val="005B30B3"/>
    <w:rsid w:val="005B41C2"/>
    <w:rsid w:val="005B4E53"/>
    <w:rsid w:val="005B5857"/>
    <w:rsid w:val="005B59AB"/>
    <w:rsid w:val="005B65E6"/>
    <w:rsid w:val="005B6C62"/>
    <w:rsid w:val="005B7B5A"/>
    <w:rsid w:val="005C06DB"/>
    <w:rsid w:val="005C19C4"/>
    <w:rsid w:val="005C1B83"/>
    <w:rsid w:val="005C1DFD"/>
    <w:rsid w:val="005C25FF"/>
    <w:rsid w:val="005C2D55"/>
    <w:rsid w:val="005C346B"/>
    <w:rsid w:val="005C3A5A"/>
    <w:rsid w:val="005C48AA"/>
    <w:rsid w:val="005C5ABC"/>
    <w:rsid w:val="005C69BE"/>
    <w:rsid w:val="005C6A8E"/>
    <w:rsid w:val="005C7241"/>
    <w:rsid w:val="005C7675"/>
    <w:rsid w:val="005D044D"/>
    <w:rsid w:val="005D0968"/>
    <w:rsid w:val="005D0ABD"/>
    <w:rsid w:val="005D0C2A"/>
    <w:rsid w:val="005D153D"/>
    <w:rsid w:val="005D18AD"/>
    <w:rsid w:val="005D1CE6"/>
    <w:rsid w:val="005D26B4"/>
    <w:rsid w:val="005D2C1B"/>
    <w:rsid w:val="005D3407"/>
    <w:rsid w:val="005D3E88"/>
    <w:rsid w:val="005D5700"/>
    <w:rsid w:val="005D74AF"/>
    <w:rsid w:val="005D7C3C"/>
    <w:rsid w:val="005E0DB0"/>
    <w:rsid w:val="005E102C"/>
    <w:rsid w:val="005E1995"/>
    <w:rsid w:val="005E1E24"/>
    <w:rsid w:val="005E2F36"/>
    <w:rsid w:val="005E3A4C"/>
    <w:rsid w:val="005E3F88"/>
    <w:rsid w:val="005E4323"/>
    <w:rsid w:val="005E5D68"/>
    <w:rsid w:val="005E5F3F"/>
    <w:rsid w:val="005E6CBC"/>
    <w:rsid w:val="005E72FF"/>
    <w:rsid w:val="005E73C0"/>
    <w:rsid w:val="005E74A8"/>
    <w:rsid w:val="005E7FEE"/>
    <w:rsid w:val="005F01F7"/>
    <w:rsid w:val="005F07ED"/>
    <w:rsid w:val="005F17CA"/>
    <w:rsid w:val="005F1914"/>
    <w:rsid w:val="005F1B07"/>
    <w:rsid w:val="005F2706"/>
    <w:rsid w:val="005F2C39"/>
    <w:rsid w:val="005F2F5B"/>
    <w:rsid w:val="005F4827"/>
    <w:rsid w:val="005F67A2"/>
    <w:rsid w:val="005F6A8F"/>
    <w:rsid w:val="005F6BB7"/>
    <w:rsid w:val="005F7588"/>
    <w:rsid w:val="005F770C"/>
    <w:rsid w:val="00600036"/>
    <w:rsid w:val="0060062E"/>
    <w:rsid w:val="00600FE8"/>
    <w:rsid w:val="0060204C"/>
    <w:rsid w:val="00602F1C"/>
    <w:rsid w:val="00603DB9"/>
    <w:rsid w:val="00605146"/>
    <w:rsid w:val="00605D90"/>
    <w:rsid w:val="0060648A"/>
    <w:rsid w:val="006064FD"/>
    <w:rsid w:val="00606EFF"/>
    <w:rsid w:val="00606FBA"/>
    <w:rsid w:val="00607521"/>
    <w:rsid w:val="00607669"/>
    <w:rsid w:val="006076F4"/>
    <w:rsid w:val="00607AFD"/>
    <w:rsid w:val="006105E1"/>
    <w:rsid w:val="00610CB4"/>
    <w:rsid w:val="00611B12"/>
    <w:rsid w:val="00612C27"/>
    <w:rsid w:val="00612F97"/>
    <w:rsid w:val="0061345D"/>
    <w:rsid w:val="00614090"/>
    <w:rsid w:val="00614A71"/>
    <w:rsid w:val="0061549B"/>
    <w:rsid w:val="006156CF"/>
    <w:rsid w:val="00615918"/>
    <w:rsid w:val="00615927"/>
    <w:rsid w:val="00615AE3"/>
    <w:rsid w:val="006164F5"/>
    <w:rsid w:val="00616802"/>
    <w:rsid w:val="00616A96"/>
    <w:rsid w:val="00617491"/>
    <w:rsid w:val="00617B1C"/>
    <w:rsid w:val="00617E12"/>
    <w:rsid w:val="00620C25"/>
    <w:rsid w:val="00620DBA"/>
    <w:rsid w:val="00621477"/>
    <w:rsid w:val="00621ADA"/>
    <w:rsid w:val="00621E7D"/>
    <w:rsid w:val="006223FB"/>
    <w:rsid w:val="0062245F"/>
    <w:rsid w:val="00623B54"/>
    <w:rsid w:val="00623F16"/>
    <w:rsid w:val="00623F7B"/>
    <w:rsid w:val="00624975"/>
    <w:rsid w:val="00624BD4"/>
    <w:rsid w:val="00625227"/>
    <w:rsid w:val="006255B7"/>
    <w:rsid w:val="00627570"/>
    <w:rsid w:val="00630471"/>
    <w:rsid w:val="0063158F"/>
    <w:rsid w:val="00631D6B"/>
    <w:rsid w:val="00632183"/>
    <w:rsid w:val="006330A1"/>
    <w:rsid w:val="0063321F"/>
    <w:rsid w:val="00633533"/>
    <w:rsid w:val="00633B37"/>
    <w:rsid w:val="0063479F"/>
    <w:rsid w:val="00635127"/>
    <w:rsid w:val="006353F0"/>
    <w:rsid w:val="006357B5"/>
    <w:rsid w:val="006357E8"/>
    <w:rsid w:val="00636082"/>
    <w:rsid w:val="006364A1"/>
    <w:rsid w:val="0063678E"/>
    <w:rsid w:val="006368DB"/>
    <w:rsid w:val="00636AF0"/>
    <w:rsid w:val="00636BC6"/>
    <w:rsid w:val="00637BFD"/>
    <w:rsid w:val="00637C5C"/>
    <w:rsid w:val="00640863"/>
    <w:rsid w:val="00641556"/>
    <w:rsid w:val="00641AD5"/>
    <w:rsid w:val="00641C4E"/>
    <w:rsid w:val="00641FB3"/>
    <w:rsid w:val="00642362"/>
    <w:rsid w:val="00642B3F"/>
    <w:rsid w:val="00642CD7"/>
    <w:rsid w:val="00642DD9"/>
    <w:rsid w:val="00643802"/>
    <w:rsid w:val="00643886"/>
    <w:rsid w:val="00643A3C"/>
    <w:rsid w:val="0064434C"/>
    <w:rsid w:val="006467E7"/>
    <w:rsid w:val="0064719C"/>
    <w:rsid w:val="006471CC"/>
    <w:rsid w:val="00647249"/>
    <w:rsid w:val="006472FE"/>
    <w:rsid w:val="00647A29"/>
    <w:rsid w:val="00647B6E"/>
    <w:rsid w:val="00647F2E"/>
    <w:rsid w:val="00650666"/>
    <w:rsid w:val="0065079F"/>
    <w:rsid w:val="00651982"/>
    <w:rsid w:val="0065269A"/>
    <w:rsid w:val="00652A28"/>
    <w:rsid w:val="00652C9F"/>
    <w:rsid w:val="0065379F"/>
    <w:rsid w:val="00653EA2"/>
    <w:rsid w:val="00654435"/>
    <w:rsid w:val="00654801"/>
    <w:rsid w:val="00656188"/>
    <w:rsid w:val="0065715A"/>
    <w:rsid w:val="006604B0"/>
    <w:rsid w:val="006606CC"/>
    <w:rsid w:val="006610F1"/>
    <w:rsid w:val="006614C8"/>
    <w:rsid w:val="00661C6B"/>
    <w:rsid w:val="00662052"/>
    <w:rsid w:val="00662BE7"/>
    <w:rsid w:val="00662D3E"/>
    <w:rsid w:val="00664486"/>
    <w:rsid w:val="0066536F"/>
    <w:rsid w:val="00665FEF"/>
    <w:rsid w:val="00666679"/>
    <w:rsid w:val="00666D8D"/>
    <w:rsid w:val="00667352"/>
    <w:rsid w:val="006674A9"/>
    <w:rsid w:val="006675BE"/>
    <w:rsid w:val="00667BE3"/>
    <w:rsid w:val="00670810"/>
    <w:rsid w:val="006709BA"/>
    <w:rsid w:val="00670BA0"/>
    <w:rsid w:val="00671004"/>
    <w:rsid w:val="00671A94"/>
    <w:rsid w:val="00672646"/>
    <w:rsid w:val="0067312A"/>
    <w:rsid w:val="00673C87"/>
    <w:rsid w:val="00673D2B"/>
    <w:rsid w:val="006749CF"/>
    <w:rsid w:val="00674E42"/>
    <w:rsid w:val="00676115"/>
    <w:rsid w:val="00676563"/>
    <w:rsid w:val="00676726"/>
    <w:rsid w:val="00677FD7"/>
    <w:rsid w:val="00680609"/>
    <w:rsid w:val="0068089E"/>
    <w:rsid w:val="00680DD2"/>
    <w:rsid w:val="006813F8"/>
    <w:rsid w:val="00682112"/>
    <w:rsid w:val="00682139"/>
    <w:rsid w:val="00682BA6"/>
    <w:rsid w:val="00682FEB"/>
    <w:rsid w:val="00683372"/>
    <w:rsid w:val="00683529"/>
    <w:rsid w:val="00684287"/>
    <w:rsid w:val="0068478C"/>
    <w:rsid w:val="006854D3"/>
    <w:rsid w:val="0068591E"/>
    <w:rsid w:val="00685DF8"/>
    <w:rsid w:val="00686413"/>
    <w:rsid w:val="0068648A"/>
    <w:rsid w:val="006868FC"/>
    <w:rsid w:val="00686957"/>
    <w:rsid w:val="006872BA"/>
    <w:rsid w:val="006876D8"/>
    <w:rsid w:val="00690416"/>
    <w:rsid w:val="00690795"/>
    <w:rsid w:val="00691648"/>
    <w:rsid w:val="006917D7"/>
    <w:rsid w:val="006923D6"/>
    <w:rsid w:val="0069381C"/>
    <w:rsid w:val="0069434C"/>
    <w:rsid w:val="00694F44"/>
    <w:rsid w:val="006961A5"/>
    <w:rsid w:val="006961B7"/>
    <w:rsid w:val="00696EF9"/>
    <w:rsid w:val="00696F51"/>
    <w:rsid w:val="006979A5"/>
    <w:rsid w:val="00697A30"/>
    <w:rsid w:val="00697B77"/>
    <w:rsid w:val="006A016F"/>
    <w:rsid w:val="006A0DF7"/>
    <w:rsid w:val="006A18F1"/>
    <w:rsid w:val="006A1EC8"/>
    <w:rsid w:val="006A2425"/>
    <w:rsid w:val="006A4321"/>
    <w:rsid w:val="006A43D9"/>
    <w:rsid w:val="006A6111"/>
    <w:rsid w:val="006A62AB"/>
    <w:rsid w:val="006A6B99"/>
    <w:rsid w:val="006A6EFB"/>
    <w:rsid w:val="006A6F0F"/>
    <w:rsid w:val="006A7E5F"/>
    <w:rsid w:val="006B0669"/>
    <w:rsid w:val="006B0B9D"/>
    <w:rsid w:val="006B261B"/>
    <w:rsid w:val="006B2B10"/>
    <w:rsid w:val="006B2C90"/>
    <w:rsid w:val="006B2DEC"/>
    <w:rsid w:val="006B35E6"/>
    <w:rsid w:val="006B465A"/>
    <w:rsid w:val="006B546D"/>
    <w:rsid w:val="006B5669"/>
    <w:rsid w:val="006B5B9B"/>
    <w:rsid w:val="006B6DD0"/>
    <w:rsid w:val="006B7DF6"/>
    <w:rsid w:val="006B7E38"/>
    <w:rsid w:val="006B7E8B"/>
    <w:rsid w:val="006C00E7"/>
    <w:rsid w:val="006C0399"/>
    <w:rsid w:val="006C0DE6"/>
    <w:rsid w:val="006C1559"/>
    <w:rsid w:val="006C1C61"/>
    <w:rsid w:val="006C2495"/>
    <w:rsid w:val="006C2A8E"/>
    <w:rsid w:val="006C3255"/>
    <w:rsid w:val="006C3F26"/>
    <w:rsid w:val="006C4484"/>
    <w:rsid w:val="006C46F2"/>
    <w:rsid w:val="006C59BA"/>
    <w:rsid w:val="006D0127"/>
    <w:rsid w:val="006D0D17"/>
    <w:rsid w:val="006D1967"/>
    <w:rsid w:val="006D2188"/>
    <w:rsid w:val="006D2375"/>
    <w:rsid w:val="006D2C59"/>
    <w:rsid w:val="006D39F0"/>
    <w:rsid w:val="006D3C7D"/>
    <w:rsid w:val="006D4659"/>
    <w:rsid w:val="006D5D5F"/>
    <w:rsid w:val="006D60E3"/>
    <w:rsid w:val="006D68FB"/>
    <w:rsid w:val="006D6C17"/>
    <w:rsid w:val="006D7E3D"/>
    <w:rsid w:val="006E066F"/>
    <w:rsid w:val="006E0BBD"/>
    <w:rsid w:val="006E0CB2"/>
    <w:rsid w:val="006E1447"/>
    <w:rsid w:val="006E1EB7"/>
    <w:rsid w:val="006E256D"/>
    <w:rsid w:val="006E2868"/>
    <w:rsid w:val="006E4AFD"/>
    <w:rsid w:val="006E4FBF"/>
    <w:rsid w:val="006E51FE"/>
    <w:rsid w:val="006E57B8"/>
    <w:rsid w:val="006E7E02"/>
    <w:rsid w:val="006F09B8"/>
    <w:rsid w:val="006F14D2"/>
    <w:rsid w:val="006F1C07"/>
    <w:rsid w:val="006F1C77"/>
    <w:rsid w:val="006F2226"/>
    <w:rsid w:val="006F2CEC"/>
    <w:rsid w:val="006F306C"/>
    <w:rsid w:val="006F44E2"/>
    <w:rsid w:val="006F46C1"/>
    <w:rsid w:val="006F48DD"/>
    <w:rsid w:val="006F5252"/>
    <w:rsid w:val="006F577F"/>
    <w:rsid w:val="006F63A5"/>
    <w:rsid w:val="006F6886"/>
    <w:rsid w:val="006F6FF3"/>
    <w:rsid w:val="006F7812"/>
    <w:rsid w:val="007008AE"/>
    <w:rsid w:val="00700D54"/>
    <w:rsid w:val="00701154"/>
    <w:rsid w:val="0070142B"/>
    <w:rsid w:val="007022B8"/>
    <w:rsid w:val="0070276E"/>
    <w:rsid w:val="00702A2A"/>
    <w:rsid w:val="00702F8F"/>
    <w:rsid w:val="007031DE"/>
    <w:rsid w:val="00703B86"/>
    <w:rsid w:val="00703D8B"/>
    <w:rsid w:val="007040C2"/>
    <w:rsid w:val="00705E61"/>
    <w:rsid w:val="00707119"/>
    <w:rsid w:val="007079FC"/>
    <w:rsid w:val="00707ED5"/>
    <w:rsid w:val="00710E0B"/>
    <w:rsid w:val="00710EC2"/>
    <w:rsid w:val="00711A36"/>
    <w:rsid w:val="00711AAC"/>
    <w:rsid w:val="00711C14"/>
    <w:rsid w:val="00712390"/>
    <w:rsid w:val="007125D3"/>
    <w:rsid w:val="00712AA4"/>
    <w:rsid w:val="00712B56"/>
    <w:rsid w:val="00712D05"/>
    <w:rsid w:val="00712DCF"/>
    <w:rsid w:val="0071365A"/>
    <w:rsid w:val="00713CEF"/>
    <w:rsid w:val="00714C26"/>
    <w:rsid w:val="007150EB"/>
    <w:rsid w:val="0071529C"/>
    <w:rsid w:val="00715596"/>
    <w:rsid w:val="007164E2"/>
    <w:rsid w:val="00716708"/>
    <w:rsid w:val="00716D85"/>
    <w:rsid w:val="007170DA"/>
    <w:rsid w:val="007172AD"/>
    <w:rsid w:val="00717546"/>
    <w:rsid w:val="00717847"/>
    <w:rsid w:val="00720801"/>
    <w:rsid w:val="00720AFB"/>
    <w:rsid w:val="007214B6"/>
    <w:rsid w:val="00721F2C"/>
    <w:rsid w:val="007228CE"/>
    <w:rsid w:val="00722B1B"/>
    <w:rsid w:val="00722D8C"/>
    <w:rsid w:val="00722E72"/>
    <w:rsid w:val="00723BA2"/>
    <w:rsid w:val="0072416F"/>
    <w:rsid w:val="007241EF"/>
    <w:rsid w:val="00724741"/>
    <w:rsid w:val="007260EE"/>
    <w:rsid w:val="0072745D"/>
    <w:rsid w:val="00727464"/>
    <w:rsid w:val="00727C94"/>
    <w:rsid w:val="00730BC5"/>
    <w:rsid w:val="00730CC4"/>
    <w:rsid w:val="00731B0A"/>
    <w:rsid w:val="00731EAE"/>
    <w:rsid w:val="00733073"/>
    <w:rsid w:val="00734917"/>
    <w:rsid w:val="00735033"/>
    <w:rsid w:val="00735328"/>
    <w:rsid w:val="00735DAC"/>
    <w:rsid w:val="0073602C"/>
    <w:rsid w:val="0073619B"/>
    <w:rsid w:val="0073685B"/>
    <w:rsid w:val="00737684"/>
    <w:rsid w:val="00737A69"/>
    <w:rsid w:val="007413F6"/>
    <w:rsid w:val="00743857"/>
    <w:rsid w:val="007438AE"/>
    <w:rsid w:val="00743AB3"/>
    <w:rsid w:val="00744556"/>
    <w:rsid w:val="007449BF"/>
    <w:rsid w:val="0074603E"/>
    <w:rsid w:val="007463FE"/>
    <w:rsid w:val="00746BC0"/>
    <w:rsid w:val="00747891"/>
    <w:rsid w:val="007479F3"/>
    <w:rsid w:val="00747D09"/>
    <w:rsid w:val="0075013A"/>
    <w:rsid w:val="007510B4"/>
    <w:rsid w:val="00752142"/>
    <w:rsid w:val="0075217C"/>
    <w:rsid w:val="007523F9"/>
    <w:rsid w:val="00752B55"/>
    <w:rsid w:val="0075329D"/>
    <w:rsid w:val="0075357E"/>
    <w:rsid w:val="00753603"/>
    <w:rsid w:val="00753B29"/>
    <w:rsid w:val="007541C0"/>
    <w:rsid w:val="0075536A"/>
    <w:rsid w:val="00755BD3"/>
    <w:rsid w:val="007573E8"/>
    <w:rsid w:val="00760715"/>
    <w:rsid w:val="00760C4E"/>
    <w:rsid w:val="00760F9E"/>
    <w:rsid w:val="0076102D"/>
    <w:rsid w:val="007616E6"/>
    <w:rsid w:val="007624BD"/>
    <w:rsid w:val="007627BE"/>
    <w:rsid w:val="00762E36"/>
    <w:rsid w:val="00762F2F"/>
    <w:rsid w:val="007632FF"/>
    <w:rsid w:val="00763EF2"/>
    <w:rsid w:val="0076433F"/>
    <w:rsid w:val="00764681"/>
    <w:rsid w:val="00764F03"/>
    <w:rsid w:val="00765B1A"/>
    <w:rsid w:val="00765DC1"/>
    <w:rsid w:val="00765FBB"/>
    <w:rsid w:val="00766951"/>
    <w:rsid w:val="00767369"/>
    <w:rsid w:val="007678EA"/>
    <w:rsid w:val="00767A18"/>
    <w:rsid w:val="007700D1"/>
    <w:rsid w:val="00771398"/>
    <w:rsid w:val="0077160B"/>
    <w:rsid w:val="007717C9"/>
    <w:rsid w:val="00773059"/>
    <w:rsid w:val="00773C0D"/>
    <w:rsid w:val="00773D0F"/>
    <w:rsid w:val="00773E94"/>
    <w:rsid w:val="0077650E"/>
    <w:rsid w:val="00777335"/>
    <w:rsid w:val="00780022"/>
    <w:rsid w:val="0078046B"/>
    <w:rsid w:val="00781F57"/>
    <w:rsid w:val="007821FA"/>
    <w:rsid w:val="00782C9F"/>
    <w:rsid w:val="0078371F"/>
    <w:rsid w:val="00783EBC"/>
    <w:rsid w:val="007843F2"/>
    <w:rsid w:val="007846FA"/>
    <w:rsid w:val="00785A9F"/>
    <w:rsid w:val="00785FCD"/>
    <w:rsid w:val="00787B3F"/>
    <w:rsid w:val="00790EA9"/>
    <w:rsid w:val="00790F71"/>
    <w:rsid w:val="007925DF"/>
    <w:rsid w:val="00793452"/>
    <w:rsid w:val="00793CD6"/>
    <w:rsid w:val="00794785"/>
    <w:rsid w:val="007954FF"/>
    <w:rsid w:val="007957B6"/>
    <w:rsid w:val="00795F0F"/>
    <w:rsid w:val="007968B2"/>
    <w:rsid w:val="007A08AA"/>
    <w:rsid w:val="007A0A12"/>
    <w:rsid w:val="007A0CF5"/>
    <w:rsid w:val="007A132D"/>
    <w:rsid w:val="007A1345"/>
    <w:rsid w:val="007A2DDB"/>
    <w:rsid w:val="007A3098"/>
    <w:rsid w:val="007A5CFF"/>
    <w:rsid w:val="007A6328"/>
    <w:rsid w:val="007A64E9"/>
    <w:rsid w:val="007A6DE6"/>
    <w:rsid w:val="007A6FA5"/>
    <w:rsid w:val="007A70BA"/>
    <w:rsid w:val="007A7937"/>
    <w:rsid w:val="007B01A9"/>
    <w:rsid w:val="007B0D68"/>
    <w:rsid w:val="007B1130"/>
    <w:rsid w:val="007B1AFA"/>
    <w:rsid w:val="007B1E34"/>
    <w:rsid w:val="007B251D"/>
    <w:rsid w:val="007B25A2"/>
    <w:rsid w:val="007B2BCD"/>
    <w:rsid w:val="007B3180"/>
    <w:rsid w:val="007B3533"/>
    <w:rsid w:val="007B398B"/>
    <w:rsid w:val="007B3A3D"/>
    <w:rsid w:val="007B42D8"/>
    <w:rsid w:val="007B4F58"/>
    <w:rsid w:val="007B528D"/>
    <w:rsid w:val="007B590D"/>
    <w:rsid w:val="007B5CD2"/>
    <w:rsid w:val="007B626E"/>
    <w:rsid w:val="007B63CA"/>
    <w:rsid w:val="007B77D1"/>
    <w:rsid w:val="007C07C7"/>
    <w:rsid w:val="007C1CD9"/>
    <w:rsid w:val="007C219B"/>
    <w:rsid w:val="007C2D74"/>
    <w:rsid w:val="007C32EF"/>
    <w:rsid w:val="007C361D"/>
    <w:rsid w:val="007C4576"/>
    <w:rsid w:val="007C4B84"/>
    <w:rsid w:val="007C4C78"/>
    <w:rsid w:val="007C58E8"/>
    <w:rsid w:val="007C6B00"/>
    <w:rsid w:val="007C70FF"/>
    <w:rsid w:val="007C7C25"/>
    <w:rsid w:val="007C7DFD"/>
    <w:rsid w:val="007D004F"/>
    <w:rsid w:val="007D035F"/>
    <w:rsid w:val="007D06B2"/>
    <w:rsid w:val="007D0B38"/>
    <w:rsid w:val="007D0B5C"/>
    <w:rsid w:val="007D2F83"/>
    <w:rsid w:val="007D3B2E"/>
    <w:rsid w:val="007D4573"/>
    <w:rsid w:val="007D4611"/>
    <w:rsid w:val="007D5440"/>
    <w:rsid w:val="007D5B50"/>
    <w:rsid w:val="007D69EB"/>
    <w:rsid w:val="007E0231"/>
    <w:rsid w:val="007E0A4C"/>
    <w:rsid w:val="007E128F"/>
    <w:rsid w:val="007E2A5D"/>
    <w:rsid w:val="007E413C"/>
    <w:rsid w:val="007E50EA"/>
    <w:rsid w:val="007E55AC"/>
    <w:rsid w:val="007E568D"/>
    <w:rsid w:val="007E5DDA"/>
    <w:rsid w:val="007E6B60"/>
    <w:rsid w:val="007F04BC"/>
    <w:rsid w:val="007F0EDB"/>
    <w:rsid w:val="007F1017"/>
    <w:rsid w:val="007F29A0"/>
    <w:rsid w:val="007F2C14"/>
    <w:rsid w:val="007F2F46"/>
    <w:rsid w:val="007F40BA"/>
    <w:rsid w:val="007F45CF"/>
    <w:rsid w:val="007F4A3F"/>
    <w:rsid w:val="007F4A61"/>
    <w:rsid w:val="007F5255"/>
    <w:rsid w:val="007F56CC"/>
    <w:rsid w:val="007F57A9"/>
    <w:rsid w:val="007F6100"/>
    <w:rsid w:val="007F61C2"/>
    <w:rsid w:val="007F6AD8"/>
    <w:rsid w:val="007F6AEE"/>
    <w:rsid w:val="007F6C47"/>
    <w:rsid w:val="00800917"/>
    <w:rsid w:val="00800963"/>
    <w:rsid w:val="0080201F"/>
    <w:rsid w:val="008027B6"/>
    <w:rsid w:val="008031C1"/>
    <w:rsid w:val="00803259"/>
    <w:rsid w:val="0080393F"/>
    <w:rsid w:val="00803C0F"/>
    <w:rsid w:val="00804A98"/>
    <w:rsid w:val="00805142"/>
    <w:rsid w:val="0080597E"/>
    <w:rsid w:val="00805FCE"/>
    <w:rsid w:val="00806411"/>
    <w:rsid w:val="00806EE8"/>
    <w:rsid w:val="00807A8B"/>
    <w:rsid w:val="00807B58"/>
    <w:rsid w:val="008107B8"/>
    <w:rsid w:val="00810AA6"/>
    <w:rsid w:val="00810C1E"/>
    <w:rsid w:val="00810F4E"/>
    <w:rsid w:val="00811383"/>
    <w:rsid w:val="008114D0"/>
    <w:rsid w:val="00812149"/>
    <w:rsid w:val="008129E5"/>
    <w:rsid w:val="00812CAC"/>
    <w:rsid w:val="00813591"/>
    <w:rsid w:val="00814543"/>
    <w:rsid w:val="0081574B"/>
    <w:rsid w:val="00815BF6"/>
    <w:rsid w:val="0081631E"/>
    <w:rsid w:val="00816361"/>
    <w:rsid w:val="008166EF"/>
    <w:rsid w:val="00816D21"/>
    <w:rsid w:val="00816E4F"/>
    <w:rsid w:val="00816F97"/>
    <w:rsid w:val="00816FEF"/>
    <w:rsid w:val="0081708B"/>
    <w:rsid w:val="00817093"/>
    <w:rsid w:val="008202C6"/>
    <w:rsid w:val="00820A8C"/>
    <w:rsid w:val="008215FB"/>
    <w:rsid w:val="008220CC"/>
    <w:rsid w:val="008221D8"/>
    <w:rsid w:val="008226EB"/>
    <w:rsid w:val="00822919"/>
    <w:rsid w:val="00823174"/>
    <w:rsid w:val="008231CE"/>
    <w:rsid w:val="00823302"/>
    <w:rsid w:val="00823B07"/>
    <w:rsid w:val="00825751"/>
    <w:rsid w:val="0082578F"/>
    <w:rsid w:val="008264EB"/>
    <w:rsid w:val="008265CB"/>
    <w:rsid w:val="008268CE"/>
    <w:rsid w:val="00827C23"/>
    <w:rsid w:val="00830109"/>
    <w:rsid w:val="0083012B"/>
    <w:rsid w:val="00830937"/>
    <w:rsid w:val="00831677"/>
    <w:rsid w:val="00833B05"/>
    <w:rsid w:val="00834147"/>
    <w:rsid w:val="00834C4C"/>
    <w:rsid w:val="00835049"/>
    <w:rsid w:val="008351B7"/>
    <w:rsid w:val="008362B4"/>
    <w:rsid w:val="008366F9"/>
    <w:rsid w:val="00836ADF"/>
    <w:rsid w:val="00837176"/>
    <w:rsid w:val="00837C7F"/>
    <w:rsid w:val="00837EC4"/>
    <w:rsid w:val="00840CA2"/>
    <w:rsid w:val="00840E6B"/>
    <w:rsid w:val="00840FDE"/>
    <w:rsid w:val="008431B6"/>
    <w:rsid w:val="0084339B"/>
    <w:rsid w:val="00843637"/>
    <w:rsid w:val="0084374F"/>
    <w:rsid w:val="00844A22"/>
    <w:rsid w:val="00844DB2"/>
    <w:rsid w:val="00845EC6"/>
    <w:rsid w:val="00846727"/>
    <w:rsid w:val="00847703"/>
    <w:rsid w:val="00847DF5"/>
    <w:rsid w:val="00851070"/>
    <w:rsid w:val="00851729"/>
    <w:rsid w:val="00851A8E"/>
    <w:rsid w:val="0085221A"/>
    <w:rsid w:val="0085270E"/>
    <w:rsid w:val="00852E4F"/>
    <w:rsid w:val="0085309D"/>
    <w:rsid w:val="00853893"/>
    <w:rsid w:val="00854CF6"/>
    <w:rsid w:val="00854D49"/>
    <w:rsid w:val="0085523E"/>
    <w:rsid w:val="00856897"/>
    <w:rsid w:val="00856C8B"/>
    <w:rsid w:val="00856E9A"/>
    <w:rsid w:val="00857137"/>
    <w:rsid w:val="008575B0"/>
    <w:rsid w:val="0086075D"/>
    <w:rsid w:val="00861B0B"/>
    <w:rsid w:val="00861D5D"/>
    <w:rsid w:val="00862502"/>
    <w:rsid w:val="00862CC1"/>
    <w:rsid w:val="00862CFB"/>
    <w:rsid w:val="00863749"/>
    <w:rsid w:val="008642A7"/>
    <w:rsid w:val="00864EE8"/>
    <w:rsid w:val="0086506D"/>
    <w:rsid w:val="00865F44"/>
    <w:rsid w:val="008660D4"/>
    <w:rsid w:val="008667AD"/>
    <w:rsid w:val="00867277"/>
    <w:rsid w:val="00870D43"/>
    <w:rsid w:val="00870F6B"/>
    <w:rsid w:val="00871D04"/>
    <w:rsid w:val="00871FA9"/>
    <w:rsid w:val="008721A7"/>
    <w:rsid w:val="00872631"/>
    <w:rsid w:val="008728E9"/>
    <w:rsid w:val="00872E2D"/>
    <w:rsid w:val="0087327D"/>
    <w:rsid w:val="008760F8"/>
    <w:rsid w:val="00876845"/>
    <w:rsid w:val="0087787F"/>
    <w:rsid w:val="00880B49"/>
    <w:rsid w:val="00880EDE"/>
    <w:rsid w:val="00881F94"/>
    <w:rsid w:val="00882449"/>
    <w:rsid w:val="00882874"/>
    <w:rsid w:val="00882B31"/>
    <w:rsid w:val="00882E3C"/>
    <w:rsid w:val="0088308A"/>
    <w:rsid w:val="00883787"/>
    <w:rsid w:val="008842FF"/>
    <w:rsid w:val="008855E4"/>
    <w:rsid w:val="00886050"/>
    <w:rsid w:val="00886783"/>
    <w:rsid w:val="00886CD2"/>
    <w:rsid w:val="00886EDF"/>
    <w:rsid w:val="0088722B"/>
    <w:rsid w:val="008874D7"/>
    <w:rsid w:val="00890752"/>
    <w:rsid w:val="00891E6F"/>
    <w:rsid w:val="008925AA"/>
    <w:rsid w:val="0089275D"/>
    <w:rsid w:val="00892A36"/>
    <w:rsid w:val="00893239"/>
    <w:rsid w:val="00893264"/>
    <w:rsid w:val="00894489"/>
    <w:rsid w:val="00894CD6"/>
    <w:rsid w:val="00894DE5"/>
    <w:rsid w:val="00895487"/>
    <w:rsid w:val="008959C1"/>
    <w:rsid w:val="008963A5"/>
    <w:rsid w:val="00896D5D"/>
    <w:rsid w:val="008A0173"/>
    <w:rsid w:val="008A1F8F"/>
    <w:rsid w:val="008A23DA"/>
    <w:rsid w:val="008A23F1"/>
    <w:rsid w:val="008A2BD1"/>
    <w:rsid w:val="008A3158"/>
    <w:rsid w:val="008A3363"/>
    <w:rsid w:val="008A3371"/>
    <w:rsid w:val="008A3384"/>
    <w:rsid w:val="008A3C3E"/>
    <w:rsid w:val="008A3F99"/>
    <w:rsid w:val="008A55F0"/>
    <w:rsid w:val="008A7608"/>
    <w:rsid w:val="008A79DE"/>
    <w:rsid w:val="008B100A"/>
    <w:rsid w:val="008B1757"/>
    <w:rsid w:val="008B1C33"/>
    <w:rsid w:val="008B23E8"/>
    <w:rsid w:val="008B35E9"/>
    <w:rsid w:val="008B37A1"/>
    <w:rsid w:val="008B3DC6"/>
    <w:rsid w:val="008B41AA"/>
    <w:rsid w:val="008B474F"/>
    <w:rsid w:val="008B4974"/>
    <w:rsid w:val="008B4B6F"/>
    <w:rsid w:val="008B5283"/>
    <w:rsid w:val="008B570D"/>
    <w:rsid w:val="008B5D07"/>
    <w:rsid w:val="008B7992"/>
    <w:rsid w:val="008B7D7E"/>
    <w:rsid w:val="008B7F11"/>
    <w:rsid w:val="008C0264"/>
    <w:rsid w:val="008C0C0F"/>
    <w:rsid w:val="008C2FBA"/>
    <w:rsid w:val="008C3544"/>
    <w:rsid w:val="008C387E"/>
    <w:rsid w:val="008C38D1"/>
    <w:rsid w:val="008C5610"/>
    <w:rsid w:val="008C5739"/>
    <w:rsid w:val="008C7282"/>
    <w:rsid w:val="008C7ECB"/>
    <w:rsid w:val="008D0987"/>
    <w:rsid w:val="008D1CE6"/>
    <w:rsid w:val="008D253E"/>
    <w:rsid w:val="008D362C"/>
    <w:rsid w:val="008D3B86"/>
    <w:rsid w:val="008D4072"/>
    <w:rsid w:val="008D40B5"/>
    <w:rsid w:val="008D43FD"/>
    <w:rsid w:val="008D4755"/>
    <w:rsid w:val="008D4C3D"/>
    <w:rsid w:val="008D51B9"/>
    <w:rsid w:val="008D5613"/>
    <w:rsid w:val="008D638C"/>
    <w:rsid w:val="008D6A59"/>
    <w:rsid w:val="008D743C"/>
    <w:rsid w:val="008D7C14"/>
    <w:rsid w:val="008E0871"/>
    <w:rsid w:val="008E0D3C"/>
    <w:rsid w:val="008E1B9E"/>
    <w:rsid w:val="008E231A"/>
    <w:rsid w:val="008E3B5E"/>
    <w:rsid w:val="008E4922"/>
    <w:rsid w:val="008E5569"/>
    <w:rsid w:val="008E55AB"/>
    <w:rsid w:val="008E6C3A"/>
    <w:rsid w:val="008E73EF"/>
    <w:rsid w:val="008E757A"/>
    <w:rsid w:val="008E7D0C"/>
    <w:rsid w:val="008F120A"/>
    <w:rsid w:val="008F16A2"/>
    <w:rsid w:val="008F18F5"/>
    <w:rsid w:val="008F27E0"/>
    <w:rsid w:val="008F2E54"/>
    <w:rsid w:val="008F39BE"/>
    <w:rsid w:val="008F4362"/>
    <w:rsid w:val="008F4419"/>
    <w:rsid w:val="008F48EB"/>
    <w:rsid w:val="008F4F0A"/>
    <w:rsid w:val="008F4F0B"/>
    <w:rsid w:val="008F6805"/>
    <w:rsid w:val="008F7718"/>
    <w:rsid w:val="00900B0D"/>
    <w:rsid w:val="009016FA"/>
    <w:rsid w:val="009026FC"/>
    <w:rsid w:val="009032C6"/>
    <w:rsid w:val="009035F0"/>
    <w:rsid w:val="009046C4"/>
    <w:rsid w:val="009047E1"/>
    <w:rsid w:val="00904F31"/>
    <w:rsid w:val="009062A5"/>
    <w:rsid w:val="00906EDF"/>
    <w:rsid w:val="00907662"/>
    <w:rsid w:val="00907699"/>
    <w:rsid w:val="009076F6"/>
    <w:rsid w:val="009102C8"/>
    <w:rsid w:val="00910999"/>
    <w:rsid w:val="00910BFA"/>
    <w:rsid w:val="00910FA7"/>
    <w:rsid w:val="00911272"/>
    <w:rsid w:val="00911339"/>
    <w:rsid w:val="00912CF6"/>
    <w:rsid w:val="009135D6"/>
    <w:rsid w:val="0091401C"/>
    <w:rsid w:val="009141DE"/>
    <w:rsid w:val="00914496"/>
    <w:rsid w:val="00914C77"/>
    <w:rsid w:val="00915B18"/>
    <w:rsid w:val="00915BA0"/>
    <w:rsid w:val="009162E0"/>
    <w:rsid w:val="00917919"/>
    <w:rsid w:val="009203E0"/>
    <w:rsid w:val="00921ACB"/>
    <w:rsid w:val="00922483"/>
    <w:rsid w:val="0092369B"/>
    <w:rsid w:val="0092375F"/>
    <w:rsid w:val="00923D06"/>
    <w:rsid w:val="009258B2"/>
    <w:rsid w:val="00925B79"/>
    <w:rsid w:val="009263EB"/>
    <w:rsid w:val="009301A7"/>
    <w:rsid w:val="00930264"/>
    <w:rsid w:val="0093272E"/>
    <w:rsid w:val="00933D94"/>
    <w:rsid w:val="00934988"/>
    <w:rsid w:val="0093536B"/>
    <w:rsid w:val="00935633"/>
    <w:rsid w:val="00937089"/>
    <w:rsid w:val="00937172"/>
    <w:rsid w:val="00937455"/>
    <w:rsid w:val="009378DC"/>
    <w:rsid w:val="00941F9E"/>
    <w:rsid w:val="00944F8A"/>
    <w:rsid w:val="00945922"/>
    <w:rsid w:val="009510A2"/>
    <w:rsid w:val="009518C4"/>
    <w:rsid w:val="00953250"/>
    <w:rsid w:val="00953257"/>
    <w:rsid w:val="00953CD0"/>
    <w:rsid w:val="0095474C"/>
    <w:rsid w:val="00955FF3"/>
    <w:rsid w:val="00957980"/>
    <w:rsid w:val="00957D92"/>
    <w:rsid w:val="0096008E"/>
    <w:rsid w:val="00960360"/>
    <w:rsid w:val="00961FA6"/>
    <w:rsid w:val="009623CD"/>
    <w:rsid w:val="00962CB9"/>
    <w:rsid w:val="009630E6"/>
    <w:rsid w:val="00963163"/>
    <w:rsid w:val="0096336A"/>
    <w:rsid w:val="00963DF3"/>
    <w:rsid w:val="00964312"/>
    <w:rsid w:val="009643B1"/>
    <w:rsid w:val="00964E95"/>
    <w:rsid w:val="00965B8A"/>
    <w:rsid w:val="00966AC7"/>
    <w:rsid w:val="00967646"/>
    <w:rsid w:val="0096780E"/>
    <w:rsid w:val="0097071F"/>
    <w:rsid w:val="0097078A"/>
    <w:rsid w:val="00971595"/>
    <w:rsid w:val="009717AC"/>
    <w:rsid w:val="009719DF"/>
    <w:rsid w:val="00971FE6"/>
    <w:rsid w:val="00973049"/>
    <w:rsid w:val="00974537"/>
    <w:rsid w:val="009745B1"/>
    <w:rsid w:val="009751C1"/>
    <w:rsid w:val="00975CAC"/>
    <w:rsid w:val="00976ED2"/>
    <w:rsid w:val="0097744B"/>
    <w:rsid w:val="009800A6"/>
    <w:rsid w:val="009811F1"/>
    <w:rsid w:val="00981246"/>
    <w:rsid w:val="009817D8"/>
    <w:rsid w:val="00982282"/>
    <w:rsid w:val="0098277E"/>
    <w:rsid w:val="00983A3A"/>
    <w:rsid w:val="00983E57"/>
    <w:rsid w:val="009850E2"/>
    <w:rsid w:val="00985104"/>
    <w:rsid w:val="00985DE2"/>
    <w:rsid w:val="00985E57"/>
    <w:rsid w:val="0098675D"/>
    <w:rsid w:val="00986D82"/>
    <w:rsid w:val="00987BA4"/>
    <w:rsid w:val="00990112"/>
    <w:rsid w:val="0099020F"/>
    <w:rsid w:val="00990243"/>
    <w:rsid w:val="00991917"/>
    <w:rsid w:val="0099235D"/>
    <w:rsid w:val="009926E0"/>
    <w:rsid w:val="0099299C"/>
    <w:rsid w:val="00993AD9"/>
    <w:rsid w:val="00993B20"/>
    <w:rsid w:val="0099451E"/>
    <w:rsid w:val="00995341"/>
    <w:rsid w:val="00995B3B"/>
    <w:rsid w:val="009962CC"/>
    <w:rsid w:val="00996619"/>
    <w:rsid w:val="00996B1A"/>
    <w:rsid w:val="00997D82"/>
    <w:rsid w:val="009A0611"/>
    <w:rsid w:val="009A08E3"/>
    <w:rsid w:val="009A1253"/>
    <w:rsid w:val="009A18F6"/>
    <w:rsid w:val="009A2862"/>
    <w:rsid w:val="009A2DCC"/>
    <w:rsid w:val="009A3684"/>
    <w:rsid w:val="009A5ABC"/>
    <w:rsid w:val="009A5E0A"/>
    <w:rsid w:val="009A7F10"/>
    <w:rsid w:val="009B08AC"/>
    <w:rsid w:val="009B0BC6"/>
    <w:rsid w:val="009B0F10"/>
    <w:rsid w:val="009B1917"/>
    <w:rsid w:val="009B1951"/>
    <w:rsid w:val="009B1DA1"/>
    <w:rsid w:val="009B2621"/>
    <w:rsid w:val="009B2895"/>
    <w:rsid w:val="009B29C4"/>
    <w:rsid w:val="009B2A74"/>
    <w:rsid w:val="009B3143"/>
    <w:rsid w:val="009B3153"/>
    <w:rsid w:val="009B3E26"/>
    <w:rsid w:val="009B462B"/>
    <w:rsid w:val="009B495A"/>
    <w:rsid w:val="009B69BE"/>
    <w:rsid w:val="009B720D"/>
    <w:rsid w:val="009C03F2"/>
    <w:rsid w:val="009C1231"/>
    <w:rsid w:val="009C1271"/>
    <w:rsid w:val="009C2C83"/>
    <w:rsid w:val="009C3706"/>
    <w:rsid w:val="009C3A3A"/>
    <w:rsid w:val="009C3D9C"/>
    <w:rsid w:val="009C3FEE"/>
    <w:rsid w:val="009C4C02"/>
    <w:rsid w:val="009C5C3D"/>
    <w:rsid w:val="009C69DC"/>
    <w:rsid w:val="009C6C5E"/>
    <w:rsid w:val="009C6CEA"/>
    <w:rsid w:val="009C6DC0"/>
    <w:rsid w:val="009C7B85"/>
    <w:rsid w:val="009D0254"/>
    <w:rsid w:val="009D04EA"/>
    <w:rsid w:val="009D171B"/>
    <w:rsid w:val="009D1A64"/>
    <w:rsid w:val="009D21F9"/>
    <w:rsid w:val="009D2DCF"/>
    <w:rsid w:val="009D5B91"/>
    <w:rsid w:val="009D7316"/>
    <w:rsid w:val="009D792E"/>
    <w:rsid w:val="009D798F"/>
    <w:rsid w:val="009E0498"/>
    <w:rsid w:val="009E0DC7"/>
    <w:rsid w:val="009E0DFE"/>
    <w:rsid w:val="009E1E3E"/>
    <w:rsid w:val="009E238A"/>
    <w:rsid w:val="009E2973"/>
    <w:rsid w:val="009E2A66"/>
    <w:rsid w:val="009E31F6"/>
    <w:rsid w:val="009E34CD"/>
    <w:rsid w:val="009E483D"/>
    <w:rsid w:val="009E4C07"/>
    <w:rsid w:val="009E517C"/>
    <w:rsid w:val="009E5286"/>
    <w:rsid w:val="009E5A11"/>
    <w:rsid w:val="009E61B3"/>
    <w:rsid w:val="009E6E25"/>
    <w:rsid w:val="009E777F"/>
    <w:rsid w:val="009E7788"/>
    <w:rsid w:val="009F114C"/>
    <w:rsid w:val="009F13D3"/>
    <w:rsid w:val="009F1727"/>
    <w:rsid w:val="009F18E2"/>
    <w:rsid w:val="009F1D24"/>
    <w:rsid w:val="009F2D1B"/>
    <w:rsid w:val="009F44C4"/>
    <w:rsid w:val="009F4FE3"/>
    <w:rsid w:val="009F59E6"/>
    <w:rsid w:val="009F5CC4"/>
    <w:rsid w:val="009F6120"/>
    <w:rsid w:val="009F70B1"/>
    <w:rsid w:val="00A00D76"/>
    <w:rsid w:val="00A0106F"/>
    <w:rsid w:val="00A01184"/>
    <w:rsid w:val="00A01237"/>
    <w:rsid w:val="00A01449"/>
    <w:rsid w:val="00A02C2C"/>
    <w:rsid w:val="00A037C2"/>
    <w:rsid w:val="00A03D43"/>
    <w:rsid w:val="00A04380"/>
    <w:rsid w:val="00A04786"/>
    <w:rsid w:val="00A04973"/>
    <w:rsid w:val="00A05472"/>
    <w:rsid w:val="00A054E2"/>
    <w:rsid w:val="00A05C32"/>
    <w:rsid w:val="00A0653F"/>
    <w:rsid w:val="00A07B72"/>
    <w:rsid w:val="00A10066"/>
    <w:rsid w:val="00A10D46"/>
    <w:rsid w:val="00A10E67"/>
    <w:rsid w:val="00A10F6C"/>
    <w:rsid w:val="00A11CD0"/>
    <w:rsid w:val="00A13948"/>
    <w:rsid w:val="00A14791"/>
    <w:rsid w:val="00A1555B"/>
    <w:rsid w:val="00A155C5"/>
    <w:rsid w:val="00A163CC"/>
    <w:rsid w:val="00A16AD8"/>
    <w:rsid w:val="00A1787E"/>
    <w:rsid w:val="00A179C4"/>
    <w:rsid w:val="00A200BB"/>
    <w:rsid w:val="00A2021E"/>
    <w:rsid w:val="00A20EFB"/>
    <w:rsid w:val="00A21585"/>
    <w:rsid w:val="00A21C95"/>
    <w:rsid w:val="00A21CF3"/>
    <w:rsid w:val="00A22AD8"/>
    <w:rsid w:val="00A22D48"/>
    <w:rsid w:val="00A245BD"/>
    <w:rsid w:val="00A24813"/>
    <w:rsid w:val="00A2494E"/>
    <w:rsid w:val="00A24A01"/>
    <w:rsid w:val="00A26AC7"/>
    <w:rsid w:val="00A26EE3"/>
    <w:rsid w:val="00A27AEC"/>
    <w:rsid w:val="00A30F47"/>
    <w:rsid w:val="00A31305"/>
    <w:rsid w:val="00A31DD0"/>
    <w:rsid w:val="00A320DB"/>
    <w:rsid w:val="00A33924"/>
    <w:rsid w:val="00A3495A"/>
    <w:rsid w:val="00A34AE7"/>
    <w:rsid w:val="00A35177"/>
    <w:rsid w:val="00A353DC"/>
    <w:rsid w:val="00A35D16"/>
    <w:rsid w:val="00A37601"/>
    <w:rsid w:val="00A3799B"/>
    <w:rsid w:val="00A37BCD"/>
    <w:rsid w:val="00A40693"/>
    <w:rsid w:val="00A40A5E"/>
    <w:rsid w:val="00A41689"/>
    <w:rsid w:val="00A42592"/>
    <w:rsid w:val="00A42C4A"/>
    <w:rsid w:val="00A42F5F"/>
    <w:rsid w:val="00A43610"/>
    <w:rsid w:val="00A43C59"/>
    <w:rsid w:val="00A4488A"/>
    <w:rsid w:val="00A454DB"/>
    <w:rsid w:val="00A45E04"/>
    <w:rsid w:val="00A46609"/>
    <w:rsid w:val="00A46C48"/>
    <w:rsid w:val="00A50088"/>
    <w:rsid w:val="00A50780"/>
    <w:rsid w:val="00A50ECD"/>
    <w:rsid w:val="00A51404"/>
    <w:rsid w:val="00A51813"/>
    <w:rsid w:val="00A518F3"/>
    <w:rsid w:val="00A51B6B"/>
    <w:rsid w:val="00A52729"/>
    <w:rsid w:val="00A53637"/>
    <w:rsid w:val="00A53675"/>
    <w:rsid w:val="00A53C34"/>
    <w:rsid w:val="00A54193"/>
    <w:rsid w:val="00A54DD7"/>
    <w:rsid w:val="00A55615"/>
    <w:rsid w:val="00A55B03"/>
    <w:rsid w:val="00A564D7"/>
    <w:rsid w:val="00A56B6A"/>
    <w:rsid w:val="00A56B99"/>
    <w:rsid w:val="00A56F12"/>
    <w:rsid w:val="00A577CE"/>
    <w:rsid w:val="00A578DC"/>
    <w:rsid w:val="00A57FEE"/>
    <w:rsid w:val="00A615CA"/>
    <w:rsid w:val="00A62221"/>
    <w:rsid w:val="00A62CD4"/>
    <w:rsid w:val="00A62ED7"/>
    <w:rsid w:val="00A63DB0"/>
    <w:rsid w:val="00A640E2"/>
    <w:rsid w:val="00A64D65"/>
    <w:rsid w:val="00A653D4"/>
    <w:rsid w:val="00A65EF3"/>
    <w:rsid w:val="00A66221"/>
    <w:rsid w:val="00A6725B"/>
    <w:rsid w:val="00A7055C"/>
    <w:rsid w:val="00A70605"/>
    <w:rsid w:val="00A706CE"/>
    <w:rsid w:val="00A71732"/>
    <w:rsid w:val="00A73134"/>
    <w:rsid w:val="00A7365A"/>
    <w:rsid w:val="00A74D9A"/>
    <w:rsid w:val="00A74E6B"/>
    <w:rsid w:val="00A76001"/>
    <w:rsid w:val="00A777B2"/>
    <w:rsid w:val="00A814D5"/>
    <w:rsid w:val="00A814FC"/>
    <w:rsid w:val="00A82187"/>
    <w:rsid w:val="00A825D4"/>
    <w:rsid w:val="00A827DB"/>
    <w:rsid w:val="00A828F6"/>
    <w:rsid w:val="00A82B73"/>
    <w:rsid w:val="00A82D87"/>
    <w:rsid w:val="00A838BE"/>
    <w:rsid w:val="00A83D00"/>
    <w:rsid w:val="00A86E8B"/>
    <w:rsid w:val="00A87164"/>
    <w:rsid w:val="00A87D81"/>
    <w:rsid w:val="00A9086F"/>
    <w:rsid w:val="00A9093B"/>
    <w:rsid w:val="00A92A56"/>
    <w:rsid w:val="00A93072"/>
    <w:rsid w:val="00A938BD"/>
    <w:rsid w:val="00A93953"/>
    <w:rsid w:val="00A93C60"/>
    <w:rsid w:val="00A95240"/>
    <w:rsid w:val="00A959D8"/>
    <w:rsid w:val="00A95FE0"/>
    <w:rsid w:val="00A96FC4"/>
    <w:rsid w:val="00A970DC"/>
    <w:rsid w:val="00A9715E"/>
    <w:rsid w:val="00A97843"/>
    <w:rsid w:val="00AA00BF"/>
    <w:rsid w:val="00AA113D"/>
    <w:rsid w:val="00AA1795"/>
    <w:rsid w:val="00AA17DA"/>
    <w:rsid w:val="00AA1B19"/>
    <w:rsid w:val="00AA1CD0"/>
    <w:rsid w:val="00AA41E6"/>
    <w:rsid w:val="00AA5F5B"/>
    <w:rsid w:val="00AA6259"/>
    <w:rsid w:val="00AA6BD5"/>
    <w:rsid w:val="00AA6BD8"/>
    <w:rsid w:val="00AA6C7D"/>
    <w:rsid w:val="00AA7F0F"/>
    <w:rsid w:val="00AA7FD6"/>
    <w:rsid w:val="00AB0409"/>
    <w:rsid w:val="00AB042A"/>
    <w:rsid w:val="00AB11AD"/>
    <w:rsid w:val="00AB12FD"/>
    <w:rsid w:val="00AB18AB"/>
    <w:rsid w:val="00AB19EF"/>
    <w:rsid w:val="00AB2495"/>
    <w:rsid w:val="00AB2C52"/>
    <w:rsid w:val="00AB2D34"/>
    <w:rsid w:val="00AB3430"/>
    <w:rsid w:val="00AB37B9"/>
    <w:rsid w:val="00AB4538"/>
    <w:rsid w:val="00AB4AD1"/>
    <w:rsid w:val="00AB5E07"/>
    <w:rsid w:val="00AB605E"/>
    <w:rsid w:val="00AB6392"/>
    <w:rsid w:val="00AB6C57"/>
    <w:rsid w:val="00AB73A5"/>
    <w:rsid w:val="00AB7CFA"/>
    <w:rsid w:val="00AC1D16"/>
    <w:rsid w:val="00AC3FB5"/>
    <w:rsid w:val="00AC42AC"/>
    <w:rsid w:val="00AC4A71"/>
    <w:rsid w:val="00AC4B91"/>
    <w:rsid w:val="00AC5B42"/>
    <w:rsid w:val="00AC5B48"/>
    <w:rsid w:val="00AC5E21"/>
    <w:rsid w:val="00AC72F7"/>
    <w:rsid w:val="00AD1221"/>
    <w:rsid w:val="00AD1450"/>
    <w:rsid w:val="00AD15E8"/>
    <w:rsid w:val="00AD171C"/>
    <w:rsid w:val="00AD17BE"/>
    <w:rsid w:val="00AD1B68"/>
    <w:rsid w:val="00AD2375"/>
    <w:rsid w:val="00AD356D"/>
    <w:rsid w:val="00AD4898"/>
    <w:rsid w:val="00AD5913"/>
    <w:rsid w:val="00AD6502"/>
    <w:rsid w:val="00AD67CC"/>
    <w:rsid w:val="00AD7754"/>
    <w:rsid w:val="00AE0695"/>
    <w:rsid w:val="00AE082F"/>
    <w:rsid w:val="00AE08FC"/>
    <w:rsid w:val="00AE118F"/>
    <w:rsid w:val="00AE1221"/>
    <w:rsid w:val="00AE143A"/>
    <w:rsid w:val="00AE22C2"/>
    <w:rsid w:val="00AE2E27"/>
    <w:rsid w:val="00AE3E7E"/>
    <w:rsid w:val="00AE408C"/>
    <w:rsid w:val="00AE4179"/>
    <w:rsid w:val="00AE488B"/>
    <w:rsid w:val="00AE4DAA"/>
    <w:rsid w:val="00AE5348"/>
    <w:rsid w:val="00AE5C7A"/>
    <w:rsid w:val="00AE7CF8"/>
    <w:rsid w:val="00AE7E53"/>
    <w:rsid w:val="00AED365"/>
    <w:rsid w:val="00AF0887"/>
    <w:rsid w:val="00AF1315"/>
    <w:rsid w:val="00AF19BF"/>
    <w:rsid w:val="00AF1E6C"/>
    <w:rsid w:val="00AF294F"/>
    <w:rsid w:val="00AF2DC3"/>
    <w:rsid w:val="00AF417D"/>
    <w:rsid w:val="00AF4388"/>
    <w:rsid w:val="00AF7D14"/>
    <w:rsid w:val="00AF7D4B"/>
    <w:rsid w:val="00B0009A"/>
    <w:rsid w:val="00B00450"/>
    <w:rsid w:val="00B00AA4"/>
    <w:rsid w:val="00B033E5"/>
    <w:rsid w:val="00B03A63"/>
    <w:rsid w:val="00B03B0E"/>
    <w:rsid w:val="00B03E8B"/>
    <w:rsid w:val="00B055D7"/>
    <w:rsid w:val="00B05608"/>
    <w:rsid w:val="00B058EE"/>
    <w:rsid w:val="00B0654B"/>
    <w:rsid w:val="00B06EF9"/>
    <w:rsid w:val="00B11F91"/>
    <w:rsid w:val="00B12469"/>
    <w:rsid w:val="00B1285D"/>
    <w:rsid w:val="00B129A4"/>
    <w:rsid w:val="00B12AC1"/>
    <w:rsid w:val="00B132DF"/>
    <w:rsid w:val="00B1353D"/>
    <w:rsid w:val="00B13BB1"/>
    <w:rsid w:val="00B13E35"/>
    <w:rsid w:val="00B1441F"/>
    <w:rsid w:val="00B14CA8"/>
    <w:rsid w:val="00B15D13"/>
    <w:rsid w:val="00B15D72"/>
    <w:rsid w:val="00B160CD"/>
    <w:rsid w:val="00B1620B"/>
    <w:rsid w:val="00B172C0"/>
    <w:rsid w:val="00B17422"/>
    <w:rsid w:val="00B201A4"/>
    <w:rsid w:val="00B201D1"/>
    <w:rsid w:val="00B213A6"/>
    <w:rsid w:val="00B21C7D"/>
    <w:rsid w:val="00B21EB4"/>
    <w:rsid w:val="00B2206F"/>
    <w:rsid w:val="00B225C8"/>
    <w:rsid w:val="00B23327"/>
    <w:rsid w:val="00B235B0"/>
    <w:rsid w:val="00B23971"/>
    <w:rsid w:val="00B23A81"/>
    <w:rsid w:val="00B24DF6"/>
    <w:rsid w:val="00B2501B"/>
    <w:rsid w:val="00B25BEF"/>
    <w:rsid w:val="00B2619F"/>
    <w:rsid w:val="00B26C29"/>
    <w:rsid w:val="00B26E28"/>
    <w:rsid w:val="00B2737E"/>
    <w:rsid w:val="00B2787C"/>
    <w:rsid w:val="00B27A61"/>
    <w:rsid w:val="00B310BF"/>
    <w:rsid w:val="00B3222B"/>
    <w:rsid w:val="00B33DF5"/>
    <w:rsid w:val="00B33FB2"/>
    <w:rsid w:val="00B34CB4"/>
    <w:rsid w:val="00B34FE2"/>
    <w:rsid w:val="00B35166"/>
    <w:rsid w:val="00B3541D"/>
    <w:rsid w:val="00B357D8"/>
    <w:rsid w:val="00B35B3E"/>
    <w:rsid w:val="00B360F4"/>
    <w:rsid w:val="00B36A00"/>
    <w:rsid w:val="00B375B9"/>
    <w:rsid w:val="00B3792B"/>
    <w:rsid w:val="00B37BFC"/>
    <w:rsid w:val="00B40179"/>
    <w:rsid w:val="00B40358"/>
    <w:rsid w:val="00B403AF"/>
    <w:rsid w:val="00B403EE"/>
    <w:rsid w:val="00B41614"/>
    <w:rsid w:val="00B416EC"/>
    <w:rsid w:val="00B42851"/>
    <w:rsid w:val="00B42B10"/>
    <w:rsid w:val="00B42F80"/>
    <w:rsid w:val="00B435CB"/>
    <w:rsid w:val="00B43BDF"/>
    <w:rsid w:val="00B4445A"/>
    <w:rsid w:val="00B445F8"/>
    <w:rsid w:val="00B46330"/>
    <w:rsid w:val="00B465EC"/>
    <w:rsid w:val="00B46663"/>
    <w:rsid w:val="00B4682D"/>
    <w:rsid w:val="00B46C37"/>
    <w:rsid w:val="00B46CE2"/>
    <w:rsid w:val="00B505C8"/>
    <w:rsid w:val="00B50DB8"/>
    <w:rsid w:val="00B50E00"/>
    <w:rsid w:val="00B50FE9"/>
    <w:rsid w:val="00B51A91"/>
    <w:rsid w:val="00B5252C"/>
    <w:rsid w:val="00B53654"/>
    <w:rsid w:val="00B53905"/>
    <w:rsid w:val="00B546DB"/>
    <w:rsid w:val="00B54B5B"/>
    <w:rsid w:val="00B54EC5"/>
    <w:rsid w:val="00B54FFE"/>
    <w:rsid w:val="00B5562E"/>
    <w:rsid w:val="00B55862"/>
    <w:rsid w:val="00B55AA8"/>
    <w:rsid w:val="00B55D65"/>
    <w:rsid w:val="00B56305"/>
    <w:rsid w:val="00B57000"/>
    <w:rsid w:val="00B60939"/>
    <w:rsid w:val="00B60AFD"/>
    <w:rsid w:val="00B60BF3"/>
    <w:rsid w:val="00B60E0A"/>
    <w:rsid w:val="00B61730"/>
    <w:rsid w:val="00B6221B"/>
    <w:rsid w:val="00B62715"/>
    <w:rsid w:val="00B651C9"/>
    <w:rsid w:val="00B65611"/>
    <w:rsid w:val="00B66882"/>
    <w:rsid w:val="00B66F94"/>
    <w:rsid w:val="00B7050E"/>
    <w:rsid w:val="00B70E8E"/>
    <w:rsid w:val="00B71C40"/>
    <w:rsid w:val="00B73243"/>
    <w:rsid w:val="00B74066"/>
    <w:rsid w:val="00B74444"/>
    <w:rsid w:val="00B749EB"/>
    <w:rsid w:val="00B7630D"/>
    <w:rsid w:val="00B76395"/>
    <w:rsid w:val="00B76C92"/>
    <w:rsid w:val="00B76F6F"/>
    <w:rsid w:val="00B77747"/>
    <w:rsid w:val="00B808FC"/>
    <w:rsid w:val="00B80EFD"/>
    <w:rsid w:val="00B813CB"/>
    <w:rsid w:val="00B818A4"/>
    <w:rsid w:val="00B81A48"/>
    <w:rsid w:val="00B81B29"/>
    <w:rsid w:val="00B82128"/>
    <w:rsid w:val="00B82455"/>
    <w:rsid w:val="00B82CA6"/>
    <w:rsid w:val="00B83739"/>
    <w:rsid w:val="00B84117"/>
    <w:rsid w:val="00B84640"/>
    <w:rsid w:val="00B84957"/>
    <w:rsid w:val="00B84AC8"/>
    <w:rsid w:val="00B84B08"/>
    <w:rsid w:val="00B84E09"/>
    <w:rsid w:val="00B858F0"/>
    <w:rsid w:val="00B85979"/>
    <w:rsid w:val="00B85A53"/>
    <w:rsid w:val="00B85AA2"/>
    <w:rsid w:val="00B8649C"/>
    <w:rsid w:val="00B866DB"/>
    <w:rsid w:val="00B8695D"/>
    <w:rsid w:val="00B86DA6"/>
    <w:rsid w:val="00B875A9"/>
    <w:rsid w:val="00B87F0A"/>
    <w:rsid w:val="00B92D0B"/>
    <w:rsid w:val="00B93416"/>
    <w:rsid w:val="00B9492A"/>
    <w:rsid w:val="00B94945"/>
    <w:rsid w:val="00B94DD6"/>
    <w:rsid w:val="00B95FDE"/>
    <w:rsid w:val="00B96FDB"/>
    <w:rsid w:val="00B97951"/>
    <w:rsid w:val="00BA0503"/>
    <w:rsid w:val="00BA08A0"/>
    <w:rsid w:val="00BA1122"/>
    <w:rsid w:val="00BA2045"/>
    <w:rsid w:val="00BA223C"/>
    <w:rsid w:val="00BA26A6"/>
    <w:rsid w:val="00BA322D"/>
    <w:rsid w:val="00BA4431"/>
    <w:rsid w:val="00BA5654"/>
    <w:rsid w:val="00BA636C"/>
    <w:rsid w:val="00BA63FA"/>
    <w:rsid w:val="00BB0079"/>
    <w:rsid w:val="00BB00B3"/>
    <w:rsid w:val="00BB0BDD"/>
    <w:rsid w:val="00BB176C"/>
    <w:rsid w:val="00BB2A73"/>
    <w:rsid w:val="00BB2E1D"/>
    <w:rsid w:val="00BB36BD"/>
    <w:rsid w:val="00BB3991"/>
    <w:rsid w:val="00BB3A45"/>
    <w:rsid w:val="00BB4ACC"/>
    <w:rsid w:val="00BB5E2E"/>
    <w:rsid w:val="00BB703E"/>
    <w:rsid w:val="00BB732D"/>
    <w:rsid w:val="00BB7405"/>
    <w:rsid w:val="00BB7BC2"/>
    <w:rsid w:val="00BB7C51"/>
    <w:rsid w:val="00BB7F6C"/>
    <w:rsid w:val="00BC112D"/>
    <w:rsid w:val="00BC13A0"/>
    <w:rsid w:val="00BC1720"/>
    <w:rsid w:val="00BC2009"/>
    <w:rsid w:val="00BC28AF"/>
    <w:rsid w:val="00BC2C04"/>
    <w:rsid w:val="00BC2D02"/>
    <w:rsid w:val="00BC335D"/>
    <w:rsid w:val="00BC3631"/>
    <w:rsid w:val="00BC3AFB"/>
    <w:rsid w:val="00BC3BAC"/>
    <w:rsid w:val="00BC3C8F"/>
    <w:rsid w:val="00BC47B3"/>
    <w:rsid w:val="00BC4924"/>
    <w:rsid w:val="00BC591F"/>
    <w:rsid w:val="00BC5E30"/>
    <w:rsid w:val="00BC6821"/>
    <w:rsid w:val="00BC74B5"/>
    <w:rsid w:val="00BC7D6D"/>
    <w:rsid w:val="00BD1193"/>
    <w:rsid w:val="00BD12A5"/>
    <w:rsid w:val="00BD2108"/>
    <w:rsid w:val="00BD35CF"/>
    <w:rsid w:val="00BD36E9"/>
    <w:rsid w:val="00BD5DE6"/>
    <w:rsid w:val="00BD63E9"/>
    <w:rsid w:val="00BD68A3"/>
    <w:rsid w:val="00BD6938"/>
    <w:rsid w:val="00BD6AF2"/>
    <w:rsid w:val="00BD6CF3"/>
    <w:rsid w:val="00BD6EDA"/>
    <w:rsid w:val="00BD7F72"/>
    <w:rsid w:val="00BE0AC9"/>
    <w:rsid w:val="00BE0B76"/>
    <w:rsid w:val="00BE0CAF"/>
    <w:rsid w:val="00BE0ECA"/>
    <w:rsid w:val="00BE2180"/>
    <w:rsid w:val="00BE21F2"/>
    <w:rsid w:val="00BE235E"/>
    <w:rsid w:val="00BE2A3D"/>
    <w:rsid w:val="00BE2D80"/>
    <w:rsid w:val="00BE3882"/>
    <w:rsid w:val="00BE4275"/>
    <w:rsid w:val="00BE4BC5"/>
    <w:rsid w:val="00BE5661"/>
    <w:rsid w:val="00BE5CA9"/>
    <w:rsid w:val="00BE64DE"/>
    <w:rsid w:val="00BE7710"/>
    <w:rsid w:val="00BF02C0"/>
    <w:rsid w:val="00BF03AB"/>
    <w:rsid w:val="00BF06AE"/>
    <w:rsid w:val="00BF0F95"/>
    <w:rsid w:val="00BF1509"/>
    <w:rsid w:val="00BF2433"/>
    <w:rsid w:val="00BF2E6E"/>
    <w:rsid w:val="00BF3599"/>
    <w:rsid w:val="00BF5D5A"/>
    <w:rsid w:val="00BF61C9"/>
    <w:rsid w:val="00BF64F1"/>
    <w:rsid w:val="00BF6C94"/>
    <w:rsid w:val="00BF7504"/>
    <w:rsid w:val="00BF7EF5"/>
    <w:rsid w:val="00C00424"/>
    <w:rsid w:val="00C005E1"/>
    <w:rsid w:val="00C0085F"/>
    <w:rsid w:val="00C00AE0"/>
    <w:rsid w:val="00C00BB0"/>
    <w:rsid w:val="00C03762"/>
    <w:rsid w:val="00C0443D"/>
    <w:rsid w:val="00C0466D"/>
    <w:rsid w:val="00C047D3"/>
    <w:rsid w:val="00C05644"/>
    <w:rsid w:val="00C056CE"/>
    <w:rsid w:val="00C056ED"/>
    <w:rsid w:val="00C06015"/>
    <w:rsid w:val="00C06283"/>
    <w:rsid w:val="00C07257"/>
    <w:rsid w:val="00C100AE"/>
    <w:rsid w:val="00C101D1"/>
    <w:rsid w:val="00C11062"/>
    <w:rsid w:val="00C11336"/>
    <w:rsid w:val="00C1179F"/>
    <w:rsid w:val="00C12178"/>
    <w:rsid w:val="00C127B9"/>
    <w:rsid w:val="00C128FA"/>
    <w:rsid w:val="00C12AB5"/>
    <w:rsid w:val="00C12C14"/>
    <w:rsid w:val="00C1335D"/>
    <w:rsid w:val="00C14C02"/>
    <w:rsid w:val="00C15F04"/>
    <w:rsid w:val="00C179B3"/>
    <w:rsid w:val="00C17E3F"/>
    <w:rsid w:val="00C200AA"/>
    <w:rsid w:val="00C207A1"/>
    <w:rsid w:val="00C20FB5"/>
    <w:rsid w:val="00C21E4A"/>
    <w:rsid w:val="00C22672"/>
    <w:rsid w:val="00C237ED"/>
    <w:rsid w:val="00C23C35"/>
    <w:rsid w:val="00C23F47"/>
    <w:rsid w:val="00C24632"/>
    <w:rsid w:val="00C24668"/>
    <w:rsid w:val="00C25418"/>
    <w:rsid w:val="00C25D9C"/>
    <w:rsid w:val="00C2778B"/>
    <w:rsid w:val="00C304FF"/>
    <w:rsid w:val="00C31649"/>
    <w:rsid w:val="00C31CB5"/>
    <w:rsid w:val="00C32AB9"/>
    <w:rsid w:val="00C33928"/>
    <w:rsid w:val="00C3434C"/>
    <w:rsid w:val="00C35A84"/>
    <w:rsid w:val="00C36061"/>
    <w:rsid w:val="00C362B2"/>
    <w:rsid w:val="00C36807"/>
    <w:rsid w:val="00C40385"/>
    <w:rsid w:val="00C40424"/>
    <w:rsid w:val="00C4044A"/>
    <w:rsid w:val="00C41768"/>
    <w:rsid w:val="00C417EB"/>
    <w:rsid w:val="00C428E1"/>
    <w:rsid w:val="00C429FD"/>
    <w:rsid w:val="00C42F43"/>
    <w:rsid w:val="00C441BD"/>
    <w:rsid w:val="00C44C1F"/>
    <w:rsid w:val="00C45241"/>
    <w:rsid w:val="00C45325"/>
    <w:rsid w:val="00C45BE0"/>
    <w:rsid w:val="00C46322"/>
    <w:rsid w:val="00C46E2A"/>
    <w:rsid w:val="00C474DF"/>
    <w:rsid w:val="00C475AA"/>
    <w:rsid w:val="00C50140"/>
    <w:rsid w:val="00C50FFE"/>
    <w:rsid w:val="00C51587"/>
    <w:rsid w:val="00C527C7"/>
    <w:rsid w:val="00C53A49"/>
    <w:rsid w:val="00C53C98"/>
    <w:rsid w:val="00C53F98"/>
    <w:rsid w:val="00C547A6"/>
    <w:rsid w:val="00C55502"/>
    <w:rsid w:val="00C55960"/>
    <w:rsid w:val="00C56FCF"/>
    <w:rsid w:val="00C57B6C"/>
    <w:rsid w:val="00C57F1C"/>
    <w:rsid w:val="00C61A59"/>
    <w:rsid w:val="00C61DD9"/>
    <w:rsid w:val="00C62711"/>
    <w:rsid w:val="00C628A6"/>
    <w:rsid w:val="00C6366F"/>
    <w:rsid w:val="00C64344"/>
    <w:rsid w:val="00C64D13"/>
    <w:rsid w:val="00C64DE4"/>
    <w:rsid w:val="00C650A5"/>
    <w:rsid w:val="00C65108"/>
    <w:rsid w:val="00C65519"/>
    <w:rsid w:val="00C65576"/>
    <w:rsid w:val="00C6597F"/>
    <w:rsid w:val="00C66165"/>
    <w:rsid w:val="00C668FB"/>
    <w:rsid w:val="00C66BC4"/>
    <w:rsid w:val="00C678A3"/>
    <w:rsid w:val="00C67F96"/>
    <w:rsid w:val="00C6D797"/>
    <w:rsid w:val="00C7060A"/>
    <w:rsid w:val="00C70E36"/>
    <w:rsid w:val="00C711B2"/>
    <w:rsid w:val="00C7151A"/>
    <w:rsid w:val="00C717E3"/>
    <w:rsid w:val="00C71D09"/>
    <w:rsid w:val="00C71F60"/>
    <w:rsid w:val="00C72241"/>
    <w:rsid w:val="00C72DEC"/>
    <w:rsid w:val="00C72EA7"/>
    <w:rsid w:val="00C74C0E"/>
    <w:rsid w:val="00C750C8"/>
    <w:rsid w:val="00C75418"/>
    <w:rsid w:val="00C7560F"/>
    <w:rsid w:val="00C76903"/>
    <w:rsid w:val="00C80A0E"/>
    <w:rsid w:val="00C81456"/>
    <w:rsid w:val="00C8213F"/>
    <w:rsid w:val="00C8303F"/>
    <w:rsid w:val="00C838E6"/>
    <w:rsid w:val="00C85154"/>
    <w:rsid w:val="00C85A70"/>
    <w:rsid w:val="00C876B1"/>
    <w:rsid w:val="00C8797A"/>
    <w:rsid w:val="00C900B8"/>
    <w:rsid w:val="00C90197"/>
    <w:rsid w:val="00C90C71"/>
    <w:rsid w:val="00C910C5"/>
    <w:rsid w:val="00C91D38"/>
    <w:rsid w:val="00C91FD1"/>
    <w:rsid w:val="00C931CF"/>
    <w:rsid w:val="00C931DC"/>
    <w:rsid w:val="00C938CF"/>
    <w:rsid w:val="00C93C09"/>
    <w:rsid w:val="00C94053"/>
    <w:rsid w:val="00C94FA0"/>
    <w:rsid w:val="00C9544F"/>
    <w:rsid w:val="00C95F01"/>
    <w:rsid w:val="00C9624D"/>
    <w:rsid w:val="00C969DA"/>
    <w:rsid w:val="00C97D67"/>
    <w:rsid w:val="00CA147B"/>
    <w:rsid w:val="00CA19F3"/>
    <w:rsid w:val="00CA1B27"/>
    <w:rsid w:val="00CA255D"/>
    <w:rsid w:val="00CA25DE"/>
    <w:rsid w:val="00CA2C77"/>
    <w:rsid w:val="00CA3080"/>
    <w:rsid w:val="00CA3BF0"/>
    <w:rsid w:val="00CA444F"/>
    <w:rsid w:val="00CA4B95"/>
    <w:rsid w:val="00CA5245"/>
    <w:rsid w:val="00CA5799"/>
    <w:rsid w:val="00CA57A7"/>
    <w:rsid w:val="00CA6348"/>
    <w:rsid w:val="00CA6A62"/>
    <w:rsid w:val="00CA71F4"/>
    <w:rsid w:val="00CA72DB"/>
    <w:rsid w:val="00CA7B09"/>
    <w:rsid w:val="00CB12A5"/>
    <w:rsid w:val="00CB178B"/>
    <w:rsid w:val="00CB1CAC"/>
    <w:rsid w:val="00CB265B"/>
    <w:rsid w:val="00CB2F2A"/>
    <w:rsid w:val="00CB317A"/>
    <w:rsid w:val="00CB5619"/>
    <w:rsid w:val="00CB590F"/>
    <w:rsid w:val="00CB5AF5"/>
    <w:rsid w:val="00CB5B1A"/>
    <w:rsid w:val="00CB6772"/>
    <w:rsid w:val="00CB6B22"/>
    <w:rsid w:val="00CB6E6A"/>
    <w:rsid w:val="00CB6F6F"/>
    <w:rsid w:val="00CB71D9"/>
    <w:rsid w:val="00CB7F5F"/>
    <w:rsid w:val="00CC063E"/>
    <w:rsid w:val="00CC0FD2"/>
    <w:rsid w:val="00CC1394"/>
    <w:rsid w:val="00CC1668"/>
    <w:rsid w:val="00CC1B39"/>
    <w:rsid w:val="00CC1BFA"/>
    <w:rsid w:val="00CC256E"/>
    <w:rsid w:val="00CC2BC9"/>
    <w:rsid w:val="00CC2E9F"/>
    <w:rsid w:val="00CC3049"/>
    <w:rsid w:val="00CC35EA"/>
    <w:rsid w:val="00CC3848"/>
    <w:rsid w:val="00CC5003"/>
    <w:rsid w:val="00CC6D5E"/>
    <w:rsid w:val="00CC7D1D"/>
    <w:rsid w:val="00CD0200"/>
    <w:rsid w:val="00CD062D"/>
    <w:rsid w:val="00CD0B17"/>
    <w:rsid w:val="00CD1C40"/>
    <w:rsid w:val="00CD2A7C"/>
    <w:rsid w:val="00CD3282"/>
    <w:rsid w:val="00CD3F77"/>
    <w:rsid w:val="00CD5A4E"/>
    <w:rsid w:val="00CD6ADC"/>
    <w:rsid w:val="00CD7193"/>
    <w:rsid w:val="00CD71F1"/>
    <w:rsid w:val="00CE2132"/>
    <w:rsid w:val="00CE2D92"/>
    <w:rsid w:val="00CE307A"/>
    <w:rsid w:val="00CE337C"/>
    <w:rsid w:val="00CE38C8"/>
    <w:rsid w:val="00CE3CD5"/>
    <w:rsid w:val="00CE524F"/>
    <w:rsid w:val="00CE58CC"/>
    <w:rsid w:val="00CE6274"/>
    <w:rsid w:val="00CE728B"/>
    <w:rsid w:val="00CE763D"/>
    <w:rsid w:val="00CE77B6"/>
    <w:rsid w:val="00CF00B5"/>
    <w:rsid w:val="00CF1945"/>
    <w:rsid w:val="00CF1B9D"/>
    <w:rsid w:val="00CF1D5A"/>
    <w:rsid w:val="00CF2531"/>
    <w:rsid w:val="00CF2B8D"/>
    <w:rsid w:val="00CF3A1B"/>
    <w:rsid w:val="00CF456B"/>
    <w:rsid w:val="00CF499E"/>
    <w:rsid w:val="00CF4A06"/>
    <w:rsid w:val="00CF4AE2"/>
    <w:rsid w:val="00CF5A22"/>
    <w:rsid w:val="00CF7C48"/>
    <w:rsid w:val="00D01528"/>
    <w:rsid w:val="00D01F1A"/>
    <w:rsid w:val="00D024D7"/>
    <w:rsid w:val="00D0262E"/>
    <w:rsid w:val="00D03679"/>
    <w:rsid w:val="00D03747"/>
    <w:rsid w:val="00D0430A"/>
    <w:rsid w:val="00D048A6"/>
    <w:rsid w:val="00D05E3D"/>
    <w:rsid w:val="00D06139"/>
    <w:rsid w:val="00D06657"/>
    <w:rsid w:val="00D110BD"/>
    <w:rsid w:val="00D1126D"/>
    <w:rsid w:val="00D112AB"/>
    <w:rsid w:val="00D13675"/>
    <w:rsid w:val="00D13A92"/>
    <w:rsid w:val="00D141E1"/>
    <w:rsid w:val="00D141E3"/>
    <w:rsid w:val="00D1433C"/>
    <w:rsid w:val="00D15314"/>
    <w:rsid w:val="00D15931"/>
    <w:rsid w:val="00D15B48"/>
    <w:rsid w:val="00D16124"/>
    <w:rsid w:val="00D176DF"/>
    <w:rsid w:val="00D17D6C"/>
    <w:rsid w:val="00D200A5"/>
    <w:rsid w:val="00D2155B"/>
    <w:rsid w:val="00D217B0"/>
    <w:rsid w:val="00D22B13"/>
    <w:rsid w:val="00D23D11"/>
    <w:rsid w:val="00D244B6"/>
    <w:rsid w:val="00D24D46"/>
    <w:rsid w:val="00D2616A"/>
    <w:rsid w:val="00D26941"/>
    <w:rsid w:val="00D2754D"/>
    <w:rsid w:val="00D27B27"/>
    <w:rsid w:val="00D30A9C"/>
    <w:rsid w:val="00D30D5B"/>
    <w:rsid w:val="00D31D16"/>
    <w:rsid w:val="00D33BE9"/>
    <w:rsid w:val="00D33DD5"/>
    <w:rsid w:val="00D33F93"/>
    <w:rsid w:val="00D3559C"/>
    <w:rsid w:val="00D357FF"/>
    <w:rsid w:val="00D36431"/>
    <w:rsid w:val="00D37474"/>
    <w:rsid w:val="00D37C0F"/>
    <w:rsid w:val="00D408C3"/>
    <w:rsid w:val="00D4156E"/>
    <w:rsid w:val="00D41669"/>
    <w:rsid w:val="00D419F4"/>
    <w:rsid w:val="00D423D8"/>
    <w:rsid w:val="00D424C7"/>
    <w:rsid w:val="00D4250B"/>
    <w:rsid w:val="00D42F43"/>
    <w:rsid w:val="00D43616"/>
    <w:rsid w:val="00D43B2A"/>
    <w:rsid w:val="00D43BA1"/>
    <w:rsid w:val="00D43CF1"/>
    <w:rsid w:val="00D43D83"/>
    <w:rsid w:val="00D44877"/>
    <w:rsid w:val="00D45D73"/>
    <w:rsid w:val="00D45EE9"/>
    <w:rsid w:val="00D47575"/>
    <w:rsid w:val="00D47DE4"/>
    <w:rsid w:val="00D501AD"/>
    <w:rsid w:val="00D50BC9"/>
    <w:rsid w:val="00D50FB4"/>
    <w:rsid w:val="00D5243B"/>
    <w:rsid w:val="00D533EC"/>
    <w:rsid w:val="00D5399E"/>
    <w:rsid w:val="00D53F18"/>
    <w:rsid w:val="00D540C0"/>
    <w:rsid w:val="00D549B6"/>
    <w:rsid w:val="00D554D9"/>
    <w:rsid w:val="00D55A08"/>
    <w:rsid w:val="00D561B3"/>
    <w:rsid w:val="00D56A95"/>
    <w:rsid w:val="00D56C46"/>
    <w:rsid w:val="00D5755A"/>
    <w:rsid w:val="00D602F3"/>
    <w:rsid w:val="00D6076E"/>
    <w:rsid w:val="00D609F5"/>
    <w:rsid w:val="00D62BF9"/>
    <w:rsid w:val="00D634C1"/>
    <w:rsid w:val="00D636BA"/>
    <w:rsid w:val="00D63B99"/>
    <w:rsid w:val="00D6407D"/>
    <w:rsid w:val="00D65981"/>
    <w:rsid w:val="00D66BA0"/>
    <w:rsid w:val="00D67483"/>
    <w:rsid w:val="00D70BBB"/>
    <w:rsid w:val="00D70F16"/>
    <w:rsid w:val="00D72359"/>
    <w:rsid w:val="00D72617"/>
    <w:rsid w:val="00D72F57"/>
    <w:rsid w:val="00D73DE9"/>
    <w:rsid w:val="00D76A44"/>
    <w:rsid w:val="00D76C41"/>
    <w:rsid w:val="00D76F15"/>
    <w:rsid w:val="00D77378"/>
    <w:rsid w:val="00D815EF"/>
    <w:rsid w:val="00D81949"/>
    <w:rsid w:val="00D81F26"/>
    <w:rsid w:val="00D822E2"/>
    <w:rsid w:val="00D82BC0"/>
    <w:rsid w:val="00D83282"/>
    <w:rsid w:val="00D83AB4"/>
    <w:rsid w:val="00D843F2"/>
    <w:rsid w:val="00D84903"/>
    <w:rsid w:val="00D86148"/>
    <w:rsid w:val="00D8622C"/>
    <w:rsid w:val="00D86231"/>
    <w:rsid w:val="00D866A8"/>
    <w:rsid w:val="00D87267"/>
    <w:rsid w:val="00D875B9"/>
    <w:rsid w:val="00D9044B"/>
    <w:rsid w:val="00D907A2"/>
    <w:rsid w:val="00D912AB"/>
    <w:rsid w:val="00D91923"/>
    <w:rsid w:val="00D93753"/>
    <w:rsid w:val="00D940F4"/>
    <w:rsid w:val="00D953D9"/>
    <w:rsid w:val="00D95D55"/>
    <w:rsid w:val="00D960E1"/>
    <w:rsid w:val="00D960FC"/>
    <w:rsid w:val="00D96638"/>
    <w:rsid w:val="00D973FA"/>
    <w:rsid w:val="00DA19DC"/>
    <w:rsid w:val="00DA1FFD"/>
    <w:rsid w:val="00DA2CBB"/>
    <w:rsid w:val="00DA3167"/>
    <w:rsid w:val="00DA4DC3"/>
    <w:rsid w:val="00DA562B"/>
    <w:rsid w:val="00DA77A5"/>
    <w:rsid w:val="00DB0916"/>
    <w:rsid w:val="00DB0E36"/>
    <w:rsid w:val="00DB127D"/>
    <w:rsid w:val="00DB13EE"/>
    <w:rsid w:val="00DB17AE"/>
    <w:rsid w:val="00DB19A6"/>
    <w:rsid w:val="00DB223B"/>
    <w:rsid w:val="00DB3C95"/>
    <w:rsid w:val="00DB3DBF"/>
    <w:rsid w:val="00DB4741"/>
    <w:rsid w:val="00DB484F"/>
    <w:rsid w:val="00DB4B1F"/>
    <w:rsid w:val="00DB58AF"/>
    <w:rsid w:val="00DB5BE1"/>
    <w:rsid w:val="00DB69EB"/>
    <w:rsid w:val="00DB7251"/>
    <w:rsid w:val="00DB7A6F"/>
    <w:rsid w:val="00DC010C"/>
    <w:rsid w:val="00DC0405"/>
    <w:rsid w:val="00DC04F6"/>
    <w:rsid w:val="00DC0690"/>
    <w:rsid w:val="00DC06D8"/>
    <w:rsid w:val="00DC072A"/>
    <w:rsid w:val="00DC0DC5"/>
    <w:rsid w:val="00DC11A4"/>
    <w:rsid w:val="00DC1C00"/>
    <w:rsid w:val="00DC1D65"/>
    <w:rsid w:val="00DC2819"/>
    <w:rsid w:val="00DC29BA"/>
    <w:rsid w:val="00DC338D"/>
    <w:rsid w:val="00DC37B1"/>
    <w:rsid w:val="00DC3C57"/>
    <w:rsid w:val="00DC5501"/>
    <w:rsid w:val="00DC58FB"/>
    <w:rsid w:val="00DC5DE4"/>
    <w:rsid w:val="00DC6E9C"/>
    <w:rsid w:val="00DC7154"/>
    <w:rsid w:val="00DC7E8A"/>
    <w:rsid w:val="00DD0DD6"/>
    <w:rsid w:val="00DD0F78"/>
    <w:rsid w:val="00DD13CC"/>
    <w:rsid w:val="00DD273C"/>
    <w:rsid w:val="00DD36C3"/>
    <w:rsid w:val="00DD3F28"/>
    <w:rsid w:val="00DD3F9D"/>
    <w:rsid w:val="00DD4271"/>
    <w:rsid w:val="00DD4446"/>
    <w:rsid w:val="00DD4537"/>
    <w:rsid w:val="00DD4D69"/>
    <w:rsid w:val="00DD4E15"/>
    <w:rsid w:val="00DD52CD"/>
    <w:rsid w:val="00DD557D"/>
    <w:rsid w:val="00DE02EE"/>
    <w:rsid w:val="00DE0CA2"/>
    <w:rsid w:val="00DE0DF5"/>
    <w:rsid w:val="00DE1227"/>
    <w:rsid w:val="00DE2304"/>
    <w:rsid w:val="00DE2673"/>
    <w:rsid w:val="00DE27DB"/>
    <w:rsid w:val="00DE3138"/>
    <w:rsid w:val="00DE37F8"/>
    <w:rsid w:val="00DE3AD4"/>
    <w:rsid w:val="00DE4273"/>
    <w:rsid w:val="00DE4279"/>
    <w:rsid w:val="00DE4FCB"/>
    <w:rsid w:val="00DE5D07"/>
    <w:rsid w:val="00DE60DE"/>
    <w:rsid w:val="00DE64EB"/>
    <w:rsid w:val="00DE6DB0"/>
    <w:rsid w:val="00DE6DD8"/>
    <w:rsid w:val="00DE72A7"/>
    <w:rsid w:val="00DE7832"/>
    <w:rsid w:val="00DF03D1"/>
    <w:rsid w:val="00DF18FC"/>
    <w:rsid w:val="00DF335D"/>
    <w:rsid w:val="00DF4142"/>
    <w:rsid w:val="00DF5510"/>
    <w:rsid w:val="00DF5D2B"/>
    <w:rsid w:val="00DF6341"/>
    <w:rsid w:val="00DF695C"/>
    <w:rsid w:val="00E001AB"/>
    <w:rsid w:val="00E00BFC"/>
    <w:rsid w:val="00E00E8E"/>
    <w:rsid w:val="00E01240"/>
    <w:rsid w:val="00E03072"/>
    <w:rsid w:val="00E04509"/>
    <w:rsid w:val="00E05630"/>
    <w:rsid w:val="00E05C2A"/>
    <w:rsid w:val="00E062EF"/>
    <w:rsid w:val="00E06B17"/>
    <w:rsid w:val="00E06DBB"/>
    <w:rsid w:val="00E074C5"/>
    <w:rsid w:val="00E10149"/>
    <w:rsid w:val="00E1071C"/>
    <w:rsid w:val="00E11340"/>
    <w:rsid w:val="00E11B1F"/>
    <w:rsid w:val="00E11BF1"/>
    <w:rsid w:val="00E120DC"/>
    <w:rsid w:val="00E122A1"/>
    <w:rsid w:val="00E12300"/>
    <w:rsid w:val="00E137FA"/>
    <w:rsid w:val="00E140AE"/>
    <w:rsid w:val="00E15517"/>
    <w:rsid w:val="00E15E34"/>
    <w:rsid w:val="00E16290"/>
    <w:rsid w:val="00E16372"/>
    <w:rsid w:val="00E1638D"/>
    <w:rsid w:val="00E1638E"/>
    <w:rsid w:val="00E16AD8"/>
    <w:rsid w:val="00E16CBD"/>
    <w:rsid w:val="00E17D2B"/>
    <w:rsid w:val="00E17E69"/>
    <w:rsid w:val="00E17FFA"/>
    <w:rsid w:val="00E20557"/>
    <w:rsid w:val="00E20E4D"/>
    <w:rsid w:val="00E20ED6"/>
    <w:rsid w:val="00E21358"/>
    <w:rsid w:val="00E21CE5"/>
    <w:rsid w:val="00E21D1A"/>
    <w:rsid w:val="00E21F62"/>
    <w:rsid w:val="00E2249B"/>
    <w:rsid w:val="00E22A0D"/>
    <w:rsid w:val="00E231E1"/>
    <w:rsid w:val="00E2434C"/>
    <w:rsid w:val="00E244F6"/>
    <w:rsid w:val="00E251E9"/>
    <w:rsid w:val="00E2580B"/>
    <w:rsid w:val="00E258DB"/>
    <w:rsid w:val="00E271B4"/>
    <w:rsid w:val="00E2771E"/>
    <w:rsid w:val="00E311EF"/>
    <w:rsid w:val="00E31D2E"/>
    <w:rsid w:val="00E32180"/>
    <w:rsid w:val="00E325C8"/>
    <w:rsid w:val="00E33156"/>
    <w:rsid w:val="00E33802"/>
    <w:rsid w:val="00E3390F"/>
    <w:rsid w:val="00E34948"/>
    <w:rsid w:val="00E35231"/>
    <w:rsid w:val="00E36FEE"/>
    <w:rsid w:val="00E37569"/>
    <w:rsid w:val="00E37ABF"/>
    <w:rsid w:val="00E401B2"/>
    <w:rsid w:val="00E4026D"/>
    <w:rsid w:val="00E4132B"/>
    <w:rsid w:val="00E417F3"/>
    <w:rsid w:val="00E41E30"/>
    <w:rsid w:val="00E42CB3"/>
    <w:rsid w:val="00E42F73"/>
    <w:rsid w:val="00E43D70"/>
    <w:rsid w:val="00E43E4F"/>
    <w:rsid w:val="00E440F6"/>
    <w:rsid w:val="00E44323"/>
    <w:rsid w:val="00E447AE"/>
    <w:rsid w:val="00E44965"/>
    <w:rsid w:val="00E44AEA"/>
    <w:rsid w:val="00E46033"/>
    <w:rsid w:val="00E466F3"/>
    <w:rsid w:val="00E47B2C"/>
    <w:rsid w:val="00E512B7"/>
    <w:rsid w:val="00E51492"/>
    <w:rsid w:val="00E51560"/>
    <w:rsid w:val="00E51821"/>
    <w:rsid w:val="00E518BD"/>
    <w:rsid w:val="00E5349B"/>
    <w:rsid w:val="00E53FC8"/>
    <w:rsid w:val="00E54347"/>
    <w:rsid w:val="00E55424"/>
    <w:rsid w:val="00E55915"/>
    <w:rsid w:val="00E55ACC"/>
    <w:rsid w:val="00E55BB5"/>
    <w:rsid w:val="00E566F8"/>
    <w:rsid w:val="00E567E9"/>
    <w:rsid w:val="00E56FA3"/>
    <w:rsid w:val="00E57408"/>
    <w:rsid w:val="00E60DA9"/>
    <w:rsid w:val="00E611DF"/>
    <w:rsid w:val="00E616C1"/>
    <w:rsid w:val="00E62BE1"/>
    <w:rsid w:val="00E63076"/>
    <w:rsid w:val="00E63901"/>
    <w:rsid w:val="00E63AB8"/>
    <w:rsid w:val="00E65E79"/>
    <w:rsid w:val="00E6672C"/>
    <w:rsid w:val="00E66BA2"/>
    <w:rsid w:val="00E6721B"/>
    <w:rsid w:val="00E67416"/>
    <w:rsid w:val="00E67711"/>
    <w:rsid w:val="00E678F7"/>
    <w:rsid w:val="00E67DF8"/>
    <w:rsid w:val="00E718B6"/>
    <w:rsid w:val="00E723BA"/>
    <w:rsid w:val="00E72AB2"/>
    <w:rsid w:val="00E73581"/>
    <w:rsid w:val="00E735D1"/>
    <w:rsid w:val="00E73D24"/>
    <w:rsid w:val="00E749BF"/>
    <w:rsid w:val="00E75ADE"/>
    <w:rsid w:val="00E75CBC"/>
    <w:rsid w:val="00E76BB8"/>
    <w:rsid w:val="00E770FE"/>
    <w:rsid w:val="00E774EB"/>
    <w:rsid w:val="00E77977"/>
    <w:rsid w:val="00E81514"/>
    <w:rsid w:val="00E81FB9"/>
    <w:rsid w:val="00E833F7"/>
    <w:rsid w:val="00E83BDF"/>
    <w:rsid w:val="00E83E7F"/>
    <w:rsid w:val="00E841F1"/>
    <w:rsid w:val="00E843F1"/>
    <w:rsid w:val="00E84F64"/>
    <w:rsid w:val="00E857A6"/>
    <w:rsid w:val="00E85E10"/>
    <w:rsid w:val="00E86D92"/>
    <w:rsid w:val="00E86FCC"/>
    <w:rsid w:val="00E87A1D"/>
    <w:rsid w:val="00E9094A"/>
    <w:rsid w:val="00E90E8B"/>
    <w:rsid w:val="00E9133A"/>
    <w:rsid w:val="00E91D35"/>
    <w:rsid w:val="00E926A5"/>
    <w:rsid w:val="00E93978"/>
    <w:rsid w:val="00E95BA7"/>
    <w:rsid w:val="00E95F1C"/>
    <w:rsid w:val="00E962B6"/>
    <w:rsid w:val="00E962CC"/>
    <w:rsid w:val="00E9727D"/>
    <w:rsid w:val="00EA0090"/>
    <w:rsid w:val="00EA0E05"/>
    <w:rsid w:val="00EA127B"/>
    <w:rsid w:val="00EA17C3"/>
    <w:rsid w:val="00EA1A92"/>
    <w:rsid w:val="00EA1DE0"/>
    <w:rsid w:val="00EA20CB"/>
    <w:rsid w:val="00EA2CAA"/>
    <w:rsid w:val="00EA2D13"/>
    <w:rsid w:val="00EA32BB"/>
    <w:rsid w:val="00EA3864"/>
    <w:rsid w:val="00EA4293"/>
    <w:rsid w:val="00EA4A5B"/>
    <w:rsid w:val="00EA5637"/>
    <w:rsid w:val="00EA5CA6"/>
    <w:rsid w:val="00EA5EA0"/>
    <w:rsid w:val="00EA6180"/>
    <w:rsid w:val="00EA6B8B"/>
    <w:rsid w:val="00EA6E0C"/>
    <w:rsid w:val="00EA7055"/>
    <w:rsid w:val="00EA7C05"/>
    <w:rsid w:val="00EA7F1C"/>
    <w:rsid w:val="00EB0842"/>
    <w:rsid w:val="00EB0D02"/>
    <w:rsid w:val="00EB15B6"/>
    <w:rsid w:val="00EB2C3D"/>
    <w:rsid w:val="00EB2E1A"/>
    <w:rsid w:val="00EB3D06"/>
    <w:rsid w:val="00EB4916"/>
    <w:rsid w:val="00EB612D"/>
    <w:rsid w:val="00EB6140"/>
    <w:rsid w:val="00EC00C9"/>
    <w:rsid w:val="00EC09B2"/>
    <w:rsid w:val="00EC0DD9"/>
    <w:rsid w:val="00EC1B30"/>
    <w:rsid w:val="00EC2450"/>
    <w:rsid w:val="00EC2649"/>
    <w:rsid w:val="00EC2B8E"/>
    <w:rsid w:val="00EC31ED"/>
    <w:rsid w:val="00EC39ED"/>
    <w:rsid w:val="00EC3CF5"/>
    <w:rsid w:val="00EC3F29"/>
    <w:rsid w:val="00EC5836"/>
    <w:rsid w:val="00EC6228"/>
    <w:rsid w:val="00EC688C"/>
    <w:rsid w:val="00EC6F34"/>
    <w:rsid w:val="00ED02B7"/>
    <w:rsid w:val="00ED105B"/>
    <w:rsid w:val="00ED12E3"/>
    <w:rsid w:val="00ED1B86"/>
    <w:rsid w:val="00ED332D"/>
    <w:rsid w:val="00ED4B04"/>
    <w:rsid w:val="00ED4CDE"/>
    <w:rsid w:val="00ED525E"/>
    <w:rsid w:val="00ED57EA"/>
    <w:rsid w:val="00ED5BD4"/>
    <w:rsid w:val="00ED5F0B"/>
    <w:rsid w:val="00ED64BA"/>
    <w:rsid w:val="00ED732A"/>
    <w:rsid w:val="00EE0396"/>
    <w:rsid w:val="00EE07D3"/>
    <w:rsid w:val="00EE0C4B"/>
    <w:rsid w:val="00EE1996"/>
    <w:rsid w:val="00EE1C01"/>
    <w:rsid w:val="00EE22AF"/>
    <w:rsid w:val="00EE2F96"/>
    <w:rsid w:val="00EE6F56"/>
    <w:rsid w:val="00EF0171"/>
    <w:rsid w:val="00EF1B25"/>
    <w:rsid w:val="00EF1DA0"/>
    <w:rsid w:val="00EF3059"/>
    <w:rsid w:val="00EF342E"/>
    <w:rsid w:val="00EF37A5"/>
    <w:rsid w:val="00EF3CCF"/>
    <w:rsid w:val="00EF4747"/>
    <w:rsid w:val="00EF4BF8"/>
    <w:rsid w:val="00EF61D8"/>
    <w:rsid w:val="00EF6947"/>
    <w:rsid w:val="00EF78C9"/>
    <w:rsid w:val="00EF7C06"/>
    <w:rsid w:val="00F01C2A"/>
    <w:rsid w:val="00F02253"/>
    <w:rsid w:val="00F02816"/>
    <w:rsid w:val="00F033EF"/>
    <w:rsid w:val="00F0351B"/>
    <w:rsid w:val="00F03661"/>
    <w:rsid w:val="00F03C2E"/>
    <w:rsid w:val="00F04456"/>
    <w:rsid w:val="00F04A66"/>
    <w:rsid w:val="00F04B4B"/>
    <w:rsid w:val="00F0516C"/>
    <w:rsid w:val="00F052A0"/>
    <w:rsid w:val="00F055D8"/>
    <w:rsid w:val="00F067A2"/>
    <w:rsid w:val="00F0769F"/>
    <w:rsid w:val="00F07B9E"/>
    <w:rsid w:val="00F07DF8"/>
    <w:rsid w:val="00F10409"/>
    <w:rsid w:val="00F1116F"/>
    <w:rsid w:val="00F11931"/>
    <w:rsid w:val="00F11BDD"/>
    <w:rsid w:val="00F1263A"/>
    <w:rsid w:val="00F139C5"/>
    <w:rsid w:val="00F1456D"/>
    <w:rsid w:val="00F15B38"/>
    <w:rsid w:val="00F15B77"/>
    <w:rsid w:val="00F169CB"/>
    <w:rsid w:val="00F17579"/>
    <w:rsid w:val="00F2007D"/>
    <w:rsid w:val="00F20662"/>
    <w:rsid w:val="00F206C3"/>
    <w:rsid w:val="00F21236"/>
    <w:rsid w:val="00F21B52"/>
    <w:rsid w:val="00F21E91"/>
    <w:rsid w:val="00F23545"/>
    <w:rsid w:val="00F23A4F"/>
    <w:rsid w:val="00F23BA8"/>
    <w:rsid w:val="00F2451E"/>
    <w:rsid w:val="00F24590"/>
    <w:rsid w:val="00F24837"/>
    <w:rsid w:val="00F2560B"/>
    <w:rsid w:val="00F2575F"/>
    <w:rsid w:val="00F25FEF"/>
    <w:rsid w:val="00F27565"/>
    <w:rsid w:val="00F277BF"/>
    <w:rsid w:val="00F3057C"/>
    <w:rsid w:val="00F3088E"/>
    <w:rsid w:val="00F308D2"/>
    <w:rsid w:val="00F30E82"/>
    <w:rsid w:val="00F310D4"/>
    <w:rsid w:val="00F31D5A"/>
    <w:rsid w:val="00F333BE"/>
    <w:rsid w:val="00F33975"/>
    <w:rsid w:val="00F33DE9"/>
    <w:rsid w:val="00F33F91"/>
    <w:rsid w:val="00F34D92"/>
    <w:rsid w:val="00F35E6D"/>
    <w:rsid w:val="00F3619A"/>
    <w:rsid w:val="00F367EC"/>
    <w:rsid w:val="00F37302"/>
    <w:rsid w:val="00F37849"/>
    <w:rsid w:val="00F37D54"/>
    <w:rsid w:val="00F40AAA"/>
    <w:rsid w:val="00F40BA7"/>
    <w:rsid w:val="00F40F9D"/>
    <w:rsid w:val="00F4128C"/>
    <w:rsid w:val="00F4181D"/>
    <w:rsid w:val="00F41892"/>
    <w:rsid w:val="00F41ACD"/>
    <w:rsid w:val="00F428D8"/>
    <w:rsid w:val="00F43015"/>
    <w:rsid w:val="00F45F77"/>
    <w:rsid w:val="00F46CB6"/>
    <w:rsid w:val="00F4756D"/>
    <w:rsid w:val="00F47776"/>
    <w:rsid w:val="00F47DE8"/>
    <w:rsid w:val="00F5061C"/>
    <w:rsid w:val="00F50C61"/>
    <w:rsid w:val="00F5182A"/>
    <w:rsid w:val="00F520ED"/>
    <w:rsid w:val="00F522E0"/>
    <w:rsid w:val="00F52ED6"/>
    <w:rsid w:val="00F53711"/>
    <w:rsid w:val="00F542C1"/>
    <w:rsid w:val="00F54FDA"/>
    <w:rsid w:val="00F550E3"/>
    <w:rsid w:val="00F55B11"/>
    <w:rsid w:val="00F55E73"/>
    <w:rsid w:val="00F55EDA"/>
    <w:rsid w:val="00F55F97"/>
    <w:rsid w:val="00F565C2"/>
    <w:rsid w:val="00F56BB3"/>
    <w:rsid w:val="00F56C80"/>
    <w:rsid w:val="00F57C72"/>
    <w:rsid w:val="00F60092"/>
    <w:rsid w:val="00F6142E"/>
    <w:rsid w:val="00F61C18"/>
    <w:rsid w:val="00F6228B"/>
    <w:rsid w:val="00F6447F"/>
    <w:rsid w:val="00F64AFD"/>
    <w:rsid w:val="00F64C36"/>
    <w:rsid w:val="00F65C06"/>
    <w:rsid w:val="00F65F41"/>
    <w:rsid w:val="00F65F4B"/>
    <w:rsid w:val="00F667AB"/>
    <w:rsid w:val="00F66B1F"/>
    <w:rsid w:val="00F67126"/>
    <w:rsid w:val="00F67A69"/>
    <w:rsid w:val="00F67EA1"/>
    <w:rsid w:val="00F67FAA"/>
    <w:rsid w:val="00F70BFF"/>
    <w:rsid w:val="00F70C9D"/>
    <w:rsid w:val="00F70EF7"/>
    <w:rsid w:val="00F73B0F"/>
    <w:rsid w:val="00F73B74"/>
    <w:rsid w:val="00F73E08"/>
    <w:rsid w:val="00F74130"/>
    <w:rsid w:val="00F7485C"/>
    <w:rsid w:val="00F748B6"/>
    <w:rsid w:val="00F74CD9"/>
    <w:rsid w:val="00F74D25"/>
    <w:rsid w:val="00F74D51"/>
    <w:rsid w:val="00F7592B"/>
    <w:rsid w:val="00F77DE6"/>
    <w:rsid w:val="00F80533"/>
    <w:rsid w:val="00F8076E"/>
    <w:rsid w:val="00F80A7B"/>
    <w:rsid w:val="00F80E5D"/>
    <w:rsid w:val="00F81C00"/>
    <w:rsid w:val="00F81E78"/>
    <w:rsid w:val="00F82A30"/>
    <w:rsid w:val="00F82CCF"/>
    <w:rsid w:val="00F83145"/>
    <w:rsid w:val="00F8384F"/>
    <w:rsid w:val="00F83916"/>
    <w:rsid w:val="00F83DF6"/>
    <w:rsid w:val="00F8444D"/>
    <w:rsid w:val="00F84678"/>
    <w:rsid w:val="00F84AE7"/>
    <w:rsid w:val="00F851CE"/>
    <w:rsid w:val="00F85305"/>
    <w:rsid w:val="00F8671E"/>
    <w:rsid w:val="00F90197"/>
    <w:rsid w:val="00F91219"/>
    <w:rsid w:val="00F9159B"/>
    <w:rsid w:val="00F92444"/>
    <w:rsid w:val="00F92C23"/>
    <w:rsid w:val="00F9393E"/>
    <w:rsid w:val="00F9506C"/>
    <w:rsid w:val="00F96FD0"/>
    <w:rsid w:val="00F97A78"/>
    <w:rsid w:val="00F97B38"/>
    <w:rsid w:val="00FA03F9"/>
    <w:rsid w:val="00FA0B20"/>
    <w:rsid w:val="00FA15E4"/>
    <w:rsid w:val="00FA24C3"/>
    <w:rsid w:val="00FA24E7"/>
    <w:rsid w:val="00FA2F03"/>
    <w:rsid w:val="00FA3D57"/>
    <w:rsid w:val="00FA4DB8"/>
    <w:rsid w:val="00FA5EE6"/>
    <w:rsid w:val="00FA6E01"/>
    <w:rsid w:val="00FA785E"/>
    <w:rsid w:val="00FA7956"/>
    <w:rsid w:val="00FB0824"/>
    <w:rsid w:val="00FB08CD"/>
    <w:rsid w:val="00FB26CB"/>
    <w:rsid w:val="00FB2FCB"/>
    <w:rsid w:val="00FB3A0A"/>
    <w:rsid w:val="00FB4326"/>
    <w:rsid w:val="00FB4C9C"/>
    <w:rsid w:val="00FB654A"/>
    <w:rsid w:val="00FB7C55"/>
    <w:rsid w:val="00FC0420"/>
    <w:rsid w:val="00FC0EAA"/>
    <w:rsid w:val="00FC1074"/>
    <w:rsid w:val="00FC1513"/>
    <w:rsid w:val="00FC152B"/>
    <w:rsid w:val="00FC1884"/>
    <w:rsid w:val="00FC1940"/>
    <w:rsid w:val="00FC19BA"/>
    <w:rsid w:val="00FC371D"/>
    <w:rsid w:val="00FC4209"/>
    <w:rsid w:val="00FC45FF"/>
    <w:rsid w:val="00FC479C"/>
    <w:rsid w:val="00FC5F0B"/>
    <w:rsid w:val="00FC62D9"/>
    <w:rsid w:val="00FC68C6"/>
    <w:rsid w:val="00FC7399"/>
    <w:rsid w:val="00FC7FBD"/>
    <w:rsid w:val="00FD047A"/>
    <w:rsid w:val="00FD048C"/>
    <w:rsid w:val="00FD0514"/>
    <w:rsid w:val="00FD119A"/>
    <w:rsid w:val="00FD2100"/>
    <w:rsid w:val="00FD2DD3"/>
    <w:rsid w:val="00FD3114"/>
    <w:rsid w:val="00FD3872"/>
    <w:rsid w:val="00FD3C6F"/>
    <w:rsid w:val="00FD3D97"/>
    <w:rsid w:val="00FD436C"/>
    <w:rsid w:val="00FD446D"/>
    <w:rsid w:val="00FD4F2C"/>
    <w:rsid w:val="00FD6394"/>
    <w:rsid w:val="00FD6D1B"/>
    <w:rsid w:val="00FE0705"/>
    <w:rsid w:val="00FE0E6C"/>
    <w:rsid w:val="00FE1ADA"/>
    <w:rsid w:val="00FE1CDC"/>
    <w:rsid w:val="00FE24A9"/>
    <w:rsid w:val="00FE2BF3"/>
    <w:rsid w:val="00FE2CD3"/>
    <w:rsid w:val="00FE3325"/>
    <w:rsid w:val="00FE5674"/>
    <w:rsid w:val="00FE65FE"/>
    <w:rsid w:val="00FE6A8E"/>
    <w:rsid w:val="00FE70C3"/>
    <w:rsid w:val="00FE7436"/>
    <w:rsid w:val="00FF0DDC"/>
    <w:rsid w:val="00FF102A"/>
    <w:rsid w:val="00FF15A3"/>
    <w:rsid w:val="00FF1A8B"/>
    <w:rsid w:val="00FF2344"/>
    <w:rsid w:val="00FF2583"/>
    <w:rsid w:val="00FF2AD9"/>
    <w:rsid w:val="00FF2BE9"/>
    <w:rsid w:val="00FF2C86"/>
    <w:rsid w:val="00FF3035"/>
    <w:rsid w:val="00FF359F"/>
    <w:rsid w:val="00FF3DCF"/>
    <w:rsid w:val="00FF492C"/>
    <w:rsid w:val="00FF4A21"/>
    <w:rsid w:val="00FF555B"/>
    <w:rsid w:val="00FF5730"/>
    <w:rsid w:val="00FF5AA3"/>
    <w:rsid w:val="00FF5AD8"/>
    <w:rsid w:val="00FF6499"/>
    <w:rsid w:val="00FF680D"/>
    <w:rsid w:val="00FF73F9"/>
    <w:rsid w:val="00FF7C8D"/>
    <w:rsid w:val="01E5CFEE"/>
    <w:rsid w:val="01F79C37"/>
    <w:rsid w:val="0212B694"/>
    <w:rsid w:val="0249F89E"/>
    <w:rsid w:val="029DDB2C"/>
    <w:rsid w:val="03ABD04D"/>
    <w:rsid w:val="03EF45D5"/>
    <w:rsid w:val="046AD710"/>
    <w:rsid w:val="047C2BFF"/>
    <w:rsid w:val="0515422C"/>
    <w:rsid w:val="053575DC"/>
    <w:rsid w:val="053BE4F2"/>
    <w:rsid w:val="0564460C"/>
    <w:rsid w:val="0572CF48"/>
    <w:rsid w:val="0602E5E1"/>
    <w:rsid w:val="07630A39"/>
    <w:rsid w:val="07692457"/>
    <w:rsid w:val="07A5427C"/>
    <w:rsid w:val="07A5D1D1"/>
    <w:rsid w:val="07BB46F9"/>
    <w:rsid w:val="07BBA02F"/>
    <w:rsid w:val="0834B6E2"/>
    <w:rsid w:val="0882782F"/>
    <w:rsid w:val="096AAF87"/>
    <w:rsid w:val="0990D655"/>
    <w:rsid w:val="0991AE82"/>
    <w:rsid w:val="0A8EF834"/>
    <w:rsid w:val="0ABC2ADA"/>
    <w:rsid w:val="0ADA1894"/>
    <w:rsid w:val="0B0493DC"/>
    <w:rsid w:val="0BB7BC79"/>
    <w:rsid w:val="0BD28FAF"/>
    <w:rsid w:val="0C23568E"/>
    <w:rsid w:val="0C57FB3B"/>
    <w:rsid w:val="0C637C57"/>
    <w:rsid w:val="0CA61D0E"/>
    <w:rsid w:val="0CF17CCF"/>
    <w:rsid w:val="0D25B93B"/>
    <w:rsid w:val="0DB85F9D"/>
    <w:rsid w:val="0E0BB32C"/>
    <w:rsid w:val="0E536DCB"/>
    <w:rsid w:val="0E6009A1"/>
    <w:rsid w:val="0F3DE9D0"/>
    <w:rsid w:val="0F778E0D"/>
    <w:rsid w:val="0F97BB59"/>
    <w:rsid w:val="1013F855"/>
    <w:rsid w:val="1061AFA3"/>
    <w:rsid w:val="107CE703"/>
    <w:rsid w:val="10859184"/>
    <w:rsid w:val="1284E1C6"/>
    <w:rsid w:val="12E1750C"/>
    <w:rsid w:val="12FB289B"/>
    <w:rsid w:val="132888CE"/>
    <w:rsid w:val="1331561A"/>
    <w:rsid w:val="1351AC08"/>
    <w:rsid w:val="137E9E9A"/>
    <w:rsid w:val="13E3B7A4"/>
    <w:rsid w:val="1431BB28"/>
    <w:rsid w:val="14D2DEFF"/>
    <w:rsid w:val="1500057E"/>
    <w:rsid w:val="150A96A0"/>
    <w:rsid w:val="16C8BB0B"/>
    <w:rsid w:val="16EC86BC"/>
    <w:rsid w:val="17A6FF4C"/>
    <w:rsid w:val="17DE26C3"/>
    <w:rsid w:val="183EC421"/>
    <w:rsid w:val="18559551"/>
    <w:rsid w:val="18A7AE3D"/>
    <w:rsid w:val="18F4CB15"/>
    <w:rsid w:val="1A18B561"/>
    <w:rsid w:val="1B6D205D"/>
    <w:rsid w:val="1D0BA000"/>
    <w:rsid w:val="1D695A94"/>
    <w:rsid w:val="1D793E0B"/>
    <w:rsid w:val="1E95F707"/>
    <w:rsid w:val="1F0B0176"/>
    <w:rsid w:val="1F1B4DFB"/>
    <w:rsid w:val="1F904902"/>
    <w:rsid w:val="1FAF596E"/>
    <w:rsid w:val="20917A94"/>
    <w:rsid w:val="209E0CC4"/>
    <w:rsid w:val="2110A22A"/>
    <w:rsid w:val="217B90B1"/>
    <w:rsid w:val="23B0EB01"/>
    <w:rsid w:val="24305172"/>
    <w:rsid w:val="245198EF"/>
    <w:rsid w:val="2475B5BE"/>
    <w:rsid w:val="24EBD05D"/>
    <w:rsid w:val="255A1ABE"/>
    <w:rsid w:val="26229794"/>
    <w:rsid w:val="26332931"/>
    <w:rsid w:val="2656805C"/>
    <w:rsid w:val="26DE5242"/>
    <w:rsid w:val="2761BA1C"/>
    <w:rsid w:val="2780391A"/>
    <w:rsid w:val="279FB01C"/>
    <w:rsid w:val="28194261"/>
    <w:rsid w:val="28BAA7C2"/>
    <w:rsid w:val="28F13409"/>
    <w:rsid w:val="29430183"/>
    <w:rsid w:val="295CAEEF"/>
    <w:rsid w:val="2A1FB8A9"/>
    <w:rsid w:val="2A452A5D"/>
    <w:rsid w:val="2AAB1812"/>
    <w:rsid w:val="2AFEC3C1"/>
    <w:rsid w:val="2BA51BFA"/>
    <w:rsid w:val="2BB72D04"/>
    <w:rsid w:val="2BD49156"/>
    <w:rsid w:val="2BE53AEE"/>
    <w:rsid w:val="2BFECA56"/>
    <w:rsid w:val="2C37D786"/>
    <w:rsid w:val="2C5D4DED"/>
    <w:rsid w:val="2CB100D7"/>
    <w:rsid w:val="2DB386DF"/>
    <w:rsid w:val="2DCBC895"/>
    <w:rsid w:val="2DE89DCA"/>
    <w:rsid w:val="2EED7E7E"/>
    <w:rsid w:val="2FFE09E1"/>
    <w:rsid w:val="3034CC60"/>
    <w:rsid w:val="3056EC7D"/>
    <w:rsid w:val="306F62D5"/>
    <w:rsid w:val="309386EB"/>
    <w:rsid w:val="30E3D52D"/>
    <w:rsid w:val="30F0A68A"/>
    <w:rsid w:val="314FCF8A"/>
    <w:rsid w:val="3162C02F"/>
    <w:rsid w:val="31A942D9"/>
    <w:rsid w:val="32479BB4"/>
    <w:rsid w:val="328AD3F4"/>
    <w:rsid w:val="33BA245F"/>
    <w:rsid w:val="33BDBF17"/>
    <w:rsid w:val="33F3FA29"/>
    <w:rsid w:val="34605084"/>
    <w:rsid w:val="34673019"/>
    <w:rsid w:val="346C927C"/>
    <w:rsid w:val="35210811"/>
    <w:rsid w:val="36A28309"/>
    <w:rsid w:val="36BABBFF"/>
    <w:rsid w:val="37603448"/>
    <w:rsid w:val="3765F4AC"/>
    <w:rsid w:val="37BC64B2"/>
    <w:rsid w:val="37F31190"/>
    <w:rsid w:val="3814C811"/>
    <w:rsid w:val="386E6091"/>
    <w:rsid w:val="38831473"/>
    <w:rsid w:val="3896C563"/>
    <w:rsid w:val="38E8E312"/>
    <w:rsid w:val="38F43A76"/>
    <w:rsid w:val="39F58EEA"/>
    <w:rsid w:val="3A0BB478"/>
    <w:rsid w:val="3A110993"/>
    <w:rsid w:val="3A600A94"/>
    <w:rsid w:val="3A633BAD"/>
    <w:rsid w:val="3A8C3687"/>
    <w:rsid w:val="3B368F37"/>
    <w:rsid w:val="3B6DBC27"/>
    <w:rsid w:val="3B7C9985"/>
    <w:rsid w:val="3BE11E54"/>
    <w:rsid w:val="3C06CB9D"/>
    <w:rsid w:val="3C0D24F9"/>
    <w:rsid w:val="3C18B05D"/>
    <w:rsid w:val="3C243A1A"/>
    <w:rsid w:val="3C687BD3"/>
    <w:rsid w:val="3CA5B616"/>
    <w:rsid w:val="3D9ADC6F"/>
    <w:rsid w:val="3DDEDB6A"/>
    <w:rsid w:val="3EB6F61E"/>
    <w:rsid w:val="3EBECFB5"/>
    <w:rsid w:val="3ED19EAC"/>
    <w:rsid w:val="3F20DE72"/>
    <w:rsid w:val="3F9ABF6E"/>
    <w:rsid w:val="3FED3370"/>
    <w:rsid w:val="3FEDE8D6"/>
    <w:rsid w:val="4006A3F9"/>
    <w:rsid w:val="40120236"/>
    <w:rsid w:val="4040D402"/>
    <w:rsid w:val="4061D1B8"/>
    <w:rsid w:val="40A9A119"/>
    <w:rsid w:val="40B4ADC0"/>
    <w:rsid w:val="41690E61"/>
    <w:rsid w:val="42741A5E"/>
    <w:rsid w:val="42E780E0"/>
    <w:rsid w:val="43241E39"/>
    <w:rsid w:val="43558E62"/>
    <w:rsid w:val="44C81E4E"/>
    <w:rsid w:val="4514F49E"/>
    <w:rsid w:val="456844F6"/>
    <w:rsid w:val="45B3BAA9"/>
    <w:rsid w:val="4672FB8D"/>
    <w:rsid w:val="47111549"/>
    <w:rsid w:val="4741B1B3"/>
    <w:rsid w:val="4772FBBA"/>
    <w:rsid w:val="479B30E2"/>
    <w:rsid w:val="4904CFD5"/>
    <w:rsid w:val="49082EB8"/>
    <w:rsid w:val="490E768E"/>
    <w:rsid w:val="497B5A93"/>
    <w:rsid w:val="498BAA51"/>
    <w:rsid w:val="498ED862"/>
    <w:rsid w:val="499B565F"/>
    <w:rsid w:val="49CE20F0"/>
    <w:rsid w:val="4A180DF5"/>
    <w:rsid w:val="4B1441FA"/>
    <w:rsid w:val="4B351A3F"/>
    <w:rsid w:val="4C1F9644"/>
    <w:rsid w:val="4C5BEAFA"/>
    <w:rsid w:val="4C9F14A5"/>
    <w:rsid w:val="4CC67808"/>
    <w:rsid w:val="4CF6FB3F"/>
    <w:rsid w:val="4D932609"/>
    <w:rsid w:val="4D976ABC"/>
    <w:rsid w:val="4E22C922"/>
    <w:rsid w:val="4E4EA9B9"/>
    <w:rsid w:val="4E6FA553"/>
    <w:rsid w:val="4F4594ED"/>
    <w:rsid w:val="502464E2"/>
    <w:rsid w:val="50519202"/>
    <w:rsid w:val="50D3EA23"/>
    <w:rsid w:val="510EFB16"/>
    <w:rsid w:val="512F329D"/>
    <w:rsid w:val="513E05DA"/>
    <w:rsid w:val="5179CF8A"/>
    <w:rsid w:val="51A6D042"/>
    <w:rsid w:val="51CB36E7"/>
    <w:rsid w:val="51F8D25B"/>
    <w:rsid w:val="5262A03F"/>
    <w:rsid w:val="52A0CF46"/>
    <w:rsid w:val="52F07180"/>
    <w:rsid w:val="53144162"/>
    <w:rsid w:val="538C861E"/>
    <w:rsid w:val="53D3870A"/>
    <w:rsid w:val="53F3116A"/>
    <w:rsid w:val="54E1B3F6"/>
    <w:rsid w:val="54EEC3D5"/>
    <w:rsid w:val="553249F4"/>
    <w:rsid w:val="557EBCD8"/>
    <w:rsid w:val="558078CA"/>
    <w:rsid w:val="5627699E"/>
    <w:rsid w:val="563BBEF5"/>
    <w:rsid w:val="5684E30F"/>
    <w:rsid w:val="56875818"/>
    <w:rsid w:val="56A99CC7"/>
    <w:rsid w:val="56EFDE6A"/>
    <w:rsid w:val="5727C3ED"/>
    <w:rsid w:val="572AB22C"/>
    <w:rsid w:val="573879B7"/>
    <w:rsid w:val="57716CBF"/>
    <w:rsid w:val="5850C657"/>
    <w:rsid w:val="589EEE27"/>
    <w:rsid w:val="5981CB15"/>
    <w:rsid w:val="59B52519"/>
    <w:rsid w:val="5A53D462"/>
    <w:rsid w:val="5AB58EAB"/>
    <w:rsid w:val="5B09D7C5"/>
    <w:rsid w:val="5B3F57D4"/>
    <w:rsid w:val="5C1F3E13"/>
    <w:rsid w:val="5C3F1444"/>
    <w:rsid w:val="5C92ACF8"/>
    <w:rsid w:val="5CA6FB06"/>
    <w:rsid w:val="5CC69697"/>
    <w:rsid w:val="5D02A627"/>
    <w:rsid w:val="5DEEA8B3"/>
    <w:rsid w:val="5E41C43B"/>
    <w:rsid w:val="5E4BA936"/>
    <w:rsid w:val="5E51B58E"/>
    <w:rsid w:val="5EA70A42"/>
    <w:rsid w:val="5FA24B38"/>
    <w:rsid w:val="5FB4A28F"/>
    <w:rsid w:val="6051CD6A"/>
    <w:rsid w:val="60CCA0FF"/>
    <w:rsid w:val="61EECC40"/>
    <w:rsid w:val="61F91282"/>
    <w:rsid w:val="6223D1FD"/>
    <w:rsid w:val="623011DF"/>
    <w:rsid w:val="6278E5E6"/>
    <w:rsid w:val="629EDA89"/>
    <w:rsid w:val="62BA1CFF"/>
    <w:rsid w:val="63216F8A"/>
    <w:rsid w:val="635FF13D"/>
    <w:rsid w:val="639534F6"/>
    <w:rsid w:val="639D454E"/>
    <w:rsid w:val="63CF12BE"/>
    <w:rsid w:val="63F10C5C"/>
    <w:rsid w:val="63FDCF7B"/>
    <w:rsid w:val="640EEA42"/>
    <w:rsid w:val="643146CF"/>
    <w:rsid w:val="6478CA36"/>
    <w:rsid w:val="64FA44EE"/>
    <w:rsid w:val="650D0FBD"/>
    <w:rsid w:val="66AA1514"/>
    <w:rsid w:val="66DCD840"/>
    <w:rsid w:val="67CFCF8C"/>
    <w:rsid w:val="67E498B4"/>
    <w:rsid w:val="6823E9B4"/>
    <w:rsid w:val="6840BA3F"/>
    <w:rsid w:val="68559514"/>
    <w:rsid w:val="687D2727"/>
    <w:rsid w:val="68C23762"/>
    <w:rsid w:val="6903884E"/>
    <w:rsid w:val="69207F7B"/>
    <w:rsid w:val="6A075C99"/>
    <w:rsid w:val="6A1DF206"/>
    <w:rsid w:val="6A4080D8"/>
    <w:rsid w:val="6A53E8DC"/>
    <w:rsid w:val="6A562F4C"/>
    <w:rsid w:val="6A669380"/>
    <w:rsid w:val="6A863602"/>
    <w:rsid w:val="6AAC465A"/>
    <w:rsid w:val="6ADE6117"/>
    <w:rsid w:val="6B026509"/>
    <w:rsid w:val="6B91171D"/>
    <w:rsid w:val="6B97D7E6"/>
    <w:rsid w:val="6BB8C512"/>
    <w:rsid w:val="6BDFAF56"/>
    <w:rsid w:val="6CAAC893"/>
    <w:rsid w:val="6CF9F7BE"/>
    <w:rsid w:val="6D1419A1"/>
    <w:rsid w:val="6D39C245"/>
    <w:rsid w:val="6D617868"/>
    <w:rsid w:val="6DA16FB5"/>
    <w:rsid w:val="6DC1F336"/>
    <w:rsid w:val="6DD6D189"/>
    <w:rsid w:val="6E4150BC"/>
    <w:rsid w:val="6FDCB6C4"/>
    <w:rsid w:val="709825C5"/>
    <w:rsid w:val="70AD593C"/>
    <w:rsid w:val="716280AF"/>
    <w:rsid w:val="7190B58A"/>
    <w:rsid w:val="71CFD456"/>
    <w:rsid w:val="71EB9341"/>
    <w:rsid w:val="729EC75A"/>
    <w:rsid w:val="73DE2B4D"/>
    <w:rsid w:val="74014362"/>
    <w:rsid w:val="7449109E"/>
    <w:rsid w:val="744A9B1A"/>
    <w:rsid w:val="744F9069"/>
    <w:rsid w:val="74ADE31E"/>
    <w:rsid w:val="75328797"/>
    <w:rsid w:val="75539D7B"/>
    <w:rsid w:val="755BF491"/>
    <w:rsid w:val="7579FBAE"/>
    <w:rsid w:val="75BAB100"/>
    <w:rsid w:val="75BE8187"/>
    <w:rsid w:val="75D707EA"/>
    <w:rsid w:val="75F56010"/>
    <w:rsid w:val="781317FE"/>
    <w:rsid w:val="78277BD6"/>
    <w:rsid w:val="7843EA21"/>
    <w:rsid w:val="78769673"/>
    <w:rsid w:val="78A25132"/>
    <w:rsid w:val="7A716D9C"/>
    <w:rsid w:val="7A9777BE"/>
    <w:rsid w:val="7B28B2EA"/>
    <w:rsid w:val="7B35B924"/>
    <w:rsid w:val="7BC8F293"/>
    <w:rsid w:val="7D030317"/>
    <w:rsid w:val="7D72C21A"/>
    <w:rsid w:val="7DE869F0"/>
    <w:rsid w:val="7DFE8F7E"/>
    <w:rsid w:val="7EFE2449"/>
    <w:rsid w:val="7F308534"/>
    <w:rsid w:val="7F7CECE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7"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16"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7695"/>
    <w:pPr>
      <w:jc w:val="both"/>
    </w:pPr>
    <w:rPr>
      <w:rFonts w:ascii="Calibri" w:hAnsi="Calibri" w:cs="Arial"/>
      <w:sz w:val="24"/>
      <w:szCs w:val="24"/>
    </w:rPr>
  </w:style>
  <w:style w:type="paragraph" w:styleId="Heading1">
    <w:name w:val="heading 1"/>
    <w:basedOn w:val="Normal"/>
    <w:next w:val="Normal"/>
    <w:link w:val="Heading1Char"/>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table header,Caption Char Char,Caption Char1 Char Char,Caption Char Char Char Char,Caption Char1 Char Char Char Char,Caption Char Char Char Char Char Char,Caption Char1 Char Char Char Char Char Char,Table and Figure Name,Table caption"/>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Caption table header Char,Caption Char Char Char,Caption Char1 Char Char Char,Caption Char Char Char Char Char,Caption Char1 Char Char Char Char Char,Caption Char Char Char Char Char Char Char,Table and Figure Name Char,Table caption Char"/>
    <w:link w:val="Caption"/>
    <w:rsid w:val="00E16AD8"/>
    <w:rPr>
      <w:rFonts w:ascii="Arial Narrow" w:hAnsi="Arial Narrow" w:cs="Arial"/>
      <w:b/>
      <w:bCs/>
      <w:szCs w:val="18"/>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PBAC ES Paragraph,ES Paragraph,PBAC normal points,Bullet List,Bullet 1,Bullet1,Summary Bullets"/>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PBAC ES Paragraph Char,ES Paragraph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
    <w:basedOn w:val="TableNormal"/>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Table HEADER PBAC,-H18"/>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uiPriority w:val="99"/>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0FB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3B0D60"/>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1301F1"/>
    <w:pPr>
      <w:tabs>
        <w:tab w:val="right" w:leader="dot" w:pos="9016"/>
      </w:tabs>
      <w:ind w:left="440"/>
      <w:jc w:val="left"/>
    </w:pPr>
    <w:rPr>
      <w:rFonts w:asciiTheme="minorHAnsi" w:hAnsiTheme="minorHAnsi"/>
      <w:sz w:val="20"/>
    </w:rPr>
  </w:style>
  <w:style w:type="paragraph" w:styleId="TOC4">
    <w:name w:val="toc 4"/>
    <w:basedOn w:val="Normal"/>
    <w:next w:val="Normal"/>
    <w:autoRedefine/>
    <w:uiPriority w:val="99"/>
    <w:rsid w:val="00D0262E"/>
    <w:pPr>
      <w:ind w:left="660"/>
      <w:jc w:val="left"/>
    </w:pPr>
    <w:rPr>
      <w:rFonts w:asciiTheme="minorHAnsi" w:hAnsiTheme="minorHAnsi"/>
      <w:sz w:val="20"/>
    </w:rPr>
  </w:style>
  <w:style w:type="paragraph" w:styleId="TOC5">
    <w:name w:val="toc 5"/>
    <w:basedOn w:val="Normal"/>
    <w:next w:val="Normal"/>
    <w:autoRedefine/>
    <w:uiPriority w:val="99"/>
    <w:rsid w:val="00D0262E"/>
    <w:pPr>
      <w:ind w:left="880"/>
      <w:jc w:val="left"/>
    </w:pPr>
    <w:rPr>
      <w:rFonts w:asciiTheme="minorHAnsi" w:hAnsiTheme="minorHAnsi"/>
      <w:sz w:val="20"/>
    </w:rPr>
  </w:style>
  <w:style w:type="paragraph" w:styleId="TOC6">
    <w:name w:val="toc 6"/>
    <w:basedOn w:val="Normal"/>
    <w:next w:val="Normal"/>
    <w:autoRedefine/>
    <w:uiPriority w:val="99"/>
    <w:rsid w:val="00D0262E"/>
    <w:pPr>
      <w:ind w:left="1100"/>
      <w:jc w:val="left"/>
    </w:pPr>
    <w:rPr>
      <w:rFonts w:asciiTheme="minorHAnsi" w:hAnsiTheme="minorHAnsi"/>
      <w:sz w:val="20"/>
    </w:rPr>
  </w:style>
  <w:style w:type="paragraph" w:styleId="TOC7">
    <w:name w:val="toc 7"/>
    <w:basedOn w:val="Normal"/>
    <w:next w:val="Normal"/>
    <w:autoRedefine/>
    <w:uiPriority w:val="99"/>
    <w:rsid w:val="00D0262E"/>
    <w:pPr>
      <w:ind w:left="1320"/>
      <w:jc w:val="left"/>
    </w:pPr>
    <w:rPr>
      <w:rFonts w:asciiTheme="minorHAnsi" w:hAnsiTheme="minorHAnsi"/>
      <w:sz w:val="20"/>
    </w:rPr>
  </w:style>
  <w:style w:type="paragraph" w:styleId="TOC8">
    <w:name w:val="toc 8"/>
    <w:basedOn w:val="Normal"/>
    <w:next w:val="Normal"/>
    <w:autoRedefine/>
    <w:uiPriority w:val="99"/>
    <w:rsid w:val="00D0262E"/>
    <w:pPr>
      <w:ind w:left="1540"/>
      <w:jc w:val="left"/>
    </w:pPr>
    <w:rPr>
      <w:rFonts w:asciiTheme="minorHAnsi" w:hAnsiTheme="minorHAnsi"/>
      <w:sz w:val="20"/>
    </w:rPr>
  </w:style>
  <w:style w:type="paragraph" w:styleId="TOC9">
    <w:name w:val="toc 9"/>
    <w:basedOn w:val="Normal"/>
    <w:next w:val="Normal"/>
    <w:autoRedefine/>
    <w:uiPriority w:val="99"/>
    <w:rsid w:val="00D0262E"/>
    <w:pPr>
      <w:ind w:left="1760"/>
      <w:jc w:val="left"/>
    </w:pPr>
    <w:rPr>
      <w:rFonts w:asciiTheme="minorHAnsi" w:hAnsiTheme="minorHAnsi"/>
      <w:sz w:val="20"/>
    </w:rPr>
  </w:style>
  <w:style w:type="paragraph" w:styleId="CommentText">
    <w:name w:val="annotation text"/>
    <w:aliases w:val="Comment Text Char Char Char,Comment Text Char Char,- H19,Comment Text Char2,Comment Text Char Char1,Comment Text Char2 Char Char,Comment Text Char Char1 Char Char,Comment Text Char2 Char Char Char Char"/>
    <w:basedOn w:val="Normal"/>
    <w:link w:val="CommentTextChar"/>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H19 Char,Comment Text Char2 Char,Comment Text Char Char1 Char,Comment Text Char2 Char Char Char,Comment Text Char Char1 Char Char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uiPriority w:val="99"/>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uiPriority w:val="99"/>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uiPriority w:val="99"/>
    <w:rsid w:val="00B53654"/>
    <w:rPr>
      <w:i/>
    </w:rPr>
  </w:style>
  <w:style w:type="paragraph" w:styleId="BalloonText">
    <w:name w:val="Balloon Text"/>
    <w:basedOn w:val="Normal"/>
    <w:link w:val="BalloonTextChar"/>
    <w:uiPriority w:val="99"/>
    <w:semiHidden/>
    <w:unhideWhenUsed/>
    <w:rsid w:val="00B34FE2"/>
    <w:rPr>
      <w:rFonts w:ascii="Tahoma" w:hAnsi="Tahoma" w:cs="Tahoma"/>
      <w:sz w:val="16"/>
      <w:szCs w:val="16"/>
    </w:rPr>
  </w:style>
  <w:style w:type="character" w:customStyle="1" w:styleId="BalloonTextChar">
    <w:name w:val="Balloon Text Char"/>
    <w:basedOn w:val="DefaultParagraphFont"/>
    <w:link w:val="BalloonText"/>
    <w:uiPriority w:val="99"/>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uiPriority w:val="99"/>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uiPriority w:val="99"/>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ind w:left="720"/>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iPriority w:val="99"/>
    <w:unhideWhenUsed/>
    <w:rsid w:val="00EE1996"/>
    <w:p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uiPriority w:val="99"/>
    <w:rsid w:val="00D30D5B"/>
    <w:pPr>
      <w:numPr>
        <w:numId w:val="5"/>
      </w:numPr>
      <w:ind w:left="720"/>
    </w:pPr>
    <w:rPr>
      <w:rFonts w:ascii="Calibri" w:hAnsi="Calibri" w:cstheme="minorBidi"/>
      <w:i/>
      <w:snapToGrid/>
      <w:sz w:val="22"/>
      <w:szCs w:val="22"/>
      <w:lang w:eastAsia="en-US"/>
    </w:rPr>
  </w:style>
  <w:style w:type="character" w:customStyle="1" w:styleId="bulletChar">
    <w:name w:val="bullet Char"/>
    <w:basedOn w:val="DefaultParagraphFont"/>
    <w:link w:val="bullet"/>
    <w:uiPriority w:val="99"/>
    <w:rsid w:val="00D30D5B"/>
    <w:rPr>
      <w:rFonts w:ascii="Calibri" w:hAnsi="Calibri" w:cstheme="minorBidi"/>
      <w:i/>
      <w:sz w:val="22"/>
      <w:szCs w:val="22"/>
      <w:lang w:eastAsia="en-US"/>
    </w:rPr>
  </w:style>
  <w:style w:type="paragraph" w:customStyle="1" w:styleId="Default">
    <w:name w:val="Default"/>
    <w:uiPriority w:val="99"/>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1F29DF"/>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1F29DF"/>
    <w:rPr>
      <w:rFonts w:ascii="Arial Narrow" w:hAnsi="Arial Narrow" w:cs="Arial"/>
      <w:snapToGrid w:val="0"/>
      <w:sz w:val="18"/>
      <w:szCs w:val="22"/>
    </w:rPr>
  </w:style>
  <w:style w:type="character" w:styleId="UnresolvedMention">
    <w:name w:val="Unresolved Mention"/>
    <w:basedOn w:val="DefaultParagraphFont"/>
    <w:uiPriority w:val="99"/>
    <w:semiHidden/>
    <w:unhideWhenUsed/>
    <w:rsid w:val="006A2425"/>
    <w:rPr>
      <w:color w:val="605E5C"/>
      <w:shd w:val="clear" w:color="auto" w:fill="E1DFDD"/>
    </w:rPr>
  </w:style>
  <w:style w:type="paragraph" w:customStyle="1" w:styleId="Bodytextitalics">
    <w:name w:val="Body text italics"/>
    <w:basedOn w:val="BodyText"/>
    <w:uiPriority w:val="99"/>
    <w:qFormat/>
    <w:rsid w:val="00E81FB9"/>
    <w:pPr>
      <w:spacing w:after="120"/>
      <w:ind w:left="720" w:hanging="720"/>
    </w:pPr>
    <w:rPr>
      <w:rFonts w:asciiTheme="minorHAnsi" w:eastAsiaTheme="minorHAnsi" w:hAnsiTheme="minorHAnsi" w:cstheme="minorBidi"/>
      <w:i/>
      <w:szCs w:val="22"/>
    </w:rPr>
  </w:style>
  <w:style w:type="character" w:customStyle="1" w:styleId="SmallUnderline">
    <w:name w:val="Small Underline"/>
    <w:basedOn w:val="DefaultParagraphFont"/>
    <w:uiPriority w:val="4"/>
    <w:qFormat/>
    <w:rsid w:val="0058190E"/>
    <w:rPr>
      <w:rFonts w:ascii="Calibri" w:hAnsi="Calibri"/>
      <w:sz w:val="20"/>
      <w:u w:val="single"/>
    </w:rPr>
  </w:style>
  <w:style w:type="paragraph" w:customStyle="1" w:styleId="TableLeft">
    <w:name w:val="Table Left"/>
    <w:basedOn w:val="Normal"/>
    <w:link w:val="TableLeftChar"/>
    <w:uiPriority w:val="99"/>
    <w:qFormat/>
    <w:rsid w:val="0058190E"/>
    <w:pPr>
      <w:jc w:val="left"/>
    </w:pPr>
    <w:rPr>
      <w:rFonts w:cs="Times New Roman"/>
      <w:sz w:val="20"/>
      <w:szCs w:val="22"/>
      <w:lang w:eastAsia="en-US"/>
    </w:rPr>
  </w:style>
  <w:style w:type="character" w:customStyle="1" w:styleId="TableLeftChar">
    <w:name w:val="Table Left Char"/>
    <w:basedOn w:val="DefaultParagraphFont"/>
    <w:link w:val="TableLeft"/>
    <w:uiPriority w:val="99"/>
    <w:locked/>
    <w:rsid w:val="0058190E"/>
    <w:rPr>
      <w:rFonts w:ascii="Calibri" w:hAnsi="Calibri"/>
      <w:szCs w:val="22"/>
      <w:lang w:eastAsia="en-US"/>
    </w:rPr>
  </w:style>
  <w:style w:type="paragraph" w:customStyle="1" w:styleId="TableBullets">
    <w:name w:val="Table Bullets"/>
    <w:basedOn w:val="Normal"/>
    <w:uiPriority w:val="5"/>
    <w:qFormat/>
    <w:rsid w:val="0058190E"/>
    <w:pPr>
      <w:numPr>
        <w:numId w:val="6"/>
      </w:numPr>
      <w:ind w:left="357" w:hanging="357"/>
      <w:jc w:val="left"/>
    </w:pPr>
    <w:rPr>
      <w:rFonts w:eastAsiaTheme="majorEastAsia" w:cstheme="majorBidi"/>
      <w:sz w:val="20"/>
      <w:szCs w:val="22"/>
      <w:lang w:eastAsia="en-US" w:bidi="en-US"/>
    </w:rPr>
  </w:style>
  <w:style w:type="paragraph" w:styleId="FootnoteText">
    <w:name w:val="footnote text"/>
    <w:basedOn w:val="Normal"/>
    <w:link w:val="FootnoteTextChar"/>
    <w:uiPriority w:val="99"/>
    <w:unhideWhenUsed/>
    <w:rsid w:val="00084748"/>
    <w:rPr>
      <w:sz w:val="20"/>
      <w:szCs w:val="20"/>
    </w:rPr>
  </w:style>
  <w:style w:type="character" w:customStyle="1" w:styleId="FootnoteTextChar">
    <w:name w:val="Footnote Text Char"/>
    <w:basedOn w:val="DefaultParagraphFont"/>
    <w:link w:val="FootnoteText"/>
    <w:uiPriority w:val="99"/>
    <w:rsid w:val="00084748"/>
    <w:rPr>
      <w:rFonts w:ascii="Calibri" w:hAnsi="Calibri" w:cs="Arial"/>
    </w:rPr>
  </w:style>
  <w:style w:type="character" w:styleId="FootnoteReference">
    <w:name w:val="footnote reference"/>
    <w:basedOn w:val="DefaultParagraphFont"/>
    <w:unhideWhenUsed/>
    <w:rsid w:val="00084748"/>
    <w:rPr>
      <w:vertAlign w:val="superscript"/>
    </w:rPr>
  </w:style>
  <w:style w:type="paragraph" w:styleId="DocumentMap">
    <w:name w:val="Document Map"/>
    <w:basedOn w:val="Normal"/>
    <w:link w:val="DocumentMapChar"/>
    <w:uiPriority w:val="99"/>
    <w:semiHidden/>
    <w:unhideWhenUsed/>
    <w:rsid w:val="001F0333"/>
    <w:pPr>
      <w:jc w:val="left"/>
    </w:pPr>
    <w:rPr>
      <w:rFonts w:ascii="Tahoma" w:eastAsiaTheme="majorEastAsia" w:hAnsi="Tahoma" w:cs="Tahoma"/>
      <w:sz w:val="16"/>
      <w:szCs w:val="16"/>
      <w:lang w:eastAsia="en-US" w:bidi="en-US"/>
    </w:rPr>
  </w:style>
  <w:style w:type="character" w:customStyle="1" w:styleId="DocumentMapChar">
    <w:name w:val="Document Map Char"/>
    <w:basedOn w:val="DefaultParagraphFont"/>
    <w:link w:val="DocumentMap"/>
    <w:uiPriority w:val="99"/>
    <w:semiHidden/>
    <w:rsid w:val="001F0333"/>
    <w:rPr>
      <w:rFonts w:ascii="Tahoma" w:eastAsiaTheme="majorEastAsia" w:hAnsi="Tahoma" w:cs="Tahoma"/>
      <w:sz w:val="16"/>
      <w:szCs w:val="16"/>
      <w:lang w:eastAsia="en-US" w:bidi="en-US"/>
    </w:rPr>
  </w:style>
  <w:style w:type="character" w:customStyle="1" w:styleId="Font">
    <w:name w:val="Font"/>
    <w:basedOn w:val="DefaultParagraphFont"/>
    <w:uiPriority w:val="1"/>
    <w:qFormat/>
    <w:rsid w:val="00F03661"/>
    <w:rPr>
      <w:rFonts w:ascii="Calibri" w:hAnsi="Calibri"/>
      <w:sz w:val="24"/>
    </w:rPr>
  </w:style>
  <w:style w:type="table" w:customStyle="1" w:styleId="Submissionstandard">
    <w:name w:val="Submission standard"/>
    <w:uiPriority w:val="99"/>
    <w:qFormat/>
    <w:rsid w:val="00C06283"/>
    <w:rPr>
      <w:rFonts w:ascii="Arial Narrow" w:hAnsi="Arial Narrow"/>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Times" w:hAnsi="Times" w:cs="Times New Roman" w:hint="default"/>
        <w:b/>
        <w:sz w:val="20"/>
        <w:szCs w:val="20"/>
      </w:rPr>
      <w:tblPr/>
      <w:tcPr>
        <w:shd w:val="clear" w:color="auto" w:fill="BFBFBF"/>
      </w:tcPr>
    </w:tblStylePr>
  </w:style>
  <w:style w:type="paragraph" w:customStyle="1" w:styleId="6-SubsectionSubheading">
    <w:name w:val="6-Subsection Subheading"/>
    <w:basedOn w:val="5-SubsectionSubheading"/>
    <w:next w:val="Normal"/>
    <w:uiPriority w:val="99"/>
    <w:qFormat/>
    <w:rsid w:val="003B5F84"/>
    <w:pPr>
      <w:outlineLvl w:val="3"/>
    </w:pPr>
    <w:rPr>
      <w:sz w:val="22"/>
    </w:rPr>
  </w:style>
  <w:style w:type="character" w:styleId="Mention">
    <w:name w:val="Mention"/>
    <w:basedOn w:val="DefaultParagraphFont"/>
    <w:uiPriority w:val="99"/>
    <w:unhideWhenUsed/>
    <w:rsid w:val="00A62CD4"/>
    <w:rPr>
      <w:color w:val="2B579A"/>
      <w:shd w:val="clear" w:color="auto" w:fill="E1DFDD"/>
    </w:rPr>
  </w:style>
  <w:style w:type="character" w:customStyle="1" w:styleId="Heading1Char">
    <w:name w:val="Heading 1 Char"/>
    <w:basedOn w:val="DefaultParagraphFont"/>
    <w:link w:val="Heading1"/>
    <w:rsid w:val="00332359"/>
    <w:rPr>
      <w:rFonts w:ascii="Calibri" w:hAnsi="Calibri" w:cs="Arial"/>
      <w:b/>
      <w:caps/>
      <w:sz w:val="32"/>
      <w:szCs w:val="24"/>
    </w:rPr>
  </w:style>
  <w:style w:type="character" w:customStyle="1" w:styleId="Heading3Char">
    <w:name w:val="Heading 3 Char"/>
    <w:basedOn w:val="DefaultParagraphFont"/>
    <w:link w:val="Heading3"/>
    <w:rsid w:val="00332359"/>
    <w:rPr>
      <w:rFonts w:ascii="Calibri" w:hAnsi="Calibri" w:cs="Arial"/>
      <w:sz w:val="24"/>
      <w:szCs w:val="24"/>
      <w:u w:val="single"/>
    </w:rPr>
  </w:style>
  <w:style w:type="character" w:customStyle="1" w:styleId="Heading4Char">
    <w:name w:val="Heading 4 Char"/>
    <w:basedOn w:val="DefaultParagraphFont"/>
    <w:link w:val="Heading4"/>
    <w:rsid w:val="00332359"/>
    <w:rPr>
      <w:rFonts w:ascii="Calibri" w:hAnsi="Calibri" w:cs="Arial"/>
      <w:b/>
      <w:bCs/>
      <w:i/>
      <w:sz w:val="26"/>
      <w:szCs w:val="28"/>
    </w:rPr>
  </w:style>
  <w:style w:type="character" w:customStyle="1" w:styleId="Heading5Char">
    <w:name w:val="Heading 5 Char"/>
    <w:basedOn w:val="DefaultParagraphFont"/>
    <w:link w:val="Heading5"/>
    <w:rsid w:val="00332359"/>
    <w:rPr>
      <w:rFonts w:ascii="Calibri" w:hAnsi="Calibri" w:cs="Arial"/>
      <w:b/>
      <w:bCs/>
      <w:iCs/>
      <w:sz w:val="26"/>
      <w:szCs w:val="26"/>
    </w:rPr>
  </w:style>
  <w:style w:type="character" w:customStyle="1" w:styleId="Heading6Char">
    <w:name w:val="Heading 6 Char"/>
    <w:basedOn w:val="DefaultParagraphFont"/>
    <w:link w:val="Heading6"/>
    <w:rsid w:val="00332359"/>
    <w:rPr>
      <w:rFonts w:ascii="Calibri" w:hAnsi="Calibri" w:cs="Arial"/>
      <w:b/>
      <w:bCs/>
      <w:i/>
      <w:sz w:val="24"/>
      <w:szCs w:val="24"/>
    </w:rPr>
  </w:style>
  <w:style w:type="paragraph" w:customStyle="1" w:styleId="msonormal0">
    <w:name w:val="msonormal"/>
    <w:basedOn w:val="Normal"/>
    <w:uiPriority w:val="99"/>
    <w:rsid w:val="00332359"/>
    <w:pPr>
      <w:spacing w:before="100" w:after="100"/>
      <w:jc w:val="left"/>
    </w:pPr>
    <w:rPr>
      <w:rFonts w:ascii="Times New Roman" w:hAnsi="Times New Roman" w:cs="Times New Roman"/>
      <w:lang w:val="en-GB"/>
    </w:rPr>
  </w:style>
  <w:style w:type="character" w:customStyle="1" w:styleId="CommentTextChar1">
    <w:name w:val="Comment Text Char1"/>
    <w:aliases w:val="Comment Text Char Char Char Char1,Comment Text Char Char Char2"/>
    <w:basedOn w:val="DefaultParagraphFont"/>
    <w:uiPriority w:val="99"/>
    <w:semiHidden/>
    <w:rsid w:val="00332359"/>
    <w:rPr>
      <w:rFonts w:ascii="Calibri" w:hAnsi="Calibri" w:cs="Arial"/>
    </w:rPr>
  </w:style>
  <w:style w:type="character" w:customStyle="1" w:styleId="HeaderChar1">
    <w:name w:val="Header Char1"/>
    <w:aliases w:val="Page Header Char1,Header title Char1,he=header Char1,cntr/bld Char1"/>
    <w:basedOn w:val="DefaultParagraphFont"/>
    <w:semiHidden/>
    <w:rsid w:val="00332359"/>
    <w:rPr>
      <w:rFonts w:ascii="Calibri" w:hAnsi="Calibri" w:cs="Arial"/>
      <w:sz w:val="24"/>
      <w:szCs w:val="24"/>
    </w:rPr>
  </w:style>
  <w:style w:type="character" w:customStyle="1" w:styleId="CaptionFootnoteChar">
    <w:name w:val="Caption Footnote Char"/>
    <w:basedOn w:val="DefaultParagraphFont"/>
    <w:link w:val="CaptionFootnote"/>
    <w:locked/>
    <w:rsid w:val="00332359"/>
    <w:rPr>
      <w:rFonts w:ascii="Calibri" w:hAnsi="Calibri" w:cs="Calibri"/>
      <w:bCs/>
      <w:sz w:val="16"/>
      <w:szCs w:val="18"/>
    </w:rPr>
  </w:style>
  <w:style w:type="paragraph" w:customStyle="1" w:styleId="CaptionFootnote">
    <w:name w:val="Caption Footnote"/>
    <w:basedOn w:val="Normal"/>
    <w:link w:val="CaptionFootnoteChar"/>
    <w:qFormat/>
    <w:rsid w:val="00332359"/>
    <w:pPr>
      <w:widowControl w:val="0"/>
      <w:spacing w:line="276" w:lineRule="auto"/>
      <w:jc w:val="left"/>
    </w:pPr>
    <w:rPr>
      <w:rFonts w:cs="Calibri"/>
      <w:bCs/>
      <w:sz w:val="16"/>
      <w:szCs w:val="18"/>
    </w:rPr>
  </w:style>
  <w:style w:type="paragraph" w:customStyle="1" w:styleId="TableLetters">
    <w:name w:val="Table Letters"/>
    <w:basedOn w:val="Normal"/>
    <w:uiPriority w:val="3"/>
    <w:qFormat/>
    <w:rsid w:val="00332359"/>
    <w:pPr>
      <w:numPr>
        <w:numId w:val="15"/>
      </w:numPr>
      <w:jc w:val="left"/>
    </w:pPr>
    <w:rPr>
      <w:rFonts w:eastAsia="MS Gothic" w:cs="Times New Roman"/>
      <w:sz w:val="20"/>
      <w:szCs w:val="22"/>
      <w:lang w:eastAsia="en-US" w:bidi="en-US"/>
    </w:rPr>
  </w:style>
  <w:style w:type="paragraph" w:customStyle="1" w:styleId="pf0">
    <w:name w:val="pf0"/>
    <w:basedOn w:val="Normal"/>
    <w:uiPriority w:val="99"/>
    <w:rsid w:val="00332359"/>
    <w:pPr>
      <w:spacing w:before="100" w:beforeAutospacing="1" w:after="100" w:afterAutospacing="1"/>
      <w:jc w:val="left"/>
    </w:pPr>
    <w:rPr>
      <w:rFonts w:ascii="Times New Roman" w:hAnsi="Times New Roman" w:cs="Times New Roman"/>
    </w:rPr>
  </w:style>
  <w:style w:type="character" w:customStyle="1" w:styleId="FontUnderlined">
    <w:name w:val="Font Underlined"/>
    <w:basedOn w:val="DefaultParagraphFont"/>
    <w:uiPriority w:val="1"/>
    <w:qFormat/>
    <w:rsid w:val="00332359"/>
    <w:rPr>
      <w:rFonts w:ascii="Calibri" w:hAnsi="Calibri" w:cs="Calibri" w:hint="default"/>
      <w:sz w:val="24"/>
      <w:u w:val="single"/>
    </w:rPr>
  </w:style>
  <w:style w:type="character" w:customStyle="1" w:styleId="FontBold">
    <w:name w:val="Font Bold"/>
    <w:basedOn w:val="DefaultParagraphFont"/>
    <w:uiPriority w:val="1"/>
    <w:qFormat/>
    <w:rsid w:val="00332359"/>
    <w:rPr>
      <w:rFonts w:ascii="Calibri" w:hAnsi="Calibri" w:cs="Calibri" w:hint="default"/>
      <w:b/>
      <w:bCs w:val="0"/>
      <w:sz w:val="24"/>
    </w:rPr>
  </w:style>
  <w:style w:type="character" w:customStyle="1" w:styleId="normaltextrun">
    <w:name w:val="normaltextrun"/>
    <w:basedOn w:val="DefaultParagraphFont"/>
    <w:rsid w:val="00332359"/>
  </w:style>
  <w:style w:type="character" w:customStyle="1" w:styleId="superscript">
    <w:name w:val="superscript"/>
    <w:basedOn w:val="DefaultParagraphFont"/>
    <w:rsid w:val="00332359"/>
  </w:style>
  <w:style w:type="character" w:customStyle="1" w:styleId="eop">
    <w:name w:val="eop"/>
    <w:basedOn w:val="DefaultParagraphFont"/>
    <w:rsid w:val="00332359"/>
  </w:style>
  <w:style w:type="character" w:customStyle="1" w:styleId="cf01">
    <w:name w:val="cf01"/>
    <w:basedOn w:val="DefaultParagraphFont"/>
    <w:rsid w:val="00332359"/>
    <w:rPr>
      <w:rFonts w:ascii="Segoe UI" w:hAnsi="Segoe UI" w:cs="Segoe UI" w:hint="default"/>
      <w:sz w:val="18"/>
      <w:szCs w:val="18"/>
    </w:rPr>
  </w:style>
  <w:style w:type="character" w:customStyle="1" w:styleId="cf11">
    <w:name w:val="cf11"/>
    <w:basedOn w:val="DefaultParagraphFont"/>
    <w:rsid w:val="00332359"/>
    <w:rPr>
      <w:rFonts w:ascii="Segoe UI" w:hAnsi="Segoe UI" w:cs="Segoe UI" w:hint="default"/>
      <w:sz w:val="18"/>
      <w:szCs w:val="18"/>
    </w:rPr>
  </w:style>
  <w:style w:type="table" w:customStyle="1" w:styleId="PlainTable211">
    <w:name w:val="Plain Table 211"/>
    <w:basedOn w:val="TableNormal"/>
    <w:uiPriority w:val="42"/>
    <w:rsid w:val="00332359"/>
    <w:rPr>
      <w:rFonts w:ascii="Calibri" w:eastAsia="Calibri" w:hAnsi="Calibri"/>
      <w:sz w:val="22"/>
      <w:szCs w:val="22"/>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Summarybox1">
    <w:name w:val="Summary box1"/>
    <w:basedOn w:val="TableNormal"/>
    <w:uiPriority w:val="59"/>
    <w:rsid w:val="00332359"/>
    <w:rPr>
      <w:rFonts w:ascii="Candara" w:eastAsia="MS Gothic" w:hAnsi="Candara"/>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bmissionstandard1">
    <w:name w:val="Submission standard1"/>
    <w:uiPriority w:val="99"/>
    <w:qFormat/>
    <w:rsid w:val="00332359"/>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tblStylePr w:type="firstRow">
      <w:rPr>
        <w:rFonts w:ascii="Arial Bold" w:hAnsi="Arial Bold" w:cs="Times New Roman" w:hint="default"/>
        <w:b/>
        <w:sz w:val="20"/>
        <w:szCs w:val="20"/>
      </w:rPr>
      <w:tblPr/>
      <w:tcPr>
        <w:shd w:val="clear" w:color="auto" w:fill="BFBFBF"/>
      </w:tcPr>
    </w:tblStylePr>
  </w:style>
  <w:style w:type="table" w:customStyle="1" w:styleId="TableGrid1">
    <w:name w:val="Table Grid1"/>
    <w:basedOn w:val="TableNormal"/>
    <w:uiPriority w:val="39"/>
    <w:rsid w:val="00332359"/>
    <w:rPr>
      <w:rFonts w:eastAsia="Batang"/>
      <w:lang w:val="en-US" w:eastAsia="en-US"/>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ummarybox2">
    <w:name w:val="Summary box2"/>
    <w:basedOn w:val="TableNormal"/>
    <w:uiPriority w:val="59"/>
    <w:rsid w:val="00332359"/>
    <w:rPr>
      <w:rFonts w:ascii="Candara" w:eastAsia="MS Gothic" w:hAnsi="Candara"/>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arybox3">
    <w:name w:val="Summary box3"/>
    <w:basedOn w:val="TableNormal"/>
    <w:uiPriority w:val="59"/>
    <w:rsid w:val="00332359"/>
    <w:rPr>
      <w:rFonts w:ascii="Candara" w:eastAsia="MS Gothic" w:hAnsi="Candara"/>
      <w:szCs w:val="22"/>
      <w:lang w:val="en-US" w:eastAsia="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2">
    <w:name w:val="Plain Table 212"/>
    <w:basedOn w:val="TableNormal"/>
    <w:uiPriority w:val="42"/>
    <w:rsid w:val="00332359"/>
    <w:rPr>
      <w:rFonts w:ascii="Calibri" w:eastAsia="Calibri" w:hAnsi="Calibri"/>
      <w:sz w:val="22"/>
      <w:szCs w:val="22"/>
      <w:lang w:eastAsia="en-US"/>
    </w:rPr>
    <w:tblPr>
      <w:tblStyleRowBandSize w:val="1"/>
      <w:tblStyleColBandSize w:val="1"/>
      <w:tblInd w:w="0" w:type="nil"/>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BACESHeading1">
    <w:name w:val="PBAC ES Heading 1"/>
    <w:basedOn w:val="Heading1"/>
    <w:next w:val="ListParagraph"/>
    <w:uiPriority w:val="1"/>
    <w:qFormat/>
    <w:rsid w:val="004A52A9"/>
    <w:pPr>
      <w:keepNext/>
      <w:keepLines/>
      <w:tabs>
        <w:tab w:val="left" w:pos="1077"/>
      </w:tabs>
      <w:spacing w:before="240" w:after="120"/>
      <w:jc w:val="left"/>
    </w:pPr>
    <w:rPr>
      <w:rFonts w:asciiTheme="minorHAnsi" w:hAnsiTheme="minorHAnsi"/>
      <w:caps w:val="0"/>
      <w:snapToGrid w:val="0"/>
      <w:szCs w:val="32"/>
      <w:lang w:eastAsia="en-US"/>
    </w:rPr>
  </w:style>
  <w:style w:type="paragraph" w:customStyle="1" w:styleId="PBACESHeading2">
    <w:name w:val="PBAC ES Heading 2"/>
    <w:basedOn w:val="Heading2"/>
    <w:uiPriority w:val="1"/>
    <w:qFormat/>
    <w:rsid w:val="004A52A9"/>
    <w:pPr>
      <w:keepNext/>
      <w:keepLines/>
      <w:spacing w:before="360" w:after="120"/>
      <w:ind w:left="720" w:hanging="720"/>
      <w:jc w:val="left"/>
    </w:pPr>
    <w:rPr>
      <w:rFonts w:asciiTheme="majorHAnsi" w:eastAsiaTheme="majorEastAsia" w:hAnsiTheme="majorHAnsi" w:cstheme="majorBidi"/>
      <w:snapToGrid w:val="0"/>
      <w:szCs w:val="28"/>
      <w:lang w:eastAsia="en-GB"/>
    </w:rPr>
  </w:style>
  <w:style w:type="paragraph" w:customStyle="1" w:styleId="PBACESHeadingCAPS">
    <w:name w:val="PBAC ES Heading CAPS"/>
    <w:basedOn w:val="PBACESHeading2"/>
    <w:uiPriority w:val="1"/>
    <w:qFormat/>
    <w:rsid w:val="004A52A9"/>
    <w:rPr>
      <w:i w:val="0"/>
      <w:smallCaps/>
      <w:sz w:val="32"/>
    </w:rPr>
  </w:style>
  <w:style w:type="paragraph" w:customStyle="1" w:styleId="PBACESHeading3">
    <w:name w:val="PBAC ES Heading 3"/>
    <w:basedOn w:val="PBACESHeading2"/>
    <w:uiPriority w:val="1"/>
    <w:qFormat/>
    <w:rsid w:val="004A52A9"/>
    <w:pPr>
      <w:ind w:left="1080" w:hanging="1080"/>
    </w:pPr>
    <w:rPr>
      <w:i w:val="0"/>
      <w:sz w:val="24"/>
    </w:rPr>
  </w:style>
  <w:style w:type="paragraph" w:customStyle="1" w:styleId="MSACHeading1">
    <w:name w:val="MSAC Heading 1"/>
    <w:basedOn w:val="Heading1"/>
    <w:next w:val="Normal"/>
    <w:uiPriority w:val="1"/>
    <w:qFormat/>
    <w:rsid w:val="004A52A9"/>
    <w:pPr>
      <w:keepNext/>
      <w:keepLines/>
      <w:spacing w:before="160" w:after="240" w:line="259" w:lineRule="auto"/>
      <w:jc w:val="left"/>
    </w:pPr>
    <w:rPr>
      <w:rFonts w:ascii="Arial" w:eastAsiaTheme="majorEastAsia" w:hAnsi="Arial" w:cstheme="majorBidi"/>
      <w:caps w:val="0"/>
      <w:sz w:val="24"/>
      <w:szCs w:val="28"/>
      <w:lang w:eastAsia="en-US"/>
    </w:rPr>
  </w:style>
  <w:style w:type="paragraph" w:customStyle="1" w:styleId="MSACESHeading2">
    <w:name w:val="MSAC ES Heading 2"/>
    <w:basedOn w:val="Heading2"/>
    <w:next w:val="Normal"/>
    <w:uiPriority w:val="1"/>
    <w:qFormat/>
    <w:rsid w:val="004A52A9"/>
    <w:pPr>
      <w:keepNext/>
      <w:keepLines/>
      <w:spacing w:before="360" w:after="120"/>
      <w:ind w:left="720" w:hanging="720"/>
      <w:jc w:val="left"/>
    </w:pPr>
    <w:rPr>
      <w:rFonts w:ascii="Cambria" w:eastAsiaTheme="majorEastAsia" w:hAnsi="Cambria" w:cstheme="majorBidi"/>
      <w:i w:val="0"/>
      <w:snapToGrid w:val="0"/>
      <w:sz w:val="24"/>
      <w:szCs w:val="28"/>
      <w:lang w:eastAsia="en-GB"/>
    </w:rPr>
  </w:style>
  <w:style w:type="paragraph" w:styleId="ListNumber">
    <w:name w:val="List Number"/>
    <w:basedOn w:val="Normal"/>
    <w:uiPriority w:val="16"/>
    <w:qFormat/>
    <w:rsid w:val="00654435"/>
    <w:pPr>
      <w:tabs>
        <w:tab w:val="num" w:pos="357"/>
      </w:tabs>
      <w:spacing w:after="240" w:line="360" w:lineRule="auto"/>
      <w:ind w:left="357" w:hanging="357"/>
      <w:jc w:val="left"/>
    </w:pPr>
    <w:rPr>
      <w:rFonts w:ascii="Arial" w:eastAsiaTheme="minorHAnsi" w:hAnsi="Arial" w:cstheme="minorBidi"/>
      <w:sz w:val="20"/>
      <w:szCs w:val="20"/>
      <w:lang w:eastAsia="en-US"/>
    </w:rPr>
  </w:style>
  <w:style w:type="paragraph" w:customStyle="1" w:styleId="3-SubsectionHeading">
    <w:name w:val="3-Subsection Heading"/>
    <w:basedOn w:val="Heading2"/>
    <w:next w:val="Normal"/>
    <w:link w:val="3-SubsectionHeadingChar"/>
    <w:qFormat/>
    <w:rsid w:val="00427986"/>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27986"/>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974">
      <w:bodyDiv w:val="1"/>
      <w:marLeft w:val="0"/>
      <w:marRight w:val="0"/>
      <w:marTop w:val="0"/>
      <w:marBottom w:val="0"/>
      <w:divBdr>
        <w:top w:val="none" w:sz="0" w:space="0" w:color="auto"/>
        <w:left w:val="none" w:sz="0" w:space="0" w:color="auto"/>
        <w:bottom w:val="none" w:sz="0" w:space="0" w:color="auto"/>
        <w:right w:val="none" w:sz="0" w:space="0" w:color="auto"/>
      </w:divBdr>
    </w:div>
    <w:div w:id="17127476">
      <w:bodyDiv w:val="1"/>
      <w:marLeft w:val="0"/>
      <w:marRight w:val="0"/>
      <w:marTop w:val="0"/>
      <w:marBottom w:val="0"/>
      <w:divBdr>
        <w:top w:val="none" w:sz="0" w:space="0" w:color="auto"/>
        <w:left w:val="none" w:sz="0" w:space="0" w:color="auto"/>
        <w:bottom w:val="none" w:sz="0" w:space="0" w:color="auto"/>
        <w:right w:val="none" w:sz="0" w:space="0" w:color="auto"/>
      </w:divBdr>
    </w:div>
    <w:div w:id="49807729">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8882853">
      <w:bodyDiv w:val="1"/>
      <w:marLeft w:val="0"/>
      <w:marRight w:val="0"/>
      <w:marTop w:val="0"/>
      <w:marBottom w:val="0"/>
      <w:divBdr>
        <w:top w:val="none" w:sz="0" w:space="0" w:color="auto"/>
        <w:left w:val="none" w:sz="0" w:space="0" w:color="auto"/>
        <w:bottom w:val="none" w:sz="0" w:space="0" w:color="auto"/>
        <w:right w:val="none" w:sz="0" w:space="0" w:color="auto"/>
      </w:divBdr>
    </w:div>
    <w:div w:id="188446829">
      <w:bodyDiv w:val="1"/>
      <w:marLeft w:val="0"/>
      <w:marRight w:val="0"/>
      <w:marTop w:val="0"/>
      <w:marBottom w:val="0"/>
      <w:divBdr>
        <w:top w:val="none" w:sz="0" w:space="0" w:color="auto"/>
        <w:left w:val="none" w:sz="0" w:space="0" w:color="auto"/>
        <w:bottom w:val="none" w:sz="0" w:space="0" w:color="auto"/>
        <w:right w:val="none" w:sz="0" w:space="0" w:color="auto"/>
      </w:divBdr>
    </w:div>
    <w:div w:id="27698289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0886888">
      <w:bodyDiv w:val="1"/>
      <w:marLeft w:val="0"/>
      <w:marRight w:val="0"/>
      <w:marTop w:val="0"/>
      <w:marBottom w:val="0"/>
      <w:divBdr>
        <w:top w:val="none" w:sz="0" w:space="0" w:color="auto"/>
        <w:left w:val="none" w:sz="0" w:space="0" w:color="auto"/>
        <w:bottom w:val="none" w:sz="0" w:space="0" w:color="auto"/>
        <w:right w:val="none" w:sz="0" w:space="0" w:color="auto"/>
      </w:divBdr>
    </w:div>
    <w:div w:id="338001474">
      <w:bodyDiv w:val="1"/>
      <w:marLeft w:val="0"/>
      <w:marRight w:val="0"/>
      <w:marTop w:val="0"/>
      <w:marBottom w:val="0"/>
      <w:divBdr>
        <w:top w:val="none" w:sz="0" w:space="0" w:color="auto"/>
        <w:left w:val="none" w:sz="0" w:space="0" w:color="auto"/>
        <w:bottom w:val="none" w:sz="0" w:space="0" w:color="auto"/>
        <w:right w:val="none" w:sz="0" w:space="0" w:color="auto"/>
      </w:divBdr>
    </w:div>
    <w:div w:id="418018926">
      <w:bodyDiv w:val="1"/>
      <w:marLeft w:val="0"/>
      <w:marRight w:val="0"/>
      <w:marTop w:val="0"/>
      <w:marBottom w:val="0"/>
      <w:divBdr>
        <w:top w:val="none" w:sz="0" w:space="0" w:color="auto"/>
        <w:left w:val="none" w:sz="0" w:space="0" w:color="auto"/>
        <w:bottom w:val="none" w:sz="0" w:space="0" w:color="auto"/>
        <w:right w:val="none" w:sz="0" w:space="0" w:color="auto"/>
      </w:divBdr>
    </w:div>
    <w:div w:id="430974040">
      <w:bodyDiv w:val="1"/>
      <w:marLeft w:val="0"/>
      <w:marRight w:val="0"/>
      <w:marTop w:val="0"/>
      <w:marBottom w:val="0"/>
      <w:divBdr>
        <w:top w:val="none" w:sz="0" w:space="0" w:color="auto"/>
        <w:left w:val="none" w:sz="0" w:space="0" w:color="auto"/>
        <w:bottom w:val="none" w:sz="0" w:space="0" w:color="auto"/>
        <w:right w:val="none" w:sz="0" w:space="0" w:color="auto"/>
      </w:divBdr>
    </w:div>
    <w:div w:id="449401625">
      <w:bodyDiv w:val="1"/>
      <w:marLeft w:val="0"/>
      <w:marRight w:val="0"/>
      <w:marTop w:val="0"/>
      <w:marBottom w:val="0"/>
      <w:divBdr>
        <w:top w:val="none" w:sz="0" w:space="0" w:color="auto"/>
        <w:left w:val="none" w:sz="0" w:space="0" w:color="auto"/>
        <w:bottom w:val="none" w:sz="0" w:space="0" w:color="auto"/>
        <w:right w:val="none" w:sz="0" w:space="0" w:color="auto"/>
      </w:divBdr>
    </w:div>
    <w:div w:id="458768776">
      <w:bodyDiv w:val="1"/>
      <w:marLeft w:val="0"/>
      <w:marRight w:val="0"/>
      <w:marTop w:val="0"/>
      <w:marBottom w:val="0"/>
      <w:divBdr>
        <w:top w:val="none" w:sz="0" w:space="0" w:color="auto"/>
        <w:left w:val="none" w:sz="0" w:space="0" w:color="auto"/>
        <w:bottom w:val="none" w:sz="0" w:space="0" w:color="auto"/>
        <w:right w:val="none" w:sz="0" w:space="0" w:color="auto"/>
      </w:divBdr>
    </w:div>
    <w:div w:id="588579568">
      <w:bodyDiv w:val="1"/>
      <w:marLeft w:val="0"/>
      <w:marRight w:val="0"/>
      <w:marTop w:val="0"/>
      <w:marBottom w:val="0"/>
      <w:divBdr>
        <w:top w:val="none" w:sz="0" w:space="0" w:color="auto"/>
        <w:left w:val="none" w:sz="0" w:space="0" w:color="auto"/>
        <w:bottom w:val="none" w:sz="0" w:space="0" w:color="auto"/>
        <w:right w:val="none" w:sz="0" w:space="0" w:color="auto"/>
      </w:divBdr>
    </w:div>
    <w:div w:id="622882730">
      <w:bodyDiv w:val="1"/>
      <w:marLeft w:val="0"/>
      <w:marRight w:val="0"/>
      <w:marTop w:val="0"/>
      <w:marBottom w:val="0"/>
      <w:divBdr>
        <w:top w:val="none" w:sz="0" w:space="0" w:color="auto"/>
        <w:left w:val="none" w:sz="0" w:space="0" w:color="auto"/>
        <w:bottom w:val="none" w:sz="0" w:space="0" w:color="auto"/>
        <w:right w:val="none" w:sz="0" w:space="0" w:color="auto"/>
      </w:divBdr>
    </w:div>
    <w:div w:id="630746271">
      <w:bodyDiv w:val="1"/>
      <w:marLeft w:val="0"/>
      <w:marRight w:val="0"/>
      <w:marTop w:val="0"/>
      <w:marBottom w:val="0"/>
      <w:divBdr>
        <w:top w:val="none" w:sz="0" w:space="0" w:color="auto"/>
        <w:left w:val="none" w:sz="0" w:space="0" w:color="auto"/>
        <w:bottom w:val="none" w:sz="0" w:space="0" w:color="auto"/>
        <w:right w:val="none" w:sz="0" w:space="0" w:color="auto"/>
      </w:divBdr>
    </w:div>
    <w:div w:id="739908107">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42031802">
      <w:bodyDiv w:val="1"/>
      <w:marLeft w:val="0"/>
      <w:marRight w:val="0"/>
      <w:marTop w:val="0"/>
      <w:marBottom w:val="0"/>
      <w:divBdr>
        <w:top w:val="none" w:sz="0" w:space="0" w:color="auto"/>
        <w:left w:val="none" w:sz="0" w:space="0" w:color="auto"/>
        <w:bottom w:val="none" w:sz="0" w:space="0" w:color="auto"/>
        <w:right w:val="none" w:sz="0" w:space="0" w:color="auto"/>
      </w:divBdr>
    </w:div>
    <w:div w:id="945843778">
      <w:bodyDiv w:val="1"/>
      <w:marLeft w:val="0"/>
      <w:marRight w:val="0"/>
      <w:marTop w:val="0"/>
      <w:marBottom w:val="0"/>
      <w:divBdr>
        <w:top w:val="none" w:sz="0" w:space="0" w:color="auto"/>
        <w:left w:val="none" w:sz="0" w:space="0" w:color="auto"/>
        <w:bottom w:val="none" w:sz="0" w:space="0" w:color="auto"/>
        <w:right w:val="none" w:sz="0" w:space="0" w:color="auto"/>
      </w:divBdr>
    </w:div>
    <w:div w:id="988637100">
      <w:bodyDiv w:val="1"/>
      <w:marLeft w:val="0"/>
      <w:marRight w:val="0"/>
      <w:marTop w:val="0"/>
      <w:marBottom w:val="0"/>
      <w:divBdr>
        <w:top w:val="none" w:sz="0" w:space="0" w:color="auto"/>
        <w:left w:val="none" w:sz="0" w:space="0" w:color="auto"/>
        <w:bottom w:val="none" w:sz="0" w:space="0" w:color="auto"/>
        <w:right w:val="none" w:sz="0" w:space="0" w:color="auto"/>
      </w:divBdr>
    </w:div>
    <w:div w:id="1018578274">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58832807">
      <w:bodyDiv w:val="1"/>
      <w:marLeft w:val="0"/>
      <w:marRight w:val="0"/>
      <w:marTop w:val="0"/>
      <w:marBottom w:val="0"/>
      <w:divBdr>
        <w:top w:val="none" w:sz="0" w:space="0" w:color="auto"/>
        <w:left w:val="none" w:sz="0" w:space="0" w:color="auto"/>
        <w:bottom w:val="none" w:sz="0" w:space="0" w:color="auto"/>
        <w:right w:val="none" w:sz="0" w:space="0" w:color="auto"/>
      </w:divBdr>
    </w:div>
    <w:div w:id="1322392297">
      <w:bodyDiv w:val="1"/>
      <w:marLeft w:val="0"/>
      <w:marRight w:val="0"/>
      <w:marTop w:val="0"/>
      <w:marBottom w:val="0"/>
      <w:divBdr>
        <w:top w:val="none" w:sz="0" w:space="0" w:color="auto"/>
        <w:left w:val="none" w:sz="0" w:space="0" w:color="auto"/>
        <w:bottom w:val="none" w:sz="0" w:space="0" w:color="auto"/>
        <w:right w:val="none" w:sz="0" w:space="0" w:color="auto"/>
      </w:divBdr>
    </w:div>
    <w:div w:id="1373967765">
      <w:bodyDiv w:val="1"/>
      <w:marLeft w:val="0"/>
      <w:marRight w:val="0"/>
      <w:marTop w:val="0"/>
      <w:marBottom w:val="0"/>
      <w:divBdr>
        <w:top w:val="none" w:sz="0" w:space="0" w:color="auto"/>
        <w:left w:val="none" w:sz="0" w:space="0" w:color="auto"/>
        <w:bottom w:val="none" w:sz="0" w:space="0" w:color="auto"/>
        <w:right w:val="none" w:sz="0" w:space="0" w:color="auto"/>
      </w:divBdr>
    </w:div>
    <w:div w:id="1377394917">
      <w:bodyDiv w:val="1"/>
      <w:marLeft w:val="0"/>
      <w:marRight w:val="0"/>
      <w:marTop w:val="0"/>
      <w:marBottom w:val="0"/>
      <w:divBdr>
        <w:top w:val="none" w:sz="0" w:space="0" w:color="auto"/>
        <w:left w:val="none" w:sz="0" w:space="0" w:color="auto"/>
        <w:bottom w:val="none" w:sz="0" w:space="0" w:color="auto"/>
        <w:right w:val="none" w:sz="0" w:space="0" w:color="auto"/>
      </w:divBdr>
    </w:div>
    <w:div w:id="1387755328">
      <w:bodyDiv w:val="1"/>
      <w:marLeft w:val="0"/>
      <w:marRight w:val="0"/>
      <w:marTop w:val="0"/>
      <w:marBottom w:val="0"/>
      <w:divBdr>
        <w:top w:val="none" w:sz="0" w:space="0" w:color="auto"/>
        <w:left w:val="none" w:sz="0" w:space="0" w:color="auto"/>
        <w:bottom w:val="none" w:sz="0" w:space="0" w:color="auto"/>
        <w:right w:val="none" w:sz="0" w:space="0" w:color="auto"/>
      </w:divBdr>
    </w:div>
    <w:div w:id="1507983648">
      <w:bodyDiv w:val="1"/>
      <w:marLeft w:val="0"/>
      <w:marRight w:val="0"/>
      <w:marTop w:val="0"/>
      <w:marBottom w:val="0"/>
      <w:divBdr>
        <w:top w:val="none" w:sz="0" w:space="0" w:color="auto"/>
        <w:left w:val="none" w:sz="0" w:space="0" w:color="auto"/>
        <w:bottom w:val="none" w:sz="0" w:space="0" w:color="auto"/>
        <w:right w:val="none" w:sz="0" w:space="0" w:color="auto"/>
      </w:divBdr>
    </w:div>
    <w:div w:id="1516460883">
      <w:bodyDiv w:val="1"/>
      <w:marLeft w:val="0"/>
      <w:marRight w:val="0"/>
      <w:marTop w:val="0"/>
      <w:marBottom w:val="0"/>
      <w:divBdr>
        <w:top w:val="none" w:sz="0" w:space="0" w:color="auto"/>
        <w:left w:val="none" w:sz="0" w:space="0" w:color="auto"/>
        <w:bottom w:val="none" w:sz="0" w:space="0" w:color="auto"/>
        <w:right w:val="none" w:sz="0" w:space="0" w:color="auto"/>
      </w:divBdr>
    </w:div>
    <w:div w:id="1663776776">
      <w:bodyDiv w:val="1"/>
      <w:marLeft w:val="0"/>
      <w:marRight w:val="0"/>
      <w:marTop w:val="0"/>
      <w:marBottom w:val="0"/>
      <w:divBdr>
        <w:top w:val="none" w:sz="0" w:space="0" w:color="auto"/>
        <w:left w:val="none" w:sz="0" w:space="0" w:color="auto"/>
        <w:bottom w:val="none" w:sz="0" w:space="0" w:color="auto"/>
        <w:right w:val="none" w:sz="0" w:space="0" w:color="auto"/>
      </w:divBdr>
    </w:div>
    <w:div w:id="1722091436">
      <w:bodyDiv w:val="1"/>
      <w:marLeft w:val="0"/>
      <w:marRight w:val="0"/>
      <w:marTop w:val="0"/>
      <w:marBottom w:val="0"/>
      <w:divBdr>
        <w:top w:val="none" w:sz="0" w:space="0" w:color="auto"/>
        <w:left w:val="none" w:sz="0" w:space="0" w:color="auto"/>
        <w:bottom w:val="none" w:sz="0" w:space="0" w:color="auto"/>
        <w:right w:val="none" w:sz="0" w:space="0" w:color="auto"/>
      </w:divBdr>
    </w:div>
    <w:div w:id="1752585504">
      <w:bodyDiv w:val="1"/>
      <w:marLeft w:val="0"/>
      <w:marRight w:val="0"/>
      <w:marTop w:val="0"/>
      <w:marBottom w:val="0"/>
      <w:divBdr>
        <w:top w:val="none" w:sz="0" w:space="0" w:color="auto"/>
        <w:left w:val="none" w:sz="0" w:space="0" w:color="auto"/>
        <w:bottom w:val="none" w:sz="0" w:space="0" w:color="auto"/>
        <w:right w:val="none" w:sz="0" w:space="0" w:color="auto"/>
      </w:divBdr>
      <w:divsChild>
        <w:div w:id="722561274">
          <w:marLeft w:val="1080"/>
          <w:marRight w:val="0"/>
          <w:marTop w:val="100"/>
          <w:marBottom w:val="0"/>
          <w:divBdr>
            <w:top w:val="none" w:sz="0" w:space="0" w:color="auto"/>
            <w:left w:val="none" w:sz="0" w:space="0" w:color="auto"/>
            <w:bottom w:val="none" w:sz="0" w:space="0" w:color="auto"/>
            <w:right w:val="none" w:sz="0" w:space="0" w:color="auto"/>
          </w:divBdr>
        </w:div>
      </w:divsChild>
    </w:div>
    <w:div w:id="1841000503">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58019982">
      <w:bodyDiv w:val="1"/>
      <w:marLeft w:val="0"/>
      <w:marRight w:val="0"/>
      <w:marTop w:val="0"/>
      <w:marBottom w:val="0"/>
      <w:divBdr>
        <w:top w:val="none" w:sz="0" w:space="0" w:color="auto"/>
        <w:left w:val="none" w:sz="0" w:space="0" w:color="auto"/>
        <w:bottom w:val="none" w:sz="0" w:space="0" w:color="auto"/>
        <w:right w:val="none" w:sz="0" w:space="0" w:color="auto"/>
      </w:divBdr>
    </w:div>
    <w:div w:id="1970044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assic.clinicaltrials.gov/ct2/show/study/NCT03690388"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ascopubs.org/doi/abs/10.1200/JCO.2023.41.16_suppl.e18087" TargetMode="External"/><Relationship Id="rId2" Type="http://schemas.openxmlformats.org/officeDocument/2006/relationships/hyperlink" Target="https://www.sciencedirect.com/science/article/pii/S0923753422006949?via%3Dihub" TargetMode="External"/><Relationship Id="rId1" Type="http://schemas.openxmlformats.org/officeDocument/2006/relationships/hyperlink" Target="file:///C:/Users/MQ20155313/Desktop/PBAC/efaidnbmnnnibpcajpcglclefindmkaj/https:/gco.iarc.fr/today/data/factsheets/populations/36-australia-fact-sheets.pdf" TargetMode="External"/><Relationship Id="rId5" Type="http://schemas.openxmlformats.org/officeDocument/2006/relationships/hyperlink" Target="https://www.aihw.gov.au/reports/cancer/cancer-data-in-australia/data" TargetMode="External"/><Relationship Id="rId4" Type="http://schemas.openxmlformats.org/officeDocument/2006/relationships/hyperlink" Target="https://www.nice.org.uk/guidance/gid-ta10932/documents/6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46</Pages>
  <Words>17046</Words>
  <Characters>97168</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113987</CharactersWithSpaces>
  <SharedDoc>false</SharedDoc>
  <HLinks>
    <vt:vector size="180" baseType="variant">
      <vt:variant>
        <vt:i4>327767</vt:i4>
      </vt:variant>
      <vt:variant>
        <vt:i4>201</vt:i4>
      </vt:variant>
      <vt:variant>
        <vt:i4>0</vt:i4>
      </vt:variant>
      <vt:variant>
        <vt:i4>5</vt:i4>
      </vt:variant>
      <vt:variant>
        <vt:lpwstr>https://classic.clinicaltrials.gov/ct2/show/study/NCT03690388</vt:lpwstr>
      </vt:variant>
      <vt:variant>
        <vt:lpwstr/>
      </vt:variant>
      <vt:variant>
        <vt:i4>1572915</vt:i4>
      </vt:variant>
      <vt:variant>
        <vt:i4>140</vt:i4>
      </vt:variant>
      <vt:variant>
        <vt:i4>0</vt:i4>
      </vt:variant>
      <vt:variant>
        <vt:i4>5</vt:i4>
      </vt:variant>
      <vt:variant>
        <vt:lpwstr/>
      </vt:variant>
      <vt:variant>
        <vt:lpwstr>_Toc142926246</vt:lpwstr>
      </vt:variant>
      <vt:variant>
        <vt:i4>1572915</vt:i4>
      </vt:variant>
      <vt:variant>
        <vt:i4>134</vt:i4>
      </vt:variant>
      <vt:variant>
        <vt:i4>0</vt:i4>
      </vt:variant>
      <vt:variant>
        <vt:i4>5</vt:i4>
      </vt:variant>
      <vt:variant>
        <vt:lpwstr/>
      </vt:variant>
      <vt:variant>
        <vt:lpwstr>_Toc142926245</vt:lpwstr>
      </vt:variant>
      <vt:variant>
        <vt:i4>1572915</vt:i4>
      </vt:variant>
      <vt:variant>
        <vt:i4>128</vt:i4>
      </vt:variant>
      <vt:variant>
        <vt:i4>0</vt:i4>
      </vt:variant>
      <vt:variant>
        <vt:i4>5</vt:i4>
      </vt:variant>
      <vt:variant>
        <vt:lpwstr/>
      </vt:variant>
      <vt:variant>
        <vt:lpwstr>_Toc142926244</vt:lpwstr>
      </vt:variant>
      <vt:variant>
        <vt:i4>1572915</vt:i4>
      </vt:variant>
      <vt:variant>
        <vt:i4>122</vt:i4>
      </vt:variant>
      <vt:variant>
        <vt:i4>0</vt:i4>
      </vt:variant>
      <vt:variant>
        <vt:i4>5</vt:i4>
      </vt:variant>
      <vt:variant>
        <vt:lpwstr/>
      </vt:variant>
      <vt:variant>
        <vt:lpwstr>_Toc142926243</vt:lpwstr>
      </vt:variant>
      <vt:variant>
        <vt:i4>1572915</vt:i4>
      </vt:variant>
      <vt:variant>
        <vt:i4>116</vt:i4>
      </vt:variant>
      <vt:variant>
        <vt:i4>0</vt:i4>
      </vt:variant>
      <vt:variant>
        <vt:i4>5</vt:i4>
      </vt:variant>
      <vt:variant>
        <vt:lpwstr/>
      </vt:variant>
      <vt:variant>
        <vt:lpwstr>_Toc142926242</vt:lpwstr>
      </vt:variant>
      <vt:variant>
        <vt:i4>1572915</vt:i4>
      </vt:variant>
      <vt:variant>
        <vt:i4>110</vt:i4>
      </vt:variant>
      <vt:variant>
        <vt:i4>0</vt:i4>
      </vt:variant>
      <vt:variant>
        <vt:i4>5</vt:i4>
      </vt:variant>
      <vt:variant>
        <vt:lpwstr/>
      </vt:variant>
      <vt:variant>
        <vt:lpwstr>_Toc142926241</vt:lpwstr>
      </vt:variant>
      <vt:variant>
        <vt:i4>1572915</vt:i4>
      </vt:variant>
      <vt:variant>
        <vt:i4>104</vt:i4>
      </vt:variant>
      <vt:variant>
        <vt:i4>0</vt:i4>
      </vt:variant>
      <vt:variant>
        <vt:i4>5</vt:i4>
      </vt:variant>
      <vt:variant>
        <vt:lpwstr/>
      </vt:variant>
      <vt:variant>
        <vt:lpwstr>_Toc142926240</vt:lpwstr>
      </vt:variant>
      <vt:variant>
        <vt:i4>2031667</vt:i4>
      </vt:variant>
      <vt:variant>
        <vt:i4>98</vt:i4>
      </vt:variant>
      <vt:variant>
        <vt:i4>0</vt:i4>
      </vt:variant>
      <vt:variant>
        <vt:i4>5</vt:i4>
      </vt:variant>
      <vt:variant>
        <vt:lpwstr/>
      </vt:variant>
      <vt:variant>
        <vt:lpwstr>_Toc142926239</vt:lpwstr>
      </vt:variant>
      <vt:variant>
        <vt:i4>2031667</vt:i4>
      </vt:variant>
      <vt:variant>
        <vt:i4>92</vt:i4>
      </vt:variant>
      <vt:variant>
        <vt:i4>0</vt:i4>
      </vt:variant>
      <vt:variant>
        <vt:i4>5</vt:i4>
      </vt:variant>
      <vt:variant>
        <vt:lpwstr/>
      </vt:variant>
      <vt:variant>
        <vt:lpwstr>_Toc142926238</vt:lpwstr>
      </vt:variant>
      <vt:variant>
        <vt:i4>2031667</vt:i4>
      </vt:variant>
      <vt:variant>
        <vt:i4>86</vt:i4>
      </vt:variant>
      <vt:variant>
        <vt:i4>0</vt:i4>
      </vt:variant>
      <vt:variant>
        <vt:i4>5</vt:i4>
      </vt:variant>
      <vt:variant>
        <vt:lpwstr/>
      </vt:variant>
      <vt:variant>
        <vt:lpwstr>_Toc142926237</vt:lpwstr>
      </vt:variant>
      <vt:variant>
        <vt:i4>2031667</vt:i4>
      </vt:variant>
      <vt:variant>
        <vt:i4>80</vt:i4>
      </vt:variant>
      <vt:variant>
        <vt:i4>0</vt:i4>
      </vt:variant>
      <vt:variant>
        <vt:i4>5</vt:i4>
      </vt:variant>
      <vt:variant>
        <vt:lpwstr/>
      </vt:variant>
      <vt:variant>
        <vt:lpwstr>_Toc142926236</vt:lpwstr>
      </vt:variant>
      <vt:variant>
        <vt:i4>2031667</vt:i4>
      </vt:variant>
      <vt:variant>
        <vt:i4>74</vt:i4>
      </vt:variant>
      <vt:variant>
        <vt:i4>0</vt:i4>
      </vt:variant>
      <vt:variant>
        <vt:i4>5</vt:i4>
      </vt:variant>
      <vt:variant>
        <vt:lpwstr/>
      </vt:variant>
      <vt:variant>
        <vt:lpwstr>_Toc142926235</vt:lpwstr>
      </vt:variant>
      <vt:variant>
        <vt:i4>2031667</vt:i4>
      </vt:variant>
      <vt:variant>
        <vt:i4>68</vt:i4>
      </vt:variant>
      <vt:variant>
        <vt:i4>0</vt:i4>
      </vt:variant>
      <vt:variant>
        <vt:i4>5</vt:i4>
      </vt:variant>
      <vt:variant>
        <vt:lpwstr/>
      </vt:variant>
      <vt:variant>
        <vt:lpwstr>_Toc142926234</vt:lpwstr>
      </vt:variant>
      <vt:variant>
        <vt:i4>2031667</vt:i4>
      </vt:variant>
      <vt:variant>
        <vt:i4>62</vt:i4>
      </vt:variant>
      <vt:variant>
        <vt:i4>0</vt:i4>
      </vt:variant>
      <vt:variant>
        <vt:i4>5</vt:i4>
      </vt:variant>
      <vt:variant>
        <vt:lpwstr/>
      </vt:variant>
      <vt:variant>
        <vt:lpwstr>_Toc142926233</vt:lpwstr>
      </vt:variant>
      <vt:variant>
        <vt:i4>2031667</vt:i4>
      </vt:variant>
      <vt:variant>
        <vt:i4>56</vt:i4>
      </vt:variant>
      <vt:variant>
        <vt:i4>0</vt:i4>
      </vt:variant>
      <vt:variant>
        <vt:i4>5</vt:i4>
      </vt:variant>
      <vt:variant>
        <vt:lpwstr/>
      </vt:variant>
      <vt:variant>
        <vt:lpwstr>_Toc142926232</vt:lpwstr>
      </vt:variant>
      <vt:variant>
        <vt:i4>2031667</vt:i4>
      </vt:variant>
      <vt:variant>
        <vt:i4>50</vt:i4>
      </vt:variant>
      <vt:variant>
        <vt:i4>0</vt:i4>
      </vt:variant>
      <vt:variant>
        <vt:i4>5</vt:i4>
      </vt:variant>
      <vt:variant>
        <vt:lpwstr/>
      </vt:variant>
      <vt:variant>
        <vt:lpwstr>_Toc142926231</vt:lpwstr>
      </vt:variant>
      <vt:variant>
        <vt:i4>2031667</vt:i4>
      </vt:variant>
      <vt:variant>
        <vt:i4>44</vt:i4>
      </vt:variant>
      <vt:variant>
        <vt:i4>0</vt:i4>
      </vt:variant>
      <vt:variant>
        <vt:i4>5</vt:i4>
      </vt:variant>
      <vt:variant>
        <vt:lpwstr/>
      </vt:variant>
      <vt:variant>
        <vt:lpwstr>_Toc142926230</vt:lpwstr>
      </vt:variant>
      <vt:variant>
        <vt:i4>1966131</vt:i4>
      </vt:variant>
      <vt:variant>
        <vt:i4>38</vt:i4>
      </vt:variant>
      <vt:variant>
        <vt:i4>0</vt:i4>
      </vt:variant>
      <vt:variant>
        <vt:i4>5</vt:i4>
      </vt:variant>
      <vt:variant>
        <vt:lpwstr/>
      </vt:variant>
      <vt:variant>
        <vt:lpwstr>_Toc142926229</vt:lpwstr>
      </vt:variant>
      <vt:variant>
        <vt:i4>1966131</vt:i4>
      </vt:variant>
      <vt:variant>
        <vt:i4>32</vt:i4>
      </vt:variant>
      <vt:variant>
        <vt:i4>0</vt:i4>
      </vt:variant>
      <vt:variant>
        <vt:i4>5</vt:i4>
      </vt:variant>
      <vt:variant>
        <vt:lpwstr/>
      </vt:variant>
      <vt:variant>
        <vt:lpwstr>_Toc142926228</vt:lpwstr>
      </vt:variant>
      <vt:variant>
        <vt:i4>1966131</vt:i4>
      </vt:variant>
      <vt:variant>
        <vt:i4>26</vt:i4>
      </vt:variant>
      <vt:variant>
        <vt:i4>0</vt:i4>
      </vt:variant>
      <vt:variant>
        <vt:i4>5</vt:i4>
      </vt:variant>
      <vt:variant>
        <vt:lpwstr/>
      </vt:variant>
      <vt:variant>
        <vt:lpwstr>_Toc142926227</vt:lpwstr>
      </vt:variant>
      <vt:variant>
        <vt:i4>1966131</vt:i4>
      </vt:variant>
      <vt:variant>
        <vt:i4>20</vt:i4>
      </vt:variant>
      <vt:variant>
        <vt:i4>0</vt:i4>
      </vt:variant>
      <vt:variant>
        <vt:i4>5</vt:i4>
      </vt:variant>
      <vt:variant>
        <vt:lpwstr/>
      </vt:variant>
      <vt:variant>
        <vt:lpwstr>_Toc142926226</vt:lpwstr>
      </vt:variant>
      <vt:variant>
        <vt:i4>1966131</vt:i4>
      </vt:variant>
      <vt:variant>
        <vt:i4>14</vt:i4>
      </vt:variant>
      <vt:variant>
        <vt:i4>0</vt:i4>
      </vt:variant>
      <vt:variant>
        <vt:i4>5</vt:i4>
      </vt:variant>
      <vt:variant>
        <vt:lpwstr/>
      </vt:variant>
      <vt:variant>
        <vt:lpwstr>_Toc142926225</vt:lpwstr>
      </vt:variant>
      <vt:variant>
        <vt:i4>1966131</vt:i4>
      </vt:variant>
      <vt:variant>
        <vt:i4>8</vt:i4>
      </vt:variant>
      <vt:variant>
        <vt:i4>0</vt:i4>
      </vt:variant>
      <vt:variant>
        <vt:i4>5</vt:i4>
      </vt:variant>
      <vt:variant>
        <vt:lpwstr/>
      </vt:variant>
      <vt:variant>
        <vt:lpwstr>_Toc142926224</vt:lpwstr>
      </vt:variant>
      <vt:variant>
        <vt:i4>1966131</vt:i4>
      </vt:variant>
      <vt:variant>
        <vt:i4>2</vt:i4>
      </vt:variant>
      <vt:variant>
        <vt:i4>0</vt:i4>
      </vt:variant>
      <vt:variant>
        <vt:i4>5</vt:i4>
      </vt:variant>
      <vt:variant>
        <vt:lpwstr/>
      </vt:variant>
      <vt:variant>
        <vt:lpwstr>_Toc142926223</vt:lpwstr>
      </vt:variant>
      <vt:variant>
        <vt:i4>983113</vt:i4>
      </vt:variant>
      <vt:variant>
        <vt:i4>12</vt:i4>
      </vt:variant>
      <vt:variant>
        <vt:i4>0</vt:i4>
      </vt:variant>
      <vt:variant>
        <vt:i4>5</vt:i4>
      </vt:variant>
      <vt:variant>
        <vt:lpwstr>https://www.aihw.gov.au/reports/cancer/cancer-data-in-australia/data</vt:lpwstr>
      </vt:variant>
      <vt:variant>
        <vt:lpwstr/>
      </vt:variant>
      <vt:variant>
        <vt:i4>3407981</vt:i4>
      </vt:variant>
      <vt:variant>
        <vt:i4>9</vt:i4>
      </vt:variant>
      <vt:variant>
        <vt:i4>0</vt:i4>
      </vt:variant>
      <vt:variant>
        <vt:i4>5</vt:i4>
      </vt:variant>
      <vt:variant>
        <vt:lpwstr>https://www.nice.org.uk/guidance/gid-ta10932/documents/674</vt:lpwstr>
      </vt:variant>
      <vt:variant>
        <vt:lpwstr/>
      </vt:variant>
      <vt:variant>
        <vt:i4>7929982</vt:i4>
      </vt:variant>
      <vt:variant>
        <vt:i4>3</vt:i4>
      </vt:variant>
      <vt:variant>
        <vt:i4>0</vt:i4>
      </vt:variant>
      <vt:variant>
        <vt:i4>5</vt:i4>
      </vt:variant>
      <vt:variant>
        <vt:lpwstr>https://www.sciencedirect.com/science/article/pii/S0923753422006949?via%3Dihub</vt:lpwstr>
      </vt:variant>
      <vt:variant>
        <vt:lpwstr/>
      </vt:variant>
      <vt:variant>
        <vt:i4>3997757</vt:i4>
      </vt:variant>
      <vt:variant>
        <vt:i4>0</vt:i4>
      </vt:variant>
      <vt:variant>
        <vt:i4>0</vt:i4>
      </vt:variant>
      <vt:variant>
        <vt:i4>5</vt:i4>
      </vt:variant>
      <vt:variant>
        <vt:lpwstr>C:\Users\MQ20155313\Desktop\PBAC\efaidnbmnnnibpcajpcglclefindmkaj\https:\gco.iarc.fr\today\data\factsheets\populations\36-australia-fact-sheets.pdf</vt:lpwstr>
      </vt:variant>
      <vt:variant>
        <vt:lpwstr/>
      </vt:variant>
      <vt:variant>
        <vt:i4>786455</vt:i4>
      </vt:variant>
      <vt:variant>
        <vt:i4>0</vt:i4>
      </vt:variant>
      <vt:variant>
        <vt:i4>0</vt:i4>
      </vt:variant>
      <vt:variant>
        <vt:i4>5</vt:i4>
      </vt:variant>
      <vt:variant>
        <vt:lpwstr>https://www.pbs.gov.au/info/industry/pricing/anniversary-price-reductions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2024-03-03T23:05:00Z</dcterms:created>
  <dcterms:modified xsi:type="dcterms:W3CDTF">2024-03-14T02:04:00Z</dcterms:modified>
</cp:coreProperties>
</file>