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2A5B7C57" w:rsidR="00B60939" w:rsidRPr="00F6387C" w:rsidRDefault="0098756A" w:rsidP="0070299E">
      <w:pPr>
        <w:pStyle w:val="Style1"/>
        <w:ind w:left="1134" w:hanging="1134"/>
      </w:pPr>
      <w:r w:rsidRPr="00F6387C">
        <w:t>11.01</w:t>
      </w:r>
      <w:r w:rsidR="00163F66" w:rsidRPr="00F6387C">
        <w:tab/>
      </w:r>
      <w:r w:rsidR="008D6A92" w:rsidRPr="00F6387C">
        <w:t>CLADRIBINE</w:t>
      </w:r>
      <w:r w:rsidR="00163F66" w:rsidRPr="00F6387C">
        <w:t>,</w:t>
      </w:r>
      <w:r w:rsidR="00163F66" w:rsidRPr="00F6387C">
        <w:br/>
      </w:r>
      <w:r w:rsidR="00CB7546" w:rsidRPr="00F6387C">
        <w:t>T</w:t>
      </w:r>
      <w:r w:rsidR="008D6A92" w:rsidRPr="00F6387C">
        <w:t>ablet</w:t>
      </w:r>
      <w:r w:rsidR="00837699" w:rsidRPr="00F6387C">
        <w:t xml:space="preserve"> </w:t>
      </w:r>
      <w:r w:rsidR="008D6A92" w:rsidRPr="00F6387C">
        <w:t>10</w:t>
      </w:r>
      <w:r w:rsidRPr="00F6387C">
        <w:t xml:space="preserve"> </w:t>
      </w:r>
      <w:r w:rsidR="008D6A92" w:rsidRPr="00F6387C">
        <w:t>mg</w:t>
      </w:r>
      <w:r w:rsidR="00163F66" w:rsidRPr="00F6387C">
        <w:t>,</w:t>
      </w:r>
      <w:r w:rsidR="00163F66" w:rsidRPr="00F6387C">
        <w:br/>
      </w:r>
      <w:proofErr w:type="spellStart"/>
      <w:r w:rsidR="008D6A92" w:rsidRPr="00F6387C">
        <w:t>Mavenclad</w:t>
      </w:r>
      <w:proofErr w:type="spellEnd"/>
      <w:r w:rsidR="00B60939" w:rsidRPr="00F6387C">
        <w:rPr>
          <w:vertAlign w:val="superscript"/>
        </w:rPr>
        <w:t>®</w:t>
      </w:r>
      <w:r w:rsidR="004A6040" w:rsidRPr="00F6387C">
        <w:t>,</w:t>
      </w:r>
      <w:r w:rsidR="004A6040" w:rsidRPr="00F6387C">
        <w:br/>
      </w:r>
      <w:r w:rsidR="00CB7546" w:rsidRPr="00F6387C">
        <w:t xml:space="preserve">Merck Healthcare </w:t>
      </w:r>
      <w:r w:rsidR="008D6A92" w:rsidRPr="00F6387C">
        <w:t>P</w:t>
      </w:r>
      <w:r w:rsidR="000E2FEC" w:rsidRPr="00F6387C">
        <w:t>ty</w:t>
      </w:r>
      <w:r w:rsidR="008D6A92" w:rsidRPr="00F6387C">
        <w:t xml:space="preserve"> L</w:t>
      </w:r>
      <w:r w:rsidR="000E2FEC" w:rsidRPr="00F6387C">
        <w:t>td</w:t>
      </w:r>
    </w:p>
    <w:p w14:paraId="11C00795" w14:textId="3DFB6D23" w:rsidR="00B50DB8" w:rsidRPr="00F6387C" w:rsidRDefault="00B50DB8" w:rsidP="0098756A">
      <w:pPr>
        <w:pStyle w:val="2-SectionHeading"/>
      </w:pPr>
      <w:bookmarkStart w:id="0" w:name="_Toc145504200"/>
      <w:r w:rsidRPr="00F6387C">
        <w:t xml:space="preserve">Purpose of </w:t>
      </w:r>
      <w:r w:rsidR="00CD7193" w:rsidRPr="00F6387C">
        <w:t>s</w:t>
      </w:r>
      <w:r w:rsidR="00BB3A45" w:rsidRPr="00F6387C">
        <w:t>ubmission</w:t>
      </w:r>
      <w:bookmarkEnd w:id="0"/>
    </w:p>
    <w:p w14:paraId="6E60E297" w14:textId="0911A5AA" w:rsidR="00B434A4" w:rsidRPr="00F6387C" w:rsidRDefault="00B434A4" w:rsidP="00B434A4">
      <w:pPr>
        <w:pStyle w:val="3-BodyText"/>
      </w:pPr>
      <w:r w:rsidRPr="00F6387C">
        <w:t>Th</w:t>
      </w:r>
      <w:r w:rsidR="00E33065" w:rsidRPr="00F6387C">
        <w:t>is Category 2</w:t>
      </w:r>
      <w:r w:rsidRPr="00F6387C">
        <w:t xml:space="preserve"> submission requested a revision to the equi-effective doses of cladribine versus fingolimod for the treatment of relapsing remitting multiple sclerosis (RRMS).</w:t>
      </w:r>
    </w:p>
    <w:p w14:paraId="15E1B537" w14:textId="769BFC37" w:rsidR="00B434A4" w:rsidRPr="00F6387C" w:rsidRDefault="00B434A4" w:rsidP="00B434A4">
      <w:pPr>
        <w:pStyle w:val="3-BodyText"/>
      </w:pPr>
      <w:r w:rsidRPr="00F6387C">
        <w:t xml:space="preserve">Listing was requested on the basis of a </w:t>
      </w:r>
      <w:r w:rsidRPr="00F6387C">
        <w:rPr>
          <w:rFonts w:eastAsia="Calibri"/>
        </w:rPr>
        <w:t xml:space="preserve">cost-minimisation approach (CMA) </w:t>
      </w:r>
      <w:bookmarkStart w:id="1" w:name="_Hlk149824724"/>
      <w:r w:rsidR="006F0F26" w:rsidRPr="00F6387C">
        <w:rPr>
          <w:rFonts w:eastAsia="Calibri"/>
        </w:rPr>
        <w:t xml:space="preserve">of cladribine administered over two years </w:t>
      </w:r>
      <w:r w:rsidR="006815D1" w:rsidRPr="00F6387C">
        <w:rPr>
          <w:rFonts w:eastAsia="Calibri"/>
        </w:rPr>
        <w:t xml:space="preserve">(plus two years of no treatment) </w:t>
      </w:r>
      <w:r w:rsidR="006F0F26" w:rsidRPr="00F6387C">
        <w:rPr>
          <w:rFonts w:eastAsia="Calibri"/>
        </w:rPr>
        <w:t>compared to</w:t>
      </w:r>
      <w:r w:rsidRPr="00F6387C">
        <w:t xml:space="preserve"> fingolimod </w:t>
      </w:r>
      <w:r w:rsidR="006F0F26" w:rsidRPr="00F6387C">
        <w:t xml:space="preserve">administered </w:t>
      </w:r>
      <w:r w:rsidRPr="00F6387C">
        <w:t>over four</w:t>
      </w:r>
      <w:r w:rsidR="008B62BD" w:rsidRPr="00F6387C">
        <w:t xml:space="preserve"> </w:t>
      </w:r>
      <w:r w:rsidRPr="00F6387C">
        <w:t>year</w:t>
      </w:r>
      <w:r w:rsidR="006F0F26" w:rsidRPr="00F6387C">
        <w:t>s</w:t>
      </w:r>
      <w:bookmarkEnd w:id="1"/>
      <w:r w:rsidRPr="00F6387C">
        <w:t>.</w:t>
      </w:r>
    </w:p>
    <w:p w14:paraId="0EF1CA49" w14:textId="7648BFFD" w:rsidR="00B434A4" w:rsidRPr="00F6387C" w:rsidRDefault="00B434A4" w:rsidP="00B434A4">
      <w:pPr>
        <w:pStyle w:val="3-BodyText"/>
      </w:pPr>
      <w:r w:rsidRPr="00F6387C">
        <w:fldChar w:fldCharType="begin" w:fldLock="1"/>
      </w:r>
      <w:r w:rsidRPr="00F6387C">
        <w:instrText xml:space="preserve"> REF _Ref142816548 \h </w:instrText>
      </w:r>
      <w:r w:rsidRPr="00F6387C">
        <w:fldChar w:fldCharType="separate"/>
      </w:r>
      <w:r w:rsidR="000D404D" w:rsidRPr="00F6387C">
        <w:t>Table 1</w:t>
      </w:r>
      <w:r w:rsidRPr="00F6387C">
        <w:fldChar w:fldCharType="end"/>
      </w:r>
      <w:r w:rsidRPr="00F6387C">
        <w:t xml:space="preserve"> provides a summary of the key components of the resubmission.</w:t>
      </w:r>
    </w:p>
    <w:p w14:paraId="6CEA1B0C" w14:textId="4D217B44" w:rsidR="00B434A4" w:rsidRPr="00F6387C" w:rsidRDefault="00B434A4" w:rsidP="00B434A4">
      <w:pPr>
        <w:pStyle w:val="Caption"/>
        <w:rPr>
          <w:rStyle w:val="CommentReference"/>
          <w:b/>
          <w:szCs w:val="24"/>
        </w:rPr>
      </w:pPr>
      <w:bookmarkStart w:id="2" w:name="_Ref142816548"/>
      <w:r w:rsidRPr="00F6387C">
        <w:t xml:space="preserve">Table </w:t>
      </w:r>
      <w:fldSimple w:instr=" SEQ Table \* ARABIC " w:fldLock="1">
        <w:r w:rsidR="000D404D" w:rsidRPr="00F6387C">
          <w:t>1</w:t>
        </w:r>
      </w:fldSimple>
      <w:bookmarkEnd w:id="2"/>
      <w:r w:rsidRPr="00F6387C">
        <w:t>:</w:t>
      </w:r>
      <w:r w:rsidRPr="00F6387C">
        <w:rPr>
          <w:rStyle w:val="CommentReference"/>
          <w:b/>
          <w:szCs w:val="24"/>
        </w:rPr>
        <w:t xml:space="preserve">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Description w:val="Table 1: Key components of the clinical issue addressed by the submission (as stated in the submission)"/>
      </w:tblPr>
      <w:tblGrid>
        <w:gridCol w:w="1668"/>
        <w:gridCol w:w="7488"/>
      </w:tblGrid>
      <w:tr w:rsidR="00B434A4" w:rsidRPr="00F6387C" w14:paraId="4F627A81" w14:textId="77777777" w:rsidTr="00540CC4">
        <w:tc>
          <w:tcPr>
            <w:tcW w:w="1668" w:type="dxa"/>
            <w:vAlign w:val="center"/>
          </w:tcPr>
          <w:p w14:paraId="6C1C94F7" w14:textId="77777777" w:rsidR="00B434A4" w:rsidRPr="00F6387C" w:rsidRDefault="00B434A4" w:rsidP="00540CC4">
            <w:pPr>
              <w:pStyle w:val="In-tableHeading"/>
              <w:rPr>
                <w:lang w:val="en-AU"/>
              </w:rPr>
            </w:pPr>
            <w:r w:rsidRPr="00F6387C">
              <w:rPr>
                <w:lang w:val="en-AU"/>
              </w:rPr>
              <w:t>Component</w:t>
            </w:r>
          </w:p>
        </w:tc>
        <w:tc>
          <w:tcPr>
            <w:tcW w:w="7488" w:type="dxa"/>
            <w:vAlign w:val="center"/>
          </w:tcPr>
          <w:p w14:paraId="1F8BC071" w14:textId="77777777" w:rsidR="00B434A4" w:rsidRPr="00F6387C" w:rsidRDefault="00B434A4" w:rsidP="00540CC4">
            <w:pPr>
              <w:pStyle w:val="In-tableHeading"/>
              <w:rPr>
                <w:lang w:val="en-AU"/>
              </w:rPr>
            </w:pPr>
            <w:r w:rsidRPr="00F6387C">
              <w:rPr>
                <w:lang w:val="en-AU"/>
              </w:rPr>
              <w:t>Description</w:t>
            </w:r>
          </w:p>
        </w:tc>
      </w:tr>
      <w:tr w:rsidR="00B434A4" w:rsidRPr="00F6387C" w14:paraId="68BBE11F" w14:textId="77777777" w:rsidTr="00540CC4">
        <w:tc>
          <w:tcPr>
            <w:tcW w:w="1668" w:type="dxa"/>
            <w:vAlign w:val="center"/>
          </w:tcPr>
          <w:p w14:paraId="10027D55" w14:textId="77777777" w:rsidR="00B434A4" w:rsidRPr="00F6387C" w:rsidRDefault="00B434A4" w:rsidP="00540CC4">
            <w:pPr>
              <w:pStyle w:val="TableText0"/>
            </w:pPr>
            <w:r w:rsidRPr="00F6387C">
              <w:t>Population</w:t>
            </w:r>
          </w:p>
        </w:tc>
        <w:tc>
          <w:tcPr>
            <w:tcW w:w="7488" w:type="dxa"/>
            <w:vAlign w:val="center"/>
          </w:tcPr>
          <w:p w14:paraId="4A8EF0E2" w14:textId="77777777" w:rsidR="00B434A4" w:rsidRPr="00F6387C" w:rsidRDefault="00B434A4" w:rsidP="00540CC4">
            <w:pPr>
              <w:pStyle w:val="TableText0"/>
            </w:pPr>
            <w:r w:rsidRPr="00F6387C">
              <w:t>Patients with RRMS</w:t>
            </w:r>
          </w:p>
        </w:tc>
      </w:tr>
      <w:tr w:rsidR="00B434A4" w:rsidRPr="00F6387C" w14:paraId="7A8F88DA" w14:textId="77777777" w:rsidTr="00540CC4">
        <w:tc>
          <w:tcPr>
            <w:tcW w:w="1668" w:type="dxa"/>
            <w:vAlign w:val="center"/>
          </w:tcPr>
          <w:p w14:paraId="0AB845FF" w14:textId="77777777" w:rsidR="00B434A4" w:rsidRPr="00F6387C" w:rsidRDefault="00B434A4" w:rsidP="00540CC4">
            <w:pPr>
              <w:pStyle w:val="TableText0"/>
            </w:pPr>
            <w:r w:rsidRPr="00F6387C">
              <w:t>Intervention</w:t>
            </w:r>
          </w:p>
        </w:tc>
        <w:tc>
          <w:tcPr>
            <w:tcW w:w="7488" w:type="dxa"/>
            <w:vAlign w:val="center"/>
          </w:tcPr>
          <w:p w14:paraId="5A61F20B" w14:textId="24C4C6CF" w:rsidR="00B434A4" w:rsidRPr="00F6387C" w:rsidRDefault="00B434A4" w:rsidP="00540CC4">
            <w:pPr>
              <w:pStyle w:val="TableText0"/>
            </w:pPr>
            <w:r w:rsidRPr="00F6387C">
              <w:t>Cladribine tablets are taken over 4-5 days in Weeks 1 and 5 in each of the first two years of therapy to give a cumulative dose of 3.5</w:t>
            </w:r>
            <w:r w:rsidR="0047331A" w:rsidRPr="00F6387C">
              <w:t xml:space="preserve"> </w:t>
            </w:r>
            <w:r w:rsidRPr="00F6387C">
              <w:t>mg/kg, followed by observation only for two further years.</w:t>
            </w:r>
          </w:p>
        </w:tc>
      </w:tr>
      <w:tr w:rsidR="00B434A4" w:rsidRPr="00F6387C" w14:paraId="5E7530CC" w14:textId="77777777" w:rsidTr="00540CC4">
        <w:tc>
          <w:tcPr>
            <w:tcW w:w="1668" w:type="dxa"/>
            <w:vAlign w:val="center"/>
          </w:tcPr>
          <w:p w14:paraId="6F8212DF" w14:textId="77777777" w:rsidR="00B434A4" w:rsidRPr="00F6387C" w:rsidRDefault="00B434A4" w:rsidP="00540CC4">
            <w:pPr>
              <w:pStyle w:val="TableText0"/>
            </w:pPr>
            <w:r w:rsidRPr="00F6387C">
              <w:t>Comparator</w:t>
            </w:r>
          </w:p>
        </w:tc>
        <w:tc>
          <w:tcPr>
            <w:tcW w:w="7488" w:type="dxa"/>
            <w:vAlign w:val="center"/>
          </w:tcPr>
          <w:p w14:paraId="6C1AE2A1" w14:textId="17664551" w:rsidR="00B434A4" w:rsidRPr="00F6387C" w:rsidRDefault="00B434A4" w:rsidP="00540CC4">
            <w:pPr>
              <w:pStyle w:val="TableText0"/>
            </w:pPr>
            <w:r w:rsidRPr="00F6387C">
              <w:t>The main comparator for cladribine is fingolimod 0.5</w:t>
            </w:r>
            <w:r w:rsidR="005A1705" w:rsidRPr="00F6387C">
              <w:t xml:space="preserve"> </w:t>
            </w:r>
            <w:r w:rsidRPr="00F6387C">
              <w:t>mg administered daily (over four years to match duration of therapeutic effect for cladribine).</w:t>
            </w:r>
          </w:p>
        </w:tc>
      </w:tr>
      <w:tr w:rsidR="00B434A4" w:rsidRPr="00F6387C" w14:paraId="2B21B82F" w14:textId="77777777" w:rsidTr="00540CC4">
        <w:tc>
          <w:tcPr>
            <w:tcW w:w="1668" w:type="dxa"/>
            <w:vAlign w:val="center"/>
          </w:tcPr>
          <w:p w14:paraId="50DDFB1E" w14:textId="77777777" w:rsidR="00B434A4" w:rsidRPr="00F6387C" w:rsidRDefault="00B434A4" w:rsidP="00540CC4">
            <w:pPr>
              <w:pStyle w:val="TableText0"/>
            </w:pPr>
            <w:r w:rsidRPr="00F6387C">
              <w:t>Outcomes</w:t>
            </w:r>
          </w:p>
        </w:tc>
        <w:tc>
          <w:tcPr>
            <w:tcW w:w="7488" w:type="dxa"/>
            <w:vAlign w:val="center"/>
          </w:tcPr>
          <w:p w14:paraId="6EF79526" w14:textId="77777777" w:rsidR="00B434A4" w:rsidRPr="00F6387C" w:rsidRDefault="00B434A4" w:rsidP="00540CC4">
            <w:pPr>
              <w:pStyle w:val="TableText0"/>
            </w:pPr>
            <w:r w:rsidRPr="00F6387C">
              <w:t>Annual relapse rate, time-to-treatment switch, time-to-treatment discontinuation, time to first relapse, time to 6-month disability progression or improvement, EDSS measures, rates of no evidence of disease activity, proportion of patients relapse-free; proportion of patients switching treatment, proportion of patients discontinuing treatment, proportion of patients completing treatment</w:t>
            </w:r>
          </w:p>
        </w:tc>
      </w:tr>
      <w:tr w:rsidR="00B434A4" w:rsidRPr="00F6387C" w14:paraId="42768382" w14:textId="77777777" w:rsidTr="00540CC4">
        <w:tc>
          <w:tcPr>
            <w:tcW w:w="1668" w:type="dxa"/>
            <w:vAlign w:val="center"/>
          </w:tcPr>
          <w:p w14:paraId="47A3B3C6" w14:textId="77777777" w:rsidR="00B434A4" w:rsidRPr="00F6387C" w:rsidRDefault="00B434A4" w:rsidP="00540CC4">
            <w:pPr>
              <w:pStyle w:val="TableText0"/>
            </w:pPr>
            <w:r w:rsidRPr="00F6387C">
              <w:t>Clinical claim</w:t>
            </w:r>
          </w:p>
        </w:tc>
        <w:tc>
          <w:tcPr>
            <w:tcW w:w="7488" w:type="dxa"/>
            <w:vAlign w:val="center"/>
          </w:tcPr>
          <w:p w14:paraId="6E347E74" w14:textId="77777777" w:rsidR="00B434A4" w:rsidRPr="00F6387C" w:rsidRDefault="00B434A4" w:rsidP="00540CC4">
            <w:pPr>
              <w:pStyle w:val="Tabletext"/>
            </w:pPr>
            <w:r w:rsidRPr="00F6387C">
              <w:t>Cladribine is non-inferior to fingolimod in terms of efficacy over four years.</w:t>
            </w:r>
          </w:p>
          <w:p w14:paraId="6EE42BF0" w14:textId="77777777" w:rsidR="00B434A4" w:rsidRPr="00F6387C" w:rsidRDefault="00B434A4" w:rsidP="00540CC4">
            <w:pPr>
              <w:pStyle w:val="TableText0"/>
            </w:pPr>
            <w:r w:rsidRPr="00F6387C">
              <w:t>Cladribine is non-inferior to fingolimod in terms of safety over four years.</w:t>
            </w:r>
          </w:p>
        </w:tc>
      </w:tr>
    </w:tbl>
    <w:p w14:paraId="579FECAA" w14:textId="77777777" w:rsidR="00B434A4" w:rsidRPr="00F6387C" w:rsidRDefault="00B434A4" w:rsidP="00B434A4">
      <w:pPr>
        <w:pStyle w:val="TableFooter"/>
      </w:pPr>
      <w:r w:rsidRPr="00F6387C">
        <w:t xml:space="preserve">EDSS = expanded disability status scale; RRMS = relapsing remitting multiple sclerosis </w:t>
      </w:r>
    </w:p>
    <w:p w14:paraId="527CA7F0" w14:textId="2D4718D1" w:rsidR="004E43B2" w:rsidRPr="00F6387C" w:rsidRDefault="00B434A4" w:rsidP="00B434A4">
      <w:pPr>
        <w:pStyle w:val="FooterTableFigure"/>
        <w:rPr>
          <w:sz w:val="20"/>
        </w:rPr>
      </w:pPr>
      <w:r w:rsidRPr="00F6387C">
        <w:t>Source: pp13-16, 25 and 36-37 of the resubmission</w:t>
      </w:r>
      <w:r w:rsidR="008B1757" w:rsidRPr="00F6387C">
        <w:t>.</w:t>
      </w:r>
    </w:p>
    <w:p w14:paraId="6B4AB6C2" w14:textId="7F01D731" w:rsidR="005C25FF" w:rsidRPr="00F6387C" w:rsidRDefault="005C25FF" w:rsidP="0098756A">
      <w:pPr>
        <w:pStyle w:val="2-SectionHeading"/>
      </w:pPr>
      <w:bookmarkStart w:id="3" w:name="_Toc145504201"/>
      <w:r w:rsidRPr="00F6387C">
        <w:t>Background</w:t>
      </w:r>
      <w:bookmarkEnd w:id="3"/>
    </w:p>
    <w:p w14:paraId="2C521D6D" w14:textId="78CF03EE" w:rsidR="005C25FF" w:rsidRPr="00F6387C" w:rsidRDefault="005C25FF" w:rsidP="004A6040">
      <w:pPr>
        <w:pStyle w:val="4-SubsectionHeading"/>
      </w:pPr>
      <w:bookmarkStart w:id="4" w:name="_Toc22897638"/>
      <w:bookmarkStart w:id="5" w:name="_Toc145504202"/>
      <w:r w:rsidRPr="00F6387C">
        <w:t>Registration status</w:t>
      </w:r>
      <w:bookmarkEnd w:id="4"/>
      <w:bookmarkEnd w:id="5"/>
    </w:p>
    <w:p w14:paraId="17654973" w14:textId="3E209668" w:rsidR="00B434A4" w:rsidRPr="00F6387C" w:rsidRDefault="00B434A4" w:rsidP="00B434A4">
      <w:pPr>
        <w:pStyle w:val="3-BodyText"/>
      </w:pPr>
      <w:r w:rsidRPr="00F6387C">
        <w:t>Cladribine was TGA registered</w:t>
      </w:r>
      <w:r w:rsidR="00EB6B7A" w:rsidRPr="00F6387C">
        <w:t xml:space="preserve"> for RRMS</w:t>
      </w:r>
      <w:r w:rsidRPr="00F6387C">
        <w:t xml:space="preserve"> in December 2017. The current TGA-approved indication for cladribine tablets is:</w:t>
      </w:r>
    </w:p>
    <w:p w14:paraId="5374AD55" w14:textId="23BF7E12" w:rsidR="005C25FF" w:rsidRPr="00F6387C" w:rsidRDefault="00B434A4" w:rsidP="00B434A4">
      <w:pPr>
        <w:pStyle w:val="3-BodyText"/>
        <w:numPr>
          <w:ilvl w:val="0"/>
          <w:numId w:val="0"/>
        </w:numPr>
        <w:ind w:left="720"/>
      </w:pPr>
      <w:r w:rsidRPr="00F6387C">
        <w:t>For the treatment of relapsing-remitting multiple sclerosis (RRMS) to reduce the frequency of clinical relapses and to delay the progression of physical disability. Following completion of the 2 treatment courses, no further cladribine treatment is required in years 3 and 4. Re-initiation of therapy after year 4 has not been studied.</w:t>
      </w:r>
    </w:p>
    <w:p w14:paraId="3E2A6EAB" w14:textId="469C8C0C" w:rsidR="005C25FF" w:rsidRPr="00F6387C" w:rsidRDefault="005C25FF" w:rsidP="004E18E9">
      <w:pPr>
        <w:pStyle w:val="4-SubsectionHeading"/>
      </w:pPr>
      <w:bookmarkStart w:id="6" w:name="_Toc22897639"/>
      <w:bookmarkStart w:id="7" w:name="_Toc145504203"/>
      <w:r w:rsidRPr="00F6387C">
        <w:t>Previous PBAC consideration</w:t>
      </w:r>
      <w:bookmarkEnd w:id="6"/>
      <w:bookmarkEnd w:id="7"/>
    </w:p>
    <w:p w14:paraId="67361953" w14:textId="43B8D28E" w:rsidR="006F0F26" w:rsidRPr="00F6387C" w:rsidRDefault="00B434A4" w:rsidP="00B434A4">
      <w:pPr>
        <w:pStyle w:val="3-BodyText"/>
      </w:pPr>
      <w:r w:rsidRPr="00F6387C">
        <w:t xml:space="preserve">Cladribine was recommended at the July 2018 PBAC meeting for treatment of RRMS. This recommendation was made on </w:t>
      </w:r>
      <w:r w:rsidR="00CF2730" w:rsidRPr="00F6387C">
        <w:t>a cost-minimisation</w:t>
      </w:r>
      <w:r w:rsidRPr="00F6387C">
        <w:t xml:space="preserve"> basis </w:t>
      </w:r>
      <w:r w:rsidR="00CF2730" w:rsidRPr="00F6387C">
        <w:t>against the comparator fingolimod based on equi-effective doses of the therapies over</w:t>
      </w:r>
      <w:r w:rsidRPr="00F6387C">
        <w:t xml:space="preserve"> two years. </w:t>
      </w:r>
    </w:p>
    <w:p w14:paraId="435D1C02" w14:textId="3A02D2A5" w:rsidR="00B434A4" w:rsidRPr="00F6387C" w:rsidRDefault="00B434A4" w:rsidP="00B434A4">
      <w:pPr>
        <w:pStyle w:val="3-BodyText"/>
      </w:pPr>
      <w:r w:rsidRPr="00F6387C">
        <w:t xml:space="preserve">In November 2021, the sponsor sought a revision to the effective price of cladribine based on a </w:t>
      </w:r>
      <w:r w:rsidR="00447975" w:rsidRPr="00F6387C">
        <w:t xml:space="preserve">CMA </w:t>
      </w:r>
      <w:r w:rsidR="00CF2730" w:rsidRPr="00F6387C">
        <w:t>comparing two years of cladribine treatment to four years of</w:t>
      </w:r>
      <w:r w:rsidRPr="00F6387C">
        <w:t xml:space="preserve"> fingolimod</w:t>
      </w:r>
      <w:r w:rsidR="00E15FE9" w:rsidRPr="00F6387C">
        <w:t>,</w:t>
      </w:r>
      <w:r w:rsidRPr="00F6387C">
        <w:t xml:space="preserve"> which was not recommended by </w:t>
      </w:r>
      <w:r w:rsidR="00022988" w:rsidRPr="00F6387C">
        <w:t xml:space="preserve">the </w:t>
      </w:r>
      <w:r w:rsidRPr="00F6387C">
        <w:t>PBAC.</w:t>
      </w:r>
    </w:p>
    <w:p w14:paraId="2350DE9E" w14:textId="25B82C33" w:rsidR="00B434A4" w:rsidRPr="00F6387C" w:rsidRDefault="00B434A4" w:rsidP="00B434A4">
      <w:pPr>
        <w:pStyle w:val="3-BodyText"/>
      </w:pPr>
      <w:r w:rsidRPr="00F6387C">
        <w:fldChar w:fldCharType="begin" w:fldLock="1"/>
      </w:r>
      <w:r w:rsidRPr="00F6387C">
        <w:instrText xml:space="preserve"> REF _Ref142816643 \h </w:instrText>
      </w:r>
      <w:r w:rsidRPr="00F6387C">
        <w:fldChar w:fldCharType="separate"/>
      </w:r>
      <w:r w:rsidR="000D404D" w:rsidRPr="00F6387C">
        <w:t>Table 2</w:t>
      </w:r>
      <w:r w:rsidRPr="00F6387C">
        <w:fldChar w:fldCharType="end"/>
      </w:r>
      <w:r w:rsidRPr="00F6387C">
        <w:t xml:space="preserve"> provides an overview of the matters of key concern from the November 2021 submission and details of how these issues were addressed in the resubmission.</w:t>
      </w:r>
    </w:p>
    <w:p w14:paraId="707918B4" w14:textId="4245E2E3" w:rsidR="00B434A4" w:rsidRPr="00F6387C" w:rsidRDefault="00B434A4" w:rsidP="00B434A4">
      <w:pPr>
        <w:pStyle w:val="Caption"/>
        <w:rPr>
          <w:rStyle w:val="CommentReference"/>
          <w:b/>
          <w:szCs w:val="24"/>
        </w:rPr>
      </w:pPr>
      <w:bookmarkStart w:id="8" w:name="_Ref142816643"/>
      <w:bookmarkStart w:id="9" w:name="_Toc139298994"/>
      <w:r w:rsidRPr="00F6387C">
        <w:t xml:space="preserve">Table </w:t>
      </w:r>
      <w:fldSimple w:instr=" SEQ Table \* ARABIC " w:fldLock="1">
        <w:r w:rsidR="000D404D" w:rsidRPr="00F6387C">
          <w:t>2</w:t>
        </w:r>
      </w:fldSimple>
      <w:bookmarkEnd w:id="8"/>
      <w:r w:rsidRPr="00F6387C">
        <w:rPr>
          <w:rStyle w:val="CommentReference"/>
          <w:b/>
          <w:szCs w:val="24"/>
        </w:rPr>
        <w:t>: Summary of key matters of concern from November 2021 submission</w:t>
      </w:r>
      <w:bookmarkEnd w:id="9"/>
    </w:p>
    <w:tbl>
      <w:tblPr>
        <w:tblStyle w:val="TableGrid"/>
        <w:tblW w:w="5000" w:type="pct"/>
        <w:tblLook w:val="04A0" w:firstRow="1" w:lastRow="0" w:firstColumn="1" w:lastColumn="0" w:noHBand="0" w:noVBand="1"/>
        <w:tblCaption w:val="Table 2: Summary of key matters of concern from November 2021 submission"/>
        <w:tblDescription w:val="Table 2: Summary of key matters of concern from November 2021 submission"/>
      </w:tblPr>
      <w:tblGrid>
        <w:gridCol w:w="1174"/>
        <w:gridCol w:w="3783"/>
        <w:gridCol w:w="4059"/>
      </w:tblGrid>
      <w:tr w:rsidR="00B434A4" w:rsidRPr="00F6387C" w14:paraId="1A722544" w14:textId="77777777" w:rsidTr="00775737">
        <w:trPr>
          <w:tblHeader/>
        </w:trPr>
        <w:tc>
          <w:tcPr>
            <w:tcW w:w="651" w:type="pct"/>
          </w:tcPr>
          <w:p w14:paraId="70B5B244" w14:textId="77777777" w:rsidR="00B434A4" w:rsidRPr="00F6387C" w:rsidRDefault="00B434A4" w:rsidP="00540CC4">
            <w:pPr>
              <w:pStyle w:val="In-tableHeading"/>
              <w:jc w:val="center"/>
              <w:rPr>
                <w:lang w:val="en-AU"/>
              </w:rPr>
            </w:pPr>
            <w:r w:rsidRPr="00F6387C">
              <w:rPr>
                <w:lang w:val="en-AU"/>
              </w:rPr>
              <w:t>Component</w:t>
            </w:r>
          </w:p>
        </w:tc>
        <w:tc>
          <w:tcPr>
            <w:tcW w:w="2098" w:type="pct"/>
            <w:shd w:val="clear" w:color="auto" w:fill="auto"/>
          </w:tcPr>
          <w:p w14:paraId="0584C4BB" w14:textId="77777777" w:rsidR="00B434A4" w:rsidRPr="00F6387C" w:rsidRDefault="00B434A4" w:rsidP="00540CC4">
            <w:pPr>
              <w:pStyle w:val="In-tableHeading"/>
              <w:jc w:val="center"/>
              <w:rPr>
                <w:lang w:val="en-AU"/>
              </w:rPr>
            </w:pPr>
            <w:r w:rsidRPr="00F6387C">
              <w:rPr>
                <w:lang w:val="en-AU"/>
              </w:rPr>
              <w:t>Matter of concern</w:t>
            </w:r>
          </w:p>
        </w:tc>
        <w:tc>
          <w:tcPr>
            <w:tcW w:w="2251" w:type="pct"/>
            <w:shd w:val="clear" w:color="auto" w:fill="auto"/>
          </w:tcPr>
          <w:p w14:paraId="517BEE4F" w14:textId="77777777" w:rsidR="00B434A4" w:rsidRPr="00F6387C" w:rsidRDefault="00B434A4" w:rsidP="00540CC4">
            <w:pPr>
              <w:pStyle w:val="In-tableHeading"/>
              <w:jc w:val="center"/>
              <w:rPr>
                <w:lang w:val="en-AU"/>
              </w:rPr>
            </w:pPr>
            <w:r w:rsidRPr="00F6387C">
              <w:rPr>
                <w:lang w:val="en-AU"/>
              </w:rPr>
              <w:t>How this submission addresses it</w:t>
            </w:r>
          </w:p>
        </w:tc>
      </w:tr>
      <w:tr w:rsidR="00B434A4" w:rsidRPr="00F6387C" w14:paraId="1A5897BC" w14:textId="77777777" w:rsidTr="00775737">
        <w:trPr>
          <w:trHeight w:val="1837"/>
        </w:trPr>
        <w:tc>
          <w:tcPr>
            <w:tcW w:w="651" w:type="pct"/>
            <w:shd w:val="clear" w:color="auto" w:fill="auto"/>
          </w:tcPr>
          <w:p w14:paraId="280C7001" w14:textId="77777777" w:rsidR="00B434A4" w:rsidRPr="00F6387C" w:rsidRDefault="00B434A4" w:rsidP="00540CC4">
            <w:pPr>
              <w:pStyle w:val="Tabletext"/>
            </w:pPr>
            <w:r w:rsidRPr="00F6387C">
              <w:t>Clinical effectiveness – non-inferiority</w:t>
            </w:r>
          </w:p>
        </w:tc>
        <w:tc>
          <w:tcPr>
            <w:tcW w:w="2098" w:type="pct"/>
            <w:shd w:val="clear" w:color="auto" w:fill="auto"/>
          </w:tcPr>
          <w:p w14:paraId="0031A917" w14:textId="0ADB83CB" w:rsidR="00B434A4" w:rsidRPr="00F6387C" w:rsidRDefault="00CF2730" w:rsidP="00CF2730">
            <w:pPr>
              <w:pStyle w:val="Tabletext"/>
            </w:pPr>
            <w:r w:rsidRPr="00F6387C">
              <w:t>There were significant issues impacting comparability of the extension phases of the CLARITY and FREEDOM studies, upon which the submission’s claim of non-inferiority was based</w:t>
            </w:r>
            <w:r w:rsidR="00B434A4" w:rsidRPr="00F6387C">
              <w:t xml:space="preserve"> (paragraph 7.4, cladribine PSD, November 2021).</w:t>
            </w:r>
          </w:p>
        </w:tc>
        <w:tc>
          <w:tcPr>
            <w:tcW w:w="2251" w:type="pct"/>
            <w:shd w:val="clear" w:color="auto" w:fill="auto"/>
          </w:tcPr>
          <w:p w14:paraId="0C3078DA" w14:textId="3DF39575" w:rsidR="00B434A4" w:rsidRPr="00F6387C" w:rsidRDefault="00CF2730" w:rsidP="00540CC4">
            <w:pPr>
              <w:pStyle w:val="Tabletext"/>
            </w:pPr>
            <w:r w:rsidRPr="00F6387C">
              <w:t xml:space="preserve">New evidence </w:t>
            </w:r>
            <w:r w:rsidR="007B0F25" w:rsidRPr="00F6387C">
              <w:t>wa</w:t>
            </w:r>
            <w:r w:rsidR="00EB6B7A" w:rsidRPr="00F6387C">
              <w:t>s</w:t>
            </w:r>
            <w:r w:rsidRPr="00F6387C">
              <w:t xml:space="preserve"> presented from</w:t>
            </w:r>
            <w:r w:rsidR="008E0999" w:rsidRPr="00F6387C">
              <w:t xml:space="preserve"> </w:t>
            </w:r>
            <w:r w:rsidR="003B0A71" w:rsidRPr="00F6387C">
              <w:t>a</w:t>
            </w:r>
            <w:r w:rsidR="008E0999" w:rsidRPr="00F6387C">
              <w:t xml:space="preserve"> prospective registry data study </w:t>
            </w:r>
            <w:r w:rsidR="003B0A71" w:rsidRPr="00F6387C">
              <w:t>(</w:t>
            </w:r>
            <w:r w:rsidR="008E0999" w:rsidRPr="00F6387C">
              <w:t>GLIMPSE</w:t>
            </w:r>
            <w:r w:rsidR="003B0A71" w:rsidRPr="00F6387C">
              <w:t xml:space="preserve">), </w:t>
            </w:r>
            <w:r w:rsidR="008E0999" w:rsidRPr="00F6387C">
              <w:t>t</w:t>
            </w:r>
            <w:r w:rsidR="003B0A71" w:rsidRPr="00F6387C">
              <w:t>w</w:t>
            </w:r>
            <w:r w:rsidR="008E0999" w:rsidRPr="00F6387C">
              <w:t>o retrospective analyses</w:t>
            </w:r>
            <w:r w:rsidR="003B0A71" w:rsidRPr="00F6387C">
              <w:t xml:space="preserve"> of registry data (</w:t>
            </w:r>
            <w:proofErr w:type="spellStart"/>
            <w:r w:rsidR="003B0A71" w:rsidRPr="00F6387C">
              <w:t>Maglashvili</w:t>
            </w:r>
            <w:proofErr w:type="spellEnd"/>
            <w:r w:rsidR="003B0A71" w:rsidRPr="00F6387C">
              <w:t xml:space="preserve"> 2022 and CLARENCE), PBS 10% sample data and German IQVIA longitudinal data</w:t>
            </w:r>
            <w:r w:rsidR="00B434A4" w:rsidRPr="00F6387C">
              <w:t>.</w:t>
            </w:r>
          </w:p>
          <w:p w14:paraId="7BAB218E" w14:textId="77777777" w:rsidR="00915988" w:rsidRPr="00F6387C" w:rsidRDefault="00915988" w:rsidP="00540CC4">
            <w:pPr>
              <w:pStyle w:val="Tabletext"/>
            </w:pPr>
          </w:p>
          <w:p w14:paraId="3A98FE17" w14:textId="77777777" w:rsidR="00B434A4" w:rsidRPr="00F6387C" w:rsidRDefault="00B434A4" w:rsidP="00540CC4">
            <w:pPr>
              <w:pStyle w:val="Tabletext"/>
            </w:pPr>
            <w:r w:rsidRPr="00F6387C">
              <w:t>Not adequately addressed. The included studies provided limited data to allow a comparison of the efficacy and safety of cladribine versus fingolimod over a four-year treatment duration.</w:t>
            </w:r>
          </w:p>
        </w:tc>
      </w:tr>
      <w:tr w:rsidR="00B434A4" w:rsidRPr="00F6387C" w14:paraId="1826B536" w14:textId="77777777" w:rsidTr="00775737">
        <w:trPr>
          <w:trHeight w:val="2606"/>
        </w:trPr>
        <w:tc>
          <w:tcPr>
            <w:tcW w:w="651" w:type="pct"/>
            <w:shd w:val="clear" w:color="auto" w:fill="auto"/>
          </w:tcPr>
          <w:p w14:paraId="53C1B441" w14:textId="77777777" w:rsidR="00B434A4" w:rsidRPr="00F6387C" w:rsidRDefault="00B434A4" w:rsidP="00540CC4">
            <w:pPr>
              <w:pStyle w:val="Tabletext"/>
            </w:pPr>
            <w:r w:rsidRPr="00F6387C">
              <w:t>Clinical effectiveness – surrogate outcomes</w:t>
            </w:r>
          </w:p>
        </w:tc>
        <w:tc>
          <w:tcPr>
            <w:tcW w:w="2098" w:type="pct"/>
            <w:shd w:val="clear" w:color="auto" w:fill="auto"/>
          </w:tcPr>
          <w:p w14:paraId="492CFADA" w14:textId="3B89F39C" w:rsidR="00B434A4" w:rsidRPr="00F6387C" w:rsidRDefault="00B434A4" w:rsidP="00540CC4">
            <w:pPr>
              <w:pStyle w:val="Tabletext"/>
            </w:pPr>
            <w:r w:rsidRPr="00F6387C">
              <w:t>The PBAC considered that the rate of commencing alternative DMTs is not a direct measure of the durability of effect of cladribine in years 3 and 4 and considered that it was unclear if this was a reasonable surrogate measure</w:t>
            </w:r>
            <w:r w:rsidR="003B0A71" w:rsidRPr="00F6387C">
              <w:t xml:space="preserve">. </w:t>
            </w:r>
            <w:r w:rsidRPr="00F6387C">
              <w:t>The PBAC noted no evidence was presented to support a claim that treatment with cladribine solely accounts for the observed rate of DMT switching (paragraph 7.5, cladribine PSD, November 2021).</w:t>
            </w:r>
          </w:p>
        </w:tc>
        <w:tc>
          <w:tcPr>
            <w:tcW w:w="2251" w:type="pct"/>
            <w:shd w:val="clear" w:color="auto" w:fill="auto"/>
          </w:tcPr>
          <w:p w14:paraId="5DA063D8" w14:textId="3A5D74DE" w:rsidR="00B434A4" w:rsidRPr="00F6387C" w:rsidRDefault="00B434A4" w:rsidP="00540CC4">
            <w:pPr>
              <w:pStyle w:val="Tabletext"/>
            </w:pPr>
            <w:r w:rsidRPr="00F6387C">
              <w:t xml:space="preserve">The resubmission reported that in a study of 110,326 RRMS patients from 1997 to 2016, the main reason for treatment discontinuation and/or switching was lack of efficacy, followed by lack of tolerance, side effects, convenience and disease progression in that order </w:t>
            </w:r>
            <w:r w:rsidRPr="00F6387C">
              <w:fldChar w:fldCharType="begin" w:fldLock="1"/>
            </w:r>
            <w:r w:rsidRPr="00F6387C">
              <w:instrText xml:space="preserve"> ADDIN EN.CITE &lt;EndNote&gt;&lt;Cite&gt;&lt;Author&gt;Hillert&lt;/Author&gt;&lt;Year&gt;2021&lt;/Year&gt;&lt;RecNum&gt;86&lt;/RecNum&gt;&lt;DisplayText&gt;(Hillert et al. 2021)&lt;/DisplayText&gt;&lt;record&gt;&lt;rec-number&gt;86&lt;/rec-number&gt;&lt;foreign-keys&gt;&lt;key app="EN" db-id="2spxxrat35sws1eat08va5t9sd0axfw0tev9" timestamp="1680532840"&gt;86&lt;/key&gt;&lt;/foreign-keys&gt;&lt;ref-type name="Journal Article"&gt;17&lt;/ref-type&gt;&lt;contributors&gt;&lt;authors&gt;&lt;author&gt;Hillert, Jan&lt;/author&gt;&lt;author&gt;Magyari, Melinda&lt;/author&gt;&lt;author&gt;Soelberg Sørensen, Per&lt;/author&gt;&lt;author&gt;Butzkueven, Helmut&lt;/author&gt;&lt;author&gt;Van Der Welt, Anneke&lt;/author&gt;&lt;author&gt;Vukusic, Sandra&lt;/author&gt;&lt;author&gt;Trojano, Maria&lt;/author&gt;&lt;author&gt;Iaffaldano, Pietro&lt;/author&gt;&lt;author&gt;Pellegrini, Fabio&lt;/author&gt;&lt;author&gt;Hyde, Robert&lt;/author&gt;&lt;/</w:instrText>
            </w:r>
            <w:r w:rsidR="000B16B4">
              <w:fldChar w:fldCharType="begin" w:fldLock="1"/>
            </w:r>
            <w:r w:rsidR="000B16B4">
              <w:instrText xml:space="preserve">  </w:instrText>
            </w:r>
            <w:r w:rsidR="000B16B4">
              <w:fldChar w:fldCharType="end"/>
            </w:r>
            <w:r w:rsidRPr="00F6387C">
              <w:instrText>authors&gt;&lt;/contributors&gt;&lt;titles&gt;&lt;title&gt;Treatment switching and discontinuation over 20 years in the big multiple sclerosis data network&lt;/title&gt;&lt;secondary-title&gt;Frontiers in Neurology&lt;/secondary-title&gt;&lt;/titles&gt;&lt;periodical&gt;&lt;full-title&gt;Frontiers in Neurology&lt;/full-title&gt;&lt;/periodical&gt;&lt;pages&gt;647811&lt;/pages&gt;&lt;volume&gt;12&lt;/volume&gt;&lt;dates&gt;&lt;year&gt;2021&lt;/year&gt;&lt;/dates&gt;&lt;isbn&gt;1664-2295&lt;/isbn&gt;&lt;urls&gt;&lt;/urls&gt;&lt;/record&gt;&lt;/Cite&gt;&lt;/EndNote&gt;</w:instrText>
            </w:r>
            <w:r w:rsidRPr="00F6387C">
              <w:fldChar w:fldCharType="separate"/>
            </w:r>
            <w:r w:rsidRPr="00F6387C">
              <w:t>(</w:t>
            </w:r>
            <w:hyperlink w:anchor="_ENREF_12" w:tooltip="Hillert, 2021 #86" w:history="1">
              <w:r w:rsidRPr="00F6387C">
                <w:t>Hillert et al. 2021</w:t>
              </w:r>
            </w:hyperlink>
            <w:r w:rsidRPr="00F6387C">
              <w:t>)</w:t>
            </w:r>
            <w:r w:rsidRPr="00F6387C">
              <w:fldChar w:fldCharType="end"/>
            </w:r>
            <w:r w:rsidRPr="00F6387C">
              <w:t>.</w:t>
            </w:r>
            <w:r w:rsidRPr="00F6387C">
              <w:rPr>
                <w:vertAlign w:val="superscript"/>
              </w:rPr>
              <w:t>a</w:t>
            </w:r>
          </w:p>
          <w:p w14:paraId="3653241B" w14:textId="77777777" w:rsidR="00991B92" w:rsidRPr="00F6387C" w:rsidRDefault="00373A28" w:rsidP="00540CC4">
            <w:pPr>
              <w:pStyle w:val="Tabletext"/>
            </w:pPr>
            <w:r w:rsidRPr="00F6387C">
              <w:t>The resubmission reported that i</w:t>
            </w:r>
            <w:r w:rsidR="00B434A4" w:rsidRPr="00F6387C">
              <w:t>n</w:t>
            </w:r>
            <w:r w:rsidRPr="00F6387C">
              <w:t xml:space="preserve"> </w:t>
            </w:r>
            <w:r w:rsidR="00B434A4" w:rsidRPr="00F6387C">
              <w:t>GLIMPSE, cladribine treated patients had a lower annualised relapse rate in years 3 and 4 (p=0.02) and an improved time to treatment switching and discontinuation (both p&lt;0.001) compared to fingolimod</w:t>
            </w:r>
            <w:r w:rsidR="00776E3C" w:rsidRPr="00F6387C">
              <w:t xml:space="preserve">. </w:t>
            </w:r>
          </w:p>
          <w:p w14:paraId="3E4FD838" w14:textId="3EC4F243" w:rsidR="00B434A4" w:rsidRPr="00F6387C" w:rsidRDefault="00991B92" w:rsidP="00540CC4">
            <w:pPr>
              <w:pStyle w:val="Tabletext"/>
            </w:pPr>
            <w:r w:rsidRPr="00F6387C">
              <w:t>Not adequately addressed</w:t>
            </w:r>
            <w:r w:rsidR="00B1440E" w:rsidRPr="00F6387C">
              <w:t xml:space="preserve"> </w:t>
            </w:r>
            <w:r w:rsidR="00B1440E" w:rsidRPr="00F6387C">
              <w:rPr>
                <w:iCs/>
              </w:rPr>
              <w:t>given data limitations</w:t>
            </w:r>
            <w:bookmarkStart w:id="10" w:name="_Hlk145006180"/>
            <w:r w:rsidR="00CC75C5" w:rsidRPr="00F6387C">
              <w:t>.</w:t>
            </w:r>
            <w:r w:rsidR="00B434A4" w:rsidRPr="00F6387C">
              <w:t xml:space="preserve"> </w:t>
            </w:r>
            <w:bookmarkEnd w:id="10"/>
          </w:p>
        </w:tc>
      </w:tr>
      <w:tr w:rsidR="00B434A4" w:rsidRPr="00F6387C" w14:paraId="3CBDBCBC" w14:textId="77777777" w:rsidTr="00775737">
        <w:trPr>
          <w:trHeight w:val="1249"/>
        </w:trPr>
        <w:tc>
          <w:tcPr>
            <w:tcW w:w="651" w:type="pct"/>
            <w:shd w:val="clear" w:color="auto" w:fill="auto"/>
          </w:tcPr>
          <w:p w14:paraId="20029C6E" w14:textId="77777777" w:rsidR="00B434A4" w:rsidRPr="00F6387C" w:rsidRDefault="00B434A4" w:rsidP="00540CC4">
            <w:pPr>
              <w:pStyle w:val="Tabletext"/>
            </w:pPr>
            <w:r w:rsidRPr="00F6387C">
              <w:t>Clinical effectiveness - RWE</w:t>
            </w:r>
          </w:p>
        </w:tc>
        <w:tc>
          <w:tcPr>
            <w:tcW w:w="2098" w:type="pct"/>
            <w:shd w:val="clear" w:color="auto" w:fill="auto"/>
          </w:tcPr>
          <w:p w14:paraId="1F37EA33" w14:textId="3949944D" w:rsidR="00B434A4" w:rsidRPr="00F6387C" w:rsidRDefault="005A1705" w:rsidP="00540CC4">
            <w:pPr>
              <w:pStyle w:val="Tabletext"/>
            </w:pPr>
            <w:r w:rsidRPr="00F6387C">
              <w:t xml:space="preserve">The </w:t>
            </w:r>
            <w:r w:rsidR="00B434A4" w:rsidRPr="00F6387C">
              <w:t>PBAC noted</w:t>
            </w:r>
            <w:r w:rsidRPr="00F6387C">
              <w:t xml:space="preserve"> o</w:t>
            </w:r>
            <w:r w:rsidR="00B434A4" w:rsidRPr="00F6387C">
              <w:t>bservational RWE studies did not include any comparative evidence versus fingolimod (paragraph 7.5, cladribine PSD, November 2021).</w:t>
            </w:r>
          </w:p>
        </w:tc>
        <w:tc>
          <w:tcPr>
            <w:tcW w:w="2251" w:type="pct"/>
            <w:shd w:val="clear" w:color="auto" w:fill="auto"/>
          </w:tcPr>
          <w:p w14:paraId="3F206FE2" w14:textId="02904D01" w:rsidR="00B434A4" w:rsidRPr="00F6387C" w:rsidRDefault="00B434A4" w:rsidP="00540CC4">
            <w:pPr>
              <w:pStyle w:val="Tabletext"/>
            </w:pPr>
            <w:r w:rsidRPr="00F6387C">
              <w:t xml:space="preserve">The GLIMPSE study of </w:t>
            </w:r>
            <w:proofErr w:type="spellStart"/>
            <w:r w:rsidRPr="00F6387C">
              <w:t>MSBase</w:t>
            </w:r>
            <w:proofErr w:type="spellEnd"/>
            <w:r w:rsidRPr="00F6387C">
              <w:t xml:space="preserve"> Registry data presents comparative evidence of cladribine tablets versus other DMTs in </w:t>
            </w:r>
            <w:r w:rsidR="00B45A19">
              <w:t xml:space="preserve">routine </w:t>
            </w:r>
            <w:r w:rsidR="00731EDC">
              <w:t>clinical use</w:t>
            </w:r>
            <w:r w:rsidRPr="00F6387C">
              <w:t xml:space="preserve"> over 3 or 4 years of treatment.</w:t>
            </w:r>
          </w:p>
          <w:p w14:paraId="5A710445" w14:textId="77777777" w:rsidR="00B434A4" w:rsidRPr="00F6387C" w:rsidRDefault="00B434A4" w:rsidP="00540CC4">
            <w:pPr>
              <w:pStyle w:val="Tabletext"/>
            </w:pPr>
            <w:r w:rsidRPr="00F6387C">
              <w:t>Partially addressed. While comparative data was presented, it provided limited data over 4 years of treatment.</w:t>
            </w:r>
          </w:p>
        </w:tc>
      </w:tr>
      <w:tr w:rsidR="00B434A4" w:rsidRPr="00F6387C" w14:paraId="4ABF1C09" w14:textId="77777777" w:rsidTr="00775737">
        <w:trPr>
          <w:trHeight w:val="480"/>
        </w:trPr>
        <w:tc>
          <w:tcPr>
            <w:tcW w:w="651" w:type="pct"/>
            <w:shd w:val="clear" w:color="auto" w:fill="auto"/>
          </w:tcPr>
          <w:p w14:paraId="55FE40D4" w14:textId="77777777" w:rsidR="00B434A4" w:rsidRPr="00F6387C" w:rsidRDefault="00B434A4" w:rsidP="00540CC4">
            <w:pPr>
              <w:pStyle w:val="Tabletext"/>
            </w:pPr>
            <w:r w:rsidRPr="00F6387C">
              <w:t>Clinical effectiveness – applicability to Australia</w:t>
            </w:r>
          </w:p>
        </w:tc>
        <w:tc>
          <w:tcPr>
            <w:tcW w:w="2098" w:type="pct"/>
            <w:shd w:val="clear" w:color="auto" w:fill="auto"/>
          </w:tcPr>
          <w:p w14:paraId="1609D844" w14:textId="24E2417A" w:rsidR="00B434A4" w:rsidRPr="00F6387C" w:rsidRDefault="00B434A4" w:rsidP="00540CC4">
            <w:pPr>
              <w:pStyle w:val="Tabletext"/>
            </w:pPr>
            <w:r w:rsidRPr="00F6387C">
              <w:t xml:space="preserve">The </w:t>
            </w:r>
            <w:r w:rsidR="00EB74BE" w:rsidRPr="00F6387C">
              <w:t xml:space="preserve">PBAC </w:t>
            </w:r>
            <w:r w:rsidRPr="00F6387C">
              <w:t>considered the RWE presented may not be applicable to the Australian context, as the studies were small and conducted in countries with different health systems to Australia (paragraph 7.6, cladribine PSD, November 2021).</w:t>
            </w:r>
          </w:p>
        </w:tc>
        <w:tc>
          <w:tcPr>
            <w:tcW w:w="2251" w:type="pct"/>
            <w:shd w:val="clear" w:color="auto" w:fill="auto"/>
          </w:tcPr>
          <w:p w14:paraId="12BA549D" w14:textId="2B369708" w:rsidR="00B434A4" w:rsidRPr="00F6387C" w:rsidRDefault="00B434A4" w:rsidP="00540CC4">
            <w:pPr>
              <w:pStyle w:val="Tabletext"/>
            </w:pPr>
            <w:r w:rsidRPr="00F6387C">
              <w:t>The GLIMPSE study captured a large proportion of Australian patients. The resubmission also present</w:t>
            </w:r>
            <w:r w:rsidR="00426EE1" w:rsidRPr="00F6387C">
              <w:t>ed</w:t>
            </w:r>
            <w:r w:rsidRPr="00F6387C">
              <w:t xml:space="preserve"> an Australian-specific PBS 10% sample analysis </w:t>
            </w:r>
            <w:r w:rsidR="00426EE1" w:rsidRPr="00F6387C">
              <w:t>to support</w:t>
            </w:r>
            <w:r w:rsidRPr="00F6387C">
              <w:t xml:space="preserve"> the GLIMSPSE study findings.</w:t>
            </w:r>
          </w:p>
          <w:p w14:paraId="114CCF73" w14:textId="77777777" w:rsidR="00B434A4" w:rsidRPr="00F6387C" w:rsidRDefault="00B434A4" w:rsidP="00540CC4">
            <w:pPr>
              <w:pStyle w:val="Tabletext"/>
            </w:pPr>
            <w:r w:rsidRPr="00F6387C">
              <w:t>Partially addressed. The proportion of Australian patients in GLIMPSE was reduced in the propensity score matching process (42.9% of patients receiving cladribine and 20.6% of patients receiving fingolimod). The PBS 10% sample did not provide comparative efficacy data.</w:t>
            </w:r>
          </w:p>
        </w:tc>
      </w:tr>
      <w:tr w:rsidR="00B434A4" w:rsidRPr="00F6387C" w14:paraId="3D7CB5F2" w14:textId="77777777" w:rsidTr="00775737">
        <w:trPr>
          <w:trHeight w:val="457"/>
        </w:trPr>
        <w:tc>
          <w:tcPr>
            <w:tcW w:w="651" w:type="pct"/>
            <w:shd w:val="clear" w:color="auto" w:fill="auto"/>
          </w:tcPr>
          <w:p w14:paraId="20A35405" w14:textId="77777777" w:rsidR="00B434A4" w:rsidRPr="00F6387C" w:rsidRDefault="00B434A4" w:rsidP="00540CC4">
            <w:pPr>
              <w:pStyle w:val="Tabletext"/>
            </w:pPr>
            <w:r w:rsidRPr="00F6387C">
              <w:t>Economic evaluation</w:t>
            </w:r>
          </w:p>
        </w:tc>
        <w:tc>
          <w:tcPr>
            <w:tcW w:w="2098" w:type="pct"/>
            <w:shd w:val="clear" w:color="auto" w:fill="auto"/>
          </w:tcPr>
          <w:p w14:paraId="34DB19FC" w14:textId="44B980A5" w:rsidR="00B434A4" w:rsidRPr="00F6387C" w:rsidRDefault="00EB74BE" w:rsidP="00540CC4">
            <w:pPr>
              <w:pStyle w:val="Tabletext"/>
            </w:pPr>
            <w:r w:rsidRPr="00F6387C">
              <w:t xml:space="preserve">The </w:t>
            </w:r>
            <w:r w:rsidR="00B434A4" w:rsidRPr="00F6387C">
              <w:t xml:space="preserve">PBAC noted that the submission presented a CMA over a time horizon of 4 years with offsets for a proportion of patients switching to fingolimod (as a proxy for other DMTs) in years 3 and 4. The pre-PBAC response presented a revised price proposal </w:t>
            </w:r>
            <w:r w:rsidR="007B0F25" w:rsidRPr="00F6387C">
              <w:t xml:space="preserve">that </w:t>
            </w:r>
            <w:r w:rsidR="00B434A4" w:rsidRPr="00F6387C">
              <w:t xml:space="preserve">appeared to exclude the fourth year from the price calculations and continued to rely on the DMT switch rates from the Patti 2020 study in year 3. The PBAC considered the </w:t>
            </w:r>
            <w:r w:rsidR="00173726" w:rsidRPr="00F6387C">
              <w:t>CMA</w:t>
            </w:r>
            <w:r w:rsidR="00B434A4" w:rsidRPr="00F6387C">
              <w:t xml:space="preserve"> presented in the submission and pre-PBAC response were not adequately supported as the clinical data and RWE did not adequately demonstrate the non-inferiority of cladribine and fingolimod over longer than two years (paragraph 7.9, cladribine PSD, November 2021).</w:t>
            </w:r>
          </w:p>
        </w:tc>
        <w:tc>
          <w:tcPr>
            <w:tcW w:w="2251" w:type="pct"/>
            <w:shd w:val="clear" w:color="auto" w:fill="auto"/>
          </w:tcPr>
          <w:p w14:paraId="5480AE0A" w14:textId="77777777" w:rsidR="00B434A4" w:rsidRPr="00F6387C" w:rsidRDefault="00B434A4" w:rsidP="00540CC4">
            <w:pPr>
              <w:pStyle w:val="Tabletext"/>
            </w:pPr>
            <w:r w:rsidRPr="00F6387C">
              <w:t xml:space="preserve">The resubmission included PBS 10% sample data that captured Australian patients who have been treated with cladribine and fingolimod for over 4 years to derive fingolimod compliance, patient discontinuation, and treatment switching for both cladribine and fingolimod over the 4-year period. </w:t>
            </w:r>
          </w:p>
          <w:p w14:paraId="67A19923" w14:textId="5E33BD89" w:rsidR="00B434A4" w:rsidRPr="00F6387C" w:rsidRDefault="00B434A4" w:rsidP="00540CC4">
            <w:pPr>
              <w:pStyle w:val="Tabletext"/>
            </w:pPr>
            <w:r w:rsidRPr="00F6387C">
              <w:t>Partially addressed. The PBS 10% sample data included a limited number of patients who received four years of cladribine treatment</w:t>
            </w:r>
            <w:r w:rsidR="00C05235" w:rsidRPr="00F6387C">
              <w:t xml:space="preserve">. </w:t>
            </w:r>
            <w:r w:rsidRPr="00F6387C">
              <w:t xml:space="preserve">(Out of the 310 patients who commenced treatment with cladribine, only 29 (9%) patients received 4 years of treatment. In comparison, 511 (52%) patients received 4 years of fingolimod treatment out of 978 patients who commenced treatment). </w:t>
            </w:r>
          </w:p>
        </w:tc>
      </w:tr>
      <w:tr w:rsidR="00B434A4" w:rsidRPr="00F6387C" w14:paraId="2929BC9E" w14:textId="77777777" w:rsidTr="00775737">
        <w:trPr>
          <w:trHeight w:val="1266"/>
        </w:trPr>
        <w:tc>
          <w:tcPr>
            <w:tcW w:w="651" w:type="pct"/>
            <w:shd w:val="clear" w:color="auto" w:fill="auto"/>
          </w:tcPr>
          <w:p w14:paraId="745CE3C5" w14:textId="77777777" w:rsidR="00B434A4" w:rsidRPr="00F6387C" w:rsidRDefault="00B434A4" w:rsidP="00540CC4">
            <w:pPr>
              <w:pStyle w:val="Tabletext"/>
            </w:pPr>
            <w:r w:rsidRPr="00F6387C">
              <w:t>Financial estimates</w:t>
            </w:r>
          </w:p>
        </w:tc>
        <w:tc>
          <w:tcPr>
            <w:tcW w:w="2098" w:type="pct"/>
            <w:shd w:val="clear" w:color="auto" w:fill="auto"/>
          </w:tcPr>
          <w:p w14:paraId="2A9AFB1F" w14:textId="2A11E6FE" w:rsidR="00B434A4" w:rsidRPr="00F6387C" w:rsidRDefault="00C05235" w:rsidP="00540CC4">
            <w:pPr>
              <w:pStyle w:val="Tabletext"/>
            </w:pPr>
            <w:r w:rsidRPr="00F6387C">
              <w:t xml:space="preserve">The </w:t>
            </w:r>
            <w:r w:rsidR="00B434A4" w:rsidRPr="00F6387C">
              <w:t>PBAC considered the utilisation and financial estimates were not reliable due to the limitations with the CMA and the data informing the assumptions around the rates and timing of initiating alternative DMTs following 2 years of treatment with cladribine (paragraph 7.10, cladribine PSD, November 2021).</w:t>
            </w:r>
          </w:p>
        </w:tc>
        <w:tc>
          <w:tcPr>
            <w:tcW w:w="2251" w:type="pct"/>
            <w:shd w:val="clear" w:color="auto" w:fill="auto"/>
          </w:tcPr>
          <w:p w14:paraId="78C498E0" w14:textId="0BE53688" w:rsidR="00B434A4" w:rsidRPr="00F6387C" w:rsidRDefault="00B434A4" w:rsidP="00D750DC">
            <w:pPr>
              <w:pStyle w:val="Tabletext"/>
            </w:pPr>
            <w:r w:rsidRPr="00F6387C">
              <w:t>Partially addressed.</w:t>
            </w:r>
            <w:r w:rsidR="00D750DC" w:rsidRPr="00F6387C">
              <w:t xml:space="preserve"> </w:t>
            </w:r>
            <w:r w:rsidRPr="00F6387C">
              <w:t>PBS services data 2019-2022 was used to estimate script numbers for the financial estimates, however it is not known if the use of cladribine tablets has stabilised to allow use of a logarithmic trend equation as used in the resubmission.</w:t>
            </w:r>
          </w:p>
        </w:tc>
      </w:tr>
    </w:tbl>
    <w:p w14:paraId="4135BAF6" w14:textId="5E1E0654" w:rsidR="00B434A4" w:rsidRPr="00F6387C" w:rsidRDefault="00B434A4" w:rsidP="00B434A4">
      <w:pPr>
        <w:pStyle w:val="TableFooter"/>
      </w:pPr>
      <w:r w:rsidRPr="00F6387C">
        <w:t>DMT = disease modifying therapy; RRMS = relapsing-remitting multiple sclerosis; RWE = real world evidence; PSD = public summary document</w:t>
      </w:r>
      <w:r w:rsidR="00173726" w:rsidRPr="00F6387C">
        <w:t>; CMA = cost-minimisation approach</w:t>
      </w:r>
    </w:p>
    <w:p w14:paraId="455246BC" w14:textId="77777777" w:rsidR="00B434A4" w:rsidRPr="00F6387C" w:rsidRDefault="00B434A4" w:rsidP="00B434A4">
      <w:pPr>
        <w:pStyle w:val="TableFooter"/>
        <w:tabs>
          <w:tab w:val="left" w:pos="284"/>
        </w:tabs>
      </w:pPr>
      <w:r w:rsidRPr="00F6387C">
        <w:rPr>
          <w:vertAlign w:val="superscript"/>
        </w:rPr>
        <w:t>a</w:t>
      </w:r>
      <w:r w:rsidRPr="00F6387C">
        <w:tab/>
        <w:t>The resubmission also stated that the introduction of novel therapies may disrupt this pattern of treatment switching, but as switching therapies heightens relapse risk, it is sensible to assume that an individual switches treatment due to a lack of efficacy or tolerance, and that examining switching rates is a reasonable surrogate measure for treatment efficacy.</w:t>
      </w:r>
    </w:p>
    <w:p w14:paraId="676D00C5" w14:textId="49C16284" w:rsidR="00803AE9" w:rsidRPr="00F6387C" w:rsidRDefault="00B434A4" w:rsidP="00E56670">
      <w:pPr>
        <w:pStyle w:val="TableFooter"/>
        <w:spacing w:after="120"/>
      </w:pPr>
      <w:r w:rsidRPr="00F6387C">
        <w:t>Source: Table 3, pp17-18 of the resubmission.</w:t>
      </w:r>
    </w:p>
    <w:p w14:paraId="4B92C463" w14:textId="77777777" w:rsidR="00803AE9" w:rsidRPr="00F6387C" w:rsidRDefault="00803AE9" w:rsidP="00803AE9">
      <w:pPr>
        <w:ind w:firstLine="709"/>
        <w:rPr>
          <w:rFonts w:asciiTheme="minorHAnsi" w:hAnsiTheme="minorHAnsi"/>
          <w:i/>
        </w:rPr>
      </w:pPr>
      <w:bookmarkStart w:id="11" w:name="_Toc107902078"/>
      <w:bookmarkStart w:id="12" w:name="_Hlk76375324"/>
      <w:bookmarkStart w:id="13" w:name="_Toc145504204"/>
      <w:bookmarkEnd w:id="11"/>
      <w:r w:rsidRPr="00F6387C">
        <w:rPr>
          <w:rFonts w:asciiTheme="minorHAnsi" w:hAnsiTheme="minorHAnsi"/>
          <w:i/>
        </w:rPr>
        <w:t>For more detail on PBAC’s view, see section 7 PBAC outcome.</w:t>
      </w:r>
    </w:p>
    <w:bookmarkEnd w:id="12"/>
    <w:p w14:paraId="76E4EF3C" w14:textId="13040F70" w:rsidR="00B60939" w:rsidRPr="00F6387C" w:rsidRDefault="00B50DB8" w:rsidP="0098756A">
      <w:pPr>
        <w:pStyle w:val="2-SectionHeading"/>
      </w:pPr>
      <w:r w:rsidRPr="00F6387C">
        <w:t>Requested listing</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9"/>
        <w:gridCol w:w="2081"/>
        <w:gridCol w:w="875"/>
        <w:gridCol w:w="987"/>
        <w:gridCol w:w="845"/>
        <w:gridCol w:w="1559"/>
      </w:tblGrid>
      <w:tr w:rsidR="003858AE" w:rsidRPr="00F6387C" w14:paraId="306AC60A" w14:textId="77777777" w:rsidTr="00540CC4">
        <w:trPr>
          <w:cantSplit/>
          <w:trHeight w:val="20"/>
        </w:trPr>
        <w:tc>
          <w:tcPr>
            <w:tcW w:w="2689" w:type="dxa"/>
            <w:vAlign w:val="center"/>
          </w:tcPr>
          <w:p w14:paraId="4B2F1977" w14:textId="77777777" w:rsidR="003858AE" w:rsidRPr="00F6387C" w:rsidRDefault="003858AE" w:rsidP="00540CC4">
            <w:pPr>
              <w:widowControl w:val="0"/>
              <w:rPr>
                <w:rFonts w:ascii="Arial Narrow" w:hAnsi="Arial Narrow"/>
                <w:b/>
                <w:bCs/>
                <w:sz w:val="20"/>
                <w:szCs w:val="20"/>
              </w:rPr>
            </w:pPr>
            <w:bookmarkStart w:id="14" w:name="_Hlk104809055"/>
            <w:bookmarkStart w:id="15" w:name="_Hlk104809082"/>
            <w:r w:rsidRPr="00F6387C">
              <w:rPr>
                <w:rFonts w:ascii="Arial Narrow" w:hAnsi="Arial Narrow"/>
                <w:b/>
                <w:bCs/>
                <w:sz w:val="20"/>
                <w:szCs w:val="20"/>
              </w:rPr>
              <w:t>MEDICINAL PRODUCT</w:t>
            </w:r>
          </w:p>
          <w:p w14:paraId="68F0CA36" w14:textId="77777777" w:rsidR="003858AE" w:rsidRPr="00F6387C" w:rsidRDefault="003858AE" w:rsidP="00540CC4">
            <w:pPr>
              <w:widowControl w:val="0"/>
              <w:rPr>
                <w:rFonts w:ascii="Arial Narrow" w:hAnsi="Arial Narrow"/>
                <w:b/>
                <w:sz w:val="20"/>
                <w:szCs w:val="20"/>
              </w:rPr>
            </w:pPr>
            <w:r w:rsidRPr="00F6387C">
              <w:rPr>
                <w:rFonts w:ascii="Arial Narrow" w:hAnsi="Arial Narrow"/>
                <w:b/>
                <w:bCs/>
                <w:sz w:val="20"/>
                <w:szCs w:val="20"/>
              </w:rPr>
              <w:t>medicinal product pack</w:t>
            </w:r>
          </w:p>
        </w:tc>
        <w:tc>
          <w:tcPr>
            <w:tcW w:w="2096" w:type="dxa"/>
            <w:vAlign w:val="center"/>
          </w:tcPr>
          <w:p w14:paraId="788A6D9A" w14:textId="77777777" w:rsidR="003858AE" w:rsidRPr="00F6387C" w:rsidRDefault="003858AE" w:rsidP="00540CC4">
            <w:pPr>
              <w:pStyle w:val="TableText0"/>
              <w:keepNext w:val="0"/>
              <w:widowControl w:val="0"/>
              <w:jc w:val="center"/>
              <w:rPr>
                <w:b/>
                <w:bCs w:val="0"/>
                <w:szCs w:val="20"/>
              </w:rPr>
            </w:pPr>
            <w:r w:rsidRPr="00F6387C">
              <w:rPr>
                <w:b/>
                <w:bCs w:val="0"/>
                <w:snapToGrid w:val="0"/>
              </w:rPr>
              <w:t>Dispensed Price for Max. Qty</w:t>
            </w:r>
            <w:r w:rsidRPr="00F6387C">
              <w:rPr>
                <w:snapToGrid w:val="0"/>
                <w:vertAlign w:val="superscript"/>
              </w:rPr>
              <w:t xml:space="preserve"> </w:t>
            </w:r>
            <w:proofErr w:type="spellStart"/>
            <w:r w:rsidRPr="00F6387C">
              <w:rPr>
                <w:snapToGrid w:val="0"/>
                <w:vertAlign w:val="superscript"/>
              </w:rPr>
              <w:t>a,b</w:t>
            </w:r>
            <w:proofErr w:type="spellEnd"/>
          </w:p>
        </w:tc>
        <w:tc>
          <w:tcPr>
            <w:tcW w:w="880" w:type="dxa"/>
            <w:vAlign w:val="center"/>
          </w:tcPr>
          <w:p w14:paraId="719BB40A" w14:textId="77777777" w:rsidR="003858AE" w:rsidRPr="00F6387C" w:rsidRDefault="003858AE" w:rsidP="00540CC4">
            <w:pPr>
              <w:widowControl w:val="0"/>
              <w:jc w:val="center"/>
              <w:rPr>
                <w:rFonts w:ascii="Arial Narrow" w:hAnsi="Arial Narrow"/>
                <w:b/>
                <w:sz w:val="20"/>
                <w:szCs w:val="20"/>
              </w:rPr>
            </w:pPr>
            <w:r w:rsidRPr="00F6387C">
              <w:rPr>
                <w:rFonts w:ascii="Arial Narrow" w:hAnsi="Arial Narrow"/>
                <w:b/>
                <w:sz w:val="20"/>
                <w:szCs w:val="20"/>
              </w:rPr>
              <w:t>Max. qty packs</w:t>
            </w:r>
          </w:p>
        </w:tc>
        <w:tc>
          <w:tcPr>
            <w:tcW w:w="993" w:type="dxa"/>
            <w:vAlign w:val="center"/>
          </w:tcPr>
          <w:p w14:paraId="7D56D0A6" w14:textId="77777777" w:rsidR="003858AE" w:rsidRPr="00F6387C" w:rsidRDefault="003858AE" w:rsidP="00540CC4">
            <w:pPr>
              <w:widowControl w:val="0"/>
              <w:jc w:val="center"/>
              <w:rPr>
                <w:rFonts w:ascii="Arial Narrow" w:hAnsi="Arial Narrow"/>
                <w:b/>
                <w:sz w:val="20"/>
                <w:szCs w:val="20"/>
              </w:rPr>
            </w:pPr>
            <w:r w:rsidRPr="00F6387C">
              <w:rPr>
                <w:rFonts w:ascii="Arial Narrow" w:hAnsi="Arial Narrow"/>
                <w:b/>
                <w:sz w:val="20"/>
                <w:szCs w:val="20"/>
              </w:rPr>
              <w:t>Max. qty units</w:t>
            </w:r>
          </w:p>
        </w:tc>
        <w:tc>
          <w:tcPr>
            <w:tcW w:w="850" w:type="dxa"/>
            <w:vAlign w:val="center"/>
          </w:tcPr>
          <w:p w14:paraId="068F7B9A" w14:textId="195680B3" w:rsidR="003858AE" w:rsidRPr="00F6387C" w:rsidRDefault="003858AE" w:rsidP="00540CC4">
            <w:pPr>
              <w:widowControl w:val="0"/>
              <w:jc w:val="center"/>
              <w:rPr>
                <w:rFonts w:ascii="Arial Narrow" w:hAnsi="Arial Narrow"/>
                <w:b/>
                <w:sz w:val="20"/>
                <w:szCs w:val="20"/>
              </w:rPr>
            </w:pPr>
            <w:r w:rsidRPr="00F6387C">
              <w:rPr>
                <w:rFonts w:ascii="Arial Narrow" w:hAnsi="Arial Narrow"/>
                <w:b/>
                <w:sz w:val="20"/>
                <w:szCs w:val="20"/>
              </w:rPr>
              <w:t>№.</w:t>
            </w:r>
            <w:r w:rsidR="00904884" w:rsidRPr="00F6387C">
              <w:rPr>
                <w:rFonts w:ascii="Arial Narrow" w:hAnsi="Arial Narrow"/>
                <w:b/>
                <w:sz w:val="20"/>
                <w:szCs w:val="20"/>
              </w:rPr>
              <w:t xml:space="preserve"> </w:t>
            </w:r>
            <w:r w:rsidRPr="00F6387C">
              <w:rPr>
                <w:rFonts w:ascii="Arial Narrow" w:hAnsi="Arial Narrow"/>
                <w:b/>
                <w:sz w:val="20"/>
                <w:szCs w:val="20"/>
              </w:rPr>
              <w:t>of</w:t>
            </w:r>
          </w:p>
          <w:p w14:paraId="498569D5" w14:textId="77777777" w:rsidR="003858AE" w:rsidRPr="00F6387C" w:rsidRDefault="003858AE" w:rsidP="00540CC4">
            <w:pPr>
              <w:widowControl w:val="0"/>
              <w:jc w:val="center"/>
              <w:rPr>
                <w:rFonts w:ascii="Arial Narrow" w:hAnsi="Arial Narrow"/>
                <w:b/>
                <w:sz w:val="20"/>
                <w:szCs w:val="20"/>
              </w:rPr>
            </w:pPr>
            <w:r w:rsidRPr="00F6387C">
              <w:rPr>
                <w:rFonts w:ascii="Arial Narrow" w:hAnsi="Arial Narrow"/>
                <w:b/>
                <w:sz w:val="20"/>
                <w:szCs w:val="20"/>
              </w:rPr>
              <w:t>Rpts</w:t>
            </w:r>
          </w:p>
        </w:tc>
        <w:tc>
          <w:tcPr>
            <w:tcW w:w="1570" w:type="dxa"/>
            <w:vAlign w:val="center"/>
          </w:tcPr>
          <w:p w14:paraId="1E39F4A3" w14:textId="77777777" w:rsidR="003858AE" w:rsidRPr="00F6387C" w:rsidRDefault="003858AE" w:rsidP="00540CC4">
            <w:pPr>
              <w:widowControl w:val="0"/>
              <w:jc w:val="center"/>
              <w:rPr>
                <w:rFonts w:ascii="Arial Narrow" w:hAnsi="Arial Narrow"/>
                <w:b/>
                <w:sz w:val="20"/>
                <w:szCs w:val="20"/>
              </w:rPr>
            </w:pPr>
            <w:r w:rsidRPr="00F6387C">
              <w:rPr>
                <w:rFonts w:ascii="Arial Narrow" w:hAnsi="Arial Narrow"/>
                <w:b/>
                <w:sz w:val="20"/>
                <w:szCs w:val="20"/>
              </w:rPr>
              <w:t>Available brands</w:t>
            </w:r>
          </w:p>
        </w:tc>
      </w:tr>
      <w:tr w:rsidR="003858AE" w:rsidRPr="00F6387C" w14:paraId="7E36F819" w14:textId="77777777" w:rsidTr="00540CC4">
        <w:trPr>
          <w:cantSplit/>
          <w:trHeight w:val="20"/>
        </w:trPr>
        <w:tc>
          <w:tcPr>
            <w:tcW w:w="2689" w:type="dxa"/>
            <w:vAlign w:val="center"/>
          </w:tcPr>
          <w:p w14:paraId="0B3C49A6" w14:textId="77777777" w:rsidR="003858AE" w:rsidRPr="00F6387C" w:rsidRDefault="003858AE" w:rsidP="00540CC4">
            <w:pPr>
              <w:pStyle w:val="TableText0"/>
              <w:keepNext w:val="0"/>
              <w:widowControl w:val="0"/>
            </w:pPr>
            <w:r w:rsidRPr="00F6387C">
              <w:t>Cladribine, 10 mg tablet, 1 tablet</w:t>
            </w:r>
          </w:p>
        </w:tc>
        <w:tc>
          <w:tcPr>
            <w:tcW w:w="2096" w:type="dxa"/>
            <w:vAlign w:val="center"/>
          </w:tcPr>
          <w:p w14:paraId="22E21AE1" w14:textId="77777777" w:rsidR="003858AE" w:rsidRPr="00F6387C" w:rsidRDefault="003858AE" w:rsidP="00540CC4">
            <w:pPr>
              <w:pStyle w:val="TableText0"/>
              <w:keepNext w:val="0"/>
              <w:widowControl w:val="0"/>
              <w:jc w:val="center"/>
            </w:pPr>
            <w:r w:rsidRPr="00F6387C">
              <w:t>$3,803.52 published</w:t>
            </w:r>
          </w:p>
          <w:p w14:paraId="572DFEB5" w14:textId="56506280" w:rsidR="003858AE" w:rsidRPr="00F6387C" w:rsidRDefault="00E56670" w:rsidP="00540CC4">
            <w:pPr>
              <w:pStyle w:val="TableText0"/>
              <w:keepNext w:val="0"/>
              <w:widowControl w:val="0"/>
              <w:jc w:val="center"/>
            </w:pPr>
            <w:r>
              <w:t>$</w:t>
            </w:r>
            <w:r w:rsidR="00632E88" w:rsidRPr="00D14AB6">
              <w:rPr>
                <w:rFonts w:hint="eastAsia"/>
                <w:color w:val="000000"/>
                <w:w w:val="15"/>
                <w:shd w:val="solid" w:color="000000" w:fill="000000"/>
                <w:fitText w:val="10" w:id="-1031597568"/>
                <w14:textFill>
                  <w14:solidFill>
                    <w14:srgbClr w14:val="000000">
                      <w14:alpha w14:val="100000"/>
                    </w14:srgbClr>
                  </w14:solidFill>
                </w14:textFill>
              </w:rPr>
              <w:t xml:space="preserve">　</w:t>
            </w:r>
            <w:proofErr w:type="gramStart"/>
            <w:r w:rsidR="00632E88" w:rsidRPr="00D14AB6">
              <w:rPr>
                <w:color w:val="000000"/>
                <w:w w:val="15"/>
                <w:shd w:val="solid" w:color="000000" w:fill="000000"/>
                <w:fitText w:val="10" w:id="-1031597568"/>
                <w14:textFill>
                  <w14:solidFill>
                    <w14:srgbClr w14:val="000000">
                      <w14:alpha w14:val="100000"/>
                    </w14:srgbClr>
                  </w14:solidFill>
                </w14:textFill>
              </w:rPr>
              <w:t>|</w:t>
            </w:r>
            <w:r w:rsidR="00632E88" w:rsidRPr="00D14AB6">
              <w:rPr>
                <w:rFonts w:hint="eastAsia"/>
                <w:color w:val="000000"/>
                <w:spacing w:val="-55"/>
                <w:w w:val="15"/>
                <w:shd w:val="solid" w:color="000000" w:fill="000000"/>
                <w:fitText w:val="10" w:id="-1031597568"/>
                <w14:textFill>
                  <w14:solidFill>
                    <w14:srgbClr w14:val="000000">
                      <w14:alpha w14:val="100000"/>
                    </w14:srgbClr>
                  </w14:solidFill>
                </w14:textFill>
              </w:rPr>
              <w:t xml:space="preserve">　</w:t>
            </w:r>
            <w:r w:rsidR="003858AE" w:rsidRPr="00F6387C">
              <w:t xml:space="preserve"> effective</w:t>
            </w:r>
            <w:proofErr w:type="gramEnd"/>
          </w:p>
        </w:tc>
        <w:tc>
          <w:tcPr>
            <w:tcW w:w="880" w:type="dxa"/>
            <w:vAlign w:val="center"/>
          </w:tcPr>
          <w:p w14:paraId="1A913ED9" w14:textId="77777777" w:rsidR="003858AE" w:rsidRPr="00F6387C" w:rsidRDefault="003858AE" w:rsidP="00540CC4">
            <w:pPr>
              <w:pStyle w:val="TableText0"/>
              <w:keepNext w:val="0"/>
              <w:widowControl w:val="0"/>
              <w:jc w:val="center"/>
            </w:pPr>
            <w:r w:rsidRPr="00F6387C">
              <w:t>1</w:t>
            </w:r>
          </w:p>
        </w:tc>
        <w:tc>
          <w:tcPr>
            <w:tcW w:w="993" w:type="dxa"/>
            <w:vAlign w:val="center"/>
          </w:tcPr>
          <w:p w14:paraId="5124BD2F" w14:textId="77777777" w:rsidR="003858AE" w:rsidRPr="00F6387C" w:rsidRDefault="003858AE" w:rsidP="00540CC4">
            <w:pPr>
              <w:pStyle w:val="TableText0"/>
              <w:keepNext w:val="0"/>
              <w:widowControl w:val="0"/>
              <w:jc w:val="center"/>
            </w:pPr>
            <w:r w:rsidRPr="00F6387C">
              <w:t>1</w:t>
            </w:r>
          </w:p>
        </w:tc>
        <w:tc>
          <w:tcPr>
            <w:tcW w:w="850" w:type="dxa"/>
            <w:vAlign w:val="center"/>
          </w:tcPr>
          <w:p w14:paraId="097A9051" w14:textId="77777777" w:rsidR="003858AE" w:rsidRPr="00F6387C" w:rsidRDefault="003858AE" w:rsidP="00540CC4">
            <w:pPr>
              <w:pStyle w:val="TableText0"/>
              <w:keepNext w:val="0"/>
              <w:widowControl w:val="0"/>
              <w:jc w:val="center"/>
            </w:pPr>
            <w:r w:rsidRPr="00F6387C">
              <w:t>1</w:t>
            </w:r>
          </w:p>
        </w:tc>
        <w:tc>
          <w:tcPr>
            <w:tcW w:w="1570" w:type="dxa"/>
            <w:vAlign w:val="center"/>
          </w:tcPr>
          <w:p w14:paraId="3DFF178B" w14:textId="77777777" w:rsidR="003858AE" w:rsidRPr="00F6387C" w:rsidRDefault="003858AE" w:rsidP="00540CC4">
            <w:pPr>
              <w:pStyle w:val="TableText0"/>
              <w:keepNext w:val="0"/>
              <w:widowControl w:val="0"/>
              <w:jc w:val="center"/>
            </w:pPr>
            <w:proofErr w:type="spellStart"/>
            <w:r w:rsidRPr="00F6387C">
              <w:rPr>
                <w:szCs w:val="20"/>
              </w:rPr>
              <w:t>Mavenclad</w:t>
            </w:r>
            <w:proofErr w:type="spellEnd"/>
          </w:p>
        </w:tc>
      </w:tr>
      <w:tr w:rsidR="003858AE" w:rsidRPr="00F6387C" w14:paraId="03F7BE03" w14:textId="77777777" w:rsidTr="00540CC4">
        <w:trPr>
          <w:cantSplit/>
          <w:trHeight w:val="20"/>
        </w:trPr>
        <w:tc>
          <w:tcPr>
            <w:tcW w:w="2689" w:type="dxa"/>
            <w:vAlign w:val="center"/>
          </w:tcPr>
          <w:p w14:paraId="1DD8D7A9" w14:textId="77777777" w:rsidR="003858AE" w:rsidRPr="00F6387C" w:rsidRDefault="003858AE" w:rsidP="00540CC4">
            <w:pPr>
              <w:pStyle w:val="TableText0"/>
              <w:keepNext w:val="0"/>
              <w:widowControl w:val="0"/>
            </w:pPr>
            <w:r w:rsidRPr="00F6387C">
              <w:t>Cladribine, 10 mg tablet, 6 tablets</w:t>
            </w:r>
          </w:p>
        </w:tc>
        <w:tc>
          <w:tcPr>
            <w:tcW w:w="2096" w:type="dxa"/>
            <w:vAlign w:val="center"/>
          </w:tcPr>
          <w:p w14:paraId="22D63C8C" w14:textId="77777777" w:rsidR="003858AE" w:rsidRPr="00F6387C" w:rsidRDefault="003858AE" w:rsidP="00540CC4">
            <w:pPr>
              <w:pStyle w:val="TableText0"/>
              <w:keepNext w:val="0"/>
              <w:widowControl w:val="0"/>
              <w:jc w:val="center"/>
            </w:pPr>
            <w:r w:rsidRPr="00F6387C">
              <w:t>$22,010.47 published</w:t>
            </w:r>
          </w:p>
          <w:p w14:paraId="0FDD8BA6" w14:textId="75A82FA4" w:rsidR="003858AE" w:rsidRPr="00F6387C" w:rsidRDefault="00E56670" w:rsidP="00540CC4">
            <w:pPr>
              <w:pStyle w:val="TableText0"/>
              <w:keepNext w:val="0"/>
              <w:widowControl w:val="0"/>
              <w:jc w:val="center"/>
            </w:pPr>
            <w:r>
              <w:t>$</w:t>
            </w:r>
            <w:r w:rsidR="00632E88" w:rsidRPr="00D14AB6">
              <w:rPr>
                <w:rFonts w:hint="eastAsia"/>
                <w:color w:val="000000"/>
                <w:w w:val="15"/>
                <w:shd w:val="solid" w:color="000000" w:fill="000000"/>
                <w:fitText w:val="10" w:id="-1031597567"/>
                <w14:textFill>
                  <w14:solidFill>
                    <w14:srgbClr w14:val="000000">
                      <w14:alpha w14:val="100000"/>
                    </w14:srgbClr>
                  </w14:solidFill>
                </w14:textFill>
              </w:rPr>
              <w:t xml:space="preserve">　</w:t>
            </w:r>
            <w:proofErr w:type="gramStart"/>
            <w:r w:rsidR="00632E88" w:rsidRPr="00D14AB6">
              <w:rPr>
                <w:color w:val="000000"/>
                <w:w w:val="15"/>
                <w:shd w:val="solid" w:color="000000" w:fill="000000"/>
                <w:fitText w:val="10" w:id="-1031597567"/>
                <w14:textFill>
                  <w14:solidFill>
                    <w14:srgbClr w14:val="000000">
                      <w14:alpha w14:val="100000"/>
                    </w14:srgbClr>
                  </w14:solidFill>
                </w14:textFill>
              </w:rPr>
              <w:t>|</w:t>
            </w:r>
            <w:r w:rsidR="00632E88" w:rsidRPr="00D14AB6">
              <w:rPr>
                <w:rFonts w:hint="eastAsia"/>
                <w:color w:val="000000"/>
                <w:spacing w:val="-55"/>
                <w:w w:val="15"/>
                <w:shd w:val="solid" w:color="000000" w:fill="000000"/>
                <w:fitText w:val="10" w:id="-1031597567"/>
                <w14:textFill>
                  <w14:solidFill>
                    <w14:srgbClr w14:val="000000">
                      <w14:alpha w14:val="100000"/>
                    </w14:srgbClr>
                  </w14:solidFill>
                </w14:textFill>
              </w:rPr>
              <w:t xml:space="preserve">　</w:t>
            </w:r>
            <w:r w:rsidR="003858AE" w:rsidRPr="00F6387C">
              <w:t xml:space="preserve"> effective</w:t>
            </w:r>
            <w:proofErr w:type="gramEnd"/>
          </w:p>
        </w:tc>
        <w:tc>
          <w:tcPr>
            <w:tcW w:w="880" w:type="dxa"/>
            <w:vAlign w:val="center"/>
          </w:tcPr>
          <w:p w14:paraId="4143090A" w14:textId="77777777" w:rsidR="003858AE" w:rsidRPr="00F6387C" w:rsidRDefault="003858AE" w:rsidP="00540CC4">
            <w:pPr>
              <w:pStyle w:val="TableText0"/>
              <w:keepNext w:val="0"/>
              <w:widowControl w:val="0"/>
              <w:jc w:val="center"/>
            </w:pPr>
            <w:r w:rsidRPr="00F6387C">
              <w:t>1</w:t>
            </w:r>
          </w:p>
        </w:tc>
        <w:tc>
          <w:tcPr>
            <w:tcW w:w="993" w:type="dxa"/>
            <w:vAlign w:val="center"/>
          </w:tcPr>
          <w:p w14:paraId="43BEA524" w14:textId="77777777" w:rsidR="003858AE" w:rsidRPr="00F6387C" w:rsidRDefault="003858AE" w:rsidP="00540CC4">
            <w:pPr>
              <w:pStyle w:val="TableText0"/>
              <w:keepNext w:val="0"/>
              <w:widowControl w:val="0"/>
              <w:jc w:val="center"/>
            </w:pPr>
            <w:r w:rsidRPr="00F6387C">
              <w:t>6</w:t>
            </w:r>
          </w:p>
        </w:tc>
        <w:tc>
          <w:tcPr>
            <w:tcW w:w="850" w:type="dxa"/>
            <w:vAlign w:val="center"/>
          </w:tcPr>
          <w:p w14:paraId="03D22E1F" w14:textId="77777777" w:rsidR="003858AE" w:rsidRPr="00F6387C" w:rsidRDefault="003858AE" w:rsidP="00540CC4">
            <w:pPr>
              <w:pStyle w:val="TableText0"/>
              <w:keepNext w:val="0"/>
              <w:widowControl w:val="0"/>
              <w:jc w:val="center"/>
            </w:pPr>
            <w:r w:rsidRPr="00F6387C">
              <w:t>1</w:t>
            </w:r>
          </w:p>
        </w:tc>
        <w:tc>
          <w:tcPr>
            <w:tcW w:w="1570" w:type="dxa"/>
            <w:vAlign w:val="center"/>
          </w:tcPr>
          <w:p w14:paraId="31401F26" w14:textId="77777777" w:rsidR="003858AE" w:rsidRPr="00F6387C" w:rsidRDefault="003858AE" w:rsidP="00540CC4">
            <w:pPr>
              <w:pStyle w:val="TableText0"/>
              <w:keepNext w:val="0"/>
              <w:widowControl w:val="0"/>
              <w:jc w:val="center"/>
            </w:pPr>
            <w:proofErr w:type="spellStart"/>
            <w:r w:rsidRPr="00F6387C">
              <w:rPr>
                <w:szCs w:val="20"/>
              </w:rPr>
              <w:t>Mavenclad</w:t>
            </w:r>
            <w:proofErr w:type="spellEnd"/>
          </w:p>
        </w:tc>
      </w:tr>
      <w:tr w:rsidR="003858AE" w:rsidRPr="00F6387C" w14:paraId="350CAB14" w14:textId="77777777" w:rsidTr="00540CC4">
        <w:trPr>
          <w:cantSplit/>
          <w:trHeight w:val="20"/>
        </w:trPr>
        <w:tc>
          <w:tcPr>
            <w:tcW w:w="2689" w:type="dxa"/>
            <w:vAlign w:val="center"/>
          </w:tcPr>
          <w:p w14:paraId="52413E53" w14:textId="77777777" w:rsidR="003858AE" w:rsidRPr="00F6387C" w:rsidRDefault="003858AE" w:rsidP="00540CC4">
            <w:pPr>
              <w:pStyle w:val="TableText0"/>
              <w:keepNext w:val="0"/>
              <w:widowControl w:val="0"/>
            </w:pPr>
            <w:r w:rsidRPr="00F6387C">
              <w:t>Cladribine, 10 mg tablet, 4 tablets</w:t>
            </w:r>
          </w:p>
        </w:tc>
        <w:tc>
          <w:tcPr>
            <w:tcW w:w="2096" w:type="dxa"/>
            <w:vAlign w:val="center"/>
          </w:tcPr>
          <w:p w14:paraId="2C00C9B3" w14:textId="77777777" w:rsidR="003858AE" w:rsidRPr="00F6387C" w:rsidRDefault="003858AE" w:rsidP="00540CC4">
            <w:pPr>
              <w:pStyle w:val="TableText0"/>
              <w:keepNext w:val="0"/>
              <w:widowControl w:val="0"/>
              <w:jc w:val="center"/>
            </w:pPr>
            <w:r w:rsidRPr="00F6387C">
              <w:t>$29,293.25 published</w:t>
            </w:r>
          </w:p>
          <w:p w14:paraId="35469FCF" w14:textId="26D38A4E" w:rsidR="003858AE" w:rsidRPr="00F6387C" w:rsidRDefault="00E56670" w:rsidP="00540CC4">
            <w:pPr>
              <w:pStyle w:val="TableText0"/>
              <w:keepNext w:val="0"/>
              <w:widowControl w:val="0"/>
              <w:jc w:val="center"/>
            </w:pPr>
            <w:r>
              <w:t>$</w:t>
            </w:r>
            <w:r w:rsidR="00632E88" w:rsidRPr="00D14AB6">
              <w:rPr>
                <w:rFonts w:hint="eastAsia"/>
                <w:color w:val="000000"/>
                <w:w w:val="15"/>
                <w:shd w:val="solid" w:color="000000" w:fill="000000"/>
                <w:fitText w:val="10" w:id="-1031597566"/>
                <w14:textFill>
                  <w14:solidFill>
                    <w14:srgbClr w14:val="000000">
                      <w14:alpha w14:val="100000"/>
                    </w14:srgbClr>
                  </w14:solidFill>
                </w14:textFill>
              </w:rPr>
              <w:t xml:space="preserve">　</w:t>
            </w:r>
            <w:proofErr w:type="gramStart"/>
            <w:r w:rsidR="00632E88" w:rsidRPr="00D14AB6">
              <w:rPr>
                <w:color w:val="000000"/>
                <w:w w:val="15"/>
                <w:shd w:val="solid" w:color="000000" w:fill="000000"/>
                <w:fitText w:val="10" w:id="-1031597566"/>
                <w14:textFill>
                  <w14:solidFill>
                    <w14:srgbClr w14:val="000000">
                      <w14:alpha w14:val="100000"/>
                    </w14:srgbClr>
                  </w14:solidFill>
                </w14:textFill>
              </w:rPr>
              <w:t>|</w:t>
            </w:r>
            <w:r w:rsidR="00632E88" w:rsidRPr="00D14AB6">
              <w:rPr>
                <w:rFonts w:hint="eastAsia"/>
                <w:color w:val="000000"/>
                <w:spacing w:val="-55"/>
                <w:w w:val="15"/>
                <w:shd w:val="solid" w:color="000000" w:fill="000000"/>
                <w:fitText w:val="10" w:id="-1031597566"/>
                <w14:textFill>
                  <w14:solidFill>
                    <w14:srgbClr w14:val="000000">
                      <w14:alpha w14:val="100000"/>
                    </w14:srgbClr>
                  </w14:solidFill>
                </w14:textFill>
              </w:rPr>
              <w:t xml:space="preserve">　</w:t>
            </w:r>
            <w:r w:rsidR="003858AE" w:rsidRPr="00F6387C">
              <w:t xml:space="preserve"> effective</w:t>
            </w:r>
            <w:proofErr w:type="gramEnd"/>
          </w:p>
        </w:tc>
        <w:tc>
          <w:tcPr>
            <w:tcW w:w="880" w:type="dxa"/>
            <w:vAlign w:val="center"/>
          </w:tcPr>
          <w:p w14:paraId="716DA27C" w14:textId="77777777" w:rsidR="003858AE" w:rsidRPr="00F6387C" w:rsidRDefault="003858AE" w:rsidP="00540CC4">
            <w:pPr>
              <w:pStyle w:val="TableText0"/>
              <w:keepNext w:val="0"/>
              <w:widowControl w:val="0"/>
              <w:jc w:val="center"/>
            </w:pPr>
            <w:r w:rsidRPr="00F6387C">
              <w:t>2</w:t>
            </w:r>
          </w:p>
        </w:tc>
        <w:tc>
          <w:tcPr>
            <w:tcW w:w="993" w:type="dxa"/>
            <w:vAlign w:val="center"/>
          </w:tcPr>
          <w:p w14:paraId="15FF6A88" w14:textId="77777777" w:rsidR="003858AE" w:rsidRPr="00F6387C" w:rsidRDefault="003858AE" w:rsidP="00540CC4">
            <w:pPr>
              <w:pStyle w:val="TableText0"/>
              <w:keepNext w:val="0"/>
              <w:widowControl w:val="0"/>
              <w:jc w:val="center"/>
            </w:pPr>
            <w:r w:rsidRPr="00F6387C">
              <w:t>8</w:t>
            </w:r>
          </w:p>
        </w:tc>
        <w:tc>
          <w:tcPr>
            <w:tcW w:w="850" w:type="dxa"/>
            <w:vAlign w:val="center"/>
          </w:tcPr>
          <w:p w14:paraId="02A6A413" w14:textId="77777777" w:rsidR="003858AE" w:rsidRPr="00F6387C" w:rsidRDefault="003858AE" w:rsidP="00540CC4">
            <w:pPr>
              <w:pStyle w:val="TableText0"/>
              <w:keepNext w:val="0"/>
              <w:widowControl w:val="0"/>
              <w:jc w:val="center"/>
            </w:pPr>
            <w:r w:rsidRPr="00F6387C">
              <w:t>1</w:t>
            </w:r>
          </w:p>
        </w:tc>
        <w:tc>
          <w:tcPr>
            <w:tcW w:w="1570" w:type="dxa"/>
            <w:vAlign w:val="center"/>
          </w:tcPr>
          <w:p w14:paraId="4DF11703" w14:textId="77777777" w:rsidR="003858AE" w:rsidRPr="00F6387C" w:rsidRDefault="003858AE" w:rsidP="00540CC4">
            <w:pPr>
              <w:pStyle w:val="TableText0"/>
              <w:keepNext w:val="0"/>
              <w:widowControl w:val="0"/>
              <w:jc w:val="center"/>
            </w:pPr>
            <w:proofErr w:type="spellStart"/>
            <w:r w:rsidRPr="00F6387C">
              <w:rPr>
                <w:szCs w:val="20"/>
              </w:rPr>
              <w:t>Mavenclad</w:t>
            </w:r>
            <w:proofErr w:type="spellEnd"/>
          </w:p>
        </w:tc>
      </w:tr>
    </w:tbl>
    <w:bookmarkEnd w:id="14"/>
    <w:p w14:paraId="6E811882" w14:textId="77777777" w:rsidR="003858AE" w:rsidRPr="00F6387C" w:rsidRDefault="003858AE" w:rsidP="00E56670">
      <w:pPr>
        <w:pStyle w:val="ExecSumBodyText"/>
        <w:numPr>
          <w:ilvl w:val="1"/>
          <w:numId w:val="1"/>
        </w:numPr>
        <w:spacing w:before="120"/>
      </w:pPr>
      <w:r w:rsidRPr="00F6387C">
        <w:t xml:space="preserve">A requested restriction was not presented in the resubmission as no changes to the current PBS listing of cladribine tablets (PBS codes: 11603Q, 11604R and 11611D) were proposed. </w:t>
      </w:r>
    </w:p>
    <w:p w14:paraId="3F347396" w14:textId="2438042F" w:rsidR="0047730E" w:rsidRPr="00F6387C" w:rsidRDefault="0099269F" w:rsidP="003858AE">
      <w:pPr>
        <w:pStyle w:val="ExecSumBodyText"/>
        <w:numPr>
          <w:ilvl w:val="1"/>
          <w:numId w:val="1"/>
        </w:numPr>
      </w:pPr>
      <w:r w:rsidRPr="00F6387C">
        <w:rPr>
          <w:iCs/>
        </w:rPr>
        <w:t>The ESC noted the</w:t>
      </w:r>
      <w:r w:rsidR="00C73AC7" w:rsidRPr="00F6387C">
        <w:rPr>
          <w:iCs/>
        </w:rPr>
        <w:t xml:space="preserve"> current</w:t>
      </w:r>
      <w:r w:rsidRPr="00F6387C">
        <w:rPr>
          <w:iCs/>
        </w:rPr>
        <w:t xml:space="preserve"> restriction did not preclude the use of cladribine in years 3 and 4.</w:t>
      </w:r>
    </w:p>
    <w:p w14:paraId="48BD28E7" w14:textId="1DB79978" w:rsidR="003858AE" w:rsidRPr="00F6387C" w:rsidRDefault="003858AE" w:rsidP="003858AE">
      <w:pPr>
        <w:pStyle w:val="ExecSumBodyText"/>
        <w:numPr>
          <w:ilvl w:val="1"/>
          <w:numId w:val="1"/>
        </w:numPr>
      </w:pPr>
      <w:r w:rsidRPr="00F6387C">
        <w:t xml:space="preserve">The AEMP </w:t>
      </w:r>
      <w:r w:rsidR="00B45A19">
        <w:t xml:space="preserve">proposed </w:t>
      </w:r>
      <w:r w:rsidRPr="00F6387C">
        <w:t xml:space="preserve">for one tablet of cladribine in the revised CMA was </w:t>
      </w:r>
      <w:r w:rsidR="00E56670">
        <w:t>$</w:t>
      </w:r>
      <w:r w:rsidR="00632E88" w:rsidRPr="00E56670">
        <w:rPr>
          <w:color w:val="000000"/>
          <w:spacing w:val="4"/>
          <w:w w:val="63"/>
          <w:shd w:val="solid" w:color="000000" w:fill="000000"/>
          <w:fitText w:val="480" w:id="-1031597565"/>
          <w14:textFill>
            <w14:solidFill>
              <w14:srgbClr w14:val="000000">
                <w14:alpha w14:val="100000"/>
              </w14:srgbClr>
            </w14:solidFill>
          </w14:textFill>
        </w:rPr>
        <w:t>|||</w:t>
      </w:r>
      <w:r w:rsidR="00E56670" w:rsidRPr="00E56670">
        <w:rPr>
          <w:color w:val="000000"/>
          <w:spacing w:val="4"/>
          <w:w w:val="63"/>
          <w:shd w:val="solid" w:color="000000" w:fill="000000"/>
          <w:fitText w:val="480" w:id="-1031597565"/>
          <w14:textFill>
            <w14:solidFill>
              <w14:srgbClr w14:val="000000">
                <w14:alpha w14:val="100000"/>
              </w14:srgbClr>
            </w14:solidFill>
          </w14:textFill>
        </w:rPr>
        <w:t xml:space="preserve"> </w:t>
      </w:r>
      <w:r w:rsidR="00632E88" w:rsidRPr="00E56670">
        <w:rPr>
          <w:color w:val="000000"/>
          <w:spacing w:val="4"/>
          <w:w w:val="63"/>
          <w:shd w:val="solid" w:color="000000" w:fill="000000"/>
          <w:fitText w:val="480" w:id="-1031597565"/>
          <w14:textFill>
            <w14:solidFill>
              <w14:srgbClr w14:val="000000">
                <w14:alpha w14:val="100000"/>
              </w14:srgbClr>
            </w14:solidFill>
          </w14:textFill>
        </w:rPr>
        <w:t>|||</w:t>
      </w:r>
      <w:r w:rsidRPr="00F6387C">
        <w:t xml:space="preserve">, which </w:t>
      </w:r>
      <w:r w:rsidRPr="00256823">
        <w:t>is</w:t>
      </w:r>
      <w:r w:rsidR="00E56670">
        <w:t xml:space="preserve"> </w:t>
      </w:r>
      <w:r w:rsidR="00632E88" w:rsidRPr="00D14AB6">
        <w:rPr>
          <w:color w:val="000000"/>
          <w:w w:val="15"/>
          <w:shd w:val="solid" w:color="000000" w:fill="000000"/>
          <w:fitText w:val="-20" w:id="-1031597564"/>
          <w14:textFill>
            <w14:solidFill>
              <w14:srgbClr w14:val="000000">
                <w14:alpha w14:val="100000"/>
              </w14:srgbClr>
            </w14:solidFill>
          </w14:textFill>
        </w:rPr>
        <w:t>|</w:t>
      </w:r>
      <w:r w:rsidR="00E56670" w:rsidRPr="00D14AB6">
        <w:rPr>
          <w:color w:val="000000"/>
          <w:w w:val="15"/>
          <w:shd w:val="solid" w:color="000000" w:fill="000000"/>
          <w:fitText w:val="-20" w:id="-1031597564"/>
          <w14:textFill>
            <w14:solidFill>
              <w14:srgbClr w14:val="000000">
                <w14:alpha w14:val="100000"/>
              </w14:srgbClr>
            </w14:solidFill>
          </w14:textFill>
        </w:rPr>
        <w:t xml:space="preserve"> </w:t>
      </w:r>
      <w:r w:rsidR="00632E88" w:rsidRPr="00D14AB6">
        <w:rPr>
          <w:color w:val="000000"/>
          <w:spacing w:val="-61"/>
          <w:w w:val="15"/>
          <w:shd w:val="solid" w:color="000000" w:fill="000000"/>
          <w:fitText w:val="-20" w:id="-1031597564"/>
          <w14:textFill>
            <w14:solidFill>
              <w14:srgbClr w14:val="000000">
                <w14:alpha w14:val="100000"/>
              </w14:srgbClr>
            </w14:solidFill>
          </w14:textFill>
        </w:rPr>
        <w:t>|</w:t>
      </w:r>
      <w:r w:rsidRPr="0081236A">
        <w:t>%</w:t>
      </w:r>
      <w:r w:rsidRPr="00F6387C">
        <w:t xml:space="preserve"> lower than the AEMP proposed in the November 2021 submission and</w:t>
      </w:r>
      <w:r w:rsidR="00E56670">
        <w:t xml:space="preserve"> </w:t>
      </w:r>
      <w:r w:rsidR="00632E88" w:rsidRPr="00D14AB6">
        <w:rPr>
          <w:color w:val="000000"/>
          <w:w w:val="15"/>
          <w:shd w:val="solid" w:color="000000" w:fill="000000"/>
          <w:fitText w:val="-20" w:id="-1031597563"/>
          <w14:textFill>
            <w14:solidFill>
              <w14:srgbClr w14:val="000000">
                <w14:alpha w14:val="100000"/>
              </w14:srgbClr>
            </w14:solidFill>
          </w14:textFill>
        </w:rPr>
        <w:t>|</w:t>
      </w:r>
      <w:r w:rsidR="00E56670" w:rsidRPr="00D14AB6">
        <w:rPr>
          <w:color w:val="000000"/>
          <w:w w:val="15"/>
          <w:shd w:val="solid" w:color="000000" w:fill="000000"/>
          <w:fitText w:val="-20" w:id="-1031597563"/>
          <w14:textFill>
            <w14:solidFill>
              <w14:srgbClr w14:val="000000">
                <w14:alpha w14:val="100000"/>
              </w14:srgbClr>
            </w14:solidFill>
          </w14:textFill>
        </w:rPr>
        <w:t xml:space="preserve"> </w:t>
      </w:r>
      <w:r w:rsidR="00632E88" w:rsidRPr="00D14AB6">
        <w:rPr>
          <w:color w:val="000000"/>
          <w:spacing w:val="-61"/>
          <w:w w:val="15"/>
          <w:shd w:val="solid" w:color="000000" w:fill="000000"/>
          <w:fitText w:val="-20" w:id="-1031597563"/>
          <w14:textFill>
            <w14:solidFill>
              <w14:srgbClr w14:val="000000">
                <w14:alpha w14:val="100000"/>
              </w14:srgbClr>
            </w14:solidFill>
          </w14:textFill>
        </w:rPr>
        <w:t>|</w:t>
      </w:r>
      <w:r w:rsidRPr="00F6387C">
        <w:t>% higher than the current AEMP (</w:t>
      </w:r>
      <w:r w:rsidR="00E56670">
        <w:t>$</w:t>
      </w:r>
      <w:r w:rsidR="00632E88" w:rsidRPr="00D14AB6">
        <w:rPr>
          <w:color w:val="000000"/>
          <w:w w:val="15"/>
          <w:shd w:val="solid" w:color="000000" w:fill="000000"/>
          <w:fitText w:val="-20" w:id="-1031597562"/>
          <w14:textFill>
            <w14:solidFill>
              <w14:srgbClr w14:val="000000">
                <w14:alpha w14:val="100000"/>
              </w14:srgbClr>
            </w14:solidFill>
          </w14:textFill>
        </w:rPr>
        <w:t>|</w:t>
      </w:r>
      <w:r w:rsidR="00E56670" w:rsidRPr="00D14AB6">
        <w:rPr>
          <w:color w:val="000000"/>
          <w:w w:val="15"/>
          <w:shd w:val="solid" w:color="000000" w:fill="000000"/>
          <w:fitText w:val="-20" w:id="-1031597562"/>
          <w14:textFill>
            <w14:solidFill>
              <w14:srgbClr w14:val="000000">
                <w14:alpha w14:val="100000"/>
              </w14:srgbClr>
            </w14:solidFill>
          </w14:textFill>
        </w:rPr>
        <w:t xml:space="preserve"> </w:t>
      </w:r>
      <w:r w:rsidR="00632E88" w:rsidRPr="00D14AB6">
        <w:rPr>
          <w:color w:val="000000"/>
          <w:spacing w:val="-61"/>
          <w:w w:val="15"/>
          <w:shd w:val="solid" w:color="000000" w:fill="000000"/>
          <w:fitText w:val="-20" w:id="-1031597562"/>
          <w14:textFill>
            <w14:solidFill>
              <w14:srgbClr w14:val="000000">
                <w14:alpha w14:val="100000"/>
              </w14:srgbClr>
            </w14:solidFill>
          </w14:textFill>
        </w:rPr>
        <w:t>|</w:t>
      </w:r>
      <w:r w:rsidRPr="00F6387C">
        <w:t>).</w:t>
      </w:r>
      <w:r w:rsidR="0066708D" w:rsidRPr="00F6387C">
        <w:t xml:space="preserve"> </w:t>
      </w:r>
      <w:r w:rsidR="0066708D" w:rsidRPr="00F6387C">
        <w:rPr>
          <w:iCs/>
        </w:rPr>
        <w:t xml:space="preserve">The </w:t>
      </w:r>
      <w:r w:rsidR="00AF7336" w:rsidRPr="00F6387C">
        <w:rPr>
          <w:iCs/>
        </w:rPr>
        <w:t xml:space="preserve">pre-PBAC Response </w:t>
      </w:r>
      <w:r w:rsidR="0066708D" w:rsidRPr="00F6387C">
        <w:rPr>
          <w:iCs/>
        </w:rPr>
        <w:t xml:space="preserve">proposed a revised lower price of </w:t>
      </w:r>
      <w:r w:rsidR="00E56670">
        <w:t>$</w:t>
      </w:r>
      <w:r w:rsidR="00632E88" w:rsidRPr="00D14AB6">
        <w:rPr>
          <w:color w:val="000000"/>
          <w:w w:val="15"/>
          <w:shd w:val="solid" w:color="000000" w:fill="000000"/>
          <w:fitText w:val="-20" w:id="-1031597561"/>
          <w14:textFill>
            <w14:solidFill>
              <w14:srgbClr w14:val="000000">
                <w14:alpha w14:val="100000"/>
              </w14:srgbClr>
            </w14:solidFill>
          </w14:textFill>
        </w:rPr>
        <w:t>|</w:t>
      </w:r>
      <w:r w:rsidR="00E56670" w:rsidRPr="00D14AB6">
        <w:rPr>
          <w:color w:val="000000"/>
          <w:w w:val="15"/>
          <w:shd w:val="solid" w:color="000000" w:fill="000000"/>
          <w:fitText w:val="-20" w:id="-1031597561"/>
          <w14:textFill>
            <w14:solidFill>
              <w14:srgbClr w14:val="000000">
                <w14:alpha w14:val="100000"/>
              </w14:srgbClr>
            </w14:solidFill>
          </w14:textFill>
        </w:rPr>
        <w:t xml:space="preserve"> </w:t>
      </w:r>
      <w:r w:rsidR="00632E88" w:rsidRPr="00D14AB6">
        <w:rPr>
          <w:color w:val="000000"/>
          <w:spacing w:val="-61"/>
          <w:w w:val="15"/>
          <w:shd w:val="solid" w:color="000000" w:fill="000000"/>
          <w:fitText w:val="-20" w:id="-1031597561"/>
          <w14:textFill>
            <w14:solidFill>
              <w14:srgbClr w14:val="000000">
                <w14:alpha w14:val="100000"/>
              </w14:srgbClr>
            </w14:solidFill>
          </w14:textFill>
        </w:rPr>
        <w:t>|</w:t>
      </w:r>
      <w:r w:rsidR="00AF7336" w:rsidRPr="00F6387C">
        <w:t xml:space="preserve"> </w:t>
      </w:r>
      <w:r w:rsidR="0066708D" w:rsidRPr="00F6387C">
        <w:rPr>
          <w:iCs/>
        </w:rPr>
        <w:t xml:space="preserve">per tablet </w:t>
      </w:r>
      <w:r w:rsidR="00E56670">
        <w:t>(</w:t>
      </w:r>
      <w:r w:rsidR="00632E88" w:rsidRPr="00D14AB6">
        <w:rPr>
          <w:color w:val="000000"/>
          <w:w w:val="15"/>
          <w:shd w:val="solid" w:color="000000" w:fill="000000"/>
          <w:fitText w:val="-20" w:id="-1031597560"/>
          <w14:textFill>
            <w14:solidFill>
              <w14:srgbClr w14:val="000000">
                <w14:alpha w14:val="100000"/>
              </w14:srgbClr>
            </w14:solidFill>
          </w14:textFill>
        </w:rPr>
        <w:t>|</w:t>
      </w:r>
      <w:r w:rsidR="00E56670" w:rsidRPr="00D14AB6">
        <w:rPr>
          <w:color w:val="000000"/>
          <w:w w:val="15"/>
          <w:shd w:val="solid" w:color="000000" w:fill="000000"/>
          <w:fitText w:val="-20" w:id="-1031597560"/>
          <w14:textFill>
            <w14:solidFill>
              <w14:srgbClr w14:val="000000">
                <w14:alpha w14:val="100000"/>
              </w14:srgbClr>
            </w14:solidFill>
          </w14:textFill>
        </w:rPr>
        <w:t xml:space="preserve"> </w:t>
      </w:r>
      <w:r w:rsidR="00632E88" w:rsidRPr="00D14AB6">
        <w:rPr>
          <w:color w:val="000000"/>
          <w:spacing w:val="-61"/>
          <w:w w:val="15"/>
          <w:shd w:val="solid" w:color="000000" w:fill="000000"/>
          <w:fitText w:val="-20" w:id="-1031597560"/>
          <w14:textFill>
            <w14:solidFill>
              <w14:srgbClr w14:val="000000">
                <w14:alpha w14:val="100000"/>
              </w14:srgbClr>
            </w14:solidFill>
          </w14:textFill>
        </w:rPr>
        <w:t>|</w:t>
      </w:r>
      <w:r w:rsidR="0066708D" w:rsidRPr="00256823">
        <w:rPr>
          <w:iCs/>
        </w:rPr>
        <w:t>% h</w:t>
      </w:r>
      <w:r w:rsidR="0066708D" w:rsidRPr="00F6387C">
        <w:rPr>
          <w:iCs/>
        </w:rPr>
        <w:t>igher than the current AEMP).</w:t>
      </w:r>
    </w:p>
    <w:p w14:paraId="7075B85C" w14:textId="62A47B7B" w:rsidR="00B50DB8" w:rsidRPr="00F6387C" w:rsidDel="00195452" w:rsidRDefault="00203181" w:rsidP="0098756A">
      <w:pPr>
        <w:pStyle w:val="2-SectionHeading"/>
      </w:pPr>
      <w:bookmarkStart w:id="16" w:name="_Toc145504205"/>
      <w:bookmarkEnd w:id="15"/>
      <w:r w:rsidRPr="00F6387C" w:rsidDel="00195452">
        <w:t xml:space="preserve">Population and </w:t>
      </w:r>
      <w:r w:rsidR="008E0D3C" w:rsidRPr="00F6387C" w:rsidDel="00195452">
        <w:t>d</w:t>
      </w:r>
      <w:r w:rsidRPr="00F6387C" w:rsidDel="00195452">
        <w:t>isease</w:t>
      </w:r>
      <w:bookmarkEnd w:id="16"/>
    </w:p>
    <w:p w14:paraId="11FCAAEE" w14:textId="229366D8" w:rsidR="007627BE" w:rsidRPr="00F6387C" w:rsidRDefault="003858AE" w:rsidP="004E18E9">
      <w:pPr>
        <w:pStyle w:val="3-BodyText"/>
      </w:pPr>
      <w:r w:rsidRPr="00F6387C">
        <w:t>Multiple sclerosis (MS) is a central nervous system disease associated with the loss of the myelin sheath, a fatty material that insulates nerves. MS disrupts the ability to conduct electrical impulses to and from the brain. Once MS presents, the condition is permanent and degenerative. RRMS is characterised by unpredictable relapses during which new symptoms appear or existing symptoms become more severe, followed by periods of relative clinical stability. Approximately 85% of MS patients are initially diagnosed with RRMS. Over time, patients experience less recovery from relapses and accumulate underlying disability. Most RRMS patients progress to secondary progressive MS (SPMS), which is characterised by ongoing deterioration in function with interspersed relapses.</w:t>
      </w:r>
    </w:p>
    <w:p w14:paraId="51E5AE96" w14:textId="136A63B1" w:rsidR="00B50DB8" w:rsidRPr="00F6387C" w:rsidRDefault="00B50DB8" w:rsidP="0098756A">
      <w:pPr>
        <w:pStyle w:val="2-SectionHeading"/>
      </w:pPr>
      <w:bookmarkStart w:id="17" w:name="_Toc145504206"/>
      <w:r w:rsidRPr="00F6387C">
        <w:t>Comparator</w:t>
      </w:r>
      <w:bookmarkEnd w:id="17"/>
    </w:p>
    <w:p w14:paraId="3B385C9E" w14:textId="727BCA64" w:rsidR="003858AE" w:rsidRPr="00F6387C" w:rsidRDefault="003858AE" w:rsidP="003858AE">
      <w:pPr>
        <w:pStyle w:val="3-BodyText"/>
        <w:rPr>
          <w:snapToGrid/>
        </w:rPr>
      </w:pPr>
      <w:r w:rsidRPr="00F6387C">
        <w:rPr>
          <w:snapToGrid/>
        </w:rPr>
        <w:t xml:space="preserve">As in the November 2021 cladribine submission, the resubmission nominated fingolimod as the main comparator. The resubmission’s arguments in support of this nomination were: (1) </w:t>
      </w:r>
      <w:r w:rsidR="008F0F20" w:rsidRPr="00F6387C">
        <w:rPr>
          <w:lang w:eastAsia="en-US"/>
        </w:rPr>
        <w:t xml:space="preserve">the </w:t>
      </w:r>
      <w:r w:rsidRPr="00F6387C">
        <w:rPr>
          <w:lang w:eastAsia="en-US"/>
        </w:rPr>
        <w:t xml:space="preserve">PBAC considered that fingolimod was a reasonable comparator at the November 2021 meeting, consistent with its view at the March 2018 meeting where cladribine was initially recommended; (2) </w:t>
      </w:r>
      <w:r w:rsidR="008F0F20" w:rsidRPr="00F6387C">
        <w:rPr>
          <w:szCs w:val="22"/>
          <w:lang w:eastAsia="en-US"/>
        </w:rPr>
        <w:t xml:space="preserve">the </w:t>
      </w:r>
      <w:r w:rsidRPr="00F6387C">
        <w:rPr>
          <w:szCs w:val="22"/>
          <w:lang w:eastAsia="en-US"/>
        </w:rPr>
        <w:t xml:space="preserve">resubmission reported that 2022 PBS Medicare utilisation statistics demonstrated that fingolimod 500 </w:t>
      </w:r>
      <w:r w:rsidR="007B0F25" w:rsidRPr="00F6387C">
        <w:rPr>
          <w:szCs w:val="22"/>
          <w:lang w:eastAsia="en-US"/>
        </w:rPr>
        <w:t xml:space="preserve">microgram </w:t>
      </w:r>
      <w:r w:rsidRPr="00F6387C">
        <w:rPr>
          <w:szCs w:val="22"/>
          <w:lang w:eastAsia="en-US"/>
        </w:rPr>
        <w:t xml:space="preserve">capsules have the highest market share by number of scripts (42.13%); and (3) </w:t>
      </w:r>
      <w:r w:rsidR="008F0F20" w:rsidRPr="00F6387C">
        <w:rPr>
          <w:szCs w:val="22"/>
          <w:lang w:eastAsia="en-US"/>
        </w:rPr>
        <w:t xml:space="preserve">the </w:t>
      </w:r>
      <w:r w:rsidRPr="00F6387C">
        <w:rPr>
          <w:szCs w:val="22"/>
          <w:lang w:eastAsia="en-US"/>
        </w:rPr>
        <w:t>administration of fingolimod as an oral tablet matches that of cladribine.</w:t>
      </w:r>
      <w:r w:rsidR="00D750DC" w:rsidRPr="00F6387C">
        <w:rPr>
          <w:szCs w:val="22"/>
          <w:lang w:eastAsia="en-US"/>
        </w:rPr>
        <w:t xml:space="preserve"> </w:t>
      </w:r>
      <w:r w:rsidR="00B43B66" w:rsidRPr="00F6387C">
        <w:rPr>
          <w:szCs w:val="22"/>
          <w:lang w:eastAsia="en-US"/>
        </w:rPr>
        <w:t xml:space="preserve">The </w:t>
      </w:r>
      <w:r w:rsidR="00022988" w:rsidRPr="00F6387C">
        <w:rPr>
          <w:szCs w:val="22"/>
          <w:lang w:eastAsia="en-US"/>
        </w:rPr>
        <w:t xml:space="preserve">evaluation </w:t>
      </w:r>
      <w:r w:rsidR="00022988" w:rsidRPr="00F6387C">
        <w:rPr>
          <w:iCs/>
          <w:szCs w:val="22"/>
          <w:lang w:eastAsia="en-US"/>
        </w:rPr>
        <w:t xml:space="preserve">and </w:t>
      </w:r>
      <w:r w:rsidR="00B43B66" w:rsidRPr="00F6387C">
        <w:rPr>
          <w:iCs/>
          <w:szCs w:val="22"/>
          <w:lang w:eastAsia="en-US"/>
        </w:rPr>
        <w:t>ESC considered</w:t>
      </w:r>
      <w:r w:rsidR="00B43B66" w:rsidRPr="00F6387C">
        <w:rPr>
          <w:szCs w:val="22"/>
          <w:lang w:eastAsia="en-US"/>
        </w:rPr>
        <w:t xml:space="preserve"> that f</w:t>
      </w:r>
      <w:r w:rsidR="00D750DC" w:rsidRPr="00F6387C">
        <w:t xml:space="preserve">ingolimod remains an appropriate comparator </w:t>
      </w:r>
      <w:r w:rsidR="00D750DC" w:rsidRPr="00F6387C">
        <w:rPr>
          <w:rFonts w:cs="Calibri"/>
          <w:color w:val="000000" w:themeColor="text1"/>
        </w:rPr>
        <w:t>but, as previously acknowledged by the PBAC, cladribine may replace any of the PBS subsidised RRMS treatments</w:t>
      </w:r>
      <w:r w:rsidR="00D750DC" w:rsidRPr="00F6387C">
        <w:t>.</w:t>
      </w:r>
    </w:p>
    <w:p w14:paraId="30A067BB" w14:textId="12104E0D" w:rsidR="00B50DB8" w:rsidRPr="00F6387C" w:rsidRDefault="003858AE" w:rsidP="003858AE">
      <w:pPr>
        <w:pStyle w:val="3-BodyText"/>
        <w:rPr>
          <w:snapToGrid/>
        </w:rPr>
      </w:pPr>
      <w:bookmarkStart w:id="18" w:name="_Ref107305379"/>
      <w:r w:rsidRPr="00F6387C">
        <w:t>In the context of the cost-minimisation approach taken by the resubmission, a further consideration for PBAC is that, 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bookmarkEnd w:id="18"/>
      <w:r w:rsidR="00723C26" w:rsidRPr="00F6387C">
        <w:t xml:space="preserve"> Given the established therapeutic relativities in RRMS, natalizumab, alemtuzumab, ocrelizumab, ozanimod and ofatumumab may also be alternative therapies.</w:t>
      </w:r>
      <w:r w:rsidR="0066708D" w:rsidRPr="00F6387C">
        <w:t xml:space="preserve"> </w:t>
      </w:r>
      <w:r w:rsidR="0066708D" w:rsidRPr="00F6387C">
        <w:rPr>
          <w:iCs/>
        </w:rPr>
        <w:t xml:space="preserve">The ESC noted the established therapeutic relativities in RRMS include numerous higher efficacy tier agents, which </w:t>
      </w:r>
      <w:r w:rsidR="009E1A7B" w:rsidRPr="00F6387C">
        <w:rPr>
          <w:iCs/>
        </w:rPr>
        <w:t xml:space="preserve">were not considered by the </w:t>
      </w:r>
      <w:r w:rsidR="007B0F25" w:rsidRPr="00F6387C">
        <w:rPr>
          <w:iCs/>
        </w:rPr>
        <w:t>re</w:t>
      </w:r>
      <w:r w:rsidR="009E1A7B" w:rsidRPr="00F6387C">
        <w:rPr>
          <w:iCs/>
        </w:rPr>
        <w:t>submission.</w:t>
      </w:r>
    </w:p>
    <w:p w14:paraId="467CA5EB" w14:textId="77777777" w:rsidR="00803AE9" w:rsidRPr="00F6387C" w:rsidRDefault="00803AE9" w:rsidP="00803AE9">
      <w:pPr>
        <w:ind w:firstLine="709"/>
        <w:rPr>
          <w:rFonts w:asciiTheme="minorHAnsi" w:hAnsiTheme="minorHAnsi"/>
          <w:i/>
        </w:rPr>
      </w:pPr>
      <w:r w:rsidRPr="00F6387C">
        <w:rPr>
          <w:rFonts w:asciiTheme="minorHAnsi" w:hAnsiTheme="minorHAnsi"/>
          <w:i/>
        </w:rPr>
        <w:t>For more detail on PBAC’s view, see section 7 PBAC outcome.</w:t>
      </w:r>
    </w:p>
    <w:p w14:paraId="7F9C27C8" w14:textId="77777777" w:rsidR="00223D5A" w:rsidRPr="00F6387C" w:rsidRDefault="00223D5A" w:rsidP="00223D5A">
      <w:pPr>
        <w:pStyle w:val="2-SectionHeading"/>
      </w:pPr>
      <w:bookmarkStart w:id="19" w:name="_Toc145504207"/>
      <w:bookmarkStart w:id="20" w:name="_Toc22897640"/>
      <w:r w:rsidRPr="00F6387C">
        <w:t>Consideration of the evidence</w:t>
      </w:r>
      <w:bookmarkEnd w:id="19"/>
    </w:p>
    <w:p w14:paraId="2E7FFCA1" w14:textId="77777777" w:rsidR="00803AE9" w:rsidRPr="00F6387C" w:rsidRDefault="00803AE9" w:rsidP="00803AE9">
      <w:pPr>
        <w:pStyle w:val="3-SubsectionHeading"/>
        <w:rPr>
          <w:lang w:eastAsia="en-AU"/>
        </w:rPr>
      </w:pPr>
      <w:bookmarkStart w:id="21" w:name="_Hlk76375935"/>
      <w:bookmarkStart w:id="22" w:name="_Toc145504208"/>
      <w:r w:rsidRPr="00F6387C">
        <w:rPr>
          <w:lang w:eastAsia="en-AU"/>
        </w:rPr>
        <w:t>Sponsor hearing</w:t>
      </w:r>
    </w:p>
    <w:p w14:paraId="7F0B6F3F" w14:textId="391ABFD6" w:rsidR="00803AE9" w:rsidRPr="00F6387C" w:rsidRDefault="00803AE9" w:rsidP="00D50E97">
      <w:pPr>
        <w:widowControl w:val="0"/>
        <w:numPr>
          <w:ilvl w:val="1"/>
          <w:numId w:val="1"/>
        </w:numPr>
        <w:spacing w:after="120"/>
        <w:rPr>
          <w:rFonts w:asciiTheme="minorHAnsi" w:hAnsiTheme="minorHAnsi"/>
          <w:bCs/>
          <w:snapToGrid w:val="0"/>
        </w:rPr>
      </w:pPr>
      <w:bookmarkStart w:id="23" w:name="_Hlk76382586"/>
      <w:r w:rsidRPr="00F6387C">
        <w:rPr>
          <w:rFonts w:asciiTheme="minorHAnsi" w:hAnsiTheme="minorHAnsi"/>
          <w:bCs/>
          <w:snapToGrid w:val="0"/>
        </w:rPr>
        <w:t>The sponsor requested a hearing for this item</w:t>
      </w:r>
      <w:r w:rsidR="00F6387C">
        <w:rPr>
          <w:rFonts w:asciiTheme="minorHAnsi" w:hAnsiTheme="minorHAnsi"/>
          <w:bCs/>
          <w:snapToGrid w:val="0"/>
        </w:rPr>
        <w:t xml:space="preserve">. </w:t>
      </w:r>
      <w:r w:rsidR="00067EAD" w:rsidRPr="00F6387C">
        <w:rPr>
          <w:rFonts w:asciiTheme="minorHAnsi" w:hAnsiTheme="minorHAnsi"/>
          <w:bCs/>
        </w:rPr>
        <w:t xml:space="preserve">The clinician presented </w:t>
      </w:r>
      <w:r w:rsidR="004865E0" w:rsidRPr="00F6387C">
        <w:rPr>
          <w:rFonts w:asciiTheme="minorHAnsi" w:hAnsiTheme="minorHAnsi"/>
          <w:bCs/>
        </w:rPr>
        <w:t xml:space="preserve">a brief overview of </w:t>
      </w:r>
      <w:r w:rsidR="00311A5E" w:rsidRPr="00F6387C">
        <w:rPr>
          <w:rFonts w:asciiTheme="minorHAnsi" w:hAnsiTheme="minorHAnsi"/>
          <w:bCs/>
        </w:rPr>
        <w:t xml:space="preserve">updated data from the </w:t>
      </w:r>
      <w:proofErr w:type="spellStart"/>
      <w:r w:rsidR="00311A5E" w:rsidRPr="00F6387C">
        <w:rPr>
          <w:rFonts w:asciiTheme="minorHAnsi" w:hAnsiTheme="minorHAnsi"/>
          <w:bCs/>
        </w:rPr>
        <w:t>MSBase</w:t>
      </w:r>
      <w:proofErr w:type="spellEnd"/>
      <w:r w:rsidR="00311A5E" w:rsidRPr="00F6387C">
        <w:rPr>
          <w:rFonts w:asciiTheme="minorHAnsi" w:hAnsiTheme="minorHAnsi"/>
          <w:bCs/>
        </w:rPr>
        <w:t xml:space="preserve"> registry</w:t>
      </w:r>
      <w:r w:rsidR="00067EAD" w:rsidRPr="00F6387C">
        <w:rPr>
          <w:rFonts w:asciiTheme="minorHAnsi" w:hAnsiTheme="minorHAnsi"/>
          <w:bCs/>
        </w:rPr>
        <w:t xml:space="preserve"> </w:t>
      </w:r>
      <w:r w:rsidR="00D50E97" w:rsidRPr="00F6387C">
        <w:rPr>
          <w:rFonts w:asciiTheme="minorHAnsi" w:hAnsiTheme="minorHAnsi"/>
          <w:bCs/>
        </w:rPr>
        <w:t xml:space="preserve">and </w:t>
      </w:r>
      <w:r w:rsidR="00D04E38" w:rsidRPr="00F6387C">
        <w:rPr>
          <w:rFonts w:asciiTheme="minorHAnsi" w:hAnsiTheme="minorHAnsi"/>
          <w:bCs/>
        </w:rPr>
        <w:t xml:space="preserve">discussed </w:t>
      </w:r>
      <w:r w:rsidR="00B45A19">
        <w:rPr>
          <w:rFonts w:asciiTheme="minorHAnsi" w:hAnsiTheme="minorHAnsi"/>
          <w:bCs/>
        </w:rPr>
        <w:t>their</w:t>
      </w:r>
      <w:r w:rsidR="00B45A19" w:rsidRPr="00F6387C">
        <w:rPr>
          <w:rFonts w:asciiTheme="minorHAnsi" w:hAnsiTheme="minorHAnsi"/>
          <w:bCs/>
        </w:rPr>
        <w:t xml:space="preserve"> </w:t>
      </w:r>
      <w:r w:rsidR="00C0297B" w:rsidRPr="00F6387C">
        <w:rPr>
          <w:rFonts w:asciiTheme="minorHAnsi" w:hAnsiTheme="minorHAnsi"/>
          <w:bCs/>
        </w:rPr>
        <w:t>clinical</w:t>
      </w:r>
      <w:r w:rsidR="00067EAD" w:rsidRPr="00F6387C">
        <w:rPr>
          <w:rFonts w:asciiTheme="minorHAnsi" w:hAnsiTheme="minorHAnsi"/>
          <w:bCs/>
        </w:rPr>
        <w:t xml:space="preserve"> experience treating patients with cladribine</w:t>
      </w:r>
      <w:r w:rsidR="00D04E38" w:rsidRPr="00F6387C">
        <w:rPr>
          <w:rFonts w:asciiTheme="minorHAnsi" w:hAnsiTheme="minorHAnsi"/>
          <w:bCs/>
        </w:rPr>
        <w:t xml:space="preserve"> in Australia</w:t>
      </w:r>
      <w:r w:rsidR="00067EAD" w:rsidRPr="00F6387C">
        <w:rPr>
          <w:rFonts w:asciiTheme="minorHAnsi" w:hAnsiTheme="minorHAnsi"/>
          <w:bCs/>
          <w:snapToGrid w:val="0"/>
        </w:rPr>
        <w:t xml:space="preserve">. </w:t>
      </w:r>
      <w:r w:rsidR="00335A2E" w:rsidRPr="00F6387C">
        <w:rPr>
          <w:rFonts w:asciiTheme="minorHAnsi" w:hAnsiTheme="minorHAnsi"/>
          <w:bCs/>
          <w:snapToGrid w:val="0"/>
        </w:rPr>
        <w:t xml:space="preserve">The clinician </w:t>
      </w:r>
      <w:r w:rsidR="001A7FA8" w:rsidRPr="00F6387C">
        <w:rPr>
          <w:rFonts w:asciiTheme="minorHAnsi" w:hAnsiTheme="minorHAnsi"/>
          <w:bCs/>
          <w:snapToGrid w:val="0"/>
        </w:rPr>
        <w:t xml:space="preserve">stated </w:t>
      </w:r>
      <w:r w:rsidR="00335A2E" w:rsidRPr="00F6387C">
        <w:rPr>
          <w:rFonts w:asciiTheme="minorHAnsi" w:hAnsiTheme="minorHAnsi"/>
          <w:bCs/>
          <w:snapToGrid w:val="0"/>
        </w:rPr>
        <w:t xml:space="preserve">that </w:t>
      </w:r>
      <w:r w:rsidR="00A01A0D" w:rsidRPr="00F6387C">
        <w:rPr>
          <w:rFonts w:asciiTheme="minorHAnsi" w:hAnsiTheme="minorHAnsi"/>
          <w:bCs/>
          <w:snapToGrid w:val="0"/>
        </w:rPr>
        <w:t xml:space="preserve">lack of </w:t>
      </w:r>
      <w:r w:rsidR="00335A2E" w:rsidRPr="00F6387C">
        <w:rPr>
          <w:rFonts w:asciiTheme="minorHAnsi" w:hAnsiTheme="minorHAnsi"/>
          <w:bCs/>
          <w:snapToGrid w:val="0"/>
        </w:rPr>
        <w:t xml:space="preserve">switching is </w:t>
      </w:r>
      <w:r w:rsidR="001A7FA8" w:rsidRPr="00F6387C">
        <w:rPr>
          <w:rFonts w:asciiTheme="minorHAnsi" w:hAnsiTheme="minorHAnsi"/>
          <w:bCs/>
          <w:snapToGrid w:val="0"/>
        </w:rPr>
        <w:t xml:space="preserve">considered </w:t>
      </w:r>
      <w:r w:rsidR="00335A2E" w:rsidRPr="00F6387C">
        <w:rPr>
          <w:rFonts w:asciiTheme="minorHAnsi" w:hAnsiTheme="minorHAnsi"/>
          <w:bCs/>
          <w:snapToGrid w:val="0"/>
        </w:rPr>
        <w:t xml:space="preserve">a good indicator of </w:t>
      </w:r>
      <w:r w:rsidR="00A01A0D" w:rsidRPr="00F6387C">
        <w:rPr>
          <w:rFonts w:asciiTheme="minorHAnsi" w:hAnsiTheme="minorHAnsi"/>
          <w:bCs/>
          <w:snapToGrid w:val="0"/>
        </w:rPr>
        <w:t xml:space="preserve">the </w:t>
      </w:r>
      <w:r w:rsidR="00335A2E" w:rsidRPr="00F6387C">
        <w:rPr>
          <w:rFonts w:asciiTheme="minorHAnsi" w:hAnsiTheme="minorHAnsi"/>
          <w:bCs/>
          <w:snapToGrid w:val="0"/>
        </w:rPr>
        <w:t>efficacy and tolerability</w:t>
      </w:r>
      <w:r w:rsidR="00A01A0D" w:rsidRPr="00F6387C">
        <w:rPr>
          <w:rFonts w:asciiTheme="minorHAnsi" w:hAnsiTheme="minorHAnsi"/>
          <w:bCs/>
          <w:snapToGrid w:val="0"/>
        </w:rPr>
        <w:t xml:space="preserve"> of a treatment</w:t>
      </w:r>
      <w:r w:rsidR="001A7FA8" w:rsidRPr="00F6387C">
        <w:rPr>
          <w:rFonts w:asciiTheme="minorHAnsi" w:hAnsiTheme="minorHAnsi"/>
          <w:bCs/>
          <w:snapToGrid w:val="0"/>
        </w:rPr>
        <w:t xml:space="preserve">. The clinician further stated </w:t>
      </w:r>
      <w:r w:rsidR="00335A2E" w:rsidRPr="00F6387C">
        <w:rPr>
          <w:rFonts w:asciiTheme="minorHAnsi" w:hAnsiTheme="minorHAnsi"/>
          <w:bCs/>
          <w:snapToGrid w:val="0"/>
        </w:rPr>
        <w:t xml:space="preserve">that </w:t>
      </w:r>
      <w:r w:rsidR="001A7FA8" w:rsidRPr="00F6387C">
        <w:rPr>
          <w:rFonts w:asciiTheme="minorHAnsi" w:hAnsiTheme="minorHAnsi"/>
          <w:bCs/>
          <w:snapToGrid w:val="0"/>
        </w:rPr>
        <w:t xml:space="preserve">cladribine may be selected for </w:t>
      </w:r>
      <w:r w:rsidR="00335A2E" w:rsidRPr="00F6387C">
        <w:rPr>
          <w:rFonts w:asciiTheme="minorHAnsi" w:hAnsiTheme="minorHAnsi"/>
          <w:bCs/>
          <w:snapToGrid w:val="0"/>
        </w:rPr>
        <w:t xml:space="preserve">patients </w:t>
      </w:r>
      <w:r w:rsidR="00B45A19">
        <w:rPr>
          <w:rFonts w:asciiTheme="minorHAnsi" w:hAnsiTheme="minorHAnsi"/>
          <w:bCs/>
          <w:snapToGrid w:val="0"/>
        </w:rPr>
        <w:t>that are likely to be less</w:t>
      </w:r>
      <w:r w:rsidR="00335A2E" w:rsidRPr="00F6387C">
        <w:rPr>
          <w:rFonts w:asciiTheme="minorHAnsi" w:hAnsiTheme="minorHAnsi"/>
          <w:bCs/>
          <w:snapToGrid w:val="0"/>
        </w:rPr>
        <w:t xml:space="preserve"> compliant, </w:t>
      </w:r>
      <w:r w:rsidR="001A7FA8" w:rsidRPr="00F6387C">
        <w:rPr>
          <w:rFonts w:asciiTheme="minorHAnsi" w:hAnsiTheme="minorHAnsi"/>
          <w:bCs/>
          <w:snapToGrid w:val="0"/>
        </w:rPr>
        <w:t xml:space="preserve">so the </w:t>
      </w:r>
      <w:r w:rsidR="00335A2E" w:rsidRPr="00F6387C">
        <w:rPr>
          <w:rFonts w:asciiTheme="minorHAnsi" w:hAnsiTheme="minorHAnsi"/>
          <w:bCs/>
          <w:snapToGrid w:val="0"/>
        </w:rPr>
        <w:t xml:space="preserve">clinician </w:t>
      </w:r>
      <w:r w:rsidR="001A7FA8" w:rsidRPr="00F6387C">
        <w:rPr>
          <w:rFonts w:asciiTheme="minorHAnsi" w:hAnsiTheme="minorHAnsi"/>
          <w:bCs/>
          <w:snapToGrid w:val="0"/>
        </w:rPr>
        <w:t xml:space="preserve">can be more confident that </w:t>
      </w:r>
      <w:r w:rsidR="00335A2E" w:rsidRPr="00F6387C">
        <w:rPr>
          <w:rFonts w:asciiTheme="minorHAnsi" w:hAnsiTheme="minorHAnsi"/>
          <w:bCs/>
          <w:snapToGrid w:val="0"/>
        </w:rPr>
        <w:t xml:space="preserve">the treatment </w:t>
      </w:r>
      <w:r w:rsidR="001A7FA8" w:rsidRPr="00F6387C">
        <w:rPr>
          <w:rFonts w:asciiTheme="minorHAnsi" w:hAnsiTheme="minorHAnsi"/>
          <w:bCs/>
          <w:snapToGrid w:val="0"/>
        </w:rPr>
        <w:t>will be efficacious over the</w:t>
      </w:r>
      <w:r w:rsidR="00335A2E" w:rsidRPr="00F6387C">
        <w:rPr>
          <w:rFonts w:asciiTheme="minorHAnsi" w:hAnsiTheme="minorHAnsi"/>
          <w:bCs/>
          <w:snapToGrid w:val="0"/>
        </w:rPr>
        <w:t xml:space="preserve"> long</w:t>
      </w:r>
      <w:r w:rsidR="00E96712" w:rsidRPr="00F6387C">
        <w:rPr>
          <w:rFonts w:asciiTheme="minorHAnsi" w:hAnsiTheme="minorHAnsi"/>
          <w:bCs/>
          <w:snapToGrid w:val="0"/>
        </w:rPr>
        <w:t>er</w:t>
      </w:r>
      <w:r w:rsidR="00335A2E" w:rsidRPr="00F6387C">
        <w:rPr>
          <w:rFonts w:asciiTheme="minorHAnsi" w:hAnsiTheme="minorHAnsi"/>
          <w:bCs/>
          <w:snapToGrid w:val="0"/>
        </w:rPr>
        <w:t>-term</w:t>
      </w:r>
      <w:r w:rsidR="001A7FA8" w:rsidRPr="00F6387C">
        <w:rPr>
          <w:rFonts w:asciiTheme="minorHAnsi" w:hAnsiTheme="minorHAnsi"/>
          <w:bCs/>
          <w:snapToGrid w:val="0"/>
        </w:rPr>
        <w:t>.</w:t>
      </w:r>
    </w:p>
    <w:bookmarkEnd w:id="23"/>
    <w:p w14:paraId="01C9BC9C" w14:textId="77777777" w:rsidR="00803AE9" w:rsidRPr="00F6387C" w:rsidRDefault="00803AE9" w:rsidP="00803AE9">
      <w:pPr>
        <w:pStyle w:val="3-SubsectionHeading"/>
        <w:rPr>
          <w:lang w:eastAsia="en-AU"/>
        </w:rPr>
      </w:pPr>
      <w:r w:rsidRPr="00F6387C">
        <w:rPr>
          <w:lang w:eastAsia="en-AU"/>
        </w:rPr>
        <w:t>Consumer comments</w:t>
      </w:r>
    </w:p>
    <w:p w14:paraId="26524CD2" w14:textId="0DD23BD4" w:rsidR="00803AE9" w:rsidRPr="00F6387C" w:rsidRDefault="00803AE9" w:rsidP="00803AE9">
      <w:pPr>
        <w:widowControl w:val="0"/>
        <w:numPr>
          <w:ilvl w:val="1"/>
          <w:numId w:val="1"/>
        </w:numPr>
        <w:spacing w:after="120"/>
        <w:rPr>
          <w:rFonts w:asciiTheme="minorHAnsi" w:hAnsiTheme="minorHAnsi"/>
          <w:bCs/>
          <w:snapToGrid w:val="0"/>
        </w:rPr>
      </w:pPr>
      <w:bookmarkStart w:id="24" w:name="_Hlk76382618"/>
      <w:r w:rsidRPr="00F6387C">
        <w:rPr>
          <w:rFonts w:asciiTheme="minorHAnsi" w:hAnsiTheme="minorHAnsi"/>
          <w:bCs/>
          <w:snapToGrid w:val="0"/>
        </w:rPr>
        <w:t>The PBAC noted that no consumer comments were received for this item.</w:t>
      </w:r>
    </w:p>
    <w:bookmarkEnd w:id="21"/>
    <w:bookmarkEnd w:id="24"/>
    <w:p w14:paraId="609C0765" w14:textId="31FB850F" w:rsidR="00B60939" w:rsidRPr="00F6387C" w:rsidRDefault="00B60939" w:rsidP="002E4F02">
      <w:pPr>
        <w:pStyle w:val="4-SubsectionHeading"/>
      </w:pPr>
      <w:r w:rsidRPr="00F6387C">
        <w:t xml:space="preserve">Clinical </w:t>
      </w:r>
      <w:r w:rsidR="00D5243B" w:rsidRPr="00F6387C">
        <w:t>studies</w:t>
      </w:r>
      <w:bookmarkEnd w:id="20"/>
      <w:bookmarkEnd w:id="22"/>
    </w:p>
    <w:p w14:paraId="55EB4217" w14:textId="5B9F5B6C" w:rsidR="003858AE" w:rsidRPr="00F6387C" w:rsidRDefault="003858AE" w:rsidP="003858AE">
      <w:pPr>
        <w:pStyle w:val="3-BodyText"/>
      </w:pPr>
      <w:r w:rsidRPr="00F6387C">
        <w:t xml:space="preserve">The resubmission was based on one prospective longitudinal study that compared registry data for patients with MS who were treated with cladribine tablets or other oral </w:t>
      </w:r>
      <w:r w:rsidR="00FE170C" w:rsidRPr="00F6387C">
        <w:t>disease modifying therapies (</w:t>
      </w:r>
      <w:r w:rsidRPr="00F6387C">
        <w:t>DMTs</w:t>
      </w:r>
      <w:r w:rsidR="00FE170C" w:rsidRPr="00F6387C">
        <w:t>)</w:t>
      </w:r>
      <w:r w:rsidRPr="00F6387C">
        <w:t xml:space="preserve"> including fingolimod (GLIMPSE), and two retrospective database studies that investigated patients who received cladribine for MS (</w:t>
      </w:r>
      <w:proofErr w:type="spellStart"/>
      <w:r w:rsidRPr="00F6387C">
        <w:t>Magalashvili</w:t>
      </w:r>
      <w:proofErr w:type="spellEnd"/>
      <w:r w:rsidRPr="00F6387C">
        <w:t xml:space="preserve"> 2022; CLARENCE).</w:t>
      </w:r>
    </w:p>
    <w:p w14:paraId="3D535AE0" w14:textId="77777777" w:rsidR="003858AE" w:rsidRPr="00F6387C" w:rsidRDefault="003858AE" w:rsidP="003858AE">
      <w:pPr>
        <w:pStyle w:val="3-BodyText"/>
      </w:pPr>
      <w:r w:rsidRPr="00F6387C">
        <w:t>The resubmission also presented supportive data from an analysis of PBS 10% sample data for MS treatment services between 2011 and 2022, and longitudinal prescribing data from German patients with RRMS who were treated with cladribine tablets (IQVIA Longitudinal Prescription database).</w:t>
      </w:r>
    </w:p>
    <w:p w14:paraId="2B59ABAC" w14:textId="175B7E8D" w:rsidR="00862502" w:rsidRPr="00F6387C" w:rsidRDefault="003858AE" w:rsidP="003858AE">
      <w:pPr>
        <w:pStyle w:val="3-BodyText"/>
      </w:pPr>
      <w:r w:rsidRPr="00F6387C">
        <w:rPr>
          <w:snapToGrid/>
        </w:rPr>
        <w:t xml:space="preserve">Publication details of the included studies are provided in </w:t>
      </w:r>
      <w:r w:rsidR="004D0403" w:rsidRPr="00F6387C">
        <w:rPr>
          <w:snapToGrid/>
        </w:rPr>
        <w:fldChar w:fldCharType="begin" w:fldLock="1"/>
      </w:r>
      <w:r w:rsidR="004D0403" w:rsidRPr="00F6387C">
        <w:rPr>
          <w:snapToGrid/>
        </w:rPr>
        <w:instrText xml:space="preserve"> REF _Ref145503624 \h </w:instrText>
      </w:r>
      <w:r w:rsidR="004D0403" w:rsidRPr="00F6387C">
        <w:rPr>
          <w:snapToGrid/>
        </w:rPr>
      </w:r>
      <w:r w:rsidR="004D0403" w:rsidRPr="00F6387C">
        <w:rPr>
          <w:snapToGrid/>
        </w:rPr>
        <w:fldChar w:fldCharType="separate"/>
      </w:r>
      <w:r w:rsidR="000D404D" w:rsidRPr="00F6387C">
        <w:t>Table 3</w:t>
      </w:r>
      <w:r w:rsidR="004D0403" w:rsidRPr="00F6387C">
        <w:rPr>
          <w:snapToGrid/>
        </w:rPr>
        <w:fldChar w:fldCharType="end"/>
      </w:r>
      <w:r w:rsidR="004D0403" w:rsidRPr="00F6387C">
        <w:rPr>
          <w:snapToGrid/>
        </w:rPr>
        <w:t>.</w:t>
      </w:r>
    </w:p>
    <w:p w14:paraId="5CAD2D7C" w14:textId="6A66FC8E" w:rsidR="003858AE" w:rsidRPr="00F6387C" w:rsidRDefault="003858AE" w:rsidP="00551ED4">
      <w:pPr>
        <w:pStyle w:val="TableFigureHeading"/>
        <w:rPr>
          <w:rStyle w:val="CommentReference"/>
          <w:b/>
          <w:szCs w:val="24"/>
        </w:rPr>
      </w:pPr>
      <w:bookmarkStart w:id="25" w:name="_Ref145503624"/>
      <w:r w:rsidRPr="00F6387C">
        <w:t xml:space="preserve">Table </w:t>
      </w:r>
      <w:fldSimple w:instr=" SEQ Table \* ARABIC " w:fldLock="1">
        <w:r w:rsidR="000D404D" w:rsidRPr="00F6387C">
          <w:t>3</w:t>
        </w:r>
      </w:fldSimple>
      <w:bookmarkEnd w:id="25"/>
      <w:r w:rsidRPr="00F6387C">
        <w:t>:</w:t>
      </w:r>
      <w:r w:rsidRPr="00F6387C">
        <w:rPr>
          <w:rStyle w:val="CommentReference"/>
          <w:b/>
          <w:szCs w:val="24"/>
        </w:rPr>
        <w:t xml:space="preserve"> Studies and associated reports presented in the resubmission for the included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Studies and associated reports presented in the resubmission for the included studies"/>
        <w:tblDescription w:val="Table 3: Studies and associated reports presented in the resubmission for the included studies"/>
      </w:tblPr>
      <w:tblGrid>
        <w:gridCol w:w="1436"/>
        <w:gridCol w:w="5458"/>
        <w:gridCol w:w="2122"/>
      </w:tblGrid>
      <w:tr w:rsidR="003858AE" w:rsidRPr="00F6387C" w14:paraId="7B164370" w14:textId="77777777" w:rsidTr="00540CC4">
        <w:trPr>
          <w:tblHeader/>
        </w:trPr>
        <w:tc>
          <w:tcPr>
            <w:tcW w:w="796" w:type="pct"/>
            <w:vAlign w:val="center"/>
          </w:tcPr>
          <w:p w14:paraId="7AB6D0F3" w14:textId="77777777" w:rsidR="003858AE" w:rsidRPr="00F6387C" w:rsidRDefault="003858AE" w:rsidP="00551ED4">
            <w:pPr>
              <w:pStyle w:val="In-tableHeading"/>
              <w:rPr>
                <w:lang w:val="en-AU"/>
              </w:rPr>
            </w:pPr>
            <w:r w:rsidRPr="00F6387C">
              <w:rPr>
                <w:lang w:val="en-AU"/>
              </w:rPr>
              <w:t>Trial ID</w:t>
            </w:r>
          </w:p>
        </w:tc>
        <w:tc>
          <w:tcPr>
            <w:tcW w:w="3027" w:type="pct"/>
            <w:vAlign w:val="center"/>
          </w:tcPr>
          <w:p w14:paraId="527AF17D" w14:textId="77777777" w:rsidR="003858AE" w:rsidRPr="00F6387C" w:rsidRDefault="003858AE" w:rsidP="00551ED4">
            <w:pPr>
              <w:pStyle w:val="In-tableHeading"/>
              <w:rPr>
                <w:lang w:val="en-AU"/>
              </w:rPr>
            </w:pPr>
            <w:r w:rsidRPr="00F6387C">
              <w:rPr>
                <w:lang w:val="en-AU"/>
              </w:rPr>
              <w:t>Protocol title/ Publication title</w:t>
            </w:r>
          </w:p>
        </w:tc>
        <w:tc>
          <w:tcPr>
            <w:tcW w:w="1177" w:type="pct"/>
            <w:vAlign w:val="center"/>
          </w:tcPr>
          <w:p w14:paraId="518F21F3" w14:textId="77777777" w:rsidR="003858AE" w:rsidRPr="00F6387C" w:rsidRDefault="003858AE" w:rsidP="00551ED4">
            <w:pPr>
              <w:pStyle w:val="In-tableHeading"/>
              <w:rPr>
                <w:lang w:val="en-AU"/>
              </w:rPr>
            </w:pPr>
            <w:r w:rsidRPr="00F6387C">
              <w:rPr>
                <w:lang w:val="en-AU"/>
              </w:rPr>
              <w:t>Publication citation</w:t>
            </w:r>
          </w:p>
        </w:tc>
      </w:tr>
      <w:tr w:rsidR="003858AE" w:rsidRPr="00F6387C" w14:paraId="50330885" w14:textId="77777777" w:rsidTr="00540CC4">
        <w:tc>
          <w:tcPr>
            <w:tcW w:w="796" w:type="pct"/>
            <w:tcBorders>
              <w:bottom w:val="nil"/>
            </w:tcBorders>
            <w:vAlign w:val="center"/>
          </w:tcPr>
          <w:p w14:paraId="20260990" w14:textId="77777777" w:rsidR="003858AE" w:rsidRPr="00F6387C" w:rsidRDefault="003858AE" w:rsidP="00551ED4">
            <w:pPr>
              <w:pStyle w:val="Tabletext"/>
              <w:keepNext/>
            </w:pPr>
            <w:r w:rsidRPr="00F6387C">
              <w:t>GLIMPSE</w:t>
            </w:r>
          </w:p>
        </w:tc>
        <w:tc>
          <w:tcPr>
            <w:tcW w:w="3027" w:type="pct"/>
            <w:tcBorders>
              <w:bottom w:val="nil"/>
            </w:tcBorders>
            <w:vAlign w:val="center"/>
          </w:tcPr>
          <w:p w14:paraId="6E49A61D" w14:textId="77777777" w:rsidR="003858AE" w:rsidRPr="00F6387C" w:rsidRDefault="003858AE" w:rsidP="00551ED4">
            <w:pPr>
              <w:pStyle w:val="Tabletext"/>
              <w:keepNext/>
              <w:rPr>
                <w:szCs w:val="18"/>
              </w:rPr>
            </w:pPr>
            <w:r w:rsidRPr="00F6387C">
              <w:rPr>
                <w:szCs w:val="18"/>
              </w:rPr>
              <w:t xml:space="preserve">Spelman T., et al. Comparative effectiveness of cladribine tablets versus other oral disease-modifying treatments for multiple sclerosis: Results from </w:t>
            </w:r>
            <w:proofErr w:type="spellStart"/>
            <w:r w:rsidRPr="00F6387C">
              <w:rPr>
                <w:szCs w:val="18"/>
              </w:rPr>
              <w:t>MSBase</w:t>
            </w:r>
            <w:proofErr w:type="spellEnd"/>
            <w:r w:rsidRPr="00F6387C">
              <w:rPr>
                <w:szCs w:val="18"/>
              </w:rPr>
              <w:t xml:space="preserve"> registry.</w:t>
            </w:r>
          </w:p>
        </w:tc>
        <w:tc>
          <w:tcPr>
            <w:tcW w:w="1177" w:type="pct"/>
            <w:tcBorders>
              <w:bottom w:val="nil"/>
            </w:tcBorders>
            <w:vAlign w:val="center"/>
          </w:tcPr>
          <w:p w14:paraId="1A768758" w14:textId="77777777" w:rsidR="003858AE" w:rsidRPr="00F6387C" w:rsidRDefault="003858AE" w:rsidP="00551ED4">
            <w:pPr>
              <w:pStyle w:val="Tabletext"/>
              <w:keepNext/>
              <w:rPr>
                <w:szCs w:val="18"/>
              </w:rPr>
            </w:pPr>
            <w:proofErr w:type="spellStart"/>
            <w:r w:rsidRPr="00F6387C">
              <w:rPr>
                <w:i/>
                <w:iCs/>
                <w:szCs w:val="18"/>
              </w:rPr>
              <w:t>Mult</w:t>
            </w:r>
            <w:proofErr w:type="spellEnd"/>
            <w:r w:rsidRPr="00F6387C">
              <w:rPr>
                <w:i/>
                <w:iCs/>
                <w:szCs w:val="18"/>
              </w:rPr>
              <w:t xml:space="preserve"> </w:t>
            </w:r>
            <w:proofErr w:type="spellStart"/>
            <w:r w:rsidRPr="00F6387C">
              <w:rPr>
                <w:i/>
                <w:iCs/>
                <w:szCs w:val="18"/>
              </w:rPr>
              <w:t>Scler</w:t>
            </w:r>
            <w:proofErr w:type="spellEnd"/>
            <w:r w:rsidRPr="00F6387C">
              <w:rPr>
                <w:i/>
                <w:iCs/>
                <w:szCs w:val="18"/>
              </w:rPr>
              <w:t>.</w:t>
            </w:r>
            <w:r w:rsidRPr="00F6387C">
              <w:rPr>
                <w:szCs w:val="18"/>
              </w:rPr>
              <w:t xml:space="preserve"> 2022; 29(2):221-235</w:t>
            </w:r>
          </w:p>
        </w:tc>
      </w:tr>
      <w:tr w:rsidR="003858AE" w:rsidRPr="00F6387C" w14:paraId="51BD9C2E" w14:textId="77777777" w:rsidTr="00540CC4">
        <w:trPr>
          <w:trHeight w:val="451"/>
        </w:trPr>
        <w:tc>
          <w:tcPr>
            <w:tcW w:w="796" w:type="pct"/>
            <w:tcBorders>
              <w:top w:val="nil"/>
              <w:bottom w:val="nil"/>
            </w:tcBorders>
            <w:vAlign w:val="center"/>
          </w:tcPr>
          <w:p w14:paraId="50DAB014" w14:textId="77777777" w:rsidR="003858AE" w:rsidRPr="00F6387C" w:rsidRDefault="003858AE" w:rsidP="00551ED4">
            <w:pPr>
              <w:pStyle w:val="Tabletext"/>
              <w:keepNext/>
            </w:pPr>
          </w:p>
        </w:tc>
        <w:tc>
          <w:tcPr>
            <w:tcW w:w="3027" w:type="pct"/>
            <w:tcBorders>
              <w:top w:val="nil"/>
              <w:bottom w:val="nil"/>
            </w:tcBorders>
            <w:vAlign w:val="center"/>
          </w:tcPr>
          <w:p w14:paraId="70A1E054" w14:textId="77777777" w:rsidR="003858AE" w:rsidRPr="00F6387C" w:rsidRDefault="003858AE" w:rsidP="00551ED4">
            <w:pPr>
              <w:pStyle w:val="Tabletext"/>
              <w:keepNext/>
              <w:rPr>
                <w:szCs w:val="18"/>
              </w:rPr>
            </w:pPr>
            <w:r w:rsidRPr="00F6387C">
              <w:rPr>
                <w:szCs w:val="18"/>
              </w:rPr>
              <w:t xml:space="preserve">Additional internal data. </w:t>
            </w:r>
          </w:p>
        </w:tc>
        <w:tc>
          <w:tcPr>
            <w:tcW w:w="1177" w:type="pct"/>
            <w:tcBorders>
              <w:top w:val="nil"/>
              <w:bottom w:val="nil"/>
            </w:tcBorders>
            <w:vAlign w:val="center"/>
          </w:tcPr>
          <w:p w14:paraId="0D27FA65" w14:textId="77777777" w:rsidR="003858AE" w:rsidRPr="00F6387C" w:rsidRDefault="003858AE" w:rsidP="00551ED4">
            <w:pPr>
              <w:pStyle w:val="Tabletext"/>
              <w:keepNext/>
              <w:rPr>
                <w:szCs w:val="18"/>
              </w:rPr>
            </w:pPr>
          </w:p>
        </w:tc>
      </w:tr>
      <w:tr w:rsidR="003858AE" w:rsidRPr="00F6387C" w14:paraId="29302BB6" w14:textId="77777777" w:rsidTr="00540CC4">
        <w:trPr>
          <w:trHeight w:val="560"/>
        </w:trPr>
        <w:tc>
          <w:tcPr>
            <w:tcW w:w="796" w:type="pct"/>
            <w:tcBorders>
              <w:top w:val="single" w:sz="4" w:space="0" w:color="auto"/>
              <w:bottom w:val="single" w:sz="4" w:space="0" w:color="auto"/>
            </w:tcBorders>
            <w:vAlign w:val="center"/>
          </w:tcPr>
          <w:p w14:paraId="721D5FFB" w14:textId="77777777" w:rsidR="003858AE" w:rsidRPr="00F6387C" w:rsidRDefault="003858AE" w:rsidP="00551ED4">
            <w:pPr>
              <w:pStyle w:val="Tabletext"/>
              <w:keepNext/>
            </w:pPr>
            <w:proofErr w:type="spellStart"/>
            <w:r w:rsidRPr="00F6387C">
              <w:t>Magalashvili</w:t>
            </w:r>
            <w:proofErr w:type="spellEnd"/>
            <w:r w:rsidRPr="00F6387C">
              <w:t xml:space="preserve"> 2022</w:t>
            </w:r>
          </w:p>
        </w:tc>
        <w:tc>
          <w:tcPr>
            <w:tcW w:w="3027" w:type="pct"/>
            <w:tcBorders>
              <w:top w:val="single" w:sz="4" w:space="0" w:color="auto"/>
              <w:bottom w:val="single" w:sz="4" w:space="0" w:color="auto"/>
            </w:tcBorders>
            <w:vAlign w:val="center"/>
          </w:tcPr>
          <w:p w14:paraId="6BF82721" w14:textId="77777777" w:rsidR="003858AE" w:rsidRPr="00F6387C" w:rsidRDefault="003858AE" w:rsidP="00551ED4">
            <w:pPr>
              <w:pStyle w:val="Tabletext"/>
              <w:keepNext/>
              <w:rPr>
                <w:szCs w:val="18"/>
              </w:rPr>
            </w:pPr>
            <w:proofErr w:type="spellStart"/>
            <w:r w:rsidRPr="00F6387C">
              <w:rPr>
                <w:szCs w:val="18"/>
              </w:rPr>
              <w:t>Magalashvili</w:t>
            </w:r>
            <w:proofErr w:type="spellEnd"/>
            <w:r w:rsidRPr="00F6387C">
              <w:rPr>
                <w:szCs w:val="18"/>
              </w:rPr>
              <w:t xml:space="preserve"> D., et al. Cladribine treatment for highly active multiple sclerosis: Real-world clinical outcomes for years 3 and 4.</w:t>
            </w:r>
          </w:p>
        </w:tc>
        <w:tc>
          <w:tcPr>
            <w:tcW w:w="1177" w:type="pct"/>
            <w:tcBorders>
              <w:top w:val="single" w:sz="4" w:space="0" w:color="auto"/>
              <w:bottom w:val="single" w:sz="4" w:space="0" w:color="auto"/>
            </w:tcBorders>
            <w:vAlign w:val="center"/>
          </w:tcPr>
          <w:p w14:paraId="2A01FC13" w14:textId="77777777" w:rsidR="003858AE" w:rsidRPr="00F6387C" w:rsidRDefault="003858AE" w:rsidP="00551ED4">
            <w:pPr>
              <w:pStyle w:val="Tabletext"/>
              <w:keepNext/>
              <w:rPr>
                <w:szCs w:val="18"/>
              </w:rPr>
            </w:pPr>
            <w:r w:rsidRPr="00F6387C">
              <w:rPr>
                <w:i/>
                <w:iCs/>
                <w:szCs w:val="18"/>
              </w:rPr>
              <w:t xml:space="preserve">J </w:t>
            </w:r>
            <w:proofErr w:type="spellStart"/>
            <w:r w:rsidRPr="00F6387C">
              <w:rPr>
                <w:i/>
                <w:iCs/>
                <w:szCs w:val="18"/>
              </w:rPr>
              <w:t>Neuroimmunol</w:t>
            </w:r>
            <w:proofErr w:type="spellEnd"/>
            <w:r w:rsidRPr="00F6387C">
              <w:rPr>
                <w:i/>
                <w:iCs/>
                <w:szCs w:val="18"/>
              </w:rPr>
              <w:t>.</w:t>
            </w:r>
            <w:r w:rsidRPr="00F6387C">
              <w:rPr>
                <w:szCs w:val="18"/>
              </w:rPr>
              <w:t xml:space="preserve"> 2022; 15;372:577966.</w:t>
            </w:r>
          </w:p>
        </w:tc>
      </w:tr>
      <w:tr w:rsidR="003858AE" w:rsidRPr="00F6387C" w14:paraId="1D204A18" w14:textId="77777777" w:rsidTr="00540CC4">
        <w:tc>
          <w:tcPr>
            <w:tcW w:w="796" w:type="pct"/>
            <w:tcBorders>
              <w:top w:val="single" w:sz="4" w:space="0" w:color="auto"/>
              <w:bottom w:val="nil"/>
            </w:tcBorders>
            <w:vAlign w:val="center"/>
          </w:tcPr>
          <w:p w14:paraId="3809B18B" w14:textId="77777777" w:rsidR="003858AE" w:rsidRPr="00F6387C" w:rsidRDefault="003858AE" w:rsidP="00551ED4">
            <w:pPr>
              <w:pStyle w:val="Tabletext"/>
              <w:keepNext/>
            </w:pPr>
            <w:r w:rsidRPr="00F6387C">
              <w:t>CLARENCE</w:t>
            </w:r>
          </w:p>
        </w:tc>
        <w:tc>
          <w:tcPr>
            <w:tcW w:w="3027" w:type="pct"/>
            <w:tcBorders>
              <w:top w:val="single" w:sz="4" w:space="0" w:color="auto"/>
              <w:bottom w:val="nil"/>
            </w:tcBorders>
            <w:vAlign w:val="center"/>
          </w:tcPr>
          <w:p w14:paraId="66ED05D3" w14:textId="77777777" w:rsidR="003858AE" w:rsidRPr="00F6387C" w:rsidRDefault="003858AE" w:rsidP="00551ED4">
            <w:pPr>
              <w:pStyle w:val="Tabletext"/>
              <w:keepNext/>
              <w:rPr>
                <w:szCs w:val="18"/>
              </w:rPr>
            </w:pPr>
            <w:r w:rsidRPr="00F6387C">
              <w:rPr>
                <w:szCs w:val="18"/>
              </w:rPr>
              <w:t>Brownlee, W., et al. Real-World Use of Cladribine Tablets (Completion Rates and Treatment Persistence) in Patients with Multiple Sclerosis in England: the CLARENCE Study.</w:t>
            </w:r>
          </w:p>
        </w:tc>
        <w:tc>
          <w:tcPr>
            <w:tcW w:w="1177" w:type="pct"/>
            <w:tcBorders>
              <w:top w:val="single" w:sz="4" w:space="0" w:color="auto"/>
              <w:bottom w:val="nil"/>
            </w:tcBorders>
            <w:vAlign w:val="center"/>
          </w:tcPr>
          <w:p w14:paraId="2E0551CF" w14:textId="77777777" w:rsidR="003858AE" w:rsidRPr="00F6387C" w:rsidRDefault="003858AE" w:rsidP="00551ED4">
            <w:pPr>
              <w:pStyle w:val="Tabletext"/>
              <w:keepNext/>
              <w:rPr>
                <w:szCs w:val="18"/>
              </w:rPr>
            </w:pPr>
            <w:r w:rsidRPr="00F6387C">
              <w:rPr>
                <w:i/>
                <w:iCs/>
                <w:szCs w:val="18"/>
              </w:rPr>
              <w:t>Multiple Sclerosis and Related Disorders</w:t>
            </w:r>
            <w:r w:rsidRPr="00F6387C">
              <w:rPr>
                <w:szCs w:val="18"/>
              </w:rPr>
              <w:t xml:space="preserve"> 2023; 71: 104286.</w:t>
            </w:r>
          </w:p>
        </w:tc>
      </w:tr>
      <w:tr w:rsidR="003858AE" w:rsidRPr="00F6387C" w14:paraId="30376924" w14:textId="77777777" w:rsidTr="00540CC4">
        <w:trPr>
          <w:trHeight w:val="469"/>
        </w:trPr>
        <w:tc>
          <w:tcPr>
            <w:tcW w:w="796" w:type="pct"/>
            <w:tcBorders>
              <w:top w:val="nil"/>
            </w:tcBorders>
            <w:vAlign w:val="center"/>
          </w:tcPr>
          <w:p w14:paraId="7AC730AA" w14:textId="77777777" w:rsidR="003858AE" w:rsidRPr="00F6387C" w:rsidRDefault="003858AE" w:rsidP="00551ED4">
            <w:pPr>
              <w:pStyle w:val="Tabletext"/>
              <w:keepNext/>
            </w:pPr>
          </w:p>
        </w:tc>
        <w:tc>
          <w:tcPr>
            <w:tcW w:w="3027" w:type="pct"/>
            <w:tcBorders>
              <w:top w:val="nil"/>
            </w:tcBorders>
            <w:vAlign w:val="center"/>
          </w:tcPr>
          <w:p w14:paraId="46A2E191" w14:textId="77777777" w:rsidR="003858AE" w:rsidRPr="00F6387C" w:rsidRDefault="003858AE" w:rsidP="00551ED4">
            <w:pPr>
              <w:pStyle w:val="Tabletext"/>
              <w:keepNext/>
              <w:rPr>
                <w:szCs w:val="18"/>
              </w:rPr>
            </w:pPr>
            <w:r w:rsidRPr="00F6387C">
              <w:rPr>
                <w:szCs w:val="18"/>
              </w:rPr>
              <w:t>Additional internal data.</w:t>
            </w:r>
          </w:p>
        </w:tc>
        <w:tc>
          <w:tcPr>
            <w:tcW w:w="1177" w:type="pct"/>
            <w:tcBorders>
              <w:top w:val="nil"/>
            </w:tcBorders>
            <w:vAlign w:val="center"/>
          </w:tcPr>
          <w:p w14:paraId="71B46299" w14:textId="77777777" w:rsidR="003858AE" w:rsidRPr="00F6387C" w:rsidRDefault="003858AE" w:rsidP="00551ED4">
            <w:pPr>
              <w:pStyle w:val="Tabletext"/>
              <w:keepNext/>
              <w:rPr>
                <w:szCs w:val="18"/>
              </w:rPr>
            </w:pPr>
          </w:p>
        </w:tc>
      </w:tr>
    </w:tbl>
    <w:p w14:paraId="58C950BC" w14:textId="4D0269B0" w:rsidR="003858AE" w:rsidRPr="00F6387C" w:rsidRDefault="004268EB" w:rsidP="00B86842">
      <w:pPr>
        <w:pStyle w:val="FooterTableFigure"/>
        <w:keepNext/>
        <w:spacing w:after="0"/>
      </w:pPr>
      <w:r>
        <w:t xml:space="preserve"> </w:t>
      </w:r>
    </w:p>
    <w:p w14:paraId="3E2B2127" w14:textId="10159040" w:rsidR="003858AE" w:rsidRPr="00F6387C" w:rsidRDefault="003858AE" w:rsidP="003858AE">
      <w:pPr>
        <w:pStyle w:val="3-BodyText"/>
      </w:pPr>
      <w:r w:rsidRPr="00F6387C">
        <w:t xml:space="preserve">The key features of the included evidence are summarised in </w:t>
      </w:r>
      <w:r w:rsidR="004D0403" w:rsidRPr="00F6387C">
        <w:fldChar w:fldCharType="begin" w:fldLock="1"/>
      </w:r>
      <w:r w:rsidR="004D0403" w:rsidRPr="00F6387C">
        <w:instrText xml:space="preserve"> REF _Ref145503636 \h  \* MERGEFORMAT </w:instrText>
      </w:r>
      <w:r w:rsidR="004D0403" w:rsidRPr="00F6387C">
        <w:fldChar w:fldCharType="separate"/>
      </w:r>
      <w:r w:rsidR="000D404D" w:rsidRPr="00F6387C">
        <w:t>Table 4</w:t>
      </w:r>
      <w:r w:rsidR="004D0403" w:rsidRPr="00F6387C">
        <w:fldChar w:fldCharType="end"/>
      </w:r>
      <w:r w:rsidR="004D0403" w:rsidRPr="00F6387C">
        <w:t>.</w:t>
      </w:r>
    </w:p>
    <w:p w14:paraId="17A39B61" w14:textId="14B1A68A" w:rsidR="003858AE" w:rsidRPr="00F6387C" w:rsidRDefault="003858AE" w:rsidP="003858AE">
      <w:pPr>
        <w:pStyle w:val="Caption"/>
        <w:rPr>
          <w:rStyle w:val="CommentReference"/>
          <w:rFonts w:eastAsiaTheme="majorEastAsia" w:cstheme="majorBidi"/>
          <w:b/>
          <w:szCs w:val="24"/>
        </w:rPr>
      </w:pPr>
      <w:bookmarkStart w:id="26" w:name="_Ref145503636"/>
      <w:r w:rsidRPr="00F6387C">
        <w:rPr>
          <w:rStyle w:val="CommentReference"/>
          <w:rFonts w:eastAsiaTheme="majorEastAsia" w:cstheme="majorBidi"/>
          <w:b/>
          <w:szCs w:val="24"/>
        </w:rPr>
        <w:t xml:space="preserve">Table </w:t>
      </w:r>
      <w:r w:rsidRPr="00F6387C">
        <w:rPr>
          <w:rStyle w:val="CommentReference"/>
          <w:rFonts w:eastAsiaTheme="majorEastAsia" w:cstheme="majorBidi"/>
          <w:b/>
          <w:szCs w:val="24"/>
        </w:rPr>
        <w:fldChar w:fldCharType="begin" w:fldLock="1"/>
      </w:r>
      <w:r w:rsidRPr="00F6387C">
        <w:rPr>
          <w:rStyle w:val="CommentReference"/>
          <w:rFonts w:eastAsiaTheme="majorEastAsia" w:cstheme="majorBidi"/>
          <w:b/>
          <w:szCs w:val="24"/>
        </w:rPr>
        <w:instrText xml:space="preserve"> SEQ Table \* ARABIC </w:instrText>
      </w:r>
      <w:r w:rsidRPr="00F6387C">
        <w:rPr>
          <w:rStyle w:val="CommentReference"/>
          <w:rFonts w:eastAsiaTheme="majorEastAsia" w:cstheme="majorBidi"/>
          <w:b/>
          <w:szCs w:val="24"/>
        </w:rPr>
        <w:fldChar w:fldCharType="separate"/>
      </w:r>
      <w:r w:rsidR="000D404D" w:rsidRPr="00F6387C">
        <w:rPr>
          <w:rStyle w:val="CommentReference"/>
          <w:rFonts w:eastAsiaTheme="majorEastAsia" w:cstheme="majorBidi"/>
          <w:b/>
          <w:szCs w:val="24"/>
        </w:rPr>
        <w:t>4</w:t>
      </w:r>
      <w:r w:rsidRPr="00F6387C">
        <w:rPr>
          <w:rStyle w:val="CommentReference"/>
          <w:rFonts w:eastAsiaTheme="majorEastAsia" w:cstheme="majorBidi"/>
          <w:b/>
          <w:szCs w:val="24"/>
        </w:rPr>
        <w:fldChar w:fldCharType="end"/>
      </w:r>
      <w:bookmarkEnd w:id="26"/>
      <w:r w:rsidRPr="00F6387C">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Description w:val="Table 4: Key features of the included evidence"/>
      </w:tblPr>
      <w:tblGrid>
        <w:gridCol w:w="974"/>
        <w:gridCol w:w="1397"/>
        <w:gridCol w:w="1681"/>
        <w:gridCol w:w="837"/>
        <w:gridCol w:w="895"/>
        <w:gridCol w:w="1828"/>
        <w:gridCol w:w="1404"/>
      </w:tblGrid>
      <w:tr w:rsidR="003858AE" w:rsidRPr="00F6387C" w14:paraId="5D4B6FED" w14:textId="77777777" w:rsidTr="00540CC4">
        <w:trPr>
          <w:cantSplit/>
          <w:tblHeader/>
        </w:trPr>
        <w:tc>
          <w:tcPr>
            <w:tcW w:w="545" w:type="pct"/>
            <w:shd w:val="clear" w:color="auto" w:fill="auto"/>
          </w:tcPr>
          <w:p w14:paraId="7A8C9347" w14:textId="77777777" w:rsidR="003858AE" w:rsidRPr="00F6387C" w:rsidRDefault="003858AE" w:rsidP="00540CC4">
            <w:pPr>
              <w:pStyle w:val="In-tableHeading"/>
              <w:rPr>
                <w:lang w:val="en-AU"/>
              </w:rPr>
            </w:pPr>
            <w:r w:rsidRPr="00F6387C">
              <w:rPr>
                <w:lang w:val="en-AU"/>
              </w:rPr>
              <w:t>Trial</w:t>
            </w:r>
          </w:p>
        </w:tc>
        <w:tc>
          <w:tcPr>
            <w:tcW w:w="780" w:type="pct"/>
            <w:shd w:val="clear" w:color="auto" w:fill="auto"/>
          </w:tcPr>
          <w:p w14:paraId="7DFB1016" w14:textId="77777777" w:rsidR="003858AE" w:rsidRPr="00F6387C" w:rsidRDefault="003858AE" w:rsidP="00540CC4">
            <w:pPr>
              <w:pStyle w:val="In-tableHeading"/>
              <w:jc w:val="center"/>
              <w:rPr>
                <w:lang w:val="en-AU"/>
              </w:rPr>
            </w:pPr>
            <w:r w:rsidRPr="00F6387C">
              <w:rPr>
                <w:lang w:val="en-AU"/>
              </w:rPr>
              <w:t>N</w:t>
            </w:r>
          </w:p>
        </w:tc>
        <w:tc>
          <w:tcPr>
            <w:tcW w:w="937" w:type="pct"/>
            <w:shd w:val="clear" w:color="auto" w:fill="auto"/>
          </w:tcPr>
          <w:p w14:paraId="23A52197" w14:textId="77777777" w:rsidR="003858AE" w:rsidRPr="00F6387C" w:rsidRDefault="003858AE" w:rsidP="00540CC4">
            <w:pPr>
              <w:pStyle w:val="In-tableHeading"/>
              <w:jc w:val="center"/>
              <w:rPr>
                <w:lang w:val="en-AU"/>
              </w:rPr>
            </w:pPr>
            <w:r w:rsidRPr="00F6387C">
              <w:rPr>
                <w:lang w:val="en-AU"/>
              </w:rPr>
              <w:t>Design/ duration</w:t>
            </w:r>
          </w:p>
        </w:tc>
        <w:tc>
          <w:tcPr>
            <w:tcW w:w="469" w:type="pct"/>
            <w:shd w:val="clear" w:color="auto" w:fill="auto"/>
          </w:tcPr>
          <w:p w14:paraId="1106729A" w14:textId="77777777" w:rsidR="003858AE" w:rsidRPr="00F6387C" w:rsidRDefault="003858AE" w:rsidP="00540CC4">
            <w:pPr>
              <w:pStyle w:val="In-tableHeading"/>
              <w:jc w:val="center"/>
              <w:rPr>
                <w:lang w:val="en-AU"/>
              </w:rPr>
            </w:pPr>
            <w:r w:rsidRPr="00F6387C">
              <w:rPr>
                <w:lang w:val="en-AU"/>
              </w:rPr>
              <w:t>Risk of bias</w:t>
            </w:r>
          </w:p>
        </w:tc>
        <w:tc>
          <w:tcPr>
            <w:tcW w:w="468" w:type="pct"/>
            <w:shd w:val="clear" w:color="auto" w:fill="auto"/>
          </w:tcPr>
          <w:p w14:paraId="3F674221" w14:textId="77777777" w:rsidR="003858AE" w:rsidRPr="00F6387C" w:rsidRDefault="003858AE" w:rsidP="00540CC4">
            <w:pPr>
              <w:pStyle w:val="In-tableHeading"/>
              <w:jc w:val="center"/>
              <w:rPr>
                <w:lang w:val="en-AU"/>
              </w:rPr>
            </w:pPr>
            <w:r w:rsidRPr="00F6387C">
              <w:rPr>
                <w:lang w:val="en-AU"/>
              </w:rPr>
              <w:t>Patient population</w:t>
            </w:r>
          </w:p>
        </w:tc>
        <w:tc>
          <w:tcPr>
            <w:tcW w:w="1018" w:type="pct"/>
            <w:shd w:val="clear" w:color="auto" w:fill="auto"/>
          </w:tcPr>
          <w:p w14:paraId="7760D110" w14:textId="77777777" w:rsidR="003858AE" w:rsidRPr="00F6387C" w:rsidRDefault="003858AE" w:rsidP="00540CC4">
            <w:pPr>
              <w:pStyle w:val="In-tableHeading"/>
              <w:jc w:val="center"/>
              <w:rPr>
                <w:lang w:val="en-AU"/>
              </w:rPr>
            </w:pPr>
            <w:r w:rsidRPr="00F6387C">
              <w:rPr>
                <w:lang w:val="en-AU"/>
              </w:rPr>
              <w:t>Outcome(s)</w:t>
            </w:r>
          </w:p>
        </w:tc>
        <w:tc>
          <w:tcPr>
            <w:tcW w:w="783" w:type="pct"/>
            <w:shd w:val="clear" w:color="auto" w:fill="auto"/>
          </w:tcPr>
          <w:p w14:paraId="5841544A" w14:textId="77777777" w:rsidR="003858AE" w:rsidRPr="00F6387C" w:rsidRDefault="003858AE" w:rsidP="00540CC4">
            <w:pPr>
              <w:pStyle w:val="In-tableHeading"/>
              <w:jc w:val="center"/>
              <w:rPr>
                <w:lang w:val="en-AU"/>
              </w:rPr>
            </w:pPr>
            <w:r w:rsidRPr="00F6387C">
              <w:rPr>
                <w:lang w:val="en-AU"/>
              </w:rPr>
              <w:t>Use in modelled evaluation</w:t>
            </w:r>
          </w:p>
        </w:tc>
      </w:tr>
      <w:tr w:rsidR="003858AE" w:rsidRPr="00F6387C" w14:paraId="6CAC4E1F" w14:textId="77777777" w:rsidTr="00540CC4">
        <w:trPr>
          <w:cantSplit/>
        </w:trPr>
        <w:tc>
          <w:tcPr>
            <w:tcW w:w="5000" w:type="pct"/>
            <w:gridSpan w:val="7"/>
            <w:shd w:val="clear" w:color="auto" w:fill="auto"/>
          </w:tcPr>
          <w:p w14:paraId="3211B728" w14:textId="77777777" w:rsidR="003858AE" w:rsidRPr="00F6387C" w:rsidRDefault="003858AE" w:rsidP="00540CC4">
            <w:pPr>
              <w:pStyle w:val="In-tableHeading"/>
              <w:rPr>
                <w:lang w:val="en-AU"/>
              </w:rPr>
            </w:pPr>
            <w:r w:rsidRPr="00F6387C">
              <w:rPr>
                <w:lang w:val="en-AU"/>
              </w:rPr>
              <w:t>Included studies</w:t>
            </w:r>
          </w:p>
        </w:tc>
      </w:tr>
      <w:tr w:rsidR="003858AE" w:rsidRPr="00F6387C" w14:paraId="33D25360" w14:textId="77777777" w:rsidTr="00540CC4">
        <w:trPr>
          <w:cantSplit/>
        </w:trPr>
        <w:tc>
          <w:tcPr>
            <w:tcW w:w="545" w:type="pct"/>
            <w:shd w:val="clear" w:color="auto" w:fill="auto"/>
          </w:tcPr>
          <w:p w14:paraId="293DFE3D" w14:textId="77777777" w:rsidR="003858AE" w:rsidRPr="00F6387C" w:rsidRDefault="003858AE" w:rsidP="00540CC4">
            <w:pPr>
              <w:pStyle w:val="TableText0"/>
            </w:pPr>
            <w:r w:rsidRPr="00F6387C">
              <w:t>GLIMPSE</w:t>
            </w:r>
          </w:p>
        </w:tc>
        <w:tc>
          <w:tcPr>
            <w:tcW w:w="780" w:type="pct"/>
            <w:shd w:val="clear" w:color="auto" w:fill="auto"/>
          </w:tcPr>
          <w:p w14:paraId="4A4F311E" w14:textId="77777777" w:rsidR="003858AE" w:rsidRPr="00F6387C" w:rsidRDefault="003858AE" w:rsidP="00540CC4">
            <w:pPr>
              <w:pStyle w:val="TableText0"/>
              <w:jc w:val="center"/>
            </w:pPr>
            <w:r w:rsidRPr="00F6387C">
              <w:t>cladribine, n=699;</w:t>
            </w:r>
          </w:p>
          <w:p w14:paraId="5B1C2643" w14:textId="77777777" w:rsidR="003858AE" w:rsidRPr="00F6387C" w:rsidRDefault="003858AE" w:rsidP="00540CC4">
            <w:pPr>
              <w:pStyle w:val="TableText0"/>
              <w:jc w:val="center"/>
            </w:pPr>
            <w:r w:rsidRPr="00F6387C">
              <w:t>fingolimod n=699</w:t>
            </w:r>
            <w:r w:rsidRPr="00F6387C">
              <w:rPr>
                <w:vertAlign w:val="superscript"/>
              </w:rPr>
              <w:t>a</w:t>
            </w:r>
          </w:p>
        </w:tc>
        <w:tc>
          <w:tcPr>
            <w:tcW w:w="937" w:type="pct"/>
            <w:shd w:val="clear" w:color="auto" w:fill="auto"/>
          </w:tcPr>
          <w:p w14:paraId="61F4B46D" w14:textId="77777777" w:rsidR="003858AE" w:rsidRPr="00F6387C" w:rsidRDefault="003858AE" w:rsidP="00540CC4">
            <w:pPr>
              <w:pStyle w:val="TableText0"/>
              <w:jc w:val="center"/>
            </w:pPr>
            <w:r w:rsidRPr="00F6387C">
              <w:t xml:space="preserve">Prospective </w:t>
            </w:r>
            <w:proofErr w:type="spellStart"/>
            <w:r w:rsidRPr="00F6387C">
              <w:t>MSBase</w:t>
            </w:r>
            <w:proofErr w:type="spellEnd"/>
            <w:r w:rsidRPr="00F6387C">
              <w:t xml:space="preserve"> registry data from 31 countries;</w:t>
            </w:r>
          </w:p>
          <w:p w14:paraId="03BA9C82" w14:textId="77777777" w:rsidR="003858AE" w:rsidRPr="00F6387C" w:rsidRDefault="003858AE" w:rsidP="00540CC4">
            <w:pPr>
              <w:pStyle w:val="TableText0"/>
              <w:jc w:val="center"/>
            </w:pPr>
            <w:r w:rsidRPr="00F6387C">
              <w:t xml:space="preserve">4 years </w:t>
            </w:r>
            <w:r w:rsidRPr="00F6387C">
              <w:rPr>
                <w:vertAlign w:val="superscript"/>
              </w:rPr>
              <w:t>d</w:t>
            </w:r>
          </w:p>
        </w:tc>
        <w:tc>
          <w:tcPr>
            <w:tcW w:w="469" w:type="pct"/>
            <w:shd w:val="clear" w:color="auto" w:fill="auto"/>
          </w:tcPr>
          <w:p w14:paraId="2912D1B6" w14:textId="77777777" w:rsidR="003858AE" w:rsidRPr="00F6387C" w:rsidRDefault="003858AE" w:rsidP="00540CC4">
            <w:pPr>
              <w:pStyle w:val="TableText0"/>
              <w:jc w:val="center"/>
              <w:rPr>
                <w:iCs/>
              </w:rPr>
            </w:pPr>
            <w:r w:rsidRPr="00F6387C">
              <w:rPr>
                <w:iCs/>
              </w:rPr>
              <w:t>High</w:t>
            </w:r>
          </w:p>
        </w:tc>
        <w:tc>
          <w:tcPr>
            <w:tcW w:w="468" w:type="pct"/>
            <w:shd w:val="clear" w:color="auto" w:fill="auto"/>
          </w:tcPr>
          <w:p w14:paraId="52040C95" w14:textId="77777777" w:rsidR="003858AE" w:rsidRPr="00F6387C" w:rsidRDefault="003858AE" w:rsidP="00540CC4">
            <w:pPr>
              <w:pStyle w:val="TableText0"/>
              <w:jc w:val="center"/>
            </w:pPr>
            <w:r w:rsidRPr="00F6387C">
              <w:t>MS</w:t>
            </w:r>
          </w:p>
        </w:tc>
        <w:tc>
          <w:tcPr>
            <w:tcW w:w="1018" w:type="pct"/>
            <w:shd w:val="clear" w:color="auto" w:fill="auto"/>
          </w:tcPr>
          <w:p w14:paraId="00638554" w14:textId="2AA52A8C" w:rsidR="003858AE" w:rsidRPr="00F6387C" w:rsidRDefault="003858AE" w:rsidP="00540CC4">
            <w:pPr>
              <w:pStyle w:val="TableText0"/>
              <w:jc w:val="center"/>
            </w:pPr>
            <w:r w:rsidRPr="00F6387C">
              <w:t>ARR, time to first relapse, time to treatment switching, time to treatment discontinuation, time to 6 month improvement, time to 6 month confirmed disability</w:t>
            </w:r>
            <w:r w:rsidR="001A301B" w:rsidRPr="00F6387C">
              <w:t xml:space="preserve"> progression</w:t>
            </w:r>
          </w:p>
        </w:tc>
        <w:tc>
          <w:tcPr>
            <w:tcW w:w="783" w:type="pct"/>
            <w:shd w:val="clear" w:color="auto" w:fill="auto"/>
          </w:tcPr>
          <w:p w14:paraId="04FE88CA" w14:textId="77777777" w:rsidR="003858AE" w:rsidRPr="00F6387C" w:rsidRDefault="003858AE" w:rsidP="00540CC4">
            <w:pPr>
              <w:pStyle w:val="TableText0"/>
              <w:jc w:val="center"/>
            </w:pPr>
            <w:r w:rsidRPr="00F6387C">
              <w:t>Not used</w:t>
            </w:r>
          </w:p>
        </w:tc>
      </w:tr>
      <w:tr w:rsidR="003858AE" w:rsidRPr="00F6387C" w14:paraId="278B9BAA" w14:textId="77777777" w:rsidTr="00540CC4">
        <w:trPr>
          <w:cantSplit/>
        </w:trPr>
        <w:tc>
          <w:tcPr>
            <w:tcW w:w="545" w:type="pct"/>
            <w:shd w:val="clear" w:color="auto" w:fill="auto"/>
          </w:tcPr>
          <w:p w14:paraId="26D54F3F" w14:textId="77777777" w:rsidR="003858AE" w:rsidRPr="00F6387C" w:rsidRDefault="003858AE" w:rsidP="00540CC4">
            <w:pPr>
              <w:pStyle w:val="TableText0"/>
            </w:pPr>
            <w:proofErr w:type="spellStart"/>
            <w:r w:rsidRPr="00F6387C">
              <w:t>Magalashvili</w:t>
            </w:r>
            <w:proofErr w:type="spellEnd"/>
            <w:r w:rsidRPr="00F6387C">
              <w:t xml:space="preserve"> 2022</w:t>
            </w:r>
          </w:p>
        </w:tc>
        <w:tc>
          <w:tcPr>
            <w:tcW w:w="780" w:type="pct"/>
            <w:shd w:val="clear" w:color="auto" w:fill="auto"/>
          </w:tcPr>
          <w:p w14:paraId="604DEE7A" w14:textId="77777777" w:rsidR="003858AE" w:rsidRPr="00F6387C" w:rsidRDefault="003858AE" w:rsidP="00540CC4">
            <w:pPr>
              <w:pStyle w:val="TableText0"/>
              <w:jc w:val="center"/>
            </w:pPr>
            <w:r w:rsidRPr="00F6387C">
              <w:t>128</w:t>
            </w:r>
            <w:r w:rsidRPr="00F6387C">
              <w:rPr>
                <w:vertAlign w:val="superscript"/>
              </w:rPr>
              <w:t>b</w:t>
            </w:r>
          </w:p>
        </w:tc>
        <w:tc>
          <w:tcPr>
            <w:tcW w:w="937" w:type="pct"/>
            <w:shd w:val="clear" w:color="auto" w:fill="auto"/>
          </w:tcPr>
          <w:p w14:paraId="28C2A490" w14:textId="77777777" w:rsidR="003858AE" w:rsidRPr="00F6387C" w:rsidRDefault="003858AE" w:rsidP="00540CC4">
            <w:pPr>
              <w:pStyle w:val="TableText0"/>
              <w:jc w:val="center"/>
            </w:pPr>
            <w:r w:rsidRPr="00F6387C">
              <w:t>Retrospective analysis of Israeli database; 5 years</w:t>
            </w:r>
          </w:p>
        </w:tc>
        <w:tc>
          <w:tcPr>
            <w:tcW w:w="469" w:type="pct"/>
            <w:shd w:val="clear" w:color="auto" w:fill="auto"/>
          </w:tcPr>
          <w:p w14:paraId="4E2FE933" w14:textId="77777777" w:rsidR="003858AE" w:rsidRPr="00F6387C" w:rsidRDefault="003858AE" w:rsidP="00540CC4">
            <w:pPr>
              <w:pStyle w:val="TableText0"/>
              <w:jc w:val="center"/>
              <w:rPr>
                <w:iCs/>
              </w:rPr>
            </w:pPr>
            <w:r w:rsidRPr="00F6387C">
              <w:rPr>
                <w:iCs/>
              </w:rPr>
              <w:t>High</w:t>
            </w:r>
          </w:p>
        </w:tc>
        <w:tc>
          <w:tcPr>
            <w:tcW w:w="468" w:type="pct"/>
            <w:shd w:val="clear" w:color="auto" w:fill="auto"/>
          </w:tcPr>
          <w:p w14:paraId="1F122EE8" w14:textId="77777777" w:rsidR="003858AE" w:rsidRPr="00F6387C" w:rsidRDefault="003858AE" w:rsidP="00540CC4">
            <w:pPr>
              <w:pStyle w:val="TableText0"/>
              <w:jc w:val="center"/>
            </w:pPr>
            <w:r w:rsidRPr="00F6387C">
              <w:t>Highly active MS</w:t>
            </w:r>
          </w:p>
        </w:tc>
        <w:tc>
          <w:tcPr>
            <w:tcW w:w="1018" w:type="pct"/>
            <w:shd w:val="clear" w:color="auto" w:fill="auto"/>
          </w:tcPr>
          <w:p w14:paraId="179E4AE8" w14:textId="77777777" w:rsidR="003858AE" w:rsidRPr="00F6387C" w:rsidRDefault="003858AE" w:rsidP="00540CC4">
            <w:pPr>
              <w:pStyle w:val="TableText0"/>
              <w:jc w:val="center"/>
            </w:pPr>
            <w:r w:rsidRPr="00F6387C">
              <w:t>ARR, EDSS, NEDA-2</w:t>
            </w:r>
          </w:p>
        </w:tc>
        <w:tc>
          <w:tcPr>
            <w:tcW w:w="783" w:type="pct"/>
            <w:shd w:val="clear" w:color="auto" w:fill="auto"/>
          </w:tcPr>
          <w:p w14:paraId="2EAC6AD8" w14:textId="77777777" w:rsidR="003858AE" w:rsidRPr="00F6387C" w:rsidRDefault="003858AE" w:rsidP="00540CC4">
            <w:pPr>
              <w:pStyle w:val="TableText0"/>
              <w:jc w:val="center"/>
            </w:pPr>
            <w:r w:rsidRPr="00F6387C">
              <w:t>Not used</w:t>
            </w:r>
          </w:p>
        </w:tc>
      </w:tr>
      <w:tr w:rsidR="003858AE" w:rsidRPr="00F6387C" w14:paraId="1C2974CC" w14:textId="77777777" w:rsidTr="00540CC4">
        <w:trPr>
          <w:cantSplit/>
        </w:trPr>
        <w:tc>
          <w:tcPr>
            <w:tcW w:w="545" w:type="pct"/>
            <w:shd w:val="clear" w:color="auto" w:fill="auto"/>
          </w:tcPr>
          <w:p w14:paraId="31DF8F44" w14:textId="77777777" w:rsidR="003858AE" w:rsidRPr="00F6387C" w:rsidRDefault="003858AE" w:rsidP="00540CC4">
            <w:pPr>
              <w:pStyle w:val="TableText0"/>
            </w:pPr>
            <w:r w:rsidRPr="00F6387C">
              <w:t>CLARENCE</w:t>
            </w:r>
          </w:p>
        </w:tc>
        <w:tc>
          <w:tcPr>
            <w:tcW w:w="780" w:type="pct"/>
            <w:shd w:val="clear" w:color="auto" w:fill="auto"/>
          </w:tcPr>
          <w:p w14:paraId="6887FA9E" w14:textId="77777777" w:rsidR="003858AE" w:rsidRPr="00F6387C" w:rsidRDefault="003858AE" w:rsidP="00540CC4">
            <w:pPr>
              <w:pStyle w:val="TableText0"/>
              <w:jc w:val="center"/>
            </w:pPr>
            <w:r w:rsidRPr="00F6387C">
              <w:t>2,685</w:t>
            </w:r>
            <w:r w:rsidRPr="00F6387C">
              <w:rPr>
                <w:vertAlign w:val="superscript"/>
              </w:rPr>
              <w:t xml:space="preserve"> b</w:t>
            </w:r>
          </w:p>
        </w:tc>
        <w:tc>
          <w:tcPr>
            <w:tcW w:w="937" w:type="pct"/>
            <w:shd w:val="clear" w:color="auto" w:fill="auto"/>
          </w:tcPr>
          <w:p w14:paraId="43A67436" w14:textId="77777777" w:rsidR="003858AE" w:rsidRPr="00F6387C" w:rsidRDefault="003858AE" w:rsidP="00540CC4">
            <w:pPr>
              <w:pStyle w:val="TableText0"/>
              <w:jc w:val="center"/>
            </w:pPr>
            <w:r w:rsidRPr="00F6387C">
              <w:t>Retrospective analysis of English database; 5 years</w:t>
            </w:r>
          </w:p>
        </w:tc>
        <w:tc>
          <w:tcPr>
            <w:tcW w:w="469" w:type="pct"/>
            <w:shd w:val="clear" w:color="auto" w:fill="auto"/>
          </w:tcPr>
          <w:p w14:paraId="63C51C46" w14:textId="77777777" w:rsidR="003858AE" w:rsidRPr="00F6387C" w:rsidRDefault="003858AE" w:rsidP="00540CC4">
            <w:pPr>
              <w:pStyle w:val="TableText0"/>
              <w:jc w:val="center"/>
              <w:rPr>
                <w:iCs/>
              </w:rPr>
            </w:pPr>
            <w:r w:rsidRPr="00F6387C">
              <w:rPr>
                <w:iCs/>
              </w:rPr>
              <w:t>High</w:t>
            </w:r>
          </w:p>
        </w:tc>
        <w:tc>
          <w:tcPr>
            <w:tcW w:w="468" w:type="pct"/>
            <w:shd w:val="clear" w:color="auto" w:fill="auto"/>
          </w:tcPr>
          <w:p w14:paraId="1BDA8F69" w14:textId="77777777" w:rsidR="003858AE" w:rsidRPr="00F6387C" w:rsidRDefault="003858AE" w:rsidP="00540CC4">
            <w:pPr>
              <w:pStyle w:val="TableText0"/>
              <w:jc w:val="center"/>
            </w:pPr>
            <w:r w:rsidRPr="00F6387C">
              <w:t>Patients receiving cladribine</w:t>
            </w:r>
          </w:p>
        </w:tc>
        <w:tc>
          <w:tcPr>
            <w:tcW w:w="1018" w:type="pct"/>
            <w:shd w:val="clear" w:color="auto" w:fill="auto"/>
          </w:tcPr>
          <w:p w14:paraId="2ABC6ACA" w14:textId="77777777" w:rsidR="003858AE" w:rsidRPr="00F6387C" w:rsidRDefault="003858AE" w:rsidP="00540CC4">
            <w:pPr>
              <w:pStyle w:val="TableText0"/>
              <w:jc w:val="center"/>
            </w:pPr>
            <w:r w:rsidRPr="00F6387C">
              <w:t>Treatment completion, treatment switch, EDSS</w:t>
            </w:r>
          </w:p>
        </w:tc>
        <w:tc>
          <w:tcPr>
            <w:tcW w:w="783" w:type="pct"/>
            <w:shd w:val="clear" w:color="auto" w:fill="auto"/>
          </w:tcPr>
          <w:p w14:paraId="19599157" w14:textId="77777777" w:rsidR="003858AE" w:rsidRPr="00F6387C" w:rsidRDefault="003858AE" w:rsidP="00540CC4">
            <w:pPr>
              <w:pStyle w:val="TableText0"/>
              <w:jc w:val="center"/>
            </w:pPr>
            <w:r w:rsidRPr="00F6387C">
              <w:t>Not used</w:t>
            </w:r>
          </w:p>
        </w:tc>
      </w:tr>
      <w:tr w:rsidR="003858AE" w:rsidRPr="00F6387C" w14:paraId="2DAA7EBA" w14:textId="77777777" w:rsidTr="00540CC4">
        <w:trPr>
          <w:cantSplit/>
        </w:trPr>
        <w:tc>
          <w:tcPr>
            <w:tcW w:w="5000" w:type="pct"/>
            <w:gridSpan w:val="7"/>
            <w:shd w:val="clear" w:color="auto" w:fill="auto"/>
          </w:tcPr>
          <w:p w14:paraId="7D7286CE" w14:textId="77777777" w:rsidR="003858AE" w:rsidRPr="00F6387C" w:rsidRDefault="003858AE" w:rsidP="00540CC4">
            <w:pPr>
              <w:pStyle w:val="In-tableHeading"/>
              <w:rPr>
                <w:lang w:val="en-AU"/>
              </w:rPr>
            </w:pPr>
            <w:r w:rsidRPr="00F6387C">
              <w:rPr>
                <w:lang w:val="en-AU"/>
              </w:rPr>
              <w:t>Supportive studies</w:t>
            </w:r>
          </w:p>
        </w:tc>
      </w:tr>
      <w:tr w:rsidR="003858AE" w:rsidRPr="00F6387C" w14:paraId="2F7F1166" w14:textId="77777777" w:rsidTr="00540CC4">
        <w:trPr>
          <w:cantSplit/>
        </w:trPr>
        <w:tc>
          <w:tcPr>
            <w:tcW w:w="545" w:type="pct"/>
            <w:shd w:val="clear" w:color="auto" w:fill="auto"/>
          </w:tcPr>
          <w:p w14:paraId="00CC8303" w14:textId="77777777" w:rsidR="003858AE" w:rsidRPr="00F6387C" w:rsidRDefault="003858AE" w:rsidP="00540CC4">
            <w:pPr>
              <w:pStyle w:val="TableText0"/>
            </w:pPr>
            <w:r w:rsidRPr="00F6387C">
              <w:t>PBS 10% sample data</w:t>
            </w:r>
          </w:p>
        </w:tc>
        <w:tc>
          <w:tcPr>
            <w:tcW w:w="780" w:type="pct"/>
            <w:shd w:val="clear" w:color="auto" w:fill="auto"/>
          </w:tcPr>
          <w:p w14:paraId="40CAAA9C" w14:textId="77777777" w:rsidR="003858AE" w:rsidRPr="00F6387C" w:rsidRDefault="003858AE" w:rsidP="00540CC4">
            <w:pPr>
              <w:pStyle w:val="TableText0"/>
              <w:jc w:val="center"/>
            </w:pPr>
            <w:r w:rsidRPr="00F6387C">
              <w:t>cladribine, n=310;</w:t>
            </w:r>
          </w:p>
          <w:p w14:paraId="39FFF612" w14:textId="77777777" w:rsidR="003858AE" w:rsidRPr="00F6387C" w:rsidRDefault="003858AE" w:rsidP="00540CC4">
            <w:pPr>
              <w:pStyle w:val="TableText0"/>
              <w:jc w:val="center"/>
            </w:pPr>
            <w:r w:rsidRPr="00F6387C">
              <w:t>fingolimod n=978</w:t>
            </w:r>
          </w:p>
        </w:tc>
        <w:tc>
          <w:tcPr>
            <w:tcW w:w="937" w:type="pct"/>
            <w:shd w:val="clear" w:color="auto" w:fill="auto"/>
          </w:tcPr>
          <w:p w14:paraId="2B8FD5D9" w14:textId="77777777" w:rsidR="003858AE" w:rsidRPr="00F6387C" w:rsidRDefault="003858AE" w:rsidP="00540CC4">
            <w:pPr>
              <w:pStyle w:val="TableText0"/>
              <w:jc w:val="center"/>
            </w:pPr>
            <w:r w:rsidRPr="00F6387C">
              <w:t>PBS services data;</w:t>
            </w:r>
          </w:p>
          <w:p w14:paraId="480BC058" w14:textId="77777777" w:rsidR="003858AE" w:rsidRPr="00F6387C" w:rsidRDefault="003858AE" w:rsidP="00540CC4">
            <w:pPr>
              <w:pStyle w:val="TableText0"/>
              <w:jc w:val="center"/>
            </w:pPr>
            <w:r w:rsidRPr="00F6387C">
              <w:t>2011 to 2022</w:t>
            </w:r>
          </w:p>
        </w:tc>
        <w:tc>
          <w:tcPr>
            <w:tcW w:w="469" w:type="pct"/>
            <w:shd w:val="clear" w:color="auto" w:fill="auto"/>
          </w:tcPr>
          <w:p w14:paraId="05DED9FF" w14:textId="77777777" w:rsidR="003858AE" w:rsidRPr="00F6387C" w:rsidRDefault="003858AE" w:rsidP="00540CC4">
            <w:pPr>
              <w:pStyle w:val="TableText0"/>
              <w:jc w:val="center"/>
              <w:rPr>
                <w:iCs/>
              </w:rPr>
            </w:pPr>
            <w:r w:rsidRPr="00F6387C">
              <w:rPr>
                <w:iCs/>
              </w:rPr>
              <w:t>High</w:t>
            </w:r>
          </w:p>
        </w:tc>
        <w:tc>
          <w:tcPr>
            <w:tcW w:w="468" w:type="pct"/>
            <w:shd w:val="clear" w:color="auto" w:fill="auto"/>
          </w:tcPr>
          <w:p w14:paraId="515DBFF0" w14:textId="77777777" w:rsidR="003858AE" w:rsidRPr="00F6387C" w:rsidRDefault="003858AE" w:rsidP="00540CC4">
            <w:pPr>
              <w:pStyle w:val="TableText0"/>
              <w:jc w:val="center"/>
            </w:pPr>
            <w:r w:rsidRPr="00F6387C">
              <w:t>RRMS</w:t>
            </w:r>
          </w:p>
        </w:tc>
        <w:tc>
          <w:tcPr>
            <w:tcW w:w="1018" w:type="pct"/>
            <w:shd w:val="clear" w:color="auto" w:fill="auto"/>
          </w:tcPr>
          <w:p w14:paraId="14992BCA" w14:textId="77777777" w:rsidR="003858AE" w:rsidRPr="00F6387C" w:rsidRDefault="003858AE" w:rsidP="00540CC4">
            <w:pPr>
              <w:pStyle w:val="TableText0"/>
              <w:jc w:val="center"/>
            </w:pPr>
            <w:r w:rsidRPr="00F6387C">
              <w:t>Number of patients, receiving cladribine, treatment switching, discontinuations, DMT received after switching</w:t>
            </w:r>
          </w:p>
        </w:tc>
        <w:tc>
          <w:tcPr>
            <w:tcW w:w="783" w:type="pct"/>
            <w:shd w:val="clear" w:color="auto" w:fill="auto"/>
          </w:tcPr>
          <w:p w14:paraId="53319071" w14:textId="77777777" w:rsidR="003858AE" w:rsidRPr="00F6387C" w:rsidRDefault="003858AE" w:rsidP="00540CC4">
            <w:pPr>
              <w:pStyle w:val="TableText0"/>
              <w:jc w:val="center"/>
            </w:pPr>
            <w:r w:rsidRPr="00F6387C">
              <w:t>Treatment switching data</w:t>
            </w:r>
          </w:p>
        </w:tc>
      </w:tr>
      <w:tr w:rsidR="003858AE" w:rsidRPr="00F6387C" w14:paraId="5B85D3D5" w14:textId="77777777" w:rsidTr="00540CC4">
        <w:trPr>
          <w:cantSplit/>
        </w:trPr>
        <w:tc>
          <w:tcPr>
            <w:tcW w:w="545" w:type="pct"/>
            <w:shd w:val="clear" w:color="auto" w:fill="auto"/>
          </w:tcPr>
          <w:p w14:paraId="38CB416F" w14:textId="77777777" w:rsidR="003858AE" w:rsidRPr="00F6387C" w:rsidRDefault="003858AE" w:rsidP="00540CC4">
            <w:pPr>
              <w:pStyle w:val="TableText0"/>
            </w:pPr>
            <w:r w:rsidRPr="00F6387C">
              <w:t xml:space="preserve">IQVIA </w:t>
            </w:r>
            <w:proofErr w:type="spellStart"/>
            <w:r w:rsidRPr="00F6387C">
              <w:t>LRx</w:t>
            </w:r>
            <w:proofErr w:type="spellEnd"/>
          </w:p>
        </w:tc>
        <w:tc>
          <w:tcPr>
            <w:tcW w:w="780" w:type="pct"/>
            <w:shd w:val="clear" w:color="auto" w:fill="auto"/>
          </w:tcPr>
          <w:p w14:paraId="689A0ED2" w14:textId="77777777" w:rsidR="003858AE" w:rsidRPr="00F6387C" w:rsidRDefault="003858AE" w:rsidP="00540CC4">
            <w:pPr>
              <w:pStyle w:val="TableText0"/>
              <w:jc w:val="center"/>
            </w:pPr>
            <w:r w:rsidRPr="00F6387C">
              <w:t>848</w:t>
            </w:r>
            <w:r w:rsidRPr="00F6387C">
              <w:rPr>
                <w:vertAlign w:val="superscript"/>
              </w:rPr>
              <w:t xml:space="preserve"> c</w:t>
            </w:r>
          </w:p>
        </w:tc>
        <w:tc>
          <w:tcPr>
            <w:tcW w:w="937" w:type="pct"/>
            <w:shd w:val="clear" w:color="auto" w:fill="auto"/>
          </w:tcPr>
          <w:p w14:paraId="793783C6" w14:textId="77777777" w:rsidR="003858AE" w:rsidRPr="00F6387C" w:rsidRDefault="003858AE" w:rsidP="00540CC4">
            <w:pPr>
              <w:pStyle w:val="TableText0"/>
              <w:jc w:val="center"/>
            </w:pPr>
            <w:r w:rsidRPr="00F6387C">
              <w:t xml:space="preserve">German longitudinal prescription data; </w:t>
            </w:r>
          </w:p>
          <w:p w14:paraId="61C73BF0" w14:textId="77777777" w:rsidR="003858AE" w:rsidRPr="00F6387C" w:rsidRDefault="003858AE" w:rsidP="00540CC4">
            <w:pPr>
              <w:pStyle w:val="TableText0"/>
              <w:jc w:val="center"/>
            </w:pPr>
            <w:r w:rsidRPr="00F6387C">
              <w:t>4 years</w:t>
            </w:r>
          </w:p>
        </w:tc>
        <w:tc>
          <w:tcPr>
            <w:tcW w:w="469" w:type="pct"/>
            <w:shd w:val="clear" w:color="auto" w:fill="auto"/>
          </w:tcPr>
          <w:p w14:paraId="33534D84" w14:textId="77777777" w:rsidR="003858AE" w:rsidRPr="00F6387C" w:rsidRDefault="003858AE" w:rsidP="00540CC4">
            <w:pPr>
              <w:pStyle w:val="TableText0"/>
              <w:jc w:val="center"/>
              <w:rPr>
                <w:iCs/>
              </w:rPr>
            </w:pPr>
            <w:r w:rsidRPr="00F6387C">
              <w:rPr>
                <w:iCs/>
              </w:rPr>
              <w:t>High</w:t>
            </w:r>
          </w:p>
        </w:tc>
        <w:tc>
          <w:tcPr>
            <w:tcW w:w="468" w:type="pct"/>
            <w:shd w:val="clear" w:color="auto" w:fill="auto"/>
          </w:tcPr>
          <w:p w14:paraId="1DD186F0" w14:textId="77777777" w:rsidR="003858AE" w:rsidRPr="00F6387C" w:rsidRDefault="003858AE" w:rsidP="00540CC4">
            <w:pPr>
              <w:pStyle w:val="TableText0"/>
              <w:jc w:val="center"/>
            </w:pPr>
            <w:r w:rsidRPr="00F6387C">
              <w:t>MS</w:t>
            </w:r>
          </w:p>
        </w:tc>
        <w:tc>
          <w:tcPr>
            <w:tcW w:w="1018" w:type="pct"/>
            <w:shd w:val="clear" w:color="auto" w:fill="auto"/>
          </w:tcPr>
          <w:p w14:paraId="0A3271B1" w14:textId="77777777" w:rsidR="003858AE" w:rsidRPr="00F6387C" w:rsidRDefault="003858AE" w:rsidP="00540CC4">
            <w:pPr>
              <w:pStyle w:val="TableText0"/>
              <w:jc w:val="center"/>
            </w:pPr>
            <w:r w:rsidRPr="00F6387C">
              <w:t>Treatment switches, average tablets per patient; patients receiving an additional cycle of cladribine</w:t>
            </w:r>
          </w:p>
        </w:tc>
        <w:tc>
          <w:tcPr>
            <w:tcW w:w="783" w:type="pct"/>
            <w:shd w:val="clear" w:color="auto" w:fill="auto"/>
          </w:tcPr>
          <w:p w14:paraId="4C40583C" w14:textId="77777777" w:rsidR="003858AE" w:rsidRPr="00F6387C" w:rsidRDefault="003858AE" w:rsidP="00540CC4">
            <w:pPr>
              <w:pStyle w:val="TableText0"/>
              <w:jc w:val="center"/>
            </w:pPr>
            <w:r w:rsidRPr="00F6387C">
              <w:t>Not used</w:t>
            </w:r>
          </w:p>
        </w:tc>
      </w:tr>
    </w:tbl>
    <w:p w14:paraId="381C6AA5" w14:textId="7369C250" w:rsidR="003858AE" w:rsidRPr="00F6387C" w:rsidRDefault="003858AE" w:rsidP="003858AE">
      <w:pPr>
        <w:pStyle w:val="FooterTableFigure"/>
      </w:pPr>
      <w:r w:rsidRPr="00F6387C">
        <w:t xml:space="preserve">ARR = annualised relapse rate; EDSS = expanded disability status scale; </w:t>
      </w:r>
      <w:proofErr w:type="spellStart"/>
      <w:r w:rsidRPr="00F6387C">
        <w:t>LRx</w:t>
      </w:r>
      <w:proofErr w:type="spellEnd"/>
      <w:r w:rsidRPr="00F6387C">
        <w:t xml:space="preserve"> = Longitudinal Prescription database; MS = multiple sclerosis; NEDA = no evidence of disease activity; RRMS = relapsing remitting multiple sclerosis</w:t>
      </w:r>
    </w:p>
    <w:p w14:paraId="353414BB" w14:textId="77777777" w:rsidR="003858AE" w:rsidRPr="00F6387C" w:rsidRDefault="003858AE" w:rsidP="003858AE">
      <w:pPr>
        <w:pStyle w:val="FooterTableFigure"/>
        <w:tabs>
          <w:tab w:val="left" w:pos="284"/>
        </w:tabs>
      </w:pPr>
      <w:r w:rsidRPr="00F6387C">
        <w:rPr>
          <w:vertAlign w:val="superscript"/>
        </w:rPr>
        <w:t>a</w:t>
      </w:r>
      <w:r w:rsidRPr="00F6387C">
        <w:tab/>
        <w:t>Details not shown for patients who received dimethyl fumarate or teriflunomide. Data for July 2022 data cut, propensity score matched cohorts.</w:t>
      </w:r>
    </w:p>
    <w:p w14:paraId="2A0C2D24" w14:textId="77777777" w:rsidR="003858AE" w:rsidRPr="00F6387C" w:rsidRDefault="003858AE" w:rsidP="003858AE">
      <w:pPr>
        <w:pStyle w:val="FooterTableFigure"/>
        <w:tabs>
          <w:tab w:val="left" w:pos="284"/>
        </w:tabs>
      </w:pPr>
      <w:r w:rsidRPr="00F6387C">
        <w:rPr>
          <w:vertAlign w:val="superscript"/>
        </w:rPr>
        <w:t>b</w:t>
      </w:r>
      <w:r w:rsidRPr="00F6387C">
        <w:tab/>
        <w:t>Studies investigated treatment with cladribine only.</w:t>
      </w:r>
    </w:p>
    <w:p w14:paraId="302C8470" w14:textId="77777777" w:rsidR="003858AE" w:rsidRPr="00F6387C" w:rsidRDefault="003858AE" w:rsidP="003858AE">
      <w:pPr>
        <w:pStyle w:val="FooterTableFigure"/>
        <w:tabs>
          <w:tab w:val="left" w:pos="284"/>
        </w:tabs>
      </w:pPr>
      <w:r w:rsidRPr="00F6387C">
        <w:rPr>
          <w:vertAlign w:val="superscript"/>
        </w:rPr>
        <w:t>c</w:t>
      </w:r>
      <w:r w:rsidRPr="00F6387C">
        <w:tab/>
        <w:t>Database captured German prescription data. Data only provided for patients who received cladribine.</w:t>
      </w:r>
    </w:p>
    <w:p w14:paraId="36E185AB" w14:textId="77777777" w:rsidR="003858AE" w:rsidRPr="00F6387C" w:rsidRDefault="003858AE" w:rsidP="003858AE">
      <w:pPr>
        <w:pStyle w:val="FooterTableFigure"/>
        <w:tabs>
          <w:tab w:val="left" w:pos="284"/>
        </w:tabs>
      </w:pPr>
      <w:r w:rsidRPr="00F6387C">
        <w:rPr>
          <w:vertAlign w:val="superscript"/>
        </w:rPr>
        <w:t>d</w:t>
      </w:r>
      <w:r w:rsidRPr="00F6387C">
        <w:rPr>
          <w:vertAlign w:val="superscript"/>
        </w:rPr>
        <w:tab/>
      </w:r>
      <w:r w:rsidRPr="00F6387C">
        <w:t>The resubmission provided data for both the GLIMPSE July 2022 and August 2021 data cuts. The July 2022 data cut provided the potential for up to 4 years of follow-up.</w:t>
      </w:r>
    </w:p>
    <w:p w14:paraId="04D1C7D1" w14:textId="36AC3E4C" w:rsidR="003858AE" w:rsidRPr="00F6387C" w:rsidRDefault="003858AE" w:rsidP="003858AE">
      <w:pPr>
        <w:pStyle w:val="FooterTableFigure"/>
      </w:pPr>
      <w:r w:rsidRPr="00F6387C">
        <w:t>Source: Sections 2.3 to 2.6 of the resubmission.</w:t>
      </w:r>
    </w:p>
    <w:p w14:paraId="7F5A888B" w14:textId="4B3BBEA7" w:rsidR="003858AE" w:rsidRPr="00F6387C" w:rsidRDefault="003858AE" w:rsidP="003858AE">
      <w:pPr>
        <w:pStyle w:val="3-BodyText"/>
      </w:pPr>
      <w:r w:rsidRPr="00F6387C">
        <w:t xml:space="preserve">The resubmission stated that as the evidence presented in the November 2021 submission was not considered sufficient by the PBAC to support the 4-year efficacy claim of cladribine versus fingolimod, it was not </w:t>
      </w:r>
      <w:r w:rsidR="00CA7FA0">
        <w:t>represented</w:t>
      </w:r>
      <w:r w:rsidR="00CA7FA0" w:rsidRPr="00F6387C">
        <w:t xml:space="preserve"> </w:t>
      </w:r>
      <w:r w:rsidRPr="00F6387C">
        <w:t>in the current resubmission. Therefore, the comparison of the relevant arms of the cladribine CLARITY trial extension and the fingolimod FREEDOMS I and FREEDOMS II trial extensions were excluded from the resubmission, as were the previous RWE examples (</w:t>
      </w:r>
      <w:proofErr w:type="spellStart"/>
      <w:r w:rsidRPr="00F6387C">
        <w:t>Pfeuffer</w:t>
      </w:r>
      <w:proofErr w:type="spellEnd"/>
      <w:r w:rsidRPr="00F6387C">
        <w:t xml:space="preserve"> 2021, De Stefano 2020, Patti 2020 and </w:t>
      </w:r>
      <w:proofErr w:type="spellStart"/>
      <w:r w:rsidRPr="00F6387C">
        <w:t>Giovannoni</w:t>
      </w:r>
      <w:proofErr w:type="spellEnd"/>
      <w:r w:rsidRPr="00F6387C">
        <w:t xml:space="preserve"> 2020/2021).</w:t>
      </w:r>
      <w:r w:rsidR="001A301B" w:rsidRPr="00F6387C">
        <w:t xml:space="preserve"> Th</w:t>
      </w:r>
      <w:r w:rsidR="003A7CAD" w:rsidRPr="00F6387C">
        <w:t>e evaluation considered th</w:t>
      </w:r>
      <w:r w:rsidR="001A301B" w:rsidRPr="00F6387C">
        <w:t xml:space="preserve">is may be reasonable as the November 2021 submission did not </w:t>
      </w:r>
      <w:r w:rsidR="00CD4EE0" w:rsidRPr="00F6387C">
        <w:t xml:space="preserve">present </w:t>
      </w:r>
      <w:r w:rsidR="009C1467" w:rsidRPr="00F6387C">
        <w:t xml:space="preserve">comparative </w:t>
      </w:r>
      <w:r w:rsidR="00CD4EE0" w:rsidRPr="00F6387C">
        <w:t xml:space="preserve">data for cladribine and fingolimod treatment arms from the same study, </w:t>
      </w:r>
      <w:r w:rsidR="009C1467" w:rsidRPr="00F6387C">
        <w:t>and instead</w:t>
      </w:r>
      <w:r w:rsidR="00CD4EE0" w:rsidRPr="00F6387C">
        <w:t xml:space="preserve"> compared extension trial data from CLARITY (low dose cladribine followed by placebo treatment arm) </w:t>
      </w:r>
      <w:r w:rsidR="009C1467" w:rsidRPr="00F6387C">
        <w:t>with</w:t>
      </w:r>
      <w:r w:rsidR="00CD4EE0" w:rsidRPr="00F6387C">
        <w:t xml:space="preserve"> </w:t>
      </w:r>
      <w:r w:rsidR="009C1467" w:rsidRPr="00F6387C">
        <w:t xml:space="preserve">extension trial data from </w:t>
      </w:r>
      <w:r w:rsidR="00CD4EE0" w:rsidRPr="00F6387C">
        <w:t>FREEDOMS I and II (fingolimod treatment arm).</w:t>
      </w:r>
    </w:p>
    <w:p w14:paraId="4A4FE085" w14:textId="1C5613CC" w:rsidR="00B60939" w:rsidRPr="00F6387C" w:rsidRDefault="00B60939" w:rsidP="00EC5836">
      <w:pPr>
        <w:pStyle w:val="4-SubsectionHeading"/>
      </w:pPr>
      <w:bookmarkStart w:id="27" w:name="_Toc22897641"/>
      <w:bookmarkStart w:id="28" w:name="_Toc145504209"/>
      <w:r w:rsidRPr="00F6387C">
        <w:t>Comparative effectiveness</w:t>
      </w:r>
      <w:bookmarkEnd w:id="27"/>
      <w:bookmarkEnd w:id="28"/>
    </w:p>
    <w:p w14:paraId="019D0551" w14:textId="0627372E" w:rsidR="0066084F" w:rsidRPr="00F6387C" w:rsidRDefault="005C2BAB" w:rsidP="00C96A3C">
      <w:pPr>
        <w:pStyle w:val="3-BodyText"/>
      </w:pPr>
      <w:bookmarkStart w:id="29" w:name="_Ref152573515"/>
      <w:r w:rsidRPr="00F6387C">
        <w:t xml:space="preserve">To adjust for potential confounding in GLIMPSE, the cladribine cohort was propensity score matched to the fingolimod cohort using a pre-defined standard difference threshold (0.15) for 10 </w:t>
      </w:r>
      <w:r w:rsidR="0037655A" w:rsidRPr="00F6387C">
        <w:t xml:space="preserve">prespecified </w:t>
      </w:r>
      <w:r w:rsidRPr="00F6387C">
        <w:t>potential confounders</w:t>
      </w:r>
      <w:r w:rsidR="00235613" w:rsidRPr="00F6387C">
        <w:t xml:space="preserve"> (age, sex, duration of MS disease, expanded disability status scale (EDSS) score, count of relapses in the prior 12 and 24 months, number of prior DMTs since disease onset, being treatment naïve (yes/no), country and MS classification). </w:t>
      </w:r>
      <w:r w:rsidR="0037655A" w:rsidRPr="00F6387C">
        <w:t xml:space="preserve">For the </w:t>
      </w:r>
      <w:r w:rsidR="00296822" w:rsidRPr="00F6387C">
        <w:t xml:space="preserve">baseline data of the </w:t>
      </w:r>
      <w:r w:rsidR="0037655A" w:rsidRPr="00F6387C">
        <w:t xml:space="preserve">GLIMPSE July 2022 data cut, the standardised difference for the unmatched cohort data was greater than 0.15 for all </w:t>
      </w:r>
      <w:r w:rsidR="00A61F69" w:rsidRPr="00F6387C">
        <w:t>the</w:t>
      </w:r>
      <w:r w:rsidR="0037655A" w:rsidRPr="00F6387C">
        <w:t xml:space="preserve"> potential confounders</w:t>
      </w:r>
      <w:r w:rsidR="00A61F69" w:rsidRPr="00F6387C">
        <w:t xml:space="preserve"> except for sex</w:t>
      </w:r>
      <w:r w:rsidR="00DC7F4D" w:rsidRPr="00F6387C">
        <w:t xml:space="preserve"> </w:t>
      </w:r>
      <w:r w:rsidR="00376441" w:rsidRPr="00F6387C">
        <w:t>and whether patients were treatment naive</w:t>
      </w:r>
      <w:r w:rsidR="0037655A" w:rsidRPr="00F6387C">
        <w:t xml:space="preserve">, indicating that the </w:t>
      </w:r>
      <w:r w:rsidR="00BA0FAE" w:rsidRPr="00F6387C">
        <w:t xml:space="preserve">unmatched </w:t>
      </w:r>
      <w:r w:rsidR="0037655A" w:rsidRPr="00F6387C">
        <w:t xml:space="preserve">treatment cohorts were not well-balanced. </w:t>
      </w:r>
      <w:r w:rsidR="00857705" w:rsidRPr="00F6387C">
        <w:t xml:space="preserve">Consequently, the </w:t>
      </w:r>
      <w:r w:rsidR="003A7CAD" w:rsidRPr="00F6387C">
        <w:t xml:space="preserve">evaluation and </w:t>
      </w:r>
      <w:r w:rsidR="003A7CAD" w:rsidRPr="00F6387C">
        <w:rPr>
          <w:iCs/>
        </w:rPr>
        <w:t>the ESC considered</w:t>
      </w:r>
      <w:r w:rsidR="003A7CAD" w:rsidRPr="00F6387C">
        <w:t xml:space="preserve"> the </w:t>
      </w:r>
      <w:r w:rsidR="00857705" w:rsidRPr="00F6387C">
        <w:t xml:space="preserve">results of the matched cohorts </w:t>
      </w:r>
      <w:r w:rsidR="00487E56" w:rsidRPr="00F6387C">
        <w:t>a</w:t>
      </w:r>
      <w:r w:rsidR="00857705" w:rsidRPr="00F6387C">
        <w:t xml:space="preserve">re </w:t>
      </w:r>
      <w:r w:rsidR="00C432DE" w:rsidRPr="00F6387C">
        <w:t>likely</w:t>
      </w:r>
      <w:r w:rsidR="00857705" w:rsidRPr="00F6387C">
        <w:t xml:space="preserve"> to be of greater relevance </w:t>
      </w:r>
      <w:r w:rsidR="00487E56" w:rsidRPr="00F6387C">
        <w:t xml:space="preserve">than the unmatched cohorts </w:t>
      </w:r>
      <w:r w:rsidR="00857705" w:rsidRPr="00F6387C">
        <w:t>when comparing treatment with cladribine and fingolimod.</w:t>
      </w:r>
      <w:r w:rsidR="00F3082D" w:rsidRPr="00F6387C">
        <w:t xml:space="preserve"> </w:t>
      </w:r>
      <w:r w:rsidR="00F3082D" w:rsidRPr="00F6387C">
        <w:rPr>
          <w:iCs/>
        </w:rPr>
        <w:t>The ESC noted that</w:t>
      </w:r>
      <w:r w:rsidR="00F676B8" w:rsidRPr="00F6387C">
        <w:rPr>
          <w:iCs/>
        </w:rPr>
        <w:t xml:space="preserve"> it is unknown if all important confounders were captured and adjusted for, and that this was a considerable risk given</w:t>
      </w:r>
      <w:r w:rsidR="00F3082D" w:rsidRPr="00F6387C">
        <w:rPr>
          <w:iCs/>
        </w:rPr>
        <w:t xml:space="preserve"> the cohorts</w:t>
      </w:r>
      <w:r w:rsidR="00F676B8" w:rsidRPr="00F6387C">
        <w:rPr>
          <w:iCs/>
        </w:rPr>
        <w:t xml:space="preserve"> were</w:t>
      </w:r>
      <w:r w:rsidR="00F3082D" w:rsidRPr="00F6387C">
        <w:rPr>
          <w:iCs/>
        </w:rPr>
        <w:t xml:space="preserve"> not well-balanced.</w:t>
      </w:r>
      <w:r w:rsidR="002B6224" w:rsidRPr="00F6387C">
        <w:rPr>
          <w:iCs/>
        </w:rPr>
        <w:t xml:space="preserve"> The pre-PBAC Response stated that baseline MRI data is another known potential confounder, and that while this was not a part of the minimum dataset in the </w:t>
      </w:r>
      <w:proofErr w:type="spellStart"/>
      <w:r w:rsidR="002B6224" w:rsidRPr="00F6387C">
        <w:rPr>
          <w:iCs/>
        </w:rPr>
        <w:t>MSBase</w:t>
      </w:r>
      <w:proofErr w:type="spellEnd"/>
      <w:r w:rsidR="002B6224" w:rsidRPr="00F6387C">
        <w:rPr>
          <w:iCs/>
        </w:rPr>
        <w:t xml:space="preserve"> registry, that fingolimod is highly unlikely to be prescribed to patients with worse disease activity and prognosis than cladribine.</w:t>
      </w:r>
      <w:bookmarkEnd w:id="29"/>
    </w:p>
    <w:p w14:paraId="34C66B06" w14:textId="021BFBE4" w:rsidR="00A61F69" w:rsidRPr="00F6387C" w:rsidRDefault="00A61F69" w:rsidP="002975C3">
      <w:pPr>
        <w:pStyle w:val="3-BodyText"/>
      </w:pPr>
      <w:bookmarkStart w:id="30" w:name="_Ref152573523"/>
      <w:r w:rsidRPr="00F6387C">
        <w:t xml:space="preserve">The GLIMPSE baseline data for the </w:t>
      </w:r>
      <w:r w:rsidR="00376441" w:rsidRPr="00F6387C">
        <w:t xml:space="preserve">July 2022 data set </w:t>
      </w:r>
      <w:r w:rsidRPr="00F6387C">
        <w:t xml:space="preserve">unmatched cohorts indicated that patients who received cladribine were </w:t>
      </w:r>
      <w:r w:rsidR="00DC7F4D" w:rsidRPr="00F6387C">
        <w:t>older</w:t>
      </w:r>
      <w:r w:rsidRPr="00F6387C">
        <w:t xml:space="preserve"> (mean age </w:t>
      </w:r>
      <w:r w:rsidR="00376441" w:rsidRPr="00F6387C">
        <w:t>43.77</w:t>
      </w:r>
      <w:r w:rsidRPr="00F6387C">
        <w:t xml:space="preserve"> years vs </w:t>
      </w:r>
      <w:r w:rsidR="00376441" w:rsidRPr="00F6387C">
        <w:t>38.01</w:t>
      </w:r>
      <w:r w:rsidRPr="00F6387C">
        <w:t xml:space="preserve"> years; standardised difference 0.</w:t>
      </w:r>
      <w:r w:rsidR="00376441" w:rsidRPr="00F6387C">
        <w:t>497</w:t>
      </w:r>
      <w:r w:rsidRPr="00F6387C">
        <w:t xml:space="preserve">), had a longer </w:t>
      </w:r>
      <w:r w:rsidR="00DC7F4D" w:rsidRPr="00F6387C">
        <w:t xml:space="preserve">mean </w:t>
      </w:r>
      <w:r w:rsidRPr="00F6387C">
        <w:t>disease duration (</w:t>
      </w:r>
      <w:r w:rsidR="00DC7F4D" w:rsidRPr="00F6387C">
        <w:t>12.4</w:t>
      </w:r>
      <w:r w:rsidR="00376441" w:rsidRPr="00F6387C">
        <w:t>7</w:t>
      </w:r>
      <w:r w:rsidR="00DC7F4D" w:rsidRPr="00F6387C">
        <w:t xml:space="preserve"> years vs </w:t>
      </w:r>
      <w:r w:rsidR="00376441" w:rsidRPr="00F6387C">
        <w:t>9.02</w:t>
      </w:r>
      <w:r w:rsidR="00DC7F4D" w:rsidRPr="00F6387C">
        <w:t>; standardised difference 0.41</w:t>
      </w:r>
      <w:r w:rsidR="00376441" w:rsidRPr="00F6387C">
        <w:t>3</w:t>
      </w:r>
      <w:r w:rsidR="00DC7F4D" w:rsidRPr="00F6387C">
        <w:t>), had a higher median EDSS score (2 vs 1.5; standardised difference 0.53</w:t>
      </w:r>
      <w:r w:rsidR="00376441" w:rsidRPr="00F6387C">
        <w:t>3</w:t>
      </w:r>
      <w:r w:rsidR="00DC7F4D" w:rsidRPr="00F6387C">
        <w:t>)</w:t>
      </w:r>
      <w:r w:rsidR="00376441" w:rsidRPr="00F6387C">
        <w:t xml:space="preserve">, had a lower number of recent relapses (relapses in prior 12 months: 0.40 vs 0.53, standardised difference -0.189; relapses in prior 24 months: 0.59 vs 0.80, standardised difference -0.235) </w:t>
      </w:r>
      <w:r w:rsidR="00DC7F4D" w:rsidRPr="00F6387C">
        <w:t>and had a higher mean number of prior DMTs (2.</w:t>
      </w:r>
      <w:r w:rsidR="0063608A" w:rsidRPr="00F6387C">
        <w:t>4</w:t>
      </w:r>
      <w:r w:rsidR="00DC7F4D" w:rsidRPr="00F6387C">
        <w:t>0 vs 1.6</w:t>
      </w:r>
      <w:r w:rsidR="002C466B" w:rsidRPr="00F6387C">
        <w:t>1</w:t>
      </w:r>
      <w:r w:rsidR="00DC7F4D" w:rsidRPr="00F6387C">
        <w:t>, standardised difference 0.</w:t>
      </w:r>
      <w:r w:rsidR="0063608A" w:rsidRPr="00F6387C">
        <w:t>333</w:t>
      </w:r>
      <w:r w:rsidR="00DC7F4D" w:rsidRPr="00F6387C">
        <w:t>)</w:t>
      </w:r>
      <w:r w:rsidR="002C466B" w:rsidRPr="00F6387C">
        <w:t>, compared to patients who received fingolimod</w:t>
      </w:r>
      <w:r w:rsidR="00DC7F4D" w:rsidRPr="00F6387C">
        <w:t>.</w:t>
      </w:r>
      <w:r w:rsidR="0063608A" w:rsidRPr="00F6387C">
        <w:t xml:space="preserve"> Patients in the cladribine and fingolimod cohorts also had </w:t>
      </w:r>
      <w:r w:rsidR="00BA01A2" w:rsidRPr="00F6387C">
        <w:t xml:space="preserve">a </w:t>
      </w:r>
      <w:r w:rsidR="0063608A" w:rsidRPr="00F6387C">
        <w:t>different country profile with patients receiving cladribine most commonly from Australia (53.6%), Canada (12.6%) and Spain (9.6%), whereas patients receiving fingolimod were most commonly from Turkey (51.5%), Australia (9.4%) and Canada (7.1%)</w:t>
      </w:r>
      <w:r w:rsidR="00F676B8" w:rsidRPr="00F6387C">
        <w:t xml:space="preserve">. </w:t>
      </w:r>
      <w:r w:rsidR="00F676B8" w:rsidRPr="00F6387C">
        <w:rPr>
          <w:iCs/>
        </w:rPr>
        <w:t>The</w:t>
      </w:r>
      <w:r w:rsidR="005F2ED0">
        <w:rPr>
          <w:iCs/>
        </w:rPr>
        <w:t xml:space="preserve"> Pre-Sub</w:t>
      </w:r>
      <w:r w:rsidR="00903AA3">
        <w:rPr>
          <w:iCs/>
        </w:rPr>
        <w:t>-Committee Response</w:t>
      </w:r>
      <w:r w:rsidR="00F676B8" w:rsidRPr="00F6387C">
        <w:rPr>
          <w:iCs/>
        </w:rPr>
        <w:t xml:space="preserve"> </w:t>
      </w:r>
      <w:r w:rsidR="00903AA3">
        <w:rPr>
          <w:iCs/>
        </w:rPr>
        <w:t>(</w:t>
      </w:r>
      <w:r w:rsidR="00F676B8" w:rsidRPr="00F6387C">
        <w:rPr>
          <w:iCs/>
        </w:rPr>
        <w:t>PSCR</w:t>
      </w:r>
      <w:r w:rsidR="00903AA3">
        <w:rPr>
          <w:iCs/>
        </w:rPr>
        <w:t>)</w:t>
      </w:r>
      <w:r w:rsidR="00FE4A64">
        <w:rPr>
          <w:iCs/>
        </w:rPr>
        <w:t xml:space="preserve"> </w:t>
      </w:r>
      <w:r w:rsidR="00F676B8" w:rsidRPr="00F6387C">
        <w:rPr>
          <w:iCs/>
        </w:rPr>
        <w:t>considered the comparison of baseline characteristics of the unmatched cohorts to not be relevant. The ESC considered the information to be important context for the comparability of the cohorts and the extent of matching required.</w:t>
      </w:r>
      <w:bookmarkEnd w:id="30"/>
    </w:p>
    <w:p w14:paraId="082CCCB9" w14:textId="3C2C1425" w:rsidR="000E7DCD" w:rsidRPr="00F6387C" w:rsidRDefault="000E7DCD" w:rsidP="003858AE">
      <w:pPr>
        <w:pStyle w:val="3-BodyText"/>
      </w:pPr>
      <w:bookmarkStart w:id="31" w:name="_Ref152573468"/>
      <w:r w:rsidRPr="00F6387C">
        <w:t>The matched cohorts from</w:t>
      </w:r>
      <w:r w:rsidR="00300269" w:rsidRPr="00F6387C">
        <w:t xml:space="preserve"> the two</w:t>
      </w:r>
      <w:r w:rsidRPr="00F6387C">
        <w:t xml:space="preserve"> GLIMPSE </w:t>
      </w:r>
      <w:r w:rsidR="00300269" w:rsidRPr="00F6387C">
        <w:t xml:space="preserve">data cuts </w:t>
      </w:r>
      <w:r w:rsidRPr="00F6387C">
        <w:t>did not include the same patients</w:t>
      </w:r>
      <w:r w:rsidR="0037655A" w:rsidRPr="00F6387C">
        <w:t xml:space="preserve"> (August 2021 data cut: cladribine, N=520 and fingolimod, N=520; July 2022 data cut: cladribine, N=699 and fingolimod, N=699)</w:t>
      </w:r>
      <w:r w:rsidRPr="00F6387C">
        <w:t xml:space="preserve">. The propensity score matching appeared to be </w:t>
      </w:r>
      <w:r w:rsidR="00300269" w:rsidRPr="00F6387C">
        <w:t xml:space="preserve">generally </w:t>
      </w:r>
      <w:r w:rsidRPr="00F6387C">
        <w:t xml:space="preserve">successful </w:t>
      </w:r>
      <w:r w:rsidR="00E77323" w:rsidRPr="00F6387C">
        <w:t xml:space="preserve">with the </w:t>
      </w:r>
      <w:r w:rsidR="00300269" w:rsidRPr="00F6387C">
        <w:t>except</w:t>
      </w:r>
      <w:r w:rsidR="00E77323" w:rsidRPr="00F6387C">
        <w:t xml:space="preserve">ion of </w:t>
      </w:r>
      <w:r w:rsidRPr="00F6387C">
        <w:t xml:space="preserve">the </w:t>
      </w:r>
      <w:r w:rsidR="00300269" w:rsidRPr="00F6387C">
        <w:t xml:space="preserve">confounder </w:t>
      </w:r>
      <w:r w:rsidR="00E77323" w:rsidRPr="00F6387C">
        <w:t>‘</w:t>
      </w:r>
      <w:r w:rsidR="00300269" w:rsidRPr="00F6387C">
        <w:t>country</w:t>
      </w:r>
      <w:r w:rsidR="00E77323" w:rsidRPr="00F6387C">
        <w:t>’</w:t>
      </w:r>
      <w:r w:rsidR="00300269" w:rsidRPr="00F6387C">
        <w:t xml:space="preserve"> for the </w:t>
      </w:r>
      <w:r w:rsidRPr="00F6387C">
        <w:t xml:space="preserve">July 2022 data set </w:t>
      </w:r>
      <w:r w:rsidR="00E77323" w:rsidRPr="00F6387C">
        <w:t xml:space="preserve">where a </w:t>
      </w:r>
      <w:r w:rsidRPr="00F6387C">
        <w:t xml:space="preserve">standardised difference of </w:t>
      </w:r>
      <w:r w:rsidR="00487E56" w:rsidRPr="00F6387C">
        <w:t>–</w:t>
      </w:r>
      <w:r w:rsidRPr="00F6387C">
        <w:t> 0.223</w:t>
      </w:r>
      <w:r w:rsidR="00E77323" w:rsidRPr="00F6387C">
        <w:t xml:space="preserve"> was retained.</w:t>
      </w:r>
      <w:r w:rsidRPr="00F6387C">
        <w:t xml:space="preserve"> Additionally, </w:t>
      </w:r>
      <w:r w:rsidR="00BA0FAE" w:rsidRPr="00F6387C">
        <w:t xml:space="preserve">for the confounder </w:t>
      </w:r>
      <w:r w:rsidR="00C432DE" w:rsidRPr="00F6387C">
        <w:t>country</w:t>
      </w:r>
      <w:r w:rsidR="00487E56" w:rsidRPr="00F6387C">
        <w:t>,</w:t>
      </w:r>
      <w:r w:rsidR="00C432DE" w:rsidRPr="00F6387C">
        <w:t xml:space="preserve"> </w:t>
      </w:r>
      <w:r w:rsidR="00E77323" w:rsidRPr="00F6387C">
        <w:t xml:space="preserve">the propensity score matching appeared to introduce some anomalies between the data sets. </w:t>
      </w:r>
      <w:r w:rsidR="00487E56" w:rsidRPr="00F6387C">
        <w:t>For example, d</w:t>
      </w:r>
      <w:r w:rsidR="00B04273" w:rsidRPr="00F6387C">
        <w:t xml:space="preserve">espite there being more patients in the July 2022 matched data set, </w:t>
      </w:r>
      <w:r w:rsidRPr="00F6387C">
        <w:t xml:space="preserve">the August 2021 data set </w:t>
      </w:r>
      <w:r w:rsidR="00BA0FAE" w:rsidRPr="00F6387C">
        <w:t xml:space="preserve">contained </w:t>
      </w:r>
      <w:r w:rsidRPr="00F6387C">
        <w:t xml:space="preserve">235 </w:t>
      </w:r>
      <w:r w:rsidR="00E77323" w:rsidRPr="00F6387C">
        <w:t xml:space="preserve">fingolimod treated patients </w:t>
      </w:r>
      <w:r w:rsidRPr="00F6387C">
        <w:t xml:space="preserve">from Turkey </w:t>
      </w:r>
      <w:r w:rsidR="00BA0FAE" w:rsidRPr="00F6387C">
        <w:t xml:space="preserve">while there were only </w:t>
      </w:r>
      <w:r w:rsidRPr="00F6387C">
        <w:t xml:space="preserve">148 </w:t>
      </w:r>
      <w:r w:rsidR="00BA0FAE" w:rsidRPr="00F6387C">
        <w:t xml:space="preserve">fingolimod treated patients from Turkey </w:t>
      </w:r>
      <w:r w:rsidRPr="00F6387C">
        <w:t>in the July 2022 data set.</w:t>
      </w:r>
      <w:bookmarkEnd w:id="31"/>
      <w:r w:rsidRPr="00F6387C">
        <w:t xml:space="preserve"> </w:t>
      </w:r>
    </w:p>
    <w:p w14:paraId="551ECA09" w14:textId="2B3CBA45" w:rsidR="003858AE" w:rsidRPr="00F6387C" w:rsidRDefault="00857705" w:rsidP="00CB0B9B">
      <w:pPr>
        <w:pStyle w:val="3-BodyText"/>
      </w:pPr>
      <w:r w:rsidRPr="00F6387C">
        <w:t xml:space="preserve">The resubmission presented the results for annualised relapse rate (ARR) for the </w:t>
      </w:r>
      <w:r w:rsidR="00C432DE" w:rsidRPr="00F6387C">
        <w:t xml:space="preserve">matched and unmatched cohorts for both the August 2021 and July 2022 data cuts (Table 5). </w:t>
      </w:r>
      <w:r w:rsidR="003858AE" w:rsidRPr="00F6387C">
        <w:t>While ARR was found to be statistically significantly different between cladribine and fingolimod for both the matched and unmatched cohorts at the August 2021 data cut, this was no longer the case for the matched cohort at the July 2022 data cut.</w:t>
      </w:r>
    </w:p>
    <w:p w14:paraId="751F913C" w14:textId="2C781AA1" w:rsidR="00260F01" w:rsidRPr="00F6387C" w:rsidRDefault="0014324A" w:rsidP="008E7964">
      <w:pPr>
        <w:pStyle w:val="3-BodyText"/>
      </w:pPr>
      <w:r w:rsidRPr="00F6387C">
        <w:rPr>
          <w:iCs/>
        </w:rPr>
        <w:t xml:space="preserve">The PSCR provided the results of updated analyses (to the July 2023 data cut from GLIMPSE) for ARR, proportion of patients relapse free, time to 6-month confirmed disability progression, proportion of patients persisting on treatment and proportion of patients who switched therapy. These results were not independently evaluated, however are relevant as they increase the amount of patient data available for these analyses, particularly for years 3 and 4 of treatment, which are most relevant to the clinical claim. These analyses are presented </w:t>
      </w:r>
      <w:r w:rsidR="004C1B0D" w:rsidRPr="00F6387C">
        <w:rPr>
          <w:iCs/>
        </w:rPr>
        <w:t xml:space="preserve">where </w:t>
      </w:r>
      <w:r w:rsidRPr="00F6387C">
        <w:rPr>
          <w:iCs/>
        </w:rPr>
        <w:t xml:space="preserve">relevant </w:t>
      </w:r>
      <w:r w:rsidR="004C1B0D" w:rsidRPr="00F6387C">
        <w:rPr>
          <w:iCs/>
        </w:rPr>
        <w:t xml:space="preserve">in the </w:t>
      </w:r>
      <w:r w:rsidRPr="00F6387C">
        <w:rPr>
          <w:iCs/>
        </w:rPr>
        <w:t>discussion below</w:t>
      </w:r>
      <w:r w:rsidR="000E6995" w:rsidRPr="00F6387C">
        <w:rPr>
          <w:iCs/>
        </w:rPr>
        <w:t xml:space="preserve"> (Table 5 and Table 6)</w:t>
      </w:r>
      <w:r w:rsidRPr="00F6387C">
        <w:rPr>
          <w:iCs/>
        </w:rPr>
        <w:t>.</w:t>
      </w:r>
      <w:r w:rsidR="00260F01" w:rsidRPr="00F6387C">
        <w:rPr>
          <w:iCs/>
        </w:rPr>
        <w:t xml:space="preserve"> </w:t>
      </w:r>
    </w:p>
    <w:p w14:paraId="1939A9B7" w14:textId="15849BAC" w:rsidR="003858AE" w:rsidRPr="00F6387C" w:rsidRDefault="003858AE" w:rsidP="00F33D5E">
      <w:pPr>
        <w:pStyle w:val="Caption"/>
        <w:rPr>
          <w:rStyle w:val="CommentReference"/>
          <w:rFonts w:eastAsiaTheme="majorEastAsia" w:cstheme="majorBidi"/>
          <w:b/>
          <w:szCs w:val="24"/>
        </w:rPr>
      </w:pPr>
      <w:bookmarkStart w:id="32" w:name="_Ref142816929"/>
      <w:bookmarkStart w:id="33" w:name="_Hlk142682751"/>
      <w:r w:rsidRPr="00F6387C">
        <w:t xml:space="preserve">Table </w:t>
      </w:r>
      <w:fldSimple w:instr=" SEQ Table \* ARABIC " w:fldLock="1">
        <w:r w:rsidR="000D404D" w:rsidRPr="00F6387C">
          <w:t>5</w:t>
        </w:r>
      </w:fldSimple>
      <w:bookmarkEnd w:id="32"/>
      <w:r w:rsidRPr="00F6387C">
        <w:rPr>
          <w:rStyle w:val="CommentReference"/>
          <w:rFonts w:eastAsiaTheme="majorEastAsia" w:cstheme="majorBidi"/>
          <w:b/>
          <w:szCs w:val="24"/>
        </w:rPr>
        <w:t>: GLIMPSE, annualised relapse rate of matched and unmatched cladribine and fingolimod cohorts</w:t>
      </w:r>
    </w:p>
    <w:tbl>
      <w:tblPr>
        <w:tblStyle w:val="TableGrid"/>
        <w:tblW w:w="8975" w:type="dxa"/>
        <w:tblLook w:val="04A0" w:firstRow="1" w:lastRow="0" w:firstColumn="1" w:lastColumn="0" w:noHBand="0" w:noVBand="1"/>
        <w:tblCaption w:val="Table 5: GLIMPSE, annualised relapse rate of matched and unmatched cladribine and fingolimod cohorts"/>
        <w:tblDescription w:val="Table 5: GLIMPSE, annualised relapse rate of matched and unmatched cladribine and fingolimod cohorts"/>
      </w:tblPr>
      <w:tblGrid>
        <w:gridCol w:w="1271"/>
        <w:gridCol w:w="1843"/>
        <w:gridCol w:w="1285"/>
        <w:gridCol w:w="1692"/>
        <w:gridCol w:w="1842"/>
        <w:gridCol w:w="1042"/>
      </w:tblGrid>
      <w:tr w:rsidR="003858AE" w:rsidRPr="00F6387C" w14:paraId="5C83CE8E" w14:textId="77777777" w:rsidTr="00540CC4">
        <w:tc>
          <w:tcPr>
            <w:tcW w:w="1271" w:type="dxa"/>
            <w:shd w:val="clear" w:color="auto" w:fill="auto"/>
            <w:vAlign w:val="center"/>
          </w:tcPr>
          <w:p w14:paraId="5430A147" w14:textId="77777777" w:rsidR="003858AE" w:rsidRPr="00F6387C" w:rsidRDefault="003858AE" w:rsidP="00F33D5E">
            <w:pPr>
              <w:pStyle w:val="In-tableHeading"/>
              <w:keepLines/>
              <w:jc w:val="center"/>
              <w:rPr>
                <w:lang w:val="en-AU"/>
              </w:rPr>
            </w:pPr>
            <w:r w:rsidRPr="00F6387C">
              <w:rPr>
                <w:lang w:val="en-AU"/>
              </w:rPr>
              <w:t>Cohort</w:t>
            </w:r>
          </w:p>
        </w:tc>
        <w:tc>
          <w:tcPr>
            <w:tcW w:w="1843" w:type="dxa"/>
            <w:shd w:val="clear" w:color="auto" w:fill="auto"/>
            <w:vAlign w:val="center"/>
          </w:tcPr>
          <w:p w14:paraId="68A80BCA" w14:textId="77777777" w:rsidR="003858AE" w:rsidRPr="00F6387C" w:rsidRDefault="003858AE" w:rsidP="00F33D5E">
            <w:pPr>
              <w:pStyle w:val="In-tableHeading"/>
              <w:keepLines/>
              <w:jc w:val="center"/>
              <w:rPr>
                <w:lang w:val="en-AU"/>
              </w:rPr>
            </w:pPr>
            <w:r w:rsidRPr="00F6387C">
              <w:rPr>
                <w:lang w:val="en-AU"/>
              </w:rPr>
              <w:t>Drug</w:t>
            </w:r>
          </w:p>
        </w:tc>
        <w:tc>
          <w:tcPr>
            <w:tcW w:w="1285" w:type="dxa"/>
            <w:shd w:val="clear" w:color="auto" w:fill="auto"/>
            <w:vAlign w:val="center"/>
          </w:tcPr>
          <w:p w14:paraId="11D92CE9" w14:textId="77777777" w:rsidR="003858AE" w:rsidRPr="00F6387C" w:rsidRDefault="003858AE" w:rsidP="00F33D5E">
            <w:pPr>
              <w:pStyle w:val="In-tableHeading"/>
              <w:keepLines/>
              <w:jc w:val="center"/>
              <w:rPr>
                <w:lang w:val="en-AU"/>
              </w:rPr>
            </w:pPr>
            <w:r w:rsidRPr="00F6387C">
              <w:rPr>
                <w:lang w:val="en-AU"/>
              </w:rPr>
              <w:t>Number of relapses</w:t>
            </w:r>
          </w:p>
        </w:tc>
        <w:tc>
          <w:tcPr>
            <w:tcW w:w="1692" w:type="dxa"/>
            <w:shd w:val="clear" w:color="auto" w:fill="auto"/>
            <w:vAlign w:val="center"/>
          </w:tcPr>
          <w:p w14:paraId="539CA908" w14:textId="77777777" w:rsidR="003858AE" w:rsidRPr="00F6387C" w:rsidRDefault="003858AE" w:rsidP="00F33D5E">
            <w:pPr>
              <w:pStyle w:val="In-tableHeading"/>
              <w:keepLines/>
              <w:jc w:val="center"/>
              <w:rPr>
                <w:lang w:val="en-AU"/>
              </w:rPr>
            </w:pPr>
            <w:r w:rsidRPr="00F6387C">
              <w:rPr>
                <w:lang w:val="en-AU"/>
              </w:rPr>
              <w:t>On index DMT follow-up (years)</w:t>
            </w:r>
          </w:p>
        </w:tc>
        <w:tc>
          <w:tcPr>
            <w:tcW w:w="1842" w:type="dxa"/>
            <w:shd w:val="clear" w:color="auto" w:fill="auto"/>
            <w:vAlign w:val="center"/>
          </w:tcPr>
          <w:p w14:paraId="3C0D6F33" w14:textId="77777777" w:rsidR="003858AE" w:rsidRPr="00F6387C" w:rsidRDefault="003858AE" w:rsidP="00F33D5E">
            <w:pPr>
              <w:pStyle w:val="In-tableHeading"/>
              <w:keepLines/>
              <w:jc w:val="center"/>
              <w:rPr>
                <w:lang w:val="en-AU"/>
              </w:rPr>
            </w:pPr>
            <w:r w:rsidRPr="00F6387C">
              <w:rPr>
                <w:lang w:val="en-AU"/>
              </w:rPr>
              <w:t>ARR (95% CI)</w:t>
            </w:r>
          </w:p>
        </w:tc>
        <w:tc>
          <w:tcPr>
            <w:tcW w:w="1042" w:type="dxa"/>
            <w:shd w:val="clear" w:color="auto" w:fill="auto"/>
            <w:vAlign w:val="center"/>
          </w:tcPr>
          <w:p w14:paraId="6A6FC274" w14:textId="77777777" w:rsidR="003858AE" w:rsidRPr="00F6387C" w:rsidRDefault="003858AE" w:rsidP="00F33D5E">
            <w:pPr>
              <w:pStyle w:val="In-tableHeading"/>
              <w:keepLines/>
              <w:jc w:val="center"/>
              <w:rPr>
                <w:lang w:val="en-AU"/>
              </w:rPr>
            </w:pPr>
            <w:r w:rsidRPr="00F6387C">
              <w:rPr>
                <w:lang w:val="en-AU"/>
              </w:rPr>
              <w:t>P value</w:t>
            </w:r>
          </w:p>
        </w:tc>
      </w:tr>
      <w:tr w:rsidR="003858AE" w:rsidRPr="00F6387C" w14:paraId="2E156A16" w14:textId="77777777" w:rsidTr="00540CC4">
        <w:tc>
          <w:tcPr>
            <w:tcW w:w="8975" w:type="dxa"/>
            <w:gridSpan w:val="6"/>
            <w:shd w:val="clear" w:color="auto" w:fill="auto"/>
            <w:vAlign w:val="center"/>
          </w:tcPr>
          <w:p w14:paraId="47980570" w14:textId="77777777" w:rsidR="003858AE" w:rsidRPr="00F6387C" w:rsidRDefault="003858AE" w:rsidP="00F33D5E">
            <w:pPr>
              <w:pStyle w:val="In-tableHeading"/>
              <w:keepLines/>
              <w:rPr>
                <w:lang w:val="en-AU"/>
              </w:rPr>
            </w:pPr>
            <w:r w:rsidRPr="00F6387C">
              <w:rPr>
                <w:lang w:val="en-AU"/>
              </w:rPr>
              <w:t>July 2022 data cut</w:t>
            </w:r>
          </w:p>
        </w:tc>
      </w:tr>
      <w:tr w:rsidR="003858AE" w:rsidRPr="00F6387C" w14:paraId="79CDD3C3" w14:textId="77777777" w:rsidTr="00540CC4">
        <w:tc>
          <w:tcPr>
            <w:tcW w:w="1271" w:type="dxa"/>
            <w:vMerge w:val="restart"/>
            <w:shd w:val="clear" w:color="auto" w:fill="auto"/>
            <w:vAlign w:val="center"/>
          </w:tcPr>
          <w:p w14:paraId="0693A404" w14:textId="77777777" w:rsidR="003858AE" w:rsidRPr="00F6387C" w:rsidRDefault="003858AE" w:rsidP="00F33D5E">
            <w:pPr>
              <w:pStyle w:val="TableText0"/>
              <w:keepLines/>
            </w:pPr>
            <w:r w:rsidRPr="00F6387C">
              <w:t>Matched</w:t>
            </w:r>
          </w:p>
        </w:tc>
        <w:tc>
          <w:tcPr>
            <w:tcW w:w="1843" w:type="dxa"/>
            <w:shd w:val="clear" w:color="auto" w:fill="auto"/>
            <w:vAlign w:val="center"/>
          </w:tcPr>
          <w:p w14:paraId="6907CEA5" w14:textId="77777777" w:rsidR="003858AE" w:rsidRPr="00F6387C" w:rsidRDefault="003858AE" w:rsidP="00F33D5E">
            <w:pPr>
              <w:pStyle w:val="TableText0"/>
              <w:keepLines/>
              <w:jc w:val="center"/>
            </w:pPr>
            <w:r w:rsidRPr="00F6387C">
              <w:t>Cladribine (n=699)</w:t>
            </w:r>
          </w:p>
        </w:tc>
        <w:tc>
          <w:tcPr>
            <w:tcW w:w="1285" w:type="dxa"/>
            <w:shd w:val="clear" w:color="auto" w:fill="auto"/>
            <w:vAlign w:val="center"/>
          </w:tcPr>
          <w:p w14:paraId="6B8F7BB0" w14:textId="77777777" w:rsidR="003858AE" w:rsidRPr="00F6387C" w:rsidRDefault="003858AE" w:rsidP="00F33D5E">
            <w:pPr>
              <w:pStyle w:val="TableText0"/>
              <w:keepLines/>
              <w:jc w:val="center"/>
            </w:pPr>
            <w:r w:rsidRPr="00F6387C">
              <w:t>104</w:t>
            </w:r>
          </w:p>
        </w:tc>
        <w:tc>
          <w:tcPr>
            <w:tcW w:w="1692" w:type="dxa"/>
            <w:shd w:val="clear" w:color="auto" w:fill="auto"/>
            <w:vAlign w:val="center"/>
          </w:tcPr>
          <w:p w14:paraId="7A88F06A" w14:textId="77777777" w:rsidR="003858AE" w:rsidRPr="00F6387C" w:rsidRDefault="003858AE" w:rsidP="00F33D5E">
            <w:pPr>
              <w:pStyle w:val="TableText0"/>
              <w:keepLines/>
              <w:jc w:val="center"/>
            </w:pPr>
            <w:r w:rsidRPr="00F6387C">
              <w:t>1074.35</w:t>
            </w:r>
          </w:p>
        </w:tc>
        <w:tc>
          <w:tcPr>
            <w:tcW w:w="1842" w:type="dxa"/>
            <w:shd w:val="clear" w:color="auto" w:fill="auto"/>
            <w:vAlign w:val="center"/>
          </w:tcPr>
          <w:p w14:paraId="727C1ED9" w14:textId="77777777" w:rsidR="003858AE" w:rsidRPr="00F6387C" w:rsidRDefault="003858AE" w:rsidP="00F33D5E">
            <w:pPr>
              <w:pStyle w:val="TableText0"/>
              <w:keepLines/>
              <w:jc w:val="center"/>
            </w:pPr>
            <w:r w:rsidRPr="00F6387C">
              <w:t>0.0968</w:t>
            </w:r>
          </w:p>
          <w:p w14:paraId="1EB84CEA" w14:textId="77777777" w:rsidR="003858AE" w:rsidRPr="00F6387C" w:rsidRDefault="003858AE" w:rsidP="00F33D5E">
            <w:pPr>
              <w:pStyle w:val="TableText0"/>
              <w:keepLines/>
              <w:jc w:val="center"/>
            </w:pPr>
            <w:r w:rsidRPr="00F6387C">
              <w:t>(0.0791, 0.1173)</w:t>
            </w:r>
          </w:p>
        </w:tc>
        <w:tc>
          <w:tcPr>
            <w:tcW w:w="1042" w:type="dxa"/>
            <w:vMerge w:val="restart"/>
            <w:shd w:val="clear" w:color="auto" w:fill="auto"/>
            <w:vAlign w:val="center"/>
          </w:tcPr>
          <w:p w14:paraId="1F6B7E02" w14:textId="77777777" w:rsidR="003858AE" w:rsidRPr="00F6387C" w:rsidRDefault="003858AE" w:rsidP="00F33D5E">
            <w:pPr>
              <w:pStyle w:val="TableText0"/>
              <w:keepLines/>
              <w:jc w:val="center"/>
            </w:pPr>
            <w:r w:rsidRPr="00F6387C">
              <w:t>0.0679</w:t>
            </w:r>
          </w:p>
        </w:tc>
      </w:tr>
      <w:tr w:rsidR="003858AE" w:rsidRPr="00F6387C" w14:paraId="108784B1" w14:textId="77777777" w:rsidTr="00540CC4">
        <w:tc>
          <w:tcPr>
            <w:tcW w:w="1271" w:type="dxa"/>
            <w:vMerge/>
            <w:shd w:val="clear" w:color="auto" w:fill="auto"/>
            <w:vAlign w:val="center"/>
          </w:tcPr>
          <w:p w14:paraId="6841D327" w14:textId="77777777" w:rsidR="003858AE" w:rsidRPr="00F6387C" w:rsidRDefault="003858AE" w:rsidP="00F33D5E">
            <w:pPr>
              <w:pStyle w:val="TableText0"/>
              <w:keepLines/>
            </w:pPr>
          </w:p>
        </w:tc>
        <w:tc>
          <w:tcPr>
            <w:tcW w:w="1843" w:type="dxa"/>
            <w:shd w:val="clear" w:color="auto" w:fill="auto"/>
            <w:vAlign w:val="center"/>
          </w:tcPr>
          <w:p w14:paraId="404E6DFD" w14:textId="77777777" w:rsidR="003858AE" w:rsidRPr="00F6387C" w:rsidRDefault="003858AE" w:rsidP="00F33D5E">
            <w:pPr>
              <w:pStyle w:val="TableText0"/>
              <w:keepLines/>
              <w:jc w:val="center"/>
            </w:pPr>
            <w:r w:rsidRPr="00F6387C">
              <w:t>Fingolimod (n=699)</w:t>
            </w:r>
          </w:p>
        </w:tc>
        <w:tc>
          <w:tcPr>
            <w:tcW w:w="1285" w:type="dxa"/>
            <w:shd w:val="clear" w:color="auto" w:fill="auto"/>
            <w:vAlign w:val="center"/>
          </w:tcPr>
          <w:p w14:paraId="1BDE4F31" w14:textId="77777777" w:rsidR="003858AE" w:rsidRPr="00F6387C" w:rsidRDefault="003858AE" w:rsidP="00F33D5E">
            <w:pPr>
              <w:pStyle w:val="TableText0"/>
              <w:keepLines/>
              <w:jc w:val="center"/>
            </w:pPr>
            <w:r w:rsidRPr="00F6387C">
              <w:t>139</w:t>
            </w:r>
          </w:p>
        </w:tc>
        <w:tc>
          <w:tcPr>
            <w:tcW w:w="1692" w:type="dxa"/>
            <w:shd w:val="clear" w:color="auto" w:fill="auto"/>
            <w:vAlign w:val="center"/>
          </w:tcPr>
          <w:p w14:paraId="3A90BAD5" w14:textId="77777777" w:rsidR="003858AE" w:rsidRPr="00F6387C" w:rsidRDefault="003858AE" w:rsidP="00F33D5E">
            <w:pPr>
              <w:pStyle w:val="TableText0"/>
              <w:keepLines/>
              <w:jc w:val="center"/>
            </w:pPr>
            <w:r w:rsidRPr="00F6387C">
              <w:t>1133.88</w:t>
            </w:r>
          </w:p>
        </w:tc>
        <w:tc>
          <w:tcPr>
            <w:tcW w:w="1842" w:type="dxa"/>
            <w:shd w:val="clear" w:color="auto" w:fill="auto"/>
            <w:vAlign w:val="center"/>
          </w:tcPr>
          <w:p w14:paraId="5D5C416A" w14:textId="77777777" w:rsidR="003858AE" w:rsidRPr="00F6387C" w:rsidRDefault="003858AE" w:rsidP="00F33D5E">
            <w:pPr>
              <w:pStyle w:val="TableText0"/>
              <w:keepLines/>
              <w:jc w:val="center"/>
            </w:pPr>
            <w:r w:rsidRPr="00F6387C">
              <w:t>0.1226</w:t>
            </w:r>
          </w:p>
          <w:p w14:paraId="374656A6" w14:textId="77777777" w:rsidR="003858AE" w:rsidRPr="00F6387C" w:rsidRDefault="003858AE" w:rsidP="00F33D5E">
            <w:pPr>
              <w:pStyle w:val="TableText0"/>
              <w:keepLines/>
              <w:jc w:val="center"/>
            </w:pPr>
            <w:r w:rsidRPr="00F6387C">
              <w:t>(0.1031, 0.1447)</w:t>
            </w:r>
          </w:p>
        </w:tc>
        <w:tc>
          <w:tcPr>
            <w:tcW w:w="1042" w:type="dxa"/>
            <w:vMerge/>
            <w:shd w:val="clear" w:color="auto" w:fill="auto"/>
            <w:vAlign w:val="center"/>
          </w:tcPr>
          <w:p w14:paraId="207701A9" w14:textId="77777777" w:rsidR="003858AE" w:rsidRPr="00F6387C" w:rsidRDefault="003858AE" w:rsidP="00F33D5E">
            <w:pPr>
              <w:pStyle w:val="TableText0"/>
              <w:keepLines/>
              <w:jc w:val="center"/>
            </w:pPr>
          </w:p>
        </w:tc>
      </w:tr>
      <w:bookmarkEnd w:id="33"/>
      <w:tr w:rsidR="003858AE" w:rsidRPr="00F6387C" w14:paraId="77EFC710" w14:textId="77777777" w:rsidTr="00540CC4">
        <w:tc>
          <w:tcPr>
            <w:tcW w:w="1271" w:type="dxa"/>
            <w:vMerge w:val="restart"/>
            <w:vAlign w:val="center"/>
          </w:tcPr>
          <w:p w14:paraId="39FA3B0A" w14:textId="77777777" w:rsidR="003858AE" w:rsidRPr="00F6387C" w:rsidRDefault="003858AE" w:rsidP="00F33D5E">
            <w:pPr>
              <w:pStyle w:val="TableText0"/>
              <w:keepLines/>
            </w:pPr>
            <w:r w:rsidRPr="00F6387C">
              <w:t>Unmatched</w:t>
            </w:r>
          </w:p>
        </w:tc>
        <w:tc>
          <w:tcPr>
            <w:tcW w:w="1843" w:type="dxa"/>
            <w:vAlign w:val="center"/>
          </w:tcPr>
          <w:p w14:paraId="4FB7C613" w14:textId="77777777" w:rsidR="003858AE" w:rsidRPr="00F6387C" w:rsidRDefault="003858AE" w:rsidP="00F33D5E">
            <w:pPr>
              <w:pStyle w:val="TableText0"/>
              <w:keepLines/>
              <w:jc w:val="center"/>
            </w:pPr>
            <w:r w:rsidRPr="00F6387C">
              <w:t>Cladribine (n=882)</w:t>
            </w:r>
          </w:p>
        </w:tc>
        <w:tc>
          <w:tcPr>
            <w:tcW w:w="1285" w:type="dxa"/>
            <w:vAlign w:val="center"/>
          </w:tcPr>
          <w:p w14:paraId="58369FC4" w14:textId="77777777" w:rsidR="003858AE" w:rsidRPr="00F6387C" w:rsidRDefault="003858AE" w:rsidP="00F33D5E">
            <w:pPr>
              <w:pStyle w:val="TableText0"/>
              <w:keepLines/>
              <w:jc w:val="center"/>
            </w:pPr>
            <w:r w:rsidRPr="00F6387C">
              <w:t>123</w:t>
            </w:r>
          </w:p>
        </w:tc>
        <w:tc>
          <w:tcPr>
            <w:tcW w:w="1692" w:type="dxa"/>
            <w:vAlign w:val="center"/>
          </w:tcPr>
          <w:p w14:paraId="429C0C60" w14:textId="77777777" w:rsidR="003858AE" w:rsidRPr="00F6387C" w:rsidRDefault="003858AE" w:rsidP="00F33D5E">
            <w:pPr>
              <w:pStyle w:val="TableText0"/>
              <w:keepLines/>
              <w:jc w:val="center"/>
            </w:pPr>
            <w:r w:rsidRPr="00F6387C">
              <w:t>1401.85</w:t>
            </w:r>
          </w:p>
        </w:tc>
        <w:tc>
          <w:tcPr>
            <w:tcW w:w="1842" w:type="dxa"/>
            <w:vAlign w:val="center"/>
          </w:tcPr>
          <w:p w14:paraId="7793A779" w14:textId="77777777" w:rsidR="003858AE" w:rsidRPr="00F6387C" w:rsidRDefault="003858AE" w:rsidP="00F33D5E">
            <w:pPr>
              <w:pStyle w:val="TableText0"/>
              <w:keepLines/>
              <w:jc w:val="center"/>
            </w:pPr>
            <w:r w:rsidRPr="00F6387C">
              <w:t>0.0877</w:t>
            </w:r>
          </w:p>
          <w:p w14:paraId="768CBCAC" w14:textId="77777777" w:rsidR="003858AE" w:rsidRPr="00F6387C" w:rsidRDefault="003858AE" w:rsidP="00F33D5E">
            <w:pPr>
              <w:pStyle w:val="TableText0"/>
              <w:keepLines/>
              <w:jc w:val="center"/>
            </w:pPr>
            <w:r w:rsidRPr="00F6387C">
              <w:t>(0.0729, 0.1047)</w:t>
            </w:r>
          </w:p>
        </w:tc>
        <w:tc>
          <w:tcPr>
            <w:tcW w:w="1042" w:type="dxa"/>
            <w:vMerge w:val="restart"/>
            <w:vAlign w:val="center"/>
          </w:tcPr>
          <w:p w14:paraId="102F0C19" w14:textId="77777777" w:rsidR="003858AE" w:rsidRPr="00F6387C" w:rsidRDefault="003858AE" w:rsidP="00F33D5E">
            <w:pPr>
              <w:pStyle w:val="TableText0"/>
              <w:keepLines/>
              <w:jc w:val="center"/>
            </w:pPr>
            <w:r w:rsidRPr="00F6387C">
              <w:t>0.0063</w:t>
            </w:r>
          </w:p>
        </w:tc>
      </w:tr>
      <w:tr w:rsidR="003858AE" w:rsidRPr="00F6387C" w14:paraId="44BDF0D4" w14:textId="77777777" w:rsidTr="00540CC4">
        <w:tc>
          <w:tcPr>
            <w:tcW w:w="1271" w:type="dxa"/>
            <w:vMerge/>
            <w:vAlign w:val="center"/>
          </w:tcPr>
          <w:p w14:paraId="44B4A28E" w14:textId="77777777" w:rsidR="003858AE" w:rsidRPr="00F6387C" w:rsidRDefault="003858AE" w:rsidP="00F33D5E">
            <w:pPr>
              <w:pStyle w:val="TableText0"/>
              <w:keepLines/>
            </w:pPr>
          </w:p>
        </w:tc>
        <w:tc>
          <w:tcPr>
            <w:tcW w:w="1843" w:type="dxa"/>
            <w:vAlign w:val="center"/>
          </w:tcPr>
          <w:p w14:paraId="60CCF13C" w14:textId="77777777" w:rsidR="003858AE" w:rsidRPr="00F6387C" w:rsidRDefault="003858AE" w:rsidP="00F33D5E">
            <w:pPr>
              <w:pStyle w:val="TableText0"/>
              <w:keepLines/>
              <w:jc w:val="center"/>
            </w:pPr>
            <w:r w:rsidRPr="00F6387C">
              <w:t>Fingolimod (n=1554)</w:t>
            </w:r>
          </w:p>
        </w:tc>
        <w:tc>
          <w:tcPr>
            <w:tcW w:w="1285" w:type="dxa"/>
            <w:vAlign w:val="center"/>
          </w:tcPr>
          <w:p w14:paraId="314F67DC" w14:textId="77777777" w:rsidR="003858AE" w:rsidRPr="00F6387C" w:rsidRDefault="003858AE" w:rsidP="00F33D5E">
            <w:pPr>
              <w:pStyle w:val="TableText0"/>
              <w:keepLines/>
              <w:jc w:val="center"/>
            </w:pPr>
            <w:r w:rsidRPr="00F6387C">
              <w:t>264</w:t>
            </w:r>
          </w:p>
        </w:tc>
        <w:tc>
          <w:tcPr>
            <w:tcW w:w="1692" w:type="dxa"/>
            <w:vAlign w:val="center"/>
          </w:tcPr>
          <w:p w14:paraId="4E502D53" w14:textId="77777777" w:rsidR="003858AE" w:rsidRPr="00F6387C" w:rsidRDefault="003858AE" w:rsidP="00F33D5E">
            <w:pPr>
              <w:pStyle w:val="TableText0"/>
              <w:keepLines/>
              <w:jc w:val="center"/>
            </w:pPr>
            <w:r w:rsidRPr="00F6387C">
              <w:t>2235.11</w:t>
            </w:r>
          </w:p>
        </w:tc>
        <w:tc>
          <w:tcPr>
            <w:tcW w:w="1842" w:type="dxa"/>
            <w:vAlign w:val="center"/>
          </w:tcPr>
          <w:p w14:paraId="74E7B126" w14:textId="77777777" w:rsidR="003858AE" w:rsidRPr="00F6387C" w:rsidRDefault="003858AE" w:rsidP="00F33D5E">
            <w:pPr>
              <w:pStyle w:val="TableText0"/>
              <w:keepLines/>
              <w:jc w:val="center"/>
            </w:pPr>
            <w:r w:rsidRPr="00F6387C">
              <w:t>0.1181</w:t>
            </w:r>
          </w:p>
          <w:p w14:paraId="77840380" w14:textId="77777777" w:rsidR="003858AE" w:rsidRPr="00F6387C" w:rsidRDefault="003858AE" w:rsidP="00F33D5E">
            <w:pPr>
              <w:pStyle w:val="TableText0"/>
              <w:keepLines/>
              <w:jc w:val="center"/>
            </w:pPr>
            <w:r w:rsidRPr="00F6387C">
              <w:t>(0.1043, 0.1333)</w:t>
            </w:r>
          </w:p>
        </w:tc>
        <w:tc>
          <w:tcPr>
            <w:tcW w:w="1042" w:type="dxa"/>
            <w:vMerge/>
            <w:vAlign w:val="center"/>
          </w:tcPr>
          <w:p w14:paraId="1E8739B7" w14:textId="77777777" w:rsidR="003858AE" w:rsidRPr="00F6387C" w:rsidRDefault="003858AE" w:rsidP="00F33D5E">
            <w:pPr>
              <w:pStyle w:val="TableText0"/>
              <w:keepLines/>
            </w:pPr>
          </w:p>
        </w:tc>
      </w:tr>
      <w:tr w:rsidR="003858AE" w:rsidRPr="00F6387C" w14:paraId="5F368190" w14:textId="77777777" w:rsidTr="00540CC4">
        <w:tc>
          <w:tcPr>
            <w:tcW w:w="8975" w:type="dxa"/>
            <w:gridSpan w:val="6"/>
            <w:shd w:val="clear" w:color="auto" w:fill="auto"/>
            <w:vAlign w:val="center"/>
          </w:tcPr>
          <w:p w14:paraId="45CCDC91" w14:textId="77777777" w:rsidR="003858AE" w:rsidRPr="00F6387C" w:rsidRDefault="003858AE" w:rsidP="00F33D5E">
            <w:pPr>
              <w:pStyle w:val="In-tableHeading"/>
              <w:keepLines/>
              <w:rPr>
                <w:lang w:val="en-AU"/>
              </w:rPr>
            </w:pPr>
            <w:r w:rsidRPr="00F6387C">
              <w:rPr>
                <w:lang w:val="en-AU"/>
              </w:rPr>
              <w:t>August 2021 data cut</w:t>
            </w:r>
          </w:p>
        </w:tc>
      </w:tr>
      <w:tr w:rsidR="003858AE" w:rsidRPr="00F6387C" w14:paraId="4AB988C2" w14:textId="77777777" w:rsidTr="00540CC4">
        <w:tc>
          <w:tcPr>
            <w:tcW w:w="1271" w:type="dxa"/>
            <w:vMerge w:val="restart"/>
            <w:shd w:val="clear" w:color="auto" w:fill="auto"/>
            <w:vAlign w:val="center"/>
          </w:tcPr>
          <w:p w14:paraId="491557D0" w14:textId="77777777" w:rsidR="003858AE" w:rsidRPr="00F6387C" w:rsidRDefault="003858AE" w:rsidP="00F33D5E">
            <w:pPr>
              <w:pStyle w:val="TableText0"/>
              <w:keepLines/>
            </w:pPr>
            <w:r w:rsidRPr="00F6387C">
              <w:t>Matched</w:t>
            </w:r>
          </w:p>
        </w:tc>
        <w:tc>
          <w:tcPr>
            <w:tcW w:w="1843" w:type="dxa"/>
            <w:shd w:val="clear" w:color="auto" w:fill="auto"/>
            <w:vAlign w:val="center"/>
          </w:tcPr>
          <w:p w14:paraId="52D6B2FC" w14:textId="77777777" w:rsidR="003858AE" w:rsidRPr="00F6387C" w:rsidRDefault="003858AE" w:rsidP="00F33D5E">
            <w:pPr>
              <w:pStyle w:val="TableText0"/>
              <w:keepLines/>
              <w:jc w:val="center"/>
            </w:pPr>
            <w:r w:rsidRPr="00F6387C">
              <w:t>Cladribine (n=520)</w:t>
            </w:r>
          </w:p>
        </w:tc>
        <w:tc>
          <w:tcPr>
            <w:tcW w:w="1285" w:type="dxa"/>
            <w:shd w:val="clear" w:color="auto" w:fill="auto"/>
            <w:vAlign w:val="center"/>
          </w:tcPr>
          <w:p w14:paraId="119D4105" w14:textId="77777777" w:rsidR="003858AE" w:rsidRPr="00F6387C" w:rsidRDefault="003858AE" w:rsidP="00F33D5E">
            <w:pPr>
              <w:pStyle w:val="TableText0"/>
              <w:keepLines/>
              <w:jc w:val="center"/>
            </w:pPr>
            <w:r w:rsidRPr="00F6387C">
              <w:t>47</w:t>
            </w:r>
          </w:p>
        </w:tc>
        <w:tc>
          <w:tcPr>
            <w:tcW w:w="1692" w:type="dxa"/>
            <w:shd w:val="clear" w:color="auto" w:fill="auto"/>
            <w:vAlign w:val="center"/>
          </w:tcPr>
          <w:p w14:paraId="58D41DA1" w14:textId="77777777" w:rsidR="003858AE" w:rsidRPr="00F6387C" w:rsidRDefault="003858AE" w:rsidP="00F33D5E">
            <w:pPr>
              <w:pStyle w:val="TableText0"/>
              <w:keepLines/>
              <w:jc w:val="center"/>
            </w:pPr>
            <w:r w:rsidRPr="00F6387C">
              <w:t>498.28</w:t>
            </w:r>
          </w:p>
        </w:tc>
        <w:tc>
          <w:tcPr>
            <w:tcW w:w="1842" w:type="dxa"/>
            <w:shd w:val="clear" w:color="auto" w:fill="auto"/>
            <w:vAlign w:val="center"/>
          </w:tcPr>
          <w:p w14:paraId="5C8187E6" w14:textId="77777777" w:rsidR="003858AE" w:rsidRPr="00F6387C" w:rsidRDefault="003858AE" w:rsidP="00F33D5E">
            <w:pPr>
              <w:pStyle w:val="TableText0"/>
              <w:keepLines/>
              <w:jc w:val="center"/>
            </w:pPr>
            <w:r w:rsidRPr="00F6387C">
              <w:t>0.0943</w:t>
            </w:r>
          </w:p>
          <w:p w14:paraId="7047574C" w14:textId="77777777" w:rsidR="003858AE" w:rsidRPr="00F6387C" w:rsidRDefault="003858AE" w:rsidP="00F33D5E">
            <w:pPr>
              <w:pStyle w:val="TableText0"/>
              <w:keepLines/>
              <w:jc w:val="center"/>
            </w:pPr>
            <w:r w:rsidRPr="00F6387C">
              <w:t>(0.069, 0.1254)</w:t>
            </w:r>
          </w:p>
        </w:tc>
        <w:tc>
          <w:tcPr>
            <w:tcW w:w="1042" w:type="dxa"/>
            <w:vMerge w:val="restart"/>
            <w:shd w:val="clear" w:color="auto" w:fill="auto"/>
            <w:vAlign w:val="center"/>
          </w:tcPr>
          <w:p w14:paraId="7BECE927" w14:textId="77777777" w:rsidR="003858AE" w:rsidRPr="00F6387C" w:rsidRDefault="003858AE" w:rsidP="00F33D5E">
            <w:pPr>
              <w:pStyle w:val="TableText0"/>
              <w:keepLines/>
              <w:jc w:val="center"/>
            </w:pPr>
            <w:r w:rsidRPr="00F6387C">
              <w:t>0.0156</w:t>
            </w:r>
          </w:p>
        </w:tc>
      </w:tr>
      <w:tr w:rsidR="003858AE" w:rsidRPr="00F6387C" w14:paraId="36004D41" w14:textId="77777777" w:rsidTr="00540CC4">
        <w:tc>
          <w:tcPr>
            <w:tcW w:w="1271" w:type="dxa"/>
            <w:vMerge/>
            <w:shd w:val="clear" w:color="auto" w:fill="auto"/>
            <w:vAlign w:val="center"/>
          </w:tcPr>
          <w:p w14:paraId="4AC0639A" w14:textId="77777777" w:rsidR="003858AE" w:rsidRPr="00F6387C" w:rsidRDefault="003858AE" w:rsidP="00F33D5E">
            <w:pPr>
              <w:pStyle w:val="TableText0"/>
              <w:keepLines/>
            </w:pPr>
          </w:p>
        </w:tc>
        <w:tc>
          <w:tcPr>
            <w:tcW w:w="1843" w:type="dxa"/>
            <w:shd w:val="clear" w:color="auto" w:fill="auto"/>
            <w:vAlign w:val="center"/>
          </w:tcPr>
          <w:p w14:paraId="51B9DEB7" w14:textId="77777777" w:rsidR="003858AE" w:rsidRPr="00F6387C" w:rsidRDefault="003858AE" w:rsidP="00F33D5E">
            <w:pPr>
              <w:pStyle w:val="TableText0"/>
              <w:keepLines/>
              <w:jc w:val="center"/>
            </w:pPr>
            <w:r w:rsidRPr="00F6387C">
              <w:t>Fingolimod (n=520)</w:t>
            </w:r>
          </w:p>
        </w:tc>
        <w:tc>
          <w:tcPr>
            <w:tcW w:w="1285" w:type="dxa"/>
            <w:shd w:val="clear" w:color="auto" w:fill="auto"/>
            <w:vAlign w:val="center"/>
          </w:tcPr>
          <w:p w14:paraId="62A1EF2A" w14:textId="77777777" w:rsidR="003858AE" w:rsidRPr="00F6387C" w:rsidRDefault="003858AE" w:rsidP="00F33D5E">
            <w:pPr>
              <w:pStyle w:val="TableText0"/>
              <w:keepLines/>
              <w:jc w:val="center"/>
            </w:pPr>
            <w:r w:rsidRPr="00F6387C">
              <w:t>89</w:t>
            </w:r>
          </w:p>
        </w:tc>
        <w:tc>
          <w:tcPr>
            <w:tcW w:w="1692" w:type="dxa"/>
            <w:shd w:val="clear" w:color="auto" w:fill="auto"/>
            <w:vAlign w:val="center"/>
          </w:tcPr>
          <w:p w14:paraId="7961128B" w14:textId="77777777" w:rsidR="003858AE" w:rsidRPr="00F6387C" w:rsidRDefault="003858AE" w:rsidP="00F33D5E">
            <w:pPr>
              <w:pStyle w:val="TableText0"/>
              <w:keepLines/>
              <w:jc w:val="center"/>
            </w:pPr>
            <w:r w:rsidRPr="00F6387C">
              <w:t>612.27</w:t>
            </w:r>
          </w:p>
        </w:tc>
        <w:tc>
          <w:tcPr>
            <w:tcW w:w="1842" w:type="dxa"/>
            <w:shd w:val="clear" w:color="auto" w:fill="auto"/>
            <w:vAlign w:val="center"/>
          </w:tcPr>
          <w:p w14:paraId="1C115B1B" w14:textId="77777777" w:rsidR="003858AE" w:rsidRPr="00F6387C" w:rsidRDefault="003858AE" w:rsidP="00F33D5E">
            <w:pPr>
              <w:pStyle w:val="TableText0"/>
              <w:keepLines/>
              <w:jc w:val="center"/>
            </w:pPr>
            <w:r w:rsidRPr="00F6387C">
              <w:t>0.1454</w:t>
            </w:r>
          </w:p>
          <w:p w14:paraId="60E0D0FB" w14:textId="77777777" w:rsidR="003858AE" w:rsidRPr="00F6387C" w:rsidRDefault="003858AE" w:rsidP="00F33D5E">
            <w:pPr>
              <w:pStyle w:val="TableText0"/>
              <w:keepLines/>
              <w:jc w:val="center"/>
            </w:pPr>
            <w:r w:rsidRPr="00F6387C">
              <w:t>(0.1167, 0.1789)</w:t>
            </w:r>
          </w:p>
        </w:tc>
        <w:tc>
          <w:tcPr>
            <w:tcW w:w="1042" w:type="dxa"/>
            <w:vMerge/>
            <w:shd w:val="clear" w:color="auto" w:fill="auto"/>
            <w:vAlign w:val="center"/>
          </w:tcPr>
          <w:p w14:paraId="2BBE138A" w14:textId="77777777" w:rsidR="003858AE" w:rsidRPr="00F6387C" w:rsidRDefault="003858AE" w:rsidP="00F33D5E">
            <w:pPr>
              <w:pStyle w:val="TableText0"/>
              <w:keepLines/>
              <w:jc w:val="center"/>
            </w:pPr>
          </w:p>
        </w:tc>
      </w:tr>
      <w:tr w:rsidR="003858AE" w:rsidRPr="00F6387C" w14:paraId="2A37B600" w14:textId="77777777" w:rsidTr="00540CC4">
        <w:tc>
          <w:tcPr>
            <w:tcW w:w="1271" w:type="dxa"/>
            <w:vMerge w:val="restart"/>
            <w:shd w:val="clear" w:color="auto" w:fill="auto"/>
            <w:vAlign w:val="center"/>
          </w:tcPr>
          <w:p w14:paraId="44A09253" w14:textId="77777777" w:rsidR="003858AE" w:rsidRPr="00F6387C" w:rsidRDefault="003858AE" w:rsidP="00F33D5E">
            <w:pPr>
              <w:pStyle w:val="TableText0"/>
              <w:keepLines/>
            </w:pPr>
            <w:r w:rsidRPr="00F6387C">
              <w:t>Unmatched</w:t>
            </w:r>
          </w:p>
        </w:tc>
        <w:tc>
          <w:tcPr>
            <w:tcW w:w="1843" w:type="dxa"/>
            <w:shd w:val="clear" w:color="auto" w:fill="auto"/>
            <w:vAlign w:val="center"/>
          </w:tcPr>
          <w:p w14:paraId="5F1A6094" w14:textId="77777777" w:rsidR="003858AE" w:rsidRPr="00F6387C" w:rsidRDefault="003858AE" w:rsidP="00F33D5E">
            <w:pPr>
              <w:pStyle w:val="TableText0"/>
              <w:keepLines/>
              <w:jc w:val="center"/>
            </w:pPr>
            <w:r w:rsidRPr="00F6387C">
              <w:t>Cladribine (n=633)</w:t>
            </w:r>
          </w:p>
        </w:tc>
        <w:tc>
          <w:tcPr>
            <w:tcW w:w="1285" w:type="dxa"/>
            <w:shd w:val="clear" w:color="auto" w:fill="auto"/>
            <w:vAlign w:val="center"/>
          </w:tcPr>
          <w:p w14:paraId="11F7F339" w14:textId="77777777" w:rsidR="003858AE" w:rsidRPr="00F6387C" w:rsidRDefault="003858AE" w:rsidP="00F33D5E">
            <w:pPr>
              <w:pStyle w:val="TableText0"/>
              <w:keepLines/>
              <w:jc w:val="center"/>
            </w:pPr>
            <w:r w:rsidRPr="00F6387C">
              <w:t>49</w:t>
            </w:r>
          </w:p>
        </w:tc>
        <w:tc>
          <w:tcPr>
            <w:tcW w:w="1692" w:type="dxa"/>
            <w:shd w:val="clear" w:color="auto" w:fill="auto"/>
            <w:vAlign w:val="center"/>
          </w:tcPr>
          <w:p w14:paraId="703A82EF" w14:textId="77777777" w:rsidR="003858AE" w:rsidRPr="00F6387C" w:rsidRDefault="003858AE" w:rsidP="00F33D5E">
            <w:pPr>
              <w:pStyle w:val="TableText0"/>
              <w:keepLines/>
              <w:jc w:val="center"/>
            </w:pPr>
            <w:r w:rsidRPr="00F6387C">
              <w:t>613.07</w:t>
            </w:r>
          </w:p>
        </w:tc>
        <w:tc>
          <w:tcPr>
            <w:tcW w:w="1842" w:type="dxa"/>
            <w:shd w:val="clear" w:color="auto" w:fill="auto"/>
            <w:vAlign w:val="center"/>
          </w:tcPr>
          <w:p w14:paraId="0FBDF1A1" w14:textId="77777777" w:rsidR="003858AE" w:rsidRPr="00F6387C" w:rsidRDefault="003858AE" w:rsidP="00F33D5E">
            <w:pPr>
              <w:pStyle w:val="TableText0"/>
              <w:keepLines/>
              <w:jc w:val="center"/>
            </w:pPr>
            <w:r w:rsidRPr="00F6387C">
              <w:t>0.0799</w:t>
            </w:r>
          </w:p>
          <w:p w14:paraId="04EB690F" w14:textId="77777777" w:rsidR="003858AE" w:rsidRPr="00F6387C" w:rsidRDefault="003858AE" w:rsidP="00F33D5E">
            <w:pPr>
              <w:pStyle w:val="TableText0"/>
              <w:keepLines/>
              <w:jc w:val="center"/>
            </w:pPr>
            <w:r w:rsidRPr="00F6387C">
              <w:t>(0.0591, 0.1057)</w:t>
            </w:r>
          </w:p>
        </w:tc>
        <w:tc>
          <w:tcPr>
            <w:tcW w:w="1042" w:type="dxa"/>
            <w:vMerge w:val="restart"/>
            <w:shd w:val="clear" w:color="auto" w:fill="auto"/>
            <w:vAlign w:val="center"/>
          </w:tcPr>
          <w:p w14:paraId="562A276F" w14:textId="77777777" w:rsidR="003858AE" w:rsidRPr="00F6387C" w:rsidRDefault="003858AE" w:rsidP="00F33D5E">
            <w:pPr>
              <w:pStyle w:val="TableText0"/>
              <w:keepLines/>
              <w:jc w:val="center"/>
            </w:pPr>
            <w:r w:rsidRPr="00F6387C">
              <w:t>0.0002</w:t>
            </w:r>
          </w:p>
        </w:tc>
      </w:tr>
      <w:tr w:rsidR="003858AE" w:rsidRPr="00F6387C" w14:paraId="7ED66202" w14:textId="77777777" w:rsidTr="00540CC4">
        <w:tc>
          <w:tcPr>
            <w:tcW w:w="1271" w:type="dxa"/>
            <w:vMerge/>
            <w:shd w:val="clear" w:color="auto" w:fill="auto"/>
            <w:vAlign w:val="center"/>
          </w:tcPr>
          <w:p w14:paraId="364DEE53" w14:textId="77777777" w:rsidR="003858AE" w:rsidRPr="00F6387C" w:rsidRDefault="003858AE" w:rsidP="00F33D5E">
            <w:pPr>
              <w:pStyle w:val="TableText0"/>
              <w:keepLines/>
            </w:pPr>
          </w:p>
        </w:tc>
        <w:tc>
          <w:tcPr>
            <w:tcW w:w="1843" w:type="dxa"/>
            <w:shd w:val="clear" w:color="auto" w:fill="auto"/>
            <w:vAlign w:val="center"/>
          </w:tcPr>
          <w:p w14:paraId="66BCB533" w14:textId="77777777" w:rsidR="003858AE" w:rsidRPr="00F6387C" w:rsidRDefault="003858AE" w:rsidP="00F33D5E">
            <w:pPr>
              <w:pStyle w:val="TableText0"/>
              <w:keepLines/>
              <w:jc w:val="center"/>
            </w:pPr>
            <w:r w:rsidRPr="00F6387C">
              <w:t>Fingolimod (n=1195)</w:t>
            </w:r>
          </w:p>
        </w:tc>
        <w:tc>
          <w:tcPr>
            <w:tcW w:w="1285" w:type="dxa"/>
            <w:shd w:val="clear" w:color="auto" w:fill="auto"/>
            <w:vAlign w:val="center"/>
          </w:tcPr>
          <w:p w14:paraId="70805791" w14:textId="77777777" w:rsidR="003858AE" w:rsidRPr="00F6387C" w:rsidRDefault="003858AE" w:rsidP="00F33D5E">
            <w:pPr>
              <w:pStyle w:val="TableText0"/>
              <w:keepLines/>
              <w:jc w:val="center"/>
            </w:pPr>
            <w:r w:rsidRPr="00F6387C">
              <w:t>201</w:t>
            </w:r>
          </w:p>
        </w:tc>
        <w:tc>
          <w:tcPr>
            <w:tcW w:w="1692" w:type="dxa"/>
            <w:shd w:val="clear" w:color="auto" w:fill="auto"/>
            <w:vAlign w:val="center"/>
          </w:tcPr>
          <w:p w14:paraId="06AC410D" w14:textId="77777777" w:rsidR="003858AE" w:rsidRPr="00F6387C" w:rsidRDefault="003858AE" w:rsidP="00F33D5E">
            <w:pPr>
              <w:pStyle w:val="TableText0"/>
              <w:keepLines/>
              <w:jc w:val="center"/>
            </w:pPr>
            <w:r w:rsidRPr="00F6387C">
              <w:t>1411.38</w:t>
            </w:r>
          </w:p>
        </w:tc>
        <w:tc>
          <w:tcPr>
            <w:tcW w:w="1842" w:type="dxa"/>
            <w:shd w:val="clear" w:color="auto" w:fill="auto"/>
            <w:vAlign w:val="center"/>
          </w:tcPr>
          <w:p w14:paraId="19484E71" w14:textId="77777777" w:rsidR="003858AE" w:rsidRPr="00F6387C" w:rsidRDefault="003858AE" w:rsidP="00F33D5E">
            <w:pPr>
              <w:pStyle w:val="TableText0"/>
              <w:keepLines/>
              <w:jc w:val="center"/>
            </w:pPr>
            <w:r w:rsidRPr="00F6387C">
              <w:t>0.1424</w:t>
            </w:r>
          </w:p>
          <w:p w14:paraId="05F5F9CE" w14:textId="77777777" w:rsidR="003858AE" w:rsidRPr="00F6387C" w:rsidRDefault="003858AE" w:rsidP="00F33D5E">
            <w:pPr>
              <w:pStyle w:val="TableText0"/>
              <w:keepLines/>
              <w:jc w:val="center"/>
            </w:pPr>
            <w:r w:rsidRPr="00F6387C">
              <w:t>(0.1234, 0.1635)</w:t>
            </w:r>
          </w:p>
        </w:tc>
        <w:tc>
          <w:tcPr>
            <w:tcW w:w="1042" w:type="dxa"/>
            <w:vMerge/>
            <w:shd w:val="clear" w:color="auto" w:fill="auto"/>
            <w:vAlign w:val="center"/>
          </w:tcPr>
          <w:p w14:paraId="487D0284" w14:textId="77777777" w:rsidR="003858AE" w:rsidRPr="00F6387C" w:rsidRDefault="003858AE" w:rsidP="00F33D5E">
            <w:pPr>
              <w:pStyle w:val="TableText0"/>
              <w:keepLines/>
            </w:pPr>
          </w:p>
        </w:tc>
      </w:tr>
      <w:tr w:rsidR="0014324A" w:rsidRPr="00F6387C" w14:paraId="1EAD5EFC" w14:textId="77777777" w:rsidTr="00D727E2">
        <w:tc>
          <w:tcPr>
            <w:tcW w:w="8975" w:type="dxa"/>
            <w:gridSpan w:val="6"/>
            <w:shd w:val="clear" w:color="auto" w:fill="auto"/>
            <w:vAlign w:val="center"/>
          </w:tcPr>
          <w:p w14:paraId="756AD655" w14:textId="4ECCC99C" w:rsidR="0014324A" w:rsidRPr="00F6387C" w:rsidRDefault="0014324A" w:rsidP="00F33D5E">
            <w:pPr>
              <w:pStyle w:val="TableText0"/>
              <w:keepLines/>
              <w:rPr>
                <w:b/>
                <w:bCs w:val="0"/>
                <w:i/>
                <w:iCs/>
              </w:rPr>
            </w:pPr>
            <w:r w:rsidRPr="00F6387C">
              <w:rPr>
                <w:b/>
                <w:bCs w:val="0"/>
                <w:iCs/>
              </w:rPr>
              <w:t>July 2023</w:t>
            </w:r>
            <w:r w:rsidRPr="00F6387C">
              <w:rPr>
                <w:b/>
                <w:bCs w:val="0"/>
              </w:rPr>
              <w:t xml:space="preserve"> </w:t>
            </w:r>
            <w:r w:rsidRPr="00F6387C">
              <w:rPr>
                <w:b/>
                <w:bCs w:val="0"/>
                <w:iCs/>
              </w:rPr>
              <w:t>data cut (presented in the PSCR</w:t>
            </w:r>
            <w:r w:rsidR="00F563B8" w:rsidRPr="00F6387C">
              <w:rPr>
                <w:b/>
                <w:bCs w:val="0"/>
                <w:iCs/>
              </w:rPr>
              <w:t>, not independently evaluated</w:t>
            </w:r>
            <w:r w:rsidRPr="00F6387C">
              <w:rPr>
                <w:b/>
                <w:bCs w:val="0"/>
                <w:iCs/>
              </w:rPr>
              <w:t>)</w:t>
            </w:r>
            <w:r w:rsidR="00F33D5E">
              <w:rPr>
                <w:b/>
                <w:bCs w:val="0"/>
                <w:iCs/>
              </w:rPr>
              <w:t>*</w:t>
            </w:r>
          </w:p>
        </w:tc>
      </w:tr>
      <w:tr w:rsidR="00F563B8" w:rsidRPr="00F6387C" w14:paraId="6C4E7A4E" w14:textId="77777777" w:rsidTr="00540CC4">
        <w:tc>
          <w:tcPr>
            <w:tcW w:w="1271" w:type="dxa"/>
            <w:vMerge w:val="restart"/>
            <w:shd w:val="clear" w:color="auto" w:fill="auto"/>
            <w:vAlign w:val="center"/>
          </w:tcPr>
          <w:p w14:paraId="1CE31E15" w14:textId="19504A7F" w:rsidR="00F563B8" w:rsidRPr="00F6387C" w:rsidRDefault="00F563B8" w:rsidP="00F33D5E">
            <w:pPr>
              <w:pStyle w:val="TableText0"/>
              <w:keepLines/>
              <w:rPr>
                <w:iCs/>
              </w:rPr>
            </w:pPr>
            <w:r w:rsidRPr="00F6387C">
              <w:rPr>
                <w:iCs/>
              </w:rPr>
              <w:t>Matched</w:t>
            </w:r>
          </w:p>
        </w:tc>
        <w:tc>
          <w:tcPr>
            <w:tcW w:w="1843" w:type="dxa"/>
            <w:shd w:val="clear" w:color="auto" w:fill="auto"/>
            <w:vAlign w:val="center"/>
          </w:tcPr>
          <w:p w14:paraId="5005C9F8" w14:textId="669B1CC3" w:rsidR="00F563B8" w:rsidRPr="00F6387C" w:rsidRDefault="00F563B8" w:rsidP="00F33D5E">
            <w:pPr>
              <w:pStyle w:val="TableText0"/>
              <w:keepLines/>
              <w:jc w:val="center"/>
              <w:rPr>
                <w:iCs/>
              </w:rPr>
            </w:pPr>
            <w:r w:rsidRPr="00F6387C">
              <w:rPr>
                <w:iCs/>
              </w:rPr>
              <w:t>Cladribine (n=1,163)</w:t>
            </w:r>
          </w:p>
        </w:tc>
        <w:tc>
          <w:tcPr>
            <w:tcW w:w="1285" w:type="dxa"/>
            <w:shd w:val="clear" w:color="auto" w:fill="auto"/>
            <w:vAlign w:val="center"/>
          </w:tcPr>
          <w:p w14:paraId="09220DBB" w14:textId="0A161E5F" w:rsidR="00F563B8" w:rsidRPr="00F6387C" w:rsidRDefault="00F563B8" w:rsidP="00F33D5E">
            <w:pPr>
              <w:pStyle w:val="TableText0"/>
              <w:keepLines/>
              <w:jc w:val="center"/>
              <w:rPr>
                <w:iCs/>
              </w:rPr>
            </w:pPr>
            <w:r w:rsidRPr="00F6387C">
              <w:rPr>
                <w:iCs/>
              </w:rPr>
              <w:t>218</w:t>
            </w:r>
          </w:p>
        </w:tc>
        <w:tc>
          <w:tcPr>
            <w:tcW w:w="1692" w:type="dxa"/>
            <w:shd w:val="clear" w:color="auto" w:fill="auto"/>
            <w:vAlign w:val="center"/>
          </w:tcPr>
          <w:p w14:paraId="7A758237" w14:textId="2AD0856B" w:rsidR="00F563B8" w:rsidRPr="00F6387C" w:rsidRDefault="00F563B8" w:rsidP="00F33D5E">
            <w:pPr>
              <w:pStyle w:val="TableText0"/>
              <w:keepLines/>
              <w:jc w:val="center"/>
              <w:rPr>
                <w:iCs/>
              </w:rPr>
            </w:pPr>
            <w:r w:rsidRPr="00F6387C">
              <w:rPr>
                <w:iCs/>
              </w:rPr>
              <w:t>2163.93</w:t>
            </w:r>
          </w:p>
        </w:tc>
        <w:tc>
          <w:tcPr>
            <w:tcW w:w="1842" w:type="dxa"/>
            <w:shd w:val="clear" w:color="auto" w:fill="auto"/>
            <w:vAlign w:val="center"/>
          </w:tcPr>
          <w:p w14:paraId="15D484E8" w14:textId="77777777" w:rsidR="00F563B8" w:rsidRPr="00F6387C" w:rsidRDefault="00F563B8" w:rsidP="00F33D5E">
            <w:pPr>
              <w:pStyle w:val="TableText0"/>
              <w:keepLines/>
              <w:jc w:val="center"/>
              <w:rPr>
                <w:iCs/>
              </w:rPr>
            </w:pPr>
            <w:r w:rsidRPr="00F6387C">
              <w:rPr>
                <w:iCs/>
              </w:rPr>
              <w:t xml:space="preserve">0.1007 </w:t>
            </w:r>
          </w:p>
          <w:p w14:paraId="09117C88" w14:textId="14FB78B9" w:rsidR="00F563B8" w:rsidRPr="00F6387C" w:rsidRDefault="00F563B8" w:rsidP="00F33D5E">
            <w:pPr>
              <w:pStyle w:val="TableText0"/>
              <w:keepLines/>
              <w:jc w:val="center"/>
              <w:rPr>
                <w:iCs/>
              </w:rPr>
            </w:pPr>
            <w:r w:rsidRPr="00F6387C">
              <w:rPr>
                <w:iCs/>
              </w:rPr>
              <w:t>(0.0878, 0.1150)</w:t>
            </w:r>
          </w:p>
        </w:tc>
        <w:tc>
          <w:tcPr>
            <w:tcW w:w="1042" w:type="dxa"/>
            <w:vMerge w:val="restart"/>
            <w:shd w:val="clear" w:color="auto" w:fill="auto"/>
            <w:vAlign w:val="center"/>
          </w:tcPr>
          <w:p w14:paraId="7EE32D51" w14:textId="4A76558B" w:rsidR="00F563B8" w:rsidRPr="00F6387C" w:rsidRDefault="00F563B8" w:rsidP="00F33D5E">
            <w:pPr>
              <w:pStyle w:val="TableText0"/>
              <w:keepLines/>
              <w:jc w:val="center"/>
              <w:rPr>
                <w:iCs/>
              </w:rPr>
            </w:pPr>
            <w:r w:rsidRPr="00F6387C">
              <w:rPr>
                <w:iCs/>
              </w:rPr>
              <w:t>0.9562</w:t>
            </w:r>
          </w:p>
        </w:tc>
      </w:tr>
      <w:tr w:rsidR="00F563B8" w:rsidRPr="00F6387C" w14:paraId="5CA8AA31" w14:textId="77777777" w:rsidTr="00540CC4">
        <w:tc>
          <w:tcPr>
            <w:tcW w:w="1271" w:type="dxa"/>
            <w:vMerge/>
            <w:shd w:val="clear" w:color="auto" w:fill="auto"/>
            <w:vAlign w:val="center"/>
          </w:tcPr>
          <w:p w14:paraId="56BBD7DC" w14:textId="77777777" w:rsidR="00F563B8" w:rsidRPr="00F6387C" w:rsidRDefault="00F563B8" w:rsidP="00F33D5E">
            <w:pPr>
              <w:pStyle w:val="TableText0"/>
              <w:keepLines/>
              <w:rPr>
                <w:iCs/>
              </w:rPr>
            </w:pPr>
          </w:p>
        </w:tc>
        <w:tc>
          <w:tcPr>
            <w:tcW w:w="1843" w:type="dxa"/>
            <w:shd w:val="clear" w:color="auto" w:fill="auto"/>
            <w:vAlign w:val="center"/>
          </w:tcPr>
          <w:p w14:paraId="7F54FD04" w14:textId="3F8FDED4" w:rsidR="00F563B8" w:rsidRPr="00F6387C" w:rsidRDefault="00F563B8" w:rsidP="00F33D5E">
            <w:pPr>
              <w:pStyle w:val="TableText0"/>
              <w:keepLines/>
              <w:jc w:val="center"/>
              <w:rPr>
                <w:iCs/>
              </w:rPr>
            </w:pPr>
            <w:r w:rsidRPr="00F6387C">
              <w:rPr>
                <w:iCs/>
              </w:rPr>
              <w:t>Fingolimod (n=1,163)</w:t>
            </w:r>
          </w:p>
        </w:tc>
        <w:tc>
          <w:tcPr>
            <w:tcW w:w="1285" w:type="dxa"/>
            <w:shd w:val="clear" w:color="auto" w:fill="auto"/>
            <w:vAlign w:val="center"/>
          </w:tcPr>
          <w:p w14:paraId="7A7B8A72" w14:textId="5D4D1EE7" w:rsidR="00F563B8" w:rsidRPr="00F6387C" w:rsidRDefault="00F563B8" w:rsidP="00F33D5E">
            <w:pPr>
              <w:pStyle w:val="TableText0"/>
              <w:keepLines/>
              <w:jc w:val="center"/>
              <w:rPr>
                <w:iCs/>
              </w:rPr>
            </w:pPr>
            <w:r w:rsidRPr="00F6387C">
              <w:rPr>
                <w:iCs/>
              </w:rPr>
              <w:t>226</w:t>
            </w:r>
          </w:p>
        </w:tc>
        <w:tc>
          <w:tcPr>
            <w:tcW w:w="1692" w:type="dxa"/>
            <w:shd w:val="clear" w:color="auto" w:fill="auto"/>
            <w:vAlign w:val="center"/>
          </w:tcPr>
          <w:p w14:paraId="707B2B53" w14:textId="5F852707" w:rsidR="00F563B8" w:rsidRPr="00F6387C" w:rsidRDefault="00F563B8" w:rsidP="00F33D5E">
            <w:pPr>
              <w:pStyle w:val="TableText0"/>
              <w:keepLines/>
              <w:jc w:val="center"/>
              <w:rPr>
                <w:iCs/>
              </w:rPr>
            </w:pPr>
            <w:r w:rsidRPr="00F6387C">
              <w:rPr>
                <w:iCs/>
              </w:rPr>
              <w:t>2255.07</w:t>
            </w:r>
          </w:p>
        </w:tc>
        <w:tc>
          <w:tcPr>
            <w:tcW w:w="1842" w:type="dxa"/>
            <w:shd w:val="clear" w:color="auto" w:fill="auto"/>
            <w:vAlign w:val="center"/>
          </w:tcPr>
          <w:p w14:paraId="0BC9E51E" w14:textId="77777777" w:rsidR="00F563B8" w:rsidRPr="00F6387C" w:rsidRDefault="00F563B8" w:rsidP="00F33D5E">
            <w:pPr>
              <w:pStyle w:val="TableText0"/>
              <w:keepLines/>
              <w:jc w:val="center"/>
              <w:rPr>
                <w:iCs/>
              </w:rPr>
            </w:pPr>
            <w:r w:rsidRPr="00F6387C">
              <w:rPr>
                <w:iCs/>
              </w:rPr>
              <w:t xml:space="preserve">0.1002 </w:t>
            </w:r>
          </w:p>
          <w:p w14:paraId="403A0F5B" w14:textId="5B675C2E" w:rsidR="00F563B8" w:rsidRPr="00F6387C" w:rsidRDefault="00F563B8" w:rsidP="00F33D5E">
            <w:pPr>
              <w:pStyle w:val="TableText0"/>
              <w:keepLines/>
              <w:jc w:val="center"/>
              <w:rPr>
                <w:iCs/>
              </w:rPr>
            </w:pPr>
            <w:r w:rsidRPr="00F6387C">
              <w:rPr>
                <w:iCs/>
              </w:rPr>
              <w:t>(0.0876, 0.1142)</w:t>
            </w:r>
          </w:p>
        </w:tc>
        <w:tc>
          <w:tcPr>
            <w:tcW w:w="1042" w:type="dxa"/>
            <w:vMerge/>
            <w:shd w:val="clear" w:color="auto" w:fill="auto"/>
            <w:vAlign w:val="center"/>
          </w:tcPr>
          <w:p w14:paraId="0E6BE7CF" w14:textId="77777777" w:rsidR="00F563B8" w:rsidRPr="00F6387C" w:rsidRDefault="00F563B8" w:rsidP="00F33D5E">
            <w:pPr>
              <w:pStyle w:val="TableText0"/>
              <w:keepLines/>
              <w:rPr>
                <w:iCs/>
              </w:rPr>
            </w:pPr>
          </w:p>
        </w:tc>
      </w:tr>
    </w:tbl>
    <w:p w14:paraId="017AE1B0" w14:textId="77777777" w:rsidR="003858AE" w:rsidRPr="00F6387C" w:rsidRDefault="003858AE" w:rsidP="00F33D5E">
      <w:pPr>
        <w:pStyle w:val="TableFooter"/>
        <w:keepNext/>
        <w:keepLines/>
      </w:pPr>
      <w:bookmarkStart w:id="34" w:name="_Hlk142682818"/>
      <w:r w:rsidRPr="00F6387C">
        <w:t>ARR = annualised relapse rate; CI = confidence interval; DMT = disease modifying therapy</w:t>
      </w:r>
    </w:p>
    <w:p w14:paraId="6230D342" w14:textId="77777777" w:rsidR="003858AE" w:rsidRPr="00F6387C" w:rsidRDefault="003858AE" w:rsidP="00F33D5E">
      <w:pPr>
        <w:pStyle w:val="TableFooter"/>
        <w:keepNext/>
        <w:keepLines/>
      </w:pPr>
      <w:r w:rsidRPr="00F6387C">
        <w:t>Italicised figures extracted during the evaluation.</w:t>
      </w:r>
    </w:p>
    <w:p w14:paraId="06257F45" w14:textId="1F148120" w:rsidR="003858AE" w:rsidRPr="00F6387C" w:rsidRDefault="003858AE" w:rsidP="00F33D5E">
      <w:pPr>
        <w:pStyle w:val="TableFooter"/>
        <w:keepNext/>
        <w:keepLines/>
      </w:pPr>
      <w:r w:rsidRPr="00F6387C">
        <w:t xml:space="preserve">Source: Table 11, p39 of the resubmission and GLIMPSE MSBASE_AUGUST 2022 UPDATE_v5_6feb23 </w:t>
      </w:r>
      <w:bookmarkEnd w:id="34"/>
      <w:r w:rsidR="0014324A" w:rsidRPr="00F6387C">
        <w:t>&amp; PSCR Table 1. Only data for the matched cohort provided for the July 2023 data cut.</w:t>
      </w:r>
    </w:p>
    <w:p w14:paraId="67903568" w14:textId="7125890C" w:rsidR="003858AE" w:rsidRPr="00F33D5E" w:rsidRDefault="00F33D5E" w:rsidP="00F33D5E">
      <w:pPr>
        <w:keepLines/>
        <w:spacing w:after="120"/>
        <w:rPr>
          <w:rFonts w:ascii="Arial Narrow" w:hAnsi="Arial Narrow"/>
          <w:sz w:val="18"/>
        </w:rPr>
      </w:pPr>
      <w:r w:rsidRPr="00F33D5E">
        <w:rPr>
          <w:rFonts w:ascii="Arial Narrow" w:hAnsi="Arial Narrow"/>
          <w:sz w:val="18"/>
        </w:rPr>
        <w:t xml:space="preserve">* </w:t>
      </w:r>
      <w:r w:rsidRPr="00F33D5E">
        <w:rPr>
          <w:rFonts w:ascii="Arial Narrow" w:hAnsi="Arial Narrow"/>
          <w:i/>
          <w:iCs/>
          <w:sz w:val="18"/>
        </w:rPr>
        <w:t>Note that the results of the July 2023 data cut presented in Table 5 are derived from an analysis conducted by the GLIMPSE study investigator during preparation of the Pre-Subcommittee Response specifically for the purposes of informing the ESC and PBAC considerations. The analysis has not been independently evaluated and peer-reviewed for publication. Interpretation of the results and their application should therefore be limited to seeking to understand the basis for the PBAC outcome and should not be used for any other purpose.</w:t>
      </w:r>
    </w:p>
    <w:p w14:paraId="12BE5137" w14:textId="53A0EC74" w:rsidR="000E7DCD" w:rsidRPr="00F6387C" w:rsidRDefault="000E7DCD" w:rsidP="000E7DCD">
      <w:pPr>
        <w:pStyle w:val="3-BodyText"/>
      </w:pPr>
      <w:r w:rsidRPr="00F6387C">
        <w:t xml:space="preserve">While patients in GLIMPSE could have been followed for up to three years at the August 2021 data cut, Spelman 2022 reported that the median follow-up time for GLIMPSE was 1.14 years (interquartile range (IQR): 0.49–1.92) for the cladribine cohort and 1.28 years (IQR: 0.57–2.01) for the fingolimod cohort. Median on-treatment follow-up in the matched cohort (following propensity score matching) was 0.91 years (IQR: 0.11-1.50) for cladribine and 1.07 years (IQR: 0.42-1.77) for fingolimod. Therefore, while patients could potentially have been enrolled in GLIMPSE for up to three years at this data cut, the follow-up duration for most patients was substantially </w:t>
      </w:r>
      <w:r w:rsidR="006E7112" w:rsidRPr="00F6387C">
        <w:t>shorter</w:t>
      </w:r>
      <w:r w:rsidR="00640B3F" w:rsidRPr="00F6387C">
        <w:t xml:space="preserve">. </w:t>
      </w:r>
      <w:r w:rsidR="006E7112" w:rsidRPr="00F6387C">
        <w:t>Consequently</w:t>
      </w:r>
      <w:r w:rsidR="00640B3F" w:rsidRPr="00F6387C">
        <w:t>,</w:t>
      </w:r>
      <w:r w:rsidR="00E96712" w:rsidRPr="00F6387C">
        <w:t xml:space="preserve"> the evaluation considered</w:t>
      </w:r>
      <w:r w:rsidR="00640B3F" w:rsidRPr="00F6387C">
        <w:t xml:space="preserve"> </w:t>
      </w:r>
      <w:r w:rsidR="006E7112" w:rsidRPr="00F6387C">
        <w:t xml:space="preserve">GLIMPSE provided limited data to substantiate the resubmission’s </w:t>
      </w:r>
      <w:r w:rsidR="00E5759A" w:rsidRPr="00F6387C">
        <w:t xml:space="preserve">clinical </w:t>
      </w:r>
      <w:r w:rsidR="006E7112" w:rsidRPr="00F6387C">
        <w:t>claim that cladribine is non-inferior to fingolimod in terms of both efficacy and safety over four years</w:t>
      </w:r>
      <w:r w:rsidRPr="00F6387C">
        <w:t>. (These figures were not available for the subsequent July 2022 data cut</w:t>
      </w:r>
      <w:r w:rsidR="008C7206" w:rsidRPr="00F6387C">
        <w:t xml:space="preserve"> where patients were followed for up to four years</w:t>
      </w:r>
      <w:r w:rsidRPr="00F6387C">
        <w:t>.)</w:t>
      </w:r>
    </w:p>
    <w:p w14:paraId="6532F373" w14:textId="70A51253" w:rsidR="00CB1DB6" w:rsidRPr="00F6387C" w:rsidRDefault="00CB1DB6" w:rsidP="000E7DCD">
      <w:pPr>
        <w:pStyle w:val="3-BodyText"/>
      </w:pPr>
      <w:r w:rsidRPr="00F6387C">
        <w:rPr>
          <w:iCs/>
        </w:rPr>
        <w:t>The PSCR</w:t>
      </w:r>
      <w:r w:rsidR="00341D88" w:rsidRPr="00F6387C">
        <w:rPr>
          <w:iCs/>
        </w:rPr>
        <w:t xml:space="preserve"> </w:t>
      </w:r>
      <w:r w:rsidRPr="00F6387C">
        <w:rPr>
          <w:iCs/>
        </w:rPr>
        <w:t>provided data based on an analysis of</w:t>
      </w:r>
      <w:r w:rsidR="00E96712" w:rsidRPr="00F6387C">
        <w:rPr>
          <w:iCs/>
        </w:rPr>
        <w:t xml:space="preserve"> the</w:t>
      </w:r>
      <w:r w:rsidRPr="00F6387C">
        <w:rPr>
          <w:iCs/>
        </w:rPr>
        <w:t xml:space="preserve"> GLIMPSE data</w:t>
      </w:r>
      <w:r w:rsidR="00D26543" w:rsidRPr="00F6387C">
        <w:rPr>
          <w:iCs/>
        </w:rPr>
        <w:t xml:space="preserve"> </w:t>
      </w:r>
      <w:r w:rsidRPr="00F6387C">
        <w:rPr>
          <w:iCs/>
        </w:rPr>
        <w:t>at July 2023, stating that the data was consistent with that reported in the resubmission, and indicative of no significant differences in annualised relapse rate, which was consistent with the July 2022 data.</w:t>
      </w:r>
      <w:r w:rsidR="00341D88" w:rsidRPr="00F6387C">
        <w:t xml:space="preserve"> </w:t>
      </w:r>
      <w:r w:rsidR="00341D88" w:rsidRPr="00F6387C">
        <w:rPr>
          <w:iCs/>
        </w:rPr>
        <w:t>The Response also noted updated analyses on time to first relapse,</w:t>
      </w:r>
      <w:r w:rsidR="00260F01" w:rsidRPr="00F6387C">
        <w:rPr>
          <w:iCs/>
        </w:rPr>
        <w:t xml:space="preserve"> time to 6-month confirmed disability progression and time to switch/discontinuation were undertaken.</w:t>
      </w:r>
      <w:r w:rsidR="00341D88" w:rsidRPr="00F6387C">
        <w:rPr>
          <w:iCs/>
        </w:rPr>
        <w:t xml:space="preserve"> </w:t>
      </w:r>
      <w:r w:rsidRPr="00F6387C">
        <w:rPr>
          <w:iCs/>
        </w:rPr>
        <w:t>The ESC noted that the updated data did not include the proportion of patients who were relapse free</w:t>
      </w:r>
      <w:r w:rsidR="00260F01" w:rsidRPr="00F6387C">
        <w:rPr>
          <w:iCs/>
        </w:rPr>
        <w:t>.</w:t>
      </w:r>
      <w:r w:rsidRPr="00F6387C">
        <w:t xml:space="preserve"> </w:t>
      </w:r>
    </w:p>
    <w:p w14:paraId="616516CF" w14:textId="4429B529" w:rsidR="00C40394" w:rsidRPr="00F6387C" w:rsidRDefault="00C40394" w:rsidP="000E7DCD">
      <w:pPr>
        <w:pStyle w:val="3-BodyText"/>
      </w:pPr>
      <w:bookmarkStart w:id="35" w:name="_Ref152573835"/>
      <w:r w:rsidRPr="00F6387C">
        <w:rPr>
          <w:iCs/>
        </w:rPr>
        <w:t>The ESC noted that the ARR decreased with additional follow-up for fingolimod (from 0.14</w:t>
      </w:r>
      <w:r w:rsidR="00C96A3C" w:rsidRPr="00F6387C">
        <w:rPr>
          <w:iCs/>
        </w:rPr>
        <w:t>5</w:t>
      </w:r>
      <w:r w:rsidRPr="00F6387C">
        <w:rPr>
          <w:iCs/>
        </w:rPr>
        <w:t xml:space="preserve">4 to 0.1002, </w:t>
      </w:r>
      <w:r w:rsidR="00C96A3C" w:rsidRPr="00F6387C">
        <w:rPr>
          <w:iCs/>
        </w:rPr>
        <w:t>~</w:t>
      </w:r>
      <w:r w:rsidRPr="00F6387C">
        <w:rPr>
          <w:iCs/>
        </w:rPr>
        <w:t xml:space="preserve">30% reduction, based on the matched analysis) and conversely increased for cladribine (0.0943 to 0.1007, </w:t>
      </w:r>
      <w:r w:rsidR="00C96A3C" w:rsidRPr="00F6387C">
        <w:rPr>
          <w:iCs/>
        </w:rPr>
        <w:t>~</w:t>
      </w:r>
      <w:r w:rsidRPr="00F6387C">
        <w:rPr>
          <w:iCs/>
        </w:rPr>
        <w:t>7% increase)</w:t>
      </w:r>
      <w:r w:rsidR="00AF2A34" w:rsidRPr="00F6387C">
        <w:rPr>
          <w:iCs/>
        </w:rPr>
        <w:t>,</w:t>
      </w:r>
      <w:r w:rsidRPr="00F6387C">
        <w:rPr>
          <w:iCs/>
        </w:rPr>
        <w:t xml:space="preserve"> which may suggest the extent of follow-up and small proportion with at least 4 years of follow-up is an important consideration.</w:t>
      </w:r>
      <w:bookmarkEnd w:id="35"/>
    </w:p>
    <w:p w14:paraId="28593FB8" w14:textId="4D1E105E" w:rsidR="002C2775" w:rsidRPr="00F6387C" w:rsidRDefault="000E7DCD" w:rsidP="000E7DCD">
      <w:pPr>
        <w:pStyle w:val="3-BodyText"/>
      </w:pPr>
      <w:r w:rsidRPr="00F6387C">
        <w:t xml:space="preserve">Results for other outcomes measured in GLIMPSE are presented in </w:t>
      </w:r>
      <w:r w:rsidRPr="00F6387C">
        <w:fldChar w:fldCharType="begin" w:fldLock="1"/>
      </w:r>
      <w:r w:rsidRPr="00F6387C">
        <w:instrText xml:space="preserve"> REF _Ref142816945 \h </w:instrText>
      </w:r>
      <w:r w:rsidRPr="00F6387C">
        <w:fldChar w:fldCharType="separate"/>
      </w:r>
      <w:r w:rsidR="000D404D" w:rsidRPr="00F6387C">
        <w:t>Table 6</w:t>
      </w:r>
      <w:r w:rsidRPr="00F6387C">
        <w:fldChar w:fldCharType="end"/>
      </w:r>
      <w:r w:rsidRPr="00F6387C">
        <w:t xml:space="preserve"> for the matched cladribine and fingolimod cohorts. The cladribine cohort displayed </w:t>
      </w:r>
      <w:r w:rsidR="00E0289E">
        <w:t>longer</w:t>
      </w:r>
      <w:r w:rsidRPr="00F6387C">
        <w:t xml:space="preserve"> time to treatment switch and time to discontinuation.</w:t>
      </w:r>
      <w:r w:rsidR="000E6995" w:rsidRPr="00F6387C">
        <w:t xml:space="preserve"> </w:t>
      </w:r>
    </w:p>
    <w:p w14:paraId="6BA7890F" w14:textId="60AE056C" w:rsidR="000E7DCD" w:rsidRPr="00F6387C" w:rsidRDefault="000E7DCD" w:rsidP="000E7DCD">
      <w:pPr>
        <w:pStyle w:val="Caption"/>
        <w:rPr>
          <w:rStyle w:val="CommentReference"/>
          <w:rFonts w:eastAsiaTheme="majorEastAsia" w:cstheme="majorBidi"/>
          <w:b/>
          <w:szCs w:val="24"/>
        </w:rPr>
      </w:pPr>
      <w:bookmarkStart w:id="36" w:name="_Ref142816945"/>
      <w:r w:rsidRPr="00F6387C">
        <w:t xml:space="preserve">Table </w:t>
      </w:r>
      <w:fldSimple w:instr=" SEQ Table \* ARABIC " w:fldLock="1">
        <w:r w:rsidR="000D404D" w:rsidRPr="00F6387C">
          <w:t>6</w:t>
        </w:r>
      </w:fldSimple>
      <w:bookmarkEnd w:id="36"/>
      <w:r w:rsidRPr="00F6387C">
        <w:t>:</w:t>
      </w:r>
      <w:r w:rsidRPr="00F6387C">
        <w:rPr>
          <w:rStyle w:val="CommentReference"/>
          <w:rFonts w:eastAsiaTheme="majorEastAsia" w:cstheme="majorBidi"/>
          <w:b/>
          <w:szCs w:val="24"/>
        </w:rPr>
        <w:t xml:space="preserve"> Outcomes for the comparison between matched cladribine and fingolimod cohorts </w:t>
      </w:r>
    </w:p>
    <w:tbl>
      <w:tblPr>
        <w:tblStyle w:val="TableGrid"/>
        <w:tblW w:w="0" w:type="auto"/>
        <w:tblLook w:val="04A0" w:firstRow="1" w:lastRow="0" w:firstColumn="1" w:lastColumn="0" w:noHBand="0" w:noVBand="1"/>
        <w:tblCaption w:val="Table 6: Outcomes for the comparison between matched cladribine and fingolimod cohorts "/>
        <w:tblDescription w:val="Table 6: Outcomes for the comparison between matched cladribine and fingolimod cohorts "/>
      </w:tblPr>
      <w:tblGrid>
        <w:gridCol w:w="3240"/>
        <w:gridCol w:w="3067"/>
        <w:gridCol w:w="2709"/>
      </w:tblGrid>
      <w:tr w:rsidR="000E6995" w:rsidRPr="00F6387C" w14:paraId="548A6527" w14:textId="71A402AD" w:rsidTr="000E6995">
        <w:tc>
          <w:tcPr>
            <w:tcW w:w="3240" w:type="dxa"/>
            <w:shd w:val="clear" w:color="auto" w:fill="auto"/>
          </w:tcPr>
          <w:p w14:paraId="1541FEE3" w14:textId="77777777" w:rsidR="000E6995" w:rsidRPr="00F6387C" w:rsidRDefault="000E6995" w:rsidP="00540CC4">
            <w:pPr>
              <w:pStyle w:val="In-tableHeading"/>
              <w:rPr>
                <w:lang w:val="en-AU"/>
              </w:rPr>
            </w:pPr>
            <w:bookmarkStart w:id="37" w:name="_Hlk140748599"/>
            <w:r w:rsidRPr="00F6387C">
              <w:rPr>
                <w:lang w:val="en-AU"/>
              </w:rPr>
              <w:t>Outcome</w:t>
            </w:r>
          </w:p>
        </w:tc>
        <w:tc>
          <w:tcPr>
            <w:tcW w:w="3067" w:type="dxa"/>
            <w:shd w:val="clear" w:color="auto" w:fill="auto"/>
          </w:tcPr>
          <w:p w14:paraId="1FDBF673" w14:textId="77777777" w:rsidR="000E6995" w:rsidRPr="00F6387C" w:rsidRDefault="000E6995" w:rsidP="00540CC4">
            <w:pPr>
              <w:pStyle w:val="In-tableHeading"/>
              <w:jc w:val="center"/>
              <w:rPr>
                <w:lang w:val="en-AU"/>
              </w:rPr>
            </w:pPr>
            <w:r w:rsidRPr="00F6387C">
              <w:rPr>
                <w:lang w:val="en-AU"/>
              </w:rPr>
              <w:t>Unadjusted Hazard Ratio (95% CI), p-value</w:t>
            </w:r>
          </w:p>
        </w:tc>
        <w:tc>
          <w:tcPr>
            <w:tcW w:w="2709" w:type="dxa"/>
          </w:tcPr>
          <w:p w14:paraId="3C07A2C8" w14:textId="45157762" w:rsidR="000E6995" w:rsidRPr="00F6387C" w:rsidRDefault="000E6995" w:rsidP="00540CC4">
            <w:pPr>
              <w:pStyle w:val="In-tableHeading"/>
              <w:jc w:val="center"/>
              <w:rPr>
                <w:lang w:val="en-AU"/>
              </w:rPr>
            </w:pPr>
            <w:r w:rsidRPr="00F6387C">
              <w:rPr>
                <w:lang w:val="en-AU"/>
              </w:rPr>
              <w:t>Number of patients remaining at year 4</w:t>
            </w:r>
          </w:p>
        </w:tc>
      </w:tr>
      <w:tr w:rsidR="000E6995" w:rsidRPr="00F6387C" w14:paraId="1E2B319A" w14:textId="0BFC96EB" w:rsidTr="000E6995">
        <w:tc>
          <w:tcPr>
            <w:tcW w:w="6307" w:type="dxa"/>
            <w:gridSpan w:val="2"/>
            <w:shd w:val="clear" w:color="auto" w:fill="auto"/>
          </w:tcPr>
          <w:p w14:paraId="0280B1A1" w14:textId="77E7B9AC" w:rsidR="000E6995" w:rsidRPr="00F6387C" w:rsidRDefault="000E6995" w:rsidP="007041C5">
            <w:pPr>
              <w:pStyle w:val="TableText0"/>
              <w:keepNext w:val="0"/>
              <w:widowControl w:val="0"/>
              <w:rPr>
                <w:rFonts w:cs="Calibri"/>
                <w:b/>
                <w:bCs w:val="0"/>
              </w:rPr>
            </w:pPr>
            <w:r w:rsidRPr="00F6387C">
              <w:rPr>
                <w:rFonts w:cs="Calibri"/>
                <w:b/>
                <w:bCs w:val="0"/>
              </w:rPr>
              <w:t>July 2022 data cut</w:t>
            </w:r>
          </w:p>
        </w:tc>
        <w:tc>
          <w:tcPr>
            <w:tcW w:w="2709" w:type="dxa"/>
          </w:tcPr>
          <w:p w14:paraId="74367B0D" w14:textId="77777777" w:rsidR="000E6995" w:rsidRPr="00F6387C" w:rsidRDefault="000E6995" w:rsidP="007041C5">
            <w:pPr>
              <w:pStyle w:val="TableText0"/>
              <w:keepNext w:val="0"/>
              <w:widowControl w:val="0"/>
              <w:rPr>
                <w:rFonts w:cs="Calibri"/>
                <w:b/>
                <w:bCs w:val="0"/>
              </w:rPr>
            </w:pPr>
          </w:p>
        </w:tc>
      </w:tr>
      <w:tr w:rsidR="000E6995" w:rsidRPr="00F6387C" w14:paraId="5DE6768D" w14:textId="691B9F13" w:rsidTr="000E6995">
        <w:tc>
          <w:tcPr>
            <w:tcW w:w="3240" w:type="dxa"/>
            <w:shd w:val="clear" w:color="auto" w:fill="auto"/>
          </w:tcPr>
          <w:p w14:paraId="5C577F07" w14:textId="77777777" w:rsidR="000E6995" w:rsidRPr="00F6387C" w:rsidRDefault="000E6995" w:rsidP="00540CC4">
            <w:pPr>
              <w:pStyle w:val="TableText0"/>
              <w:keepNext w:val="0"/>
              <w:widowControl w:val="0"/>
            </w:pPr>
            <w:r w:rsidRPr="00F6387C">
              <w:t>Time to first relapse</w:t>
            </w:r>
          </w:p>
        </w:tc>
        <w:tc>
          <w:tcPr>
            <w:tcW w:w="3067" w:type="dxa"/>
            <w:shd w:val="clear" w:color="auto" w:fill="auto"/>
            <w:vAlign w:val="center"/>
          </w:tcPr>
          <w:p w14:paraId="23B12508" w14:textId="77777777" w:rsidR="000E6995" w:rsidRPr="00F6387C" w:rsidRDefault="000E6995" w:rsidP="00540CC4">
            <w:pPr>
              <w:pStyle w:val="TableText0"/>
              <w:keepNext w:val="0"/>
              <w:widowControl w:val="0"/>
              <w:jc w:val="center"/>
              <w:rPr>
                <w:rFonts w:cs="Calibri"/>
              </w:rPr>
            </w:pPr>
            <w:r w:rsidRPr="00F6387C">
              <w:rPr>
                <w:rFonts w:cs="Calibri"/>
              </w:rPr>
              <w:t>0.74 (0.55, 1.00), 0.051</w:t>
            </w:r>
          </w:p>
        </w:tc>
        <w:tc>
          <w:tcPr>
            <w:tcW w:w="2709" w:type="dxa"/>
          </w:tcPr>
          <w:p w14:paraId="63B297C2" w14:textId="0AA44478" w:rsidR="000E6995" w:rsidRPr="00F6387C" w:rsidRDefault="000E6995" w:rsidP="00540CC4">
            <w:pPr>
              <w:pStyle w:val="TableText0"/>
              <w:keepNext w:val="0"/>
              <w:widowControl w:val="0"/>
              <w:jc w:val="center"/>
              <w:rPr>
                <w:rFonts w:cs="Calibri"/>
                <w:iCs/>
              </w:rPr>
            </w:pPr>
            <w:r w:rsidRPr="00F6387C">
              <w:rPr>
                <w:rFonts w:cs="Calibri"/>
                <w:iCs/>
              </w:rPr>
              <w:t>CLAD = 3, FNG = 15</w:t>
            </w:r>
          </w:p>
        </w:tc>
      </w:tr>
      <w:tr w:rsidR="000E6995" w:rsidRPr="00F6387C" w14:paraId="19B9D4F1" w14:textId="5574D0FB" w:rsidTr="000E6995">
        <w:tc>
          <w:tcPr>
            <w:tcW w:w="3240" w:type="dxa"/>
            <w:shd w:val="clear" w:color="auto" w:fill="auto"/>
          </w:tcPr>
          <w:p w14:paraId="6D5EE679" w14:textId="77777777" w:rsidR="000E6995" w:rsidRPr="00F6387C" w:rsidRDefault="000E6995" w:rsidP="00540CC4">
            <w:pPr>
              <w:pStyle w:val="TableText0"/>
              <w:keepNext w:val="0"/>
              <w:widowControl w:val="0"/>
            </w:pPr>
            <w:r w:rsidRPr="00F6387C">
              <w:t>Time to treatment switch</w:t>
            </w:r>
          </w:p>
        </w:tc>
        <w:tc>
          <w:tcPr>
            <w:tcW w:w="3067" w:type="dxa"/>
            <w:shd w:val="clear" w:color="auto" w:fill="auto"/>
            <w:vAlign w:val="center"/>
          </w:tcPr>
          <w:p w14:paraId="6CBC9555" w14:textId="77777777" w:rsidR="000E6995" w:rsidRPr="00F6387C" w:rsidRDefault="000E6995" w:rsidP="00540CC4">
            <w:pPr>
              <w:pStyle w:val="TableText0"/>
              <w:keepNext w:val="0"/>
              <w:widowControl w:val="0"/>
              <w:jc w:val="center"/>
              <w:rPr>
                <w:rFonts w:cs="Calibri"/>
              </w:rPr>
            </w:pPr>
            <w:r w:rsidRPr="00F6387C">
              <w:rPr>
                <w:rFonts w:cs="Calibri"/>
              </w:rPr>
              <w:t>0.30 (0.19, 0.38), &lt;0.001</w:t>
            </w:r>
          </w:p>
        </w:tc>
        <w:tc>
          <w:tcPr>
            <w:tcW w:w="2709" w:type="dxa"/>
          </w:tcPr>
          <w:p w14:paraId="7D820F69" w14:textId="041F664F" w:rsidR="000E6995" w:rsidRPr="00F6387C" w:rsidRDefault="001F6CD9" w:rsidP="00540CC4">
            <w:pPr>
              <w:pStyle w:val="TableText0"/>
              <w:keepNext w:val="0"/>
              <w:widowControl w:val="0"/>
              <w:jc w:val="center"/>
              <w:rPr>
                <w:rFonts w:cs="Calibri"/>
                <w:iCs/>
              </w:rPr>
            </w:pPr>
            <w:r w:rsidRPr="00F6387C">
              <w:rPr>
                <w:rFonts w:cs="Calibri"/>
                <w:iCs/>
              </w:rPr>
              <w:t>CLAD = 3, FNG = 15</w:t>
            </w:r>
          </w:p>
        </w:tc>
      </w:tr>
      <w:tr w:rsidR="000E6995" w:rsidRPr="00F6387C" w14:paraId="6F862B29" w14:textId="0196345F" w:rsidTr="000E6995">
        <w:tc>
          <w:tcPr>
            <w:tcW w:w="3240" w:type="dxa"/>
            <w:shd w:val="clear" w:color="auto" w:fill="auto"/>
          </w:tcPr>
          <w:p w14:paraId="092AED28" w14:textId="77777777" w:rsidR="000E6995" w:rsidRPr="00F6387C" w:rsidRDefault="000E6995" w:rsidP="00540CC4">
            <w:pPr>
              <w:pStyle w:val="TableText0"/>
              <w:keepNext w:val="0"/>
              <w:widowControl w:val="0"/>
            </w:pPr>
            <w:r w:rsidRPr="00F6387C">
              <w:t>Time to treatment discontinuation</w:t>
            </w:r>
          </w:p>
        </w:tc>
        <w:tc>
          <w:tcPr>
            <w:tcW w:w="3067" w:type="dxa"/>
            <w:shd w:val="clear" w:color="auto" w:fill="auto"/>
            <w:vAlign w:val="center"/>
          </w:tcPr>
          <w:p w14:paraId="4ED8D592" w14:textId="77777777" w:rsidR="000E6995" w:rsidRPr="00F6387C" w:rsidRDefault="000E6995" w:rsidP="00540CC4">
            <w:pPr>
              <w:pStyle w:val="TableText0"/>
              <w:keepNext w:val="0"/>
              <w:widowControl w:val="0"/>
              <w:jc w:val="center"/>
              <w:rPr>
                <w:rFonts w:cs="Calibri"/>
              </w:rPr>
            </w:pPr>
            <w:r w:rsidRPr="00F6387C">
              <w:rPr>
                <w:rFonts w:cs="Calibri"/>
              </w:rPr>
              <w:t>0.19 (0.14, 0.27), &lt;0.001</w:t>
            </w:r>
          </w:p>
        </w:tc>
        <w:tc>
          <w:tcPr>
            <w:tcW w:w="2709" w:type="dxa"/>
          </w:tcPr>
          <w:p w14:paraId="7A63D27C" w14:textId="426DCA79" w:rsidR="000E6995" w:rsidRPr="00F6387C" w:rsidRDefault="001F6CD9" w:rsidP="00540CC4">
            <w:pPr>
              <w:pStyle w:val="TableText0"/>
              <w:keepNext w:val="0"/>
              <w:widowControl w:val="0"/>
              <w:jc w:val="center"/>
              <w:rPr>
                <w:rFonts w:cs="Calibri"/>
                <w:iCs/>
              </w:rPr>
            </w:pPr>
            <w:r w:rsidRPr="00F6387C">
              <w:rPr>
                <w:rFonts w:cs="Calibri"/>
                <w:iCs/>
              </w:rPr>
              <w:t>CLAD = 3, FNG = 15</w:t>
            </w:r>
          </w:p>
        </w:tc>
      </w:tr>
      <w:tr w:rsidR="000E6995" w:rsidRPr="00F6387C" w14:paraId="70DC3819" w14:textId="628EE52B" w:rsidTr="000E6995">
        <w:tc>
          <w:tcPr>
            <w:tcW w:w="3240" w:type="dxa"/>
            <w:shd w:val="clear" w:color="auto" w:fill="auto"/>
          </w:tcPr>
          <w:p w14:paraId="0932BE08" w14:textId="77777777" w:rsidR="000E6995" w:rsidRPr="00F6387C" w:rsidRDefault="000E6995" w:rsidP="00540CC4">
            <w:pPr>
              <w:pStyle w:val="TableText0"/>
              <w:keepNext w:val="0"/>
              <w:widowControl w:val="0"/>
            </w:pPr>
            <w:r w:rsidRPr="00F6387C">
              <w:t>Time to 6-month confirmed disability progression</w:t>
            </w:r>
          </w:p>
        </w:tc>
        <w:tc>
          <w:tcPr>
            <w:tcW w:w="3067" w:type="dxa"/>
            <w:shd w:val="clear" w:color="auto" w:fill="auto"/>
            <w:vAlign w:val="center"/>
          </w:tcPr>
          <w:p w14:paraId="7AB0EF60" w14:textId="77777777" w:rsidR="000E6995" w:rsidRPr="00F6387C" w:rsidRDefault="000E6995" w:rsidP="00540CC4">
            <w:pPr>
              <w:pStyle w:val="TableText0"/>
              <w:keepNext w:val="0"/>
              <w:widowControl w:val="0"/>
              <w:jc w:val="center"/>
              <w:rPr>
                <w:rFonts w:cs="Calibri"/>
              </w:rPr>
            </w:pPr>
            <w:r w:rsidRPr="00F6387C">
              <w:rPr>
                <w:rFonts w:cs="Calibri"/>
              </w:rPr>
              <w:t>1.45 (0.87, 2.39), 0.150</w:t>
            </w:r>
          </w:p>
        </w:tc>
        <w:tc>
          <w:tcPr>
            <w:tcW w:w="2709" w:type="dxa"/>
          </w:tcPr>
          <w:p w14:paraId="1EFA8D3F" w14:textId="7E2ECAE3" w:rsidR="000E6995" w:rsidRPr="00F6387C" w:rsidRDefault="001F6CD9" w:rsidP="00540CC4">
            <w:pPr>
              <w:pStyle w:val="TableText0"/>
              <w:keepNext w:val="0"/>
              <w:widowControl w:val="0"/>
              <w:jc w:val="center"/>
              <w:rPr>
                <w:rFonts w:cs="Calibri"/>
                <w:iCs/>
              </w:rPr>
            </w:pPr>
            <w:r w:rsidRPr="00F6387C">
              <w:rPr>
                <w:rFonts w:cs="Calibri"/>
                <w:iCs/>
              </w:rPr>
              <w:t>CLAD = 4, FNG = 10</w:t>
            </w:r>
          </w:p>
        </w:tc>
      </w:tr>
      <w:tr w:rsidR="000E6995" w:rsidRPr="00F6387C" w14:paraId="4CD2131E" w14:textId="0D096F93" w:rsidTr="000E6995">
        <w:tc>
          <w:tcPr>
            <w:tcW w:w="3240" w:type="dxa"/>
            <w:shd w:val="clear" w:color="auto" w:fill="auto"/>
          </w:tcPr>
          <w:p w14:paraId="4B610B98" w14:textId="77777777" w:rsidR="000E6995" w:rsidRPr="00F6387C" w:rsidRDefault="000E6995" w:rsidP="00540CC4">
            <w:pPr>
              <w:pStyle w:val="TableText0"/>
              <w:keepNext w:val="0"/>
              <w:widowControl w:val="0"/>
            </w:pPr>
            <w:r w:rsidRPr="00F6387C">
              <w:t>Time to 6-month confirmed improvement</w:t>
            </w:r>
          </w:p>
        </w:tc>
        <w:tc>
          <w:tcPr>
            <w:tcW w:w="3067" w:type="dxa"/>
            <w:shd w:val="clear" w:color="auto" w:fill="auto"/>
            <w:vAlign w:val="center"/>
          </w:tcPr>
          <w:p w14:paraId="6506B170" w14:textId="77777777" w:rsidR="000E6995" w:rsidRPr="00F6387C" w:rsidRDefault="000E6995" w:rsidP="00540CC4">
            <w:pPr>
              <w:pStyle w:val="TableText0"/>
              <w:keepNext w:val="0"/>
              <w:widowControl w:val="0"/>
              <w:jc w:val="center"/>
              <w:rPr>
                <w:rFonts w:cs="Calibri"/>
              </w:rPr>
            </w:pPr>
            <w:r w:rsidRPr="00F6387C">
              <w:rPr>
                <w:rFonts w:cs="Calibri"/>
              </w:rPr>
              <w:t>0.85 (0.57, 1.328), 0.440</w:t>
            </w:r>
          </w:p>
        </w:tc>
        <w:tc>
          <w:tcPr>
            <w:tcW w:w="2709" w:type="dxa"/>
          </w:tcPr>
          <w:p w14:paraId="3E0A0B08" w14:textId="278383C4" w:rsidR="000E6995" w:rsidRPr="00F6387C" w:rsidRDefault="001F6CD9" w:rsidP="00540CC4">
            <w:pPr>
              <w:pStyle w:val="TableText0"/>
              <w:keepNext w:val="0"/>
              <w:widowControl w:val="0"/>
              <w:jc w:val="center"/>
              <w:rPr>
                <w:rFonts w:cs="Calibri"/>
                <w:iCs/>
              </w:rPr>
            </w:pPr>
            <w:r w:rsidRPr="00F6387C">
              <w:rPr>
                <w:rFonts w:cs="Calibri"/>
                <w:iCs/>
              </w:rPr>
              <w:t>CLAD = 5, FNG = 12</w:t>
            </w:r>
          </w:p>
        </w:tc>
      </w:tr>
      <w:tr w:rsidR="000E6995" w:rsidRPr="00F6387C" w14:paraId="1E0DCDE5" w14:textId="22560754" w:rsidTr="000E6995">
        <w:tc>
          <w:tcPr>
            <w:tcW w:w="6307" w:type="dxa"/>
            <w:gridSpan w:val="2"/>
            <w:shd w:val="clear" w:color="auto" w:fill="auto"/>
            <w:vAlign w:val="center"/>
          </w:tcPr>
          <w:p w14:paraId="6FE42289" w14:textId="37410792" w:rsidR="000E6995" w:rsidRPr="00F6387C" w:rsidRDefault="000E6995" w:rsidP="007041C5">
            <w:pPr>
              <w:pStyle w:val="TableText0"/>
              <w:keepNext w:val="0"/>
              <w:widowControl w:val="0"/>
              <w:rPr>
                <w:rFonts w:cs="Calibri"/>
                <w:b/>
                <w:bCs w:val="0"/>
                <w:iCs/>
              </w:rPr>
            </w:pPr>
            <w:r w:rsidRPr="00F6387C">
              <w:rPr>
                <w:rFonts w:cs="Calibri"/>
                <w:b/>
                <w:bCs w:val="0"/>
                <w:iCs/>
              </w:rPr>
              <w:t>July 2023 data cut (not independently evaluated)</w:t>
            </w:r>
            <w:r w:rsidR="00F33D5E">
              <w:rPr>
                <w:rFonts w:cs="Calibri"/>
                <w:b/>
                <w:bCs w:val="0"/>
                <w:iCs/>
              </w:rPr>
              <w:t>*</w:t>
            </w:r>
          </w:p>
        </w:tc>
        <w:tc>
          <w:tcPr>
            <w:tcW w:w="2709" w:type="dxa"/>
          </w:tcPr>
          <w:p w14:paraId="5963D7B0" w14:textId="77777777" w:rsidR="000E6995" w:rsidRPr="00F6387C" w:rsidRDefault="000E6995" w:rsidP="007041C5">
            <w:pPr>
              <w:pStyle w:val="TableText0"/>
              <w:keepNext w:val="0"/>
              <w:widowControl w:val="0"/>
              <w:rPr>
                <w:rFonts w:cs="Calibri"/>
                <w:b/>
                <w:bCs w:val="0"/>
                <w:iCs/>
              </w:rPr>
            </w:pPr>
          </w:p>
        </w:tc>
      </w:tr>
      <w:tr w:rsidR="000E6995" w:rsidRPr="00F6387C" w14:paraId="76504DA4" w14:textId="6656614A" w:rsidTr="000E6995">
        <w:tc>
          <w:tcPr>
            <w:tcW w:w="3240" w:type="dxa"/>
            <w:shd w:val="clear" w:color="auto" w:fill="auto"/>
          </w:tcPr>
          <w:p w14:paraId="295F9434" w14:textId="60A8F4ED" w:rsidR="000E6995" w:rsidRPr="006841D2" w:rsidRDefault="000E6995" w:rsidP="00540CC4">
            <w:pPr>
              <w:pStyle w:val="TableText0"/>
              <w:keepNext w:val="0"/>
              <w:widowControl w:val="0"/>
              <w:rPr>
                <w:iCs/>
              </w:rPr>
            </w:pPr>
            <w:r w:rsidRPr="006841D2">
              <w:rPr>
                <w:iCs/>
              </w:rPr>
              <w:t>Time to first relapse</w:t>
            </w:r>
          </w:p>
        </w:tc>
        <w:tc>
          <w:tcPr>
            <w:tcW w:w="3067" w:type="dxa"/>
            <w:shd w:val="clear" w:color="auto" w:fill="auto"/>
            <w:vAlign w:val="center"/>
          </w:tcPr>
          <w:p w14:paraId="52C54E0E" w14:textId="640BE113" w:rsidR="000E6995" w:rsidRPr="006841D2" w:rsidRDefault="000E6995" w:rsidP="00540CC4">
            <w:pPr>
              <w:pStyle w:val="TableText0"/>
              <w:keepNext w:val="0"/>
              <w:widowControl w:val="0"/>
              <w:jc w:val="center"/>
              <w:rPr>
                <w:rFonts w:cs="Calibri"/>
                <w:iCs/>
              </w:rPr>
            </w:pPr>
            <w:r w:rsidRPr="006841D2">
              <w:rPr>
                <w:rFonts w:cs="Calibri"/>
                <w:iCs/>
              </w:rPr>
              <w:t>0.90 (0.72, 1.13), 0.363</w:t>
            </w:r>
          </w:p>
        </w:tc>
        <w:tc>
          <w:tcPr>
            <w:tcW w:w="2709" w:type="dxa"/>
          </w:tcPr>
          <w:p w14:paraId="1ADF325F" w14:textId="108CAD0F" w:rsidR="000E6995" w:rsidRPr="006841D2" w:rsidRDefault="000E6995" w:rsidP="00540CC4">
            <w:pPr>
              <w:pStyle w:val="TableText0"/>
              <w:keepNext w:val="0"/>
              <w:widowControl w:val="0"/>
              <w:jc w:val="center"/>
              <w:rPr>
                <w:rFonts w:cs="Calibri"/>
                <w:iCs/>
              </w:rPr>
            </w:pPr>
            <w:r w:rsidRPr="006841D2">
              <w:rPr>
                <w:rFonts w:cs="Calibri"/>
                <w:iCs/>
              </w:rPr>
              <w:t>CLAD = 61, FNG = 119</w:t>
            </w:r>
          </w:p>
        </w:tc>
      </w:tr>
      <w:tr w:rsidR="000E6995" w:rsidRPr="00F6387C" w14:paraId="43A07A22" w14:textId="7F9C1BDB" w:rsidTr="000E6995">
        <w:tc>
          <w:tcPr>
            <w:tcW w:w="3240" w:type="dxa"/>
            <w:shd w:val="clear" w:color="auto" w:fill="auto"/>
          </w:tcPr>
          <w:p w14:paraId="1F421878" w14:textId="2FA1DF71" w:rsidR="000E6995" w:rsidRPr="006841D2" w:rsidRDefault="000E6995" w:rsidP="000E6995">
            <w:pPr>
              <w:pStyle w:val="TableText0"/>
              <w:keepNext w:val="0"/>
              <w:widowControl w:val="0"/>
              <w:rPr>
                <w:iCs/>
              </w:rPr>
            </w:pPr>
            <w:r w:rsidRPr="006841D2">
              <w:rPr>
                <w:iCs/>
              </w:rPr>
              <w:t>Time to treatment switch</w:t>
            </w:r>
          </w:p>
        </w:tc>
        <w:tc>
          <w:tcPr>
            <w:tcW w:w="3067" w:type="dxa"/>
            <w:shd w:val="clear" w:color="auto" w:fill="auto"/>
            <w:vAlign w:val="center"/>
          </w:tcPr>
          <w:p w14:paraId="45B17348" w14:textId="2DD02A9C" w:rsidR="000E6995" w:rsidRPr="006841D2" w:rsidRDefault="000E6995" w:rsidP="000E6995">
            <w:pPr>
              <w:pStyle w:val="TableText0"/>
              <w:keepNext w:val="0"/>
              <w:widowControl w:val="0"/>
              <w:jc w:val="center"/>
              <w:rPr>
                <w:rFonts w:cs="Calibri"/>
                <w:iCs/>
              </w:rPr>
            </w:pPr>
            <w:r w:rsidRPr="006841D2">
              <w:rPr>
                <w:rFonts w:cs="Calibri"/>
                <w:iCs/>
              </w:rPr>
              <w:t>0.29 (0.23, 0.37</w:t>
            </w:r>
            <w:r w:rsidR="004A75D0" w:rsidRPr="006841D2">
              <w:rPr>
                <w:rFonts w:cs="Calibri"/>
                <w:iCs/>
              </w:rPr>
              <w:t xml:space="preserve">), </w:t>
            </w:r>
            <w:r w:rsidRPr="006841D2">
              <w:rPr>
                <w:rFonts w:cs="Calibri"/>
                <w:iCs/>
              </w:rPr>
              <w:t>&lt;0.001</w:t>
            </w:r>
          </w:p>
        </w:tc>
        <w:tc>
          <w:tcPr>
            <w:tcW w:w="2709" w:type="dxa"/>
          </w:tcPr>
          <w:p w14:paraId="22E5AD5A" w14:textId="79AE03BD" w:rsidR="000E6995" w:rsidRPr="006841D2" w:rsidRDefault="000E6995" w:rsidP="000E6995">
            <w:pPr>
              <w:pStyle w:val="TableText0"/>
              <w:keepNext w:val="0"/>
              <w:widowControl w:val="0"/>
              <w:jc w:val="center"/>
              <w:rPr>
                <w:rFonts w:cs="Calibri"/>
                <w:iCs/>
              </w:rPr>
            </w:pPr>
            <w:r w:rsidRPr="006841D2">
              <w:rPr>
                <w:rFonts w:cs="Calibri"/>
                <w:iCs/>
              </w:rPr>
              <w:t>CLAD = 75, FNG = 133</w:t>
            </w:r>
          </w:p>
        </w:tc>
      </w:tr>
      <w:tr w:rsidR="000E6995" w:rsidRPr="00F6387C" w14:paraId="51F6ABCF" w14:textId="603814DC" w:rsidTr="000E6995">
        <w:tc>
          <w:tcPr>
            <w:tcW w:w="3240" w:type="dxa"/>
            <w:shd w:val="clear" w:color="auto" w:fill="auto"/>
          </w:tcPr>
          <w:p w14:paraId="29A29669" w14:textId="7005CB70" w:rsidR="000E6995" w:rsidRPr="006841D2" w:rsidRDefault="000E6995" w:rsidP="000E6995">
            <w:pPr>
              <w:pStyle w:val="TableText0"/>
              <w:keepNext w:val="0"/>
              <w:widowControl w:val="0"/>
              <w:rPr>
                <w:iCs/>
              </w:rPr>
            </w:pPr>
            <w:r w:rsidRPr="006841D2">
              <w:rPr>
                <w:iCs/>
              </w:rPr>
              <w:t>Time to treatment discontinuation</w:t>
            </w:r>
          </w:p>
        </w:tc>
        <w:tc>
          <w:tcPr>
            <w:tcW w:w="3067" w:type="dxa"/>
            <w:shd w:val="clear" w:color="auto" w:fill="auto"/>
            <w:vAlign w:val="center"/>
          </w:tcPr>
          <w:p w14:paraId="5D70F869" w14:textId="0300E7E9" w:rsidR="000E6995" w:rsidRPr="006841D2" w:rsidRDefault="000E6995" w:rsidP="000E6995">
            <w:pPr>
              <w:pStyle w:val="TableText0"/>
              <w:keepNext w:val="0"/>
              <w:widowControl w:val="0"/>
              <w:jc w:val="center"/>
              <w:rPr>
                <w:rFonts w:cs="Calibri"/>
                <w:iCs/>
              </w:rPr>
            </w:pPr>
            <w:r w:rsidRPr="006841D2">
              <w:rPr>
                <w:rFonts w:cs="Calibri"/>
                <w:iCs/>
              </w:rPr>
              <w:t>0.22 (0.18, 0.28), &lt;0.001</w:t>
            </w:r>
          </w:p>
        </w:tc>
        <w:tc>
          <w:tcPr>
            <w:tcW w:w="2709" w:type="dxa"/>
          </w:tcPr>
          <w:p w14:paraId="62851A7B" w14:textId="764E5C9F" w:rsidR="000E6995" w:rsidRPr="006841D2" w:rsidRDefault="000E6995" w:rsidP="000E6995">
            <w:pPr>
              <w:pStyle w:val="TableText0"/>
              <w:keepNext w:val="0"/>
              <w:widowControl w:val="0"/>
              <w:jc w:val="center"/>
              <w:rPr>
                <w:rFonts w:cs="Calibri"/>
                <w:iCs/>
              </w:rPr>
            </w:pPr>
            <w:r w:rsidRPr="006841D2">
              <w:rPr>
                <w:rFonts w:cs="Calibri"/>
                <w:iCs/>
              </w:rPr>
              <w:t>CLAD = 75, FNG = 130</w:t>
            </w:r>
          </w:p>
        </w:tc>
      </w:tr>
      <w:tr w:rsidR="000E6995" w:rsidRPr="00F6387C" w14:paraId="06785373" w14:textId="2755C35E" w:rsidTr="000E6995">
        <w:tc>
          <w:tcPr>
            <w:tcW w:w="3240" w:type="dxa"/>
            <w:shd w:val="clear" w:color="auto" w:fill="auto"/>
          </w:tcPr>
          <w:p w14:paraId="77937548" w14:textId="295A7C47" w:rsidR="000E6995" w:rsidRPr="006841D2" w:rsidRDefault="000E6995" w:rsidP="000E6995">
            <w:pPr>
              <w:pStyle w:val="TableText0"/>
              <w:keepNext w:val="0"/>
              <w:widowControl w:val="0"/>
              <w:rPr>
                <w:iCs/>
              </w:rPr>
            </w:pPr>
            <w:r w:rsidRPr="006841D2">
              <w:rPr>
                <w:iCs/>
              </w:rPr>
              <w:t>Time to 6-month confirmed disability progression</w:t>
            </w:r>
          </w:p>
        </w:tc>
        <w:tc>
          <w:tcPr>
            <w:tcW w:w="3067" w:type="dxa"/>
            <w:shd w:val="clear" w:color="auto" w:fill="auto"/>
            <w:vAlign w:val="center"/>
          </w:tcPr>
          <w:p w14:paraId="6F074F41" w14:textId="1D8294B6" w:rsidR="000E6995" w:rsidRPr="006841D2" w:rsidRDefault="000E6995" w:rsidP="000E6995">
            <w:pPr>
              <w:pStyle w:val="TableText0"/>
              <w:keepNext w:val="0"/>
              <w:widowControl w:val="0"/>
              <w:jc w:val="center"/>
              <w:rPr>
                <w:rFonts w:cs="Calibri"/>
                <w:iCs/>
              </w:rPr>
            </w:pPr>
            <w:r w:rsidRPr="006841D2">
              <w:rPr>
                <w:rFonts w:cs="Calibri"/>
                <w:iCs/>
              </w:rPr>
              <w:t>1.19 (0.81, 1.77), 0.373</w:t>
            </w:r>
          </w:p>
        </w:tc>
        <w:tc>
          <w:tcPr>
            <w:tcW w:w="2709" w:type="dxa"/>
          </w:tcPr>
          <w:p w14:paraId="2034A918" w14:textId="6FA18F5A" w:rsidR="000E6995" w:rsidRPr="006841D2" w:rsidRDefault="000E6995" w:rsidP="000E6995">
            <w:pPr>
              <w:pStyle w:val="TableText0"/>
              <w:keepNext w:val="0"/>
              <w:widowControl w:val="0"/>
              <w:jc w:val="center"/>
              <w:rPr>
                <w:rFonts w:cs="Calibri"/>
                <w:iCs/>
              </w:rPr>
            </w:pPr>
            <w:r w:rsidRPr="006841D2">
              <w:rPr>
                <w:rFonts w:cs="Calibri"/>
                <w:iCs/>
              </w:rPr>
              <w:t>CLAD = 62, FNG = 111</w:t>
            </w:r>
          </w:p>
        </w:tc>
      </w:tr>
      <w:tr w:rsidR="000E6995" w:rsidRPr="00F6387C" w14:paraId="06408F27" w14:textId="1F47BD2F" w:rsidTr="000E6995">
        <w:tc>
          <w:tcPr>
            <w:tcW w:w="3240" w:type="dxa"/>
            <w:shd w:val="clear" w:color="auto" w:fill="auto"/>
          </w:tcPr>
          <w:p w14:paraId="57FA34E2" w14:textId="0F5E7B8C" w:rsidR="000E6995" w:rsidRPr="006841D2" w:rsidRDefault="000E6995" w:rsidP="000E6995">
            <w:pPr>
              <w:pStyle w:val="TableText0"/>
              <w:keepNext w:val="0"/>
              <w:widowControl w:val="0"/>
              <w:rPr>
                <w:iCs/>
              </w:rPr>
            </w:pPr>
            <w:r w:rsidRPr="006841D2">
              <w:rPr>
                <w:iCs/>
              </w:rPr>
              <w:t>Time to 6-month confirmed improvement</w:t>
            </w:r>
          </w:p>
        </w:tc>
        <w:tc>
          <w:tcPr>
            <w:tcW w:w="3067" w:type="dxa"/>
            <w:shd w:val="clear" w:color="auto" w:fill="auto"/>
            <w:vAlign w:val="center"/>
          </w:tcPr>
          <w:p w14:paraId="34CBB737" w14:textId="0D2B9EB4" w:rsidR="000E6995" w:rsidRPr="006841D2" w:rsidRDefault="000E6995" w:rsidP="000E6995">
            <w:pPr>
              <w:pStyle w:val="TableText0"/>
              <w:keepNext w:val="0"/>
              <w:widowControl w:val="0"/>
              <w:jc w:val="center"/>
              <w:rPr>
                <w:rFonts w:cs="Calibri"/>
                <w:iCs/>
              </w:rPr>
            </w:pPr>
            <w:r w:rsidRPr="006841D2">
              <w:rPr>
                <w:rFonts w:cs="Calibri"/>
                <w:iCs/>
              </w:rPr>
              <w:t>1.05 (0.71, 1.55), 0.808</w:t>
            </w:r>
          </w:p>
        </w:tc>
        <w:tc>
          <w:tcPr>
            <w:tcW w:w="2709" w:type="dxa"/>
          </w:tcPr>
          <w:p w14:paraId="1E318825" w14:textId="455112C4" w:rsidR="000E6995" w:rsidRPr="006841D2" w:rsidRDefault="000E6995" w:rsidP="000E6995">
            <w:pPr>
              <w:pStyle w:val="TableText0"/>
              <w:keepNext w:val="0"/>
              <w:widowControl w:val="0"/>
              <w:jc w:val="center"/>
              <w:rPr>
                <w:rFonts w:cs="Calibri"/>
                <w:iCs/>
              </w:rPr>
            </w:pPr>
            <w:r w:rsidRPr="006841D2">
              <w:rPr>
                <w:rFonts w:cs="Calibri"/>
                <w:iCs/>
              </w:rPr>
              <w:t>CLAD = 27, FNG = 55</w:t>
            </w:r>
          </w:p>
        </w:tc>
      </w:tr>
    </w:tbl>
    <w:bookmarkEnd w:id="37"/>
    <w:p w14:paraId="32344249" w14:textId="134B391D" w:rsidR="000E7DCD" w:rsidRPr="00F6387C" w:rsidRDefault="000E7DCD" w:rsidP="000E7DCD">
      <w:pPr>
        <w:pStyle w:val="TableFooter"/>
      </w:pPr>
      <w:r w:rsidRPr="00F6387C">
        <w:t>Source: Table 12, p41 of the resubmission</w:t>
      </w:r>
      <w:r w:rsidR="000E6995" w:rsidRPr="00F6387C">
        <w:t xml:space="preserve"> </w:t>
      </w:r>
      <w:r w:rsidR="000E6995" w:rsidRPr="00F6387C">
        <w:rPr>
          <w:iCs/>
        </w:rPr>
        <w:t xml:space="preserve">and PSCR attachment GLIMPSE_MSBASE_JULY 2023 UPDATE_v1_19 (matched analyses </w:t>
      </w:r>
      <w:proofErr w:type="spellStart"/>
      <w:r w:rsidR="000E6995" w:rsidRPr="00F6387C">
        <w:rPr>
          <w:iCs/>
        </w:rPr>
        <w:t>cla</w:t>
      </w:r>
      <w:proofErr w:type="spellEnd"/>
      <w:r w:rsidR="000E6995" w:rsidRPr="00F6387C">
        <w:rPr>
          <w:iCs/>
        </w:rPr>
        <w:t xml:space="preserve"> vs fin).xlsx</w:t>
      </w:r>
      <w:r w:rsidRPr="00F6387C">
        <w:t>.</w:t>
      </w:r>
      <w:r w:rsidR="001F6CD9" w:rsidRPr="00F6387C">
        <w:t xml:space="preserve"> </w:t>
      </w:r>
      <w:r w:rsidR="001F6CD9" w:rsidRPr="00F6387C">
        <w:rPr>
          <w:iCs/>
        </w:rPr>
        <w:t>July 2022 data cut patient numbers extracted from attachment GLIMPSE MSBASE_AUGUST 2022 UPDATE_v5_6Feb23.xlsx.</w:t>
      </w:r>
    </w:p>
    <w:p w14:paraId="1F669286" w14:textId="595B0B9A" w:rsidR="000E6995" w:rsidRDefault="000E6995" w:rsidP="000E7DCD">
      <w:pPr>
        <w:pStyle w:val="TableFooter"/>
      </w:pPr>
      <w:r w:rsidRPr="00F6387C">
        <w:t>Abbreviations: CLAD = cladribine; FNG = fingolimod</w:t>
      </w:r>
    </w:p>
    <w:p w14:paraId="19DFC2F0" w14:textId="7DB353CB" w:rsidR="000E7DCD" w:rsidRPr="00F6387C" w:rsidRDefault="00F33D5E" w:rsidP="00F33D5E">
      <w:pPr>
        <w:pStyle w:val="TableFooter"/>
        <w:spacing w:after="120"/>
      </w:pPr>
      <w:r w:rsidRPr="00F33D5E">
        <w:t>*</w:t>
      </w:r>
      <w:r>
        <w:t xml:space="preserve"> </w:t>
      </w:r>
      <w:r w:rsidRPr="00F33D5E">
        <w:rPr>
          <w:i/>
          <w:iCs/>
        </w:rPr>
        <w:t>Note that the results of the July 2023 data cut presented in Table 6 are derived from an analysis conducted by the GLIMPSE study investigator during preparation of the Pre-Subcommittee Response specifically for the purposes of informing the ESC and PBAC considerations. The analysis has not been independently evaluated and peer-reviewed for publication. Interpretation of the results and their application should therefore be limited to seeking to understand the basis for the PBAC outcome and should not be used for any other purpose.</w:t>
      </w:r>
    </w:p>
    <w:p w14:paraId="3846318D" w14:textId="241073BD" w:rsidR="000E7DCD" w:rsidRPr="00F6387C" w:rsidRDefault="000E7DCD" w:rsidP="000E7DCD">
      <w:pPr>
        <w:pStyle w:val="3-BodyText"/>
      </w:pPr>
      <w:r w:rsidRPr="00F6387C">
        <w:t xml:space="preserve">The GLIMPSE Kaplan-Meier graph of the probability of remaining relapse free is shown in </w:t>
      </w:r>
      <w:r w:rsidRPr="00F6387C">
        <w:fldChar w:fldCharType="begin" w:fldLock="1"/>
      </w:r>
      <w:r w:rsidRPr="00F6387C">
        <w:instrText xml:space="preserve"> REF _Ref142816969 \h </w:instrText>
      </w:r>
      <w:r w:rsidR="00F86F80" w:rsidRPr="00F6387C">
        <w:instrText xml:space="preserve"> \* MERGEFORMAT </w:instrText>
      </w:r>
      <w:r w:rsidRPr="00F6387C">
        <w:fldChar w:fldCharType="separate"/>
      </w:r>
      <w:r w:rsidR="000D404D" w:rsidRPr="00F6387C">
        <w:t>Figure 1</w:t>
      </w:r>
      <w:r w:rsidRPr="00F6387C">
        <w:fldChar w:fldCharType="end"/>
      </w:r>
      <w:r w:rsidRPr="00F6387C">
        <w:t>.</w:t>
      </w:r>
      <w:r w:rsidR="00081C62" w:rsidRPr="00F6387C">
        <w:t xml:space="preserve"> The resubmission stated that for GLIMPSE, “it was assumed that patients in the </w:t>
      </w:r>
      <w:proofErr w:type="spellStart"/>
      <w:r w:rsidR="00081C62" w:rsidRPr="00F6387C">
        <w:t>MSBase</w:t>
      </w:r>
      <w:proofErr w:type="spellEnd"/>
      <w:r w:rsidR="00081C62" w:rsidRPr="00F6387C">
        <w:t xml:space="preserve"> registry follow their nation or territory’s indicated dosages, timings, methods of administration, etc, but this information is not available”. It therefore cannot be verified </w:t>
      </w:r>
      <w:r w:rsidR="00AF366C" w:rsidRPr="00F6387C">
        <w:t>what</w:t>
      </w:r>
      <w:r w:rsidR="00081C62" w:rsidRPr="00F6387C">
        <w:t xml:space="preserve"> cladribine and fingolimod dosage regimens </w:t>
      </w:r>
      <w:r w:rsidR="00AF366C" w:rsidRPr="00F6387C">
        <w:t xml:space="preserve">were </w:t>
      </w:r>
      <w:r w:rsidR="00081C62" w:rsidRPr="00F6387C">
        <w:t xml:space="preserve">used by patients in GLIMPSE; </w:t>
      </w:r>
      <w:r w:rsidR="00A33817" w:rsidRPr="00F6387C">
        <w:t>although</w:t>
      </w:r>
      <w:r w:rsidR="00081C62" w:rsidRPr="00F6387C">
        <w:t>, as a high proportion of patients who received cladribine in GLIMPSE were from Australia</w:t>
      </w:r>
      <w:r w:rsidR="00621C19" w:rsidRPr="00F6387C">
        <w:t xml:space="preserve"> (42.9% </w:t>
      </w:r>
      <w:r w:rsidR="00711A85" w:rsidRPr="00F6387C">
        <w:t xml:space="preserve">in the </w:t>
      </w:r>
      <w:r w:rsidR="00621C19" w:rsidRPr="00F6387C">
        <w:t>July 2022 data cut, matched cohort)</w:t>
      </w:r>
      <w:r w:rsidR="00081C62" w:rsidRPr="00F6387C">
        <w:t xml:space="preserve">, it is possible that their dosage regimen </w:t>
      </w:r>
      <w:r w:rsidR="00AF366C" w:rsidRPr="00F6387C">
        <w:t>aligned with Australian clinical practice</w:t>
      </w:r>
      <w:r w:rsidR="00081C62" w:rsidRPr="00F6387C">
        <w:t>.</w:t>
      </w:r>
      <w:r w:rsidR="006D1A43" w:rsidRPr="00F6387C">
        <w:t xml:space="preserve"> </w:t>
      </w:r>
      <w:r w:rsidR="00034C1F" w:rsidRPr="00F6387C">
        <w:t>However, as the cladribine dose schedule and how long patients took cladribine for in GLIMPSE were not documented and are essentially unknown, the applicability of GLIMPSE to Australian clinical practice remains unknown.</w:t>
      </w:r>
      <w:r w:rsidR="00307D6D" w:rsidRPr="00F6387C">
        <w:t xml:space="preserve"> </w:t>
      </w:r>
      <w:r w:rsidR="00307D6D" w:rsidRPr="00F6387C">
        <w:rPr>
          <w:iCs/>
        </w:rPr>
        <w:t>The PSCR (pg. 3) stated the Sponsor sought advice from regulatory affairs branches who confirmed the dose of cladribine is consistent across the world and reiterated a substantial proportion of the matched GLIMPSE cohort were from Australia.</w:t>
      </w:r>
    </w:p>
    <w:p w14:paraId="77E7C92F" w14:textId="69944E0B" w:rsidR="000E7DCD" w:rsidRDefault="000E7DCD" w:rsidP="000E7DCD">
      <w:pPr>
        <w:pStyle w:val="Caption"/>
      </w:pPr>
      <w:bookmarkStart w:id="38" w:name="_Ref142816969"/>
      <w:r w:rsidRPr="00F6387C">
        <w:t xml:space="preserve">Figure </w:t>
      </w:r>
      <w:fldSimple w:instr=" SEQ Figure \* ARABIC " w:fldLock="1">
        <w:r w:rsidR="000D404D" w:rsidRPr="00F6387C">
          <w:t>1</w:t>
        </w:r>
      </w:fldSimple>
      <w:bookmarkEnd w:id="38"/>
      <w:r w:rsidRPr="00F6387C">
        <w:t>: GLIMPSE, Kaplan-Meier graphs for proportion of patients remaining relapse free (July 2022 data cut, matched cohorts)</w:t>
      </w:r>
    </w:p>
    <w:p w14:paraId="0B7DBD14" w14:textId="080FCC67" w:rsidR="00D14AB6" w:rsidRPr="00D14AB6" w:rsidRDefault="00D14AB6" w:rsidP="00D14AB6">
      <w:r w:rsidRPr="00F6387C">
        <w:rPr>
          <w:noProof/>
        </w:rPr>
        <w:drawing>
          <wp:inline distT="0" distB="0" distL="0" distR="0" wp14:anchorId="612138BF" wp14:editId="528AF378">
            <wp:extent cx="4733925" cy="3274926"/>
            <wp:effectExtent l="0" t="0" r="0" b="1905"/>
            <wp:docPr id="6269429" name="Picture 6269429" descr="Figure 1: GLIMPSE, Kaplan-Meier graphs for proportion of patients remaining relapse free (July 2022 data cut, matched cohorts)">
              <a:extLst xmlns:a="http://schemas.openxmlformats.org/drawingml/2006/main">
                <a:ext uri="{FF2B5EF4-FFF2-40B4-BE49-F238E27FC236}">
                  <a16:creationId xmlns:a16="http://schemas.microsoft.com/office/drawing/2014/main" id="{77C325A5-5BF8-4B93-97BC-7CBDCE9687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429" name="Picture 6269429" descr="Figure 1: GLIMPSE, Kaplan-Meier graphs for proportion of patients remaining relapse free (July 2022 data cut, matched cohorts)">
                      <a:extLst>
                        <a:ext uri="{FF2B5EF4-FFF2-40B4-BE49-F238E27FC236}">
                          <a16:creationId xmlns:a16="http://schemas.microsoft.com/office/drawing/2014/main" id="{77C325A5-5BF8-4B93-97BC-7CBDCE96875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3925" cy="3274926"/>
                    </a:xfrm>
                    <a:prstGeom prst="rect">
                      <a:avLst/>
                    </a:prstGeom>
                    <a:noFill/>
                  </pic:spPr>
                </pic:pic>
              </a:graphicData>
            </a:graphic>
          </wp:inline>
        </w:drawing>
      </w:r>
    </w:p>
    <w:p w14:paraId="2394A5E0" w14:textId="77777777" w:rsidR="000E7DCD" w:rsidRPr="00F6387C" w:rsidRDefault="000E7DCD" w:rsidP="000E7DCD">
      <w:pPr>
        <w:pStyle w:val="FooterTableFigure"/>
      </w:pPr>
      <w:r w:rsidRPr="00F6387C">
        <w:t>DMT = disease modifying therapy</w:t>
      </w:r>
    </w:p>
    <w:p w14:paraId="18AC36D4" w14:textId="33169A73" w:rsidR="000E7DCD" w:rsidRPr="00F6387C" w:rsidRDefault="000E7DCD" w:rsidP="000E7DCD">
      <w:pPr>
        <w:pStyle w:val="FooterTableFigure"/>
      </w:pPr>
      <w:r w:rsidRPr="00F6387C">
        <w:t>Source: Figure 7, p43 of the resubmission</w:t>
      </w:r>
    </w:p>
    <w:p w14:paraId="5F886DFE" w14:textId="63A2901A" w:rsidR="00260F01" w:rsidRPr="00F6387C" w:rsidRDefault="00260F01" w:rsidP="00F33D5E">
      <w:pPr>
        <w:pStyle w:val="3-BodyText"/>
      </w:pPr>
      <w:r w:rsidRPr="00F6387C">
        <w:rPr>
          <w:iCs/>
        </w:rPr>
        <w:t xml:space="preserve">An updated Kaplan-Meier plot for proportion of patients remaining relapse free based on the July 2023 data cut (matched cohorts) from the PSCR is presented below. </w:t>
      </w:r>
    </w:p>
    <w:p w14:paraId="0F1C3E0B" w14:textId="2137DB1E" w:rsidR="00F325BF" w:rsidRPr="00F6387C" w:rsidRDefault="00F325BF" w:rsidP="00F325BF">
      <w:pPr>
        <w:pStyle w:val="Caption"/>
      </w:pPr>
      <w:r w:rsidRPr="00F6387C">
        <w:t xml:space="preserve">Figure </w:t>
      </w:r>
      <w:fldSimple w:instr=" SEQ Figure \* ARABIC " w:fldLock="1">
        <w:r w:rsidR="000D404D" w:rsidRPr="00F6387C">
          <w:t>2</w:t>
        </w:r>
      </w:fldSimple>
      <w:r w:rsidRPr="00F6387C">
        <w:t>: GLIMPSE, Kaplan-Meier graphs for proportion of patients remaining relapse free (July 2023 data cut, matched cohorts, not independently evaluated)</w:t>
      </w:r>
    </w:p>
    <w:p w14:paraId="069DB667" w14:textId="5ABECB9B" w:rsidR="00F325BF" w:rsidRPr="00F6387C" w:rsidRDefault="00F325BF" w:rsidP="00F33D5E">
      <w:pPr>
        <w:pStyle w:val="3-BodyText"/>
        <w:numPr>
          <w:ilvl w:val="0"/>
          <w:numId w:val="0"/>
        </w:numPr>
        <w:spacing w:after="0"/>
      </w:pPr>
      <w:r w:rsidRPr="00F6387C">
        <w:rPr>
          <w:noProof/>
        </w:rPr>
        <w:drawing>
          <wp:inline distT="0" distB="0" distL="0" distR="0" wp14:anchorId="3F6662F5" wp14:editId="41377CEE">
            <wp:extent cx="5266537" cy="3571240"/>
            <wp:effectExtent l="0" t="0" r="0" b="0"/>
            <wp:docPr id="8" name="Picture 8" descr="Figure 2: GLIMPSE, Kaplan-Meier graphs for proportion of patients remaining relapse free (July 2023 data cut, matched cohorts, not independently evaluated)">
              <a:extLst xmlns:a="http://schemas.openxmlformats.org/drawingml/2006/main">
                <a:ext uri="{FF2B5EF4-FFF2-40B4-BE49-F238E27FC236}">
                  <a16:creationId xmlns:a16="http://schemas.microsoft.com/office/drawing/2014/main" id="{9B2E5B30-427C-49C3-96D6-8574CF42F6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 GLIMPSE, Kaplan-Meier graphs for proportion of patients remaining relapse free (July 2023 data cut, matched cohorts, not independently evaluated)">
                      <a:extLst>
                        <a:ext uri="{FF2B5EF4-FFF2-40B4-BE49-F238E27FC236}">
                          <a16:creationId xmlns:a16="http://schemas.microsoft.com/office/drawing/2014/main" id="{9B2E5B30-427C-49C3-96D6-8574CF42F669}"/>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5370" cy="3577230"/>
                    </a:xfrm>
                    <a:prstGeom prst="rect">
                      <a:avLst/>
                    </a:prstGeom>
                    <a:noFill/>
                  </pic:spPr>
                </pic:pic>
              </a:graphicData>
            </a:graphic>
          </wp:inline>
        </w:drawing>
      </w:r>
    </w:p>
    <w:p w14:paraId="24FB9593" w14:textId="579CCAC9" w:rsidR="00F325BF" w:rsidRPr="00D14AB6" w:rsidRDefault="00D20547" w:rsidP="00F33D5E">
      <w:pPr>
        <w:pStyle w:val="3-BodyText"/>
        <w:numPr>
          <w:ilvl w:val="0"/>
          <w:numId w:val="0"/>
        </w:numPr>
        <w:spacing w:after="0"/>
        <w:rPr>
          <w:rFonts w:ascii="Arial Narrow" w:hAnsi="Arial Narrow"/>
          <w:sz w:val="18"/>
          <w:szCs w:val="18"/>
        </w:rPr>
      </w:pPr>
      <w:r w:rsidRPr="00D14AB6">
        <w:rPr>
          <w:rFonts w:ascii="Arial Narrow" w:hAnsi="Arial Narrow"/>
          <w:sz w:val="18"/>
          <w:szCs w:val="18"/>
        </w:rPr>
        <w:t>Source: Figure 1 of the PSCR.</w:t>
      </w:r>
    </w:p>
    <w:p w14:paraId="2B68B1E9" w14:textId="64CF8576" w:rsidR="00F33D5E" w:rsidRPr="00D14AB6" w:rsidRDefault="00F33D5E" w:rsidP="00F325BF">
      <w:pPr>
        <w:pStyle w:val="3-BodyText"/>
        <w:numPr>
          <w:ilvl w:val="0"/>
          <w:numId w:val="0"/>
        </w:numPr>
        <w:rPr>
          <w:rFonts w:ascii="Arial Narrow" w:hAnsi="Arial Narrow"/>
          <w:i/>
          <w:iCs/>
          <w:sz w:val="18"/>
          <w:szCs w:val="18"/>
        </w:rPr>
      </w:pPr>
      <w:r w:rsidRPr="00D14AB6">
        <w:rPr>
          <w:rFonts w:ascii="Arial Narrow" w:hAnsi="Arial Narrow"/>
          <w:i/>
          <w:iCs/>
          <w:sz w:val="18"/>
          <w:szCs w:val="18"/>
        </w:rPr>
        <w:t>Note that the results of the July 2023 data cut presented in Figure 2 are derived from an analysis conducted by the GLIMPSE study investigator during preparation of the Pre-Subcommittee Response specifically for the purposes of informing the ESC and PBAC considerations. The analysis has not been independently evaluated and peer-reviewed for publication. Interpretation of the results and their application should therefore be limited to seeking to understand the basis for the PBAC outcome and should not be used for any other purpose.</w:t>
      </w:r>
    </w:p>
    <w:p w14:paraId="21C01C30" w14:textId="33CE4337" w:rsidR="000E7DCD" w:rsidRPr="00F6387C" w:rsidRDefault="000E7DCD" w:rsidP="000E7DCD">
      <w:pPr>
        <w:pStyle w:val="3-BodyText"/>
      </w:pPr>
      <w:r w:rsidRPr="00F6387C">
        <w:t xml:space="preserve">The GLIMPSE Kaplan-Meier graph for the proportion of patients persisting on treatment (i.e., time to treatment discontinuation) is shown in </w:t>
      </w:r>
      <w:r w:rsidRPr="00F6387C">
        <w:fldChar w:fldCharType="begin" w:fldLock="1"/>
      </w:r>
      <w:r w:rsidRPr="00F6387C">
        <w:instrText xml:space="preserve"> REF _Ref142816985 \h </w:instrText>
      </w:r>
      <w:r w:rsidRPr="00F6387C">
        <w:fldChar w:fldCharType="separate"/>
      </w:r>
      <w:r w:rsidR="000D404D" w:rsidRPr="00F6387C">
        <w:t>Figure 3</w:t>
      </w:r>
      <w:r w:rsidRPr="00F6387C">
        <w:fldChar w:fldCharType="end"/>
      </w:r>
      <w:r w:rsidRPr="00F6387C">
        <w:t>.</w:t>
      </w:r>
    </w:p>
    <w:p w14:paraId="6206279D" w14:textId="3830034E" w:rsidR="000E7DCD" w:rsidRPr="00F6387C" w:rsidRDefault="000E7DCD" w:rsidP="000E7DCD">
      <w:pPr>
        <w:pStyle w:val="Caption"/>
      </w:pPr>
      <w:bookmarkStart w:id="39" w:name="_Ref142816985"/>
      <w:r w:rsidRPr="00F6387C">
        <w:t xml:space="preserve">Figure </w:t>
      </w:r>
      <w:fldSimple w:instr=" SEQ Figure \* ARABIC " w:fldLock="1">
        <w:r w:rsidR="000D404D" w:rsidRPr="00F6387C">
          <w:t>3</w:t>
        </w:r>
      </w:fldSimple>
      <w:bookmarkEnd w:id="39"/>
      <w:r w:rsidRPr="00F6387C">
        <w:t>: GLIMPSE, Kaplan-Meier graph for proportion of patients persisting on treatment (July 2022 data cut, matched cohorts)</w:t>
      </w:r>
    </w:p>
    <w:p w14:paraId="212AAB7F" w14:textId="77777777" w:rsidR="000E7DCD" w:rsidRPr="00F6387C" w:rsidRDefault="000E7DCD" w:rsidP="000E7DCD">
      <w:pPr>
        <w:keepNext/>
      </w:pPr>
      <w:r w:rsidRPr="00F6387C">
        <w:rPr>
          <w:noProof/>
        </w:rPr>
        <w:drawing>
          <wp:inline distT="0" distB="0" distL="0" distR="0" wp14:anchorId="229C7F7C" wp14:editId="3EF03A72">
            <wp:extent cx="4857750" cy="3347331"/>
            <wp:effectExtent l="0" t="0" r="0" b="5715"/>
            <wp:docPr id="893638598" name="Picture 893638598" descr="Figure 3: GLIMPSE, Kaplan-Meier graph for proportion of patients persisting on treatment (July 2022 data cut, matched coh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38598" name="Picture 893638598" descr="Figure 3: GLIMPSE, Kaplan-Meier graph for proportion of patients persisting on treatment (July 2022 data cut, matched cohor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4555" cy="3358911"/>
                    </a:xfrm>
                    <a:prstGeom prst="rect">
                      <a:avLst/>
                    </a:prstGeom>
                    <a:noFill/>
                  </pic:spPr>
                </pic:pic>
              </a:graphicData>
            </a:graphic>
          </wp:inline>
        </w:drawing>
      </w:r>
    </w:p>
    <w:p w14:paraId="7D01EB78" w14:textId="2109C18F" w:rsidR="000E7DCD" w:rsidRPr="00F6387C" w:rsidRDefault="000E7DCD" w:rsidP="000E7DCD">
      <w:pPr>
        <w:pStyle w:val="FooterTableFigure"/>
        <w:keepNext/>
      </w:pPr>
      <w:r w:rsidRPr="00F6387C">
        <w:t>Source: Figure 6, p42 of the resubmission</w:t>
      </w:r>
    </w:p>
    <w:p w14:paraId="4DB34D9C" w14:textId="07BCFF9A" w:rsidR="000E7DCD" w:rsidRPr="00F6387C" w:rsidRDefault="00A613FE" w:rsidP="000E7DCD">
      <w:pPr>
        <w:pStyle w:val="3-BodyText"/>
      </w:pPr>
      <w:r w:rsidRPr="00F6387C">
        <w:t xml:space="preserve">For GLIMPSE, eligible patients were censored at treatment discontinuation or switch to another DMT, death, loss to follow-up or the start of a pregnancy (whichever occurred first). </w:t>
      </w:r>
      <w:r w:rsidR="001278B7" w:rsidRPr="00F6387C">
        <w:t>T</w:t>
      </w:r>
      <w:r w:rsidR="000E7DCD" w:rsidRPr="00F6387C">
        <w:t>he number of patients who remained at risk decreased rapidly over time with only 3 patients receiving cladribine at risk at year 4. This data therefore provides limited evidence to demonstrate the efficacy of cladribine compared to fingolimod during the fourth year of cladribine treatment.</w:t>
      </w:r>
      <w:r w:rsidR="00BD08C0" w:rsidRPr="00F6387C">
        <w:t xml:space="preserve"> Consequently, GLIMPSE provided limited data to substantiate the resubmission’s clinical claim that cladribine is non-inferior to fingolimod in terms of both efficacy and safety over four years</w:t>
      </w:r>
      <w:r w:rsidR="00E5759A" w:rsidRPr="00F6387C">
        <w:t>.</w:t>
      </w:r>
      <w:r w:rsidR="009E1A7B" w:rsidRPr="00F6387C">
        <w:t xml:space="preserve"> </w:t>
      </w:r>
      <w:r w:rsidR="009E1A7B" w:rsidRPr="00F6387C">
        <w:rPr>
          <w:iCs/>
        </w:rPr>
        <w:t>The PSCR clarified that patients were only censored at death or loss to follow-up.</w:t>
      </w:r>
    </w:p>
    <w:p w14:paraId="72B52C9D" w14:textId="5F613BA2" w:rsidR="000E7DCD" w:rsidRPr="00F6387C" w:rsidRDefault="000E7DCD" w:rsidP="000E7DCD">
      <w:pPr>
        <w:pStyle w:val="3-BodyText"/>
      </w:pPr>
      <w:r w:rsidRPr="00F6387C">
        <w:t>While the resubmission claimed that time-to-treatment discontinuation is a surrogate measure of treatment persistence, previously "the PBAC … agreed with the ESC that the rate and timing of switching to alternative DMTs was unsupported as a valid surrogate marker of efficacy for informing the clinical claim of non-inferiority over 4 years" (paragraph 6.23, cladribine PSD, November 2021).</w:t>
      </w:r>
    </w:p>
    <w:p w14:paraId="3C4BFA36" w14:textId="0DF93CE7" w:rsidR="000E7DCD" w:rsidRPr="00F6387C" w:rsidRDefault="000E7DCD" w:rsidP="000E7DCD">
      <w:pPr>
        <w:pStyle w:val="3-BodyText"/>
      </w:pPr>
      <w:bookmarkStart w:id="40" w:name="_Hlk145007195"/>
      <w:r w:rsidRPr="00F6387C">
        <w:t>While GLIMPSE (July 2022 data cut, matched cohorts) found that patients taking cladribine had a statistically significantly longer time to treatment switch and time to treatment discontinuation compared to patients taking fingolimod, there was no significant difference in the proportion of patients remaining relapse-free. As no correlation was observed between patient relapse (the PBAC’s preferred outcome measure of sustained benefit for RRMS; paragraph 6.10, alemtuzumab PSD, November 2018) and the proposed surrogate outcome, it suggests that treatment switch and treatment discontinuation may be a poor surrogate for patient relapse.</w:t>
      </w:r>
    </w:p>
    <w:p w14:paraId="0348925A" w14:textId="4E7E8406" w:rsidR="009E1A7B" w:rsidRPr="00F6387C" w:rsidRDefault="00260F01" w:rsidP="00D61D7E">
      <w:pPr>
        <w:pStyle w:val="3-BodyText"/>
      </w:pPr>
      <w:r w:rsidRPr="00F6387C">
        <w:rPr>
          <w:iCs/>
        </w:rPr>
        <w:t>The</w:t>
      </w:r>
      <w:bookmarkEnd w:id="40"/>
      <w:r w:rsidR="009E1A7B" w:rsidRPr="00F6387C">
        <w:rPr>
          <w:iCs/>
        </w:rPr>
        <w:t xml:space="preserve"> PSCR stated the resubmission was based on patient outcome measures that have been accepted by the PBAC as relevant for RRMS therapies previously, including ARR, time to first relapse and time to confirmed disability progression. The ESC considered that time to treatment discontinuation was not an informative outcome, given cladribine is only taken in Weeks 1 and 5 of the first 2 years of therapy and therefore necessarily was defined differently versus that for fingolimod. </w:t>
      </w:r>
      <w:r w:rsidR="00CD0858" w:rsidRPr="00F6387C">
        <w:rPr>
          <w:iCs/>
        </w:rPr>
        <w:t xml:space="preserve">The pre-PBAC </w:t>
      </w:r>
      <w:r w:rsidR="002B6224" w:rsidRPr="00F6387C">
        <w:rPr>
          <w:iCs/>
        </w:rPr>
        <w:t>R</w:t>
      </w:r>
      <w:r w:rsidR="00CD0858" w:rsidRPr="00F6387C">
        <w:rPr>
          <w:iCs/>
        </w:rPr>
        <w:t>esponse stated that time to treatment switch provides a good indication of efficacy for comparing therapies, as it defines a point at which the people with RRMS no longer benefit from their existing treatment and are in need of a different treatment.</w:t>
      </w:r>
    </w:p>
    <w:p w14:paraId="74FF3C4C" w14:textId="06229137" w:rsidR="00260F01" w:rsidRPr="00F6387C" w:rsidRDefault="000E7DCD" w:rsidP="00D61D7E">
      <w:pPr>
        <w:pStyle w:val="3-BodyText"/>
      </w:pPr>
      <w:bookmarkStart w:id="41" w:name="_Ref151124022"/>
      <w:proofErr w:type="spellStart"/>
      <w:r w:rsidRPr="00F6387C">
        <w:t>Magalashvili</w:t>
      </w:r>
      <w:proofErr w:type="spellEnd"/>
      <w:r w:rsidRPr="00F6387C">
        <w:t xml:space="preserve"> 2022 reported ARR for one year prior to cladribine initiation until year 4, as shown in </w:t>
      </w:r>
      <w:r w:rsidRPr="00F6387C">
        <w:fldChar w:fldCharType="begin" w:fldLock="1"/>
      </w:r>
      <w:r w:rsidRPr="00F6387C">
        <w:instrText xml:space="preserve"> REF _Ref142817018 \h </w:instrText>
      </w:r>
      <w:r w:rsidR="00F86F80" w:rsidRPr="00F6387C">
        <w:instrText xml:space="preserve"> \* MERGEFORMAT </w:instrText>
      </w:r>
      <w:r w:rsidRPr="00F6387C">
        <w:fldChar w:fldCharType="separate"/>
      </w:r>
      <w:r w:rsidR="000D404D" w:rsidRPr="00F6387C">
        <w:t>Table 7</w:t>
      </w:r>
      <w:r w:rsidRPr="00F6387C">
        <w:fldChar w:fldCharType="end"/>
      </w:r>
      <w:r w:rsidRPr="00F6387C">
        <w:t>.</w:t>
      </w:r>
      <w:bookmarkEnd w:id="41"/>
    </w:p>
    <w:p w14:paraId="60FD2FAD" w14:textId="00C73C82" w:rsidR="000E7DCD" w:rsidRPr="00F6387C" w:rsidRDefault="000E7DCD" w:rsidP="000E7DCD">
      <w:pPr>
        <w:pStyle w:val="Caption"/>
      </w:pPr>
      <w:bookmarkStart w:id="42" w:name="_Ref142817018"/>
      <w:r w:rsidRPr="00F6387C">
        <w:t xml:space="preserve">Table </w:t>
      </w:r>
      <w:fldSimple w:instr=" SEQ Table \* ARABIC " w:fldLock="1">
        <w:r w:rsidR="000D404D" w:rsidRPr="00F6387C">
          <w:t>7</w:t>
        </w:r>
      </w:fldSimple>
      <w:bookmarkEnd w:id="42"/>
      <w:r w:rsidRPr="00F6387C">
        <w:t>: ARR in cladribine treated patients in years 3 and 4 – Sheba MS Registry</w:t>
      </w:r>
    </w:p>
    <w:tbl>
      <w:tblPr>
        <w:tblStyle w:val="TableGrid"/>
        <w:tblW w:w="0" w:type="auto"/>
        <w:tblLook w:val="04A0" w:firstRow="1" w:lastRow="0" w:firstColumn="1" w:lastColumn="0" w:noHBand="0" w:noVBand="1"/>
        <w:tblCaption w:val="Table 7: ARR in cladribine treated patients in years 3 and 4 – Sheba MS Registry"/>
        <w:tblDescription w:val="Table 7: ARR in cladribine treated patients in years 3 and 4 – Sheba MS Registry"/>
      </w:tblPr>
      <w:tblGrid>
        <w:gridCol w:w="2671"/>
        <w:gridCol w:w="2391"/>
        <w:gridCol w:w="1911"/>
        <w:gridCol w:w="2043"/>
      </w:tblGrid>
      <w:tr w:rsidR="000E7DCD" w:rsidRPr="00F6387C" w14:paraId="053E7628" w14:textId="77777777" w:rsidTr="00540CC4">
        <w:trPr>
          <w:trHeight w:val="64"/>
          <w:tblHeader/>
        </w:trPr>
        <w:tc>
          <w:tcPr>
            <w:tcW w:w="2689" w:type="dxa"/>
            <w:shd w:val="clear" w:color="auto" w:fill="auto"/>
            <w:vAlign w:val="center"/>
          </w:tcPr>
          <w:p w14:paraId="6C1AE094" w14:textId="77777777" w:rsidR="000E7DCD" w:rsidRPr="00F6387C" w:rsidRDefault="000E7DCD" w:rsidP="000E7DCD">
            <w:pPr>
              <w:pStyle w:val="In-tableHeading"/>
              <w:rPr>
                <w:lang w:val="en-AU"/>
              </w:rPr>
            </w:pPr>
            <w:r w:rsidRPr="00F6387C">
              <w:rPr>
                <w:lang w:val="en-AU"/>
              </w:rPr>
              <w:t>Relapse outcome</w:t>
            </w:r>
          </w:p>
        </w:tc>
        <w:tc>
          <w:tcPr>
            <w:tcW w:w="6389" w:type="dxa"/>
            <w:gridSpan w:val="3"/>
            <w:shd w:val="clear" w:color="auto" w:fill="auto"/>
            <w:vAlign w:val="center"/>
          </w:tcPr>
          <w:p w14:paraId="5E267AB6" w14:textId="77777777" w:rsidR="000E7DCD" w:rsidRPr="00F6387C" w:rsidRDefault="000E7DCD" w:rsidP="000E7DCD">
            <w:pPr>
              <w:pStyle w:val="In-tableHeading"/>
              <w:jc w:val="center"/>
              <w:rPr>
                <w:lang w:val="en-AU"/>
              </w:rPr>
            </w:pPr>
            <w:r w:rsidRPr="00F6387C">
              <w:rPr>
                <w:lang w:val="en-AU"/>
              </w:rPr>
              <w:t>Cladribine treated MS patients – Years 3-4</w:t>
            </w:r>
          </w:p>
        </w:tc>
      </w:tr>
      <w:tr w:rsidR="000E7DCD" w:rsidRPr="00F6387C" w14:paraId="13C00396" w14:textId="77777777" w:rsidTr="00540CC4">
        <w:trPr>
          <w:trHeight w:val="64"/>
          <w:tblHeader/>
        </w:trPr>
        <w:tc>
          <w:tcPr>
            <w:tcW w:w="2689" w:type="dxa"/>
            <w:shd w:val="clear" w:color="auto" w:fill="auto"/>
            <w:vAlign w:val="center"/>
          </w:tcPr>
          <w:p w14:paraId="48478E6F" w14:textId="77777777" w:rsidR="000E7DCD" w:rsidRPr="00F6387C" w:rsidRDefault="000E7DCD" w:rsidP="000E7DCD">
            <w:pPr>
              <w:pStyle w:val="In-tableHeading"/>
              <w:rPr>
                <w:lang w:val="en-AU"/>
              </w:rPr>
            </w:pPr>
            <w:r w:rsidRPr="00F6387C">
              <w:rPr>
                <w:lang w:val="en-AU"/>
              </w:rPr>
              <w:t>ARR</w:t>
            </w:r>
          </w:p>
        </w:tc>
        <w:tc>
          <w:tcPr>
            <w:tcW w:w="2409" w:type="dxa"/>
            <w:shd w:val="clear" w:color="auto" w:fill="auto"/>
            <w:vAlign w:val="center"/>
          </w:tcPr>
          <w:p w14:paraId="7C30111C" w14:textId="77777777" w:rsidR="000E7DCD" w:rsidRPr="00F6387C" w:rsidRDefault="000E7DCD" w:rsidP="000E7DCD">
            <w:pPr>
              <w:pStyle w:val="In-tableHeading"/>
              <w:jc w:val="center"/>
              <w:rPr>
                <w:lang w:val="en-AU"/>
              </w:rPr>
            </w:pPr>
            <w:r w:rsidRPr="00F6387C">
              <w:rPr>
                <w:lang w:val="en-AU"/>
              </w:rPr>
              <w:t>mean (SD)</w:t>
            </w:r>
          </w:p>
        </w:tc>
        <w:tc>
          <w:tcPr>
            <w:tcW w:w="1922" w:type="dxa"/>
          </w:tcPr>
          <w:p w14:paraId="5B0D68BD" w14:textId="77777777" w:rsidR="000E7DCD" w:rsidRPr="00F6387C" w:rsidRDefault="000E7DCD" w:rsidP="000E7DCD">
            <w:pPr>
              <w:pStyle w:val="In-tableHeading"/>
              <w:jc w:val="center"/>
              <w:rPr>
                <w:lang w:val="en-AU"/>
              </w:rPr>
            </w:pPr>
            <w:r w:rsidRPr="00F6387C">
              <w:rPr>
                <w:lang w:val="en-AU"/>
              </w:rPr>
              <w:t>median</w:t>
            </w:r>
          </w:p>
        </w:tc>
        <w:tc>
          <w:tcPr>
            <w:tcW w:w="2058" w:type="dxa"/>
          </w:tcPr>
          <w:p w14:paraId="2C780762" w14:textId="77777777" w:rsidR="000E7DCD" w:rsidRPr="00F6387C" w:rsidRDefault="000E7DCD" w:rsidP="000E7DCD">
            <w:pPr>
              <w:pStyle w:val="In-tableHeading"/>
              <w:jc w:val="center"/>
              <w:rPr>
                <w:lang w:val="en-AU"/>
              </w:rPr>
            </w:pPr>
            <w:r w:rsidRPr="00F6387C">
              <w:rPr>
                <w:lang w:val="en-AU"/>
              </w:rPr>
              <w:t>IQR</w:t>
            </w:r>
          </w:p>
        </w:tc>
      </w:tr>
      <w:tr w:rsidR="000E7DCD" w:rsidRPr="00F6387C" w14:paraId="291F0FAC" w14:textId="77777777" w:rsidTr="00540CC4">
        <w:trPr>
          <w:trHeight w:val="113"/>
        </w:trPr>
        <w:tc>
          <w:tcPr>
            <w:tcW w:w="2689" w:type="dxa"/>
            <w:shd w:val="clear" w:color="auto" w:fill="auto"/>
            <w:vAlign w:val="center"/>
          </w:tcPr>
          <w:p w14:paraId="485641D2" w14:textId="77777777" w:rsidR="000E7DCD" w:rsidRPr="00F6387C" w:rsidRDefault="000E7DCD" w:rsidP="000E7DCD">
            <w:pPr>
              <w:pStyle w:val="Tabletext"/>
              <w:keepNext/>
            </w:pPr>
            <w:r w:rsidRPr="00F6387C">
              <w:t>ARR 1 year prior, N = 61</w:t>
            </w:r>
          </w:p>
        </w:tc>
        <w:tc>
          <w:tcPr>
            <w:tcW w:w="2409" w:type="dxa"/>
            <w:shd w:val="clear" w:color="auto" w:fill="auto"/>
            <w:vAlign w:val="center"/>
          </w:tcPr>
          <w:p w14:paraId="3027F533" w14:textId="77777777" w:rsidR="000E7DCD" w:rsidRPr="00F6387C" w:rsidRDefault="000E7DCD" w:rsidP="000E7DCD">
            <w:pPr>
              <w:pStyle w:val="Tabletext"/>
              <w:keepNext/>
              <w:jc w:val="center"/>
            </w:pPr>
            <w:r w:rsidRPr="00F6387C">
              <w:t xml:space="preserve">1.6 ± 0.86 </w:t>
            </w:r>
          </w:p>
        </w:tc>
        <w:tc>
          <w:tcPr>
            <w:tcW w:w="1922" w:type="dxa"/>
          </w:tcPr>
          <w:p w14:paraId="07F66C30" w14:textId="77777777" w:rsidR="000E7DCD" w:rsidRPr="00F6387C" w:rsidRDefault="000E7DCD" w:rsidP="000E7DCD">
            <w:pPr>
              <w:pStyle w:val="Tabletext"/>
              <w:keepNext/>
              <w:jc w:val="center"/>
            </w:pPr>
            <w:r w:rsidRPr="00F6387C">
              <w:t>2.0</w:t>
            </w:r>
          </w:p>
        </w:tc>
        <w:tc>
          <w:tcPr>
            <w:tcW w:w="2058" w:type="dxa"/>
          </w:tcPr>
          <w:p w14:paraId="13A12BEE" w14:textId="77777777" w:rsidR="000E7DCD" w:rsidRPr="00F6387C" w:rsidRDefault="000E7DCD" w:rsidP="000E7DCD">
            <w:pPr>
              <w:pStyle w:val="Tabletext"/>
              <w:keepNext/>
              <w:jc w:val="center"/>
            </w:pPr>
            <w:r w:rsidRPr="00F6387C">
              <w:t>1.0-2.0</w:t>
            </w:r>
          </w:p>
        </w:tc>
      </w:tr>
      <w:tr w:rsidR="000E7DCD" w:rsidRPr="00F6387C" w14:paraId="3FC9B5CD" w14:textId="77777777" w:rsidTr="00540CC4">
        <w:trPr>
          <w:trHeight w:val="159"/>
        </w:trPr>
        <w:tc>
          <w:tcPr>
            <w:tcW w:w="2689" w:type="dxa"/>
            <w:shd w:val="clear" w:color="auto" w:fill="auto"/>
            <w:vAlign w:val="center"/>
          </w:tcPr>
          <w:p w14:paraId="27A8F488" w14:textId="77777777" w:rsidR="000E7DCD" w:rsidRPr="00F6387C" w:rsidRDefault="000E7DCD" w:rsidP="000E7DCD">
            <w:pPr>
              <w:pStyle w:val="Tabletext"/>
              <w:keepNext/>
            </w:pPr>
            <w:r w:rsidRPr="00F6387C">
              <w:t>ARR Year 1, N = 61</w:t>
            </w:r>
          </w:p>
        </w:tc>
        <w:tc>
          <w:tcPr>
            <w:tcW w:w="2409" w:type="dxa"/>
            <w:shd w:val="clear" w:color="auto" w:fill="auto"/>
            <w:vAlign w:val="center"/>
          </w:tcPr>
          <w:p w14:paraId="17B9BDFB" w14:textId="77777777" w:rsidR="000E7DCD" w:rsidRPr="00F6387C" w:rsidRDefault="000E7DCD" w:rsidP="000E7DCD">
            <w:pPr>
              <w:pStyle w:val="Tabletext"/>
              <w:keepNext/>
              <w:jc w:val="center"/>
            </w:pPr>
            <w:r w:rsidRPr="00F6387C">
              <w:t>0.34 ± 0.57</w:t>
            </w:r>
          </w:p>
        </w:tc>
        <w:tc>
          <w:tcPr>
            <w:tcW w:w="1922" w:type="dxa"/>
          </w:tcPr>
          <w:p w14:paraId="4BB9FEFB" w14:textId="77777777" w:rsidR="000E7DCD" w:rsidRPr="00F6387C" w:rsidRDefault="000E7DCD" w:rsidP="000E7DCD">
            <w:pPr>
              <w:pStyle w:val="Tabletext"/>
              <w:keepNext/>
              <w:jc w:val="center"/>
            </w:pPr>
            <w:r w:rsidRPr="00F6387C">
              <w:t>0.0</w:t>
            </w:r>
          </w:p>
        </w:tc>
        <w:tc>
          <w:tcPr>
            <w:tcW w:w="2058" w:type="dxa"/>
          </w:tcPr>
          <w:p w14:paraId="3977B0E3" w14:textId="77777777" w:rsidR="000E7DCD" w:rsidRPr="00F6387C" w:rsidRDefault="000E7DCD" w:rsidP="000E7DCD">
            <w:pPr>
              <w:pStyle w:val="Tabletext"/>
              <w:keepNext/>
              <w:jc w:val="center"/>
            </w:pPr>
            <w:r w:rsidRPr="00F6387C">
              <w:t>0.0-1.0</w:t>
            </w:r>
          </w:p>
        </w:tc>
      </w:tr>
      <w:tr w:rsidR="000E7DCD" w:rsidRPr="00F6387C" w14:paraId="2B18A4AF" w14:textId="77777777" w:rsidTr="00540CC4">
        <w:trPr>
          <w:trHeight w:val="60"/>
        </w:trPr>
        <w:tc>
          <w:tcPr>
            <w:tcW w:w="2689" w:type="dxa"/>
            <w:shd w:val="clear" w:color="auto" w:fill="auto"/>
            <w:vAlign w:val="center"/>
          </w:tcPr>
          <w:p w14:paraId="3850624C" w14:textId="77777777" w:rsidR="000E7DCD" w:rsidRPr="00F6387C" w:rsidRDefault="000E7DCD" w:rsidP="000E7DCD">
            <w:pPr>
              <w:pStyle w:val="Tabletext"/>
              <w:keepNext/>
            </w:pPr>
            <w:r w:rsidRPr="00F6387C">
              <w:t>AAR Year 2, N = 61</w:t>
            </w:r>
          </w:p>
        </w:tc>
        <w:tc>
          <w:tcPr>
            <w:tcW w:w="2409" w:type="dxa"/>
            <w:shd w:val="clear" w:color="auto" w:fill="auto"/>
            <w:vAlign w:val="center"/>
          </w:tcPr>
          <w:p w14:paraId="7ED7DBDE" w14:textId="77777777" w:rsidR="000E7DCD" w:rsidRPr="00F6387C" w:rsidRDefault="000E7DCD" w:rsidP="000E7DCD">
            <w:pPr>
              <w:pStyle w:val="Tabletext"/>
              <w:keepNext/>
              <w:jc w:val="center"/>
            </w:pPr>
            <w:r w:rsidRPr="00F6387C">
              <w:t>0.14 ± 0.36</w:t>
            </w:r>
          </w:p>
        </w:tc>
        <w:tc>
          <w:tcPr>
            <w:tcW w:w="1922" w:type="dxa"/>
          </w:tcPr>
          <w:p w14:paraId="3A1AC0D2" w14:textId="77777777" w:rsidR="000E7DCD" w:rsidRPr="00F6387C" w:rsidRDefault="000E7DCD" w:rsidP="000E7DCD">
            <w:pPr>
              <w:pStyle w:val="Tabletext"/>
              <w:keepNext/>
              <w:jc w:val="center"/>
            </w:pPr>
            <w:r w:rsidRPr="00F6387C">
              <w:t>0.0</w:t>
            </w:r>
          </w:p>
        </w:tc>
        <w:tc>
          <w:tcPr>
            <w:tcW w:w="2058" w:type="dxa"/>
          </w:tcPr>
          <w:p w14:paraId="2F6404CB" w14:textId="77777777" w:rsidR="000E7DCD" w:rsidRPr="00F6387C" w:rsidRDefault="000E7DCD" w:rsidP="000E7DCD">
            <w:pPr>
              <w:pStyle w:val="Tabletext"/>
              <w:keepNext/>
              <w:jc w:val="center"/>
            </w:pPr>
            <w:r w:rsidRPr="00F6387C">
              <w:t>0.0-0.0</w:t>
            </w:r>
          </w:p>
        </w:tc>
      </w:tr>
      <w:tr w:rsidR="000E7DCD" w:rsidRPr="00F6387C" w14:paraId="1A97D5C2" w14:textId="77777777" w:rsidTr="00540CC4">
        <w:trPr>
          <w:trHeight w:val="60"/>
        </w:trPr>
        <w:tc>
          <w:tcPr>
            <w:tcW w:w="2689" w:type="dxa"/>
            <w:shd w:val="clear" w:color="auto" w:fill="auto"/>
            <w:vAlign w:val="center"/>
          </w:tcPr>
          <w:p w14:paraId="6B72853E" w14:textId="77777777" w:rsidR="000E7DCD" w:rsidRPr="00F6387C" w:rsidRDefault="000E7DCD" w:rsidP="000E7DCD">
            <w:pPr>
              <w:pStyle w:val="Tabletext"/>
              <w:keepNext/>
            </w:pPr>
            <w:r w:rsidRPr="00F6387C">
              <w:t>ARR Year 3, N = 61</w:t>
            </w:r>
          </w:p>
        </w:tc>
        <w:tc>
          <w:tcPr>
            <w:tcW w:w="2409" w:type="dxa"/>
            <w:shd w:val="clear" w:color="auto" w:fill="auto"/>
            <w:vAlign w:val="center"/>
          </w:tcPr>
          <w:p w14:paraId="236E9A28" w14:textId="77777777" w:rsidR="000E7DCD" w:rsidRPr="00F6387C" w:rsidRDefault="000E7DCD" w:rsidP="000E7DCD">
            <w:pPr>
              <w:pStyle w:val="Tabletext"/>
              <w:keepNext/>
              <w:jc w:val="center"/>
            </w:pPr>
            <w:r w:rsidRPr="00F6387C">
              <w:t xml:space="preserve">0.36 ± 0.58 </w:t>
            </w:r>
            <w:r w:rsidRPr="00F6387C">
              <w:rPr>
                <w:vertAlign w:val="superscript"/>
              </w:rPr>
              <w:t>a</w:t>
            </w:r>
          </w:p>
        </w:tc>
        <w:tc>
          <w:tcPr>
            <w:tcW w:w="1922" w:type="dxa"/>
          </w:tcPr>
          <w:p w14:paraId="651CA31B" w14:textId="77777777" w:rsidR="000E7DCD" w:rsidRPr="00F6387C" w:rsidRDefault="000E7DCD" w:rsidP="000E7DCD">
            <w:pPr>
              <w:pStyle w:val="Tabletext"/>
              <w:keepNext/>
              <w:jc w:val="center"/>
            </w:pPr>
            <w:r w:rsidRPr="00F6387C">
              <w:t>0.0</w:t>
            </w:r>
          </w:p>
        </w:tc>
        <w:tc>
          <w:tcPr>
            <w:tcW w:w="2058" w:type="dxa"/>
          </w:tcPr>
          <w:p w14:paraId="16AA33F4" w14:textId="77777777" w:rsidR="000E7DCD" w:rsidRPr="00F6387C" w:rsidRDefault="000E7DCD" w:rsidP="000E7DCD">
            <w:pPr>
              <w:pStyle w:val="Tabletext"/>
              <w:keepNext/>
              <w:jc w:val="center"/>
            </w:pPr>
            <w:r w:rsidRPr="00F6387C">
              <w:t>0.0-1.0</w:t>
            </w:r>
          </w:p>
        </w:tc>
      </w:tr>
      <w:tr w:rsidR="000E7DCD" w:rsidRPr="00F6387C" w14:paraId="4A2A247E" w14:textId="77777777" w:rsidTr="00540CC4">
        <w:trPr>
          <w:trHeight w:val="60"/>
        </w:trPr>
        <w:tc>
          <w:tcPr>
            <w:tcW w:w="2689" w:type="dxa"/>
            <w:shd w:val="clear" w:color="auto" w:fill="auto"/>
            <w:vAlign w:val="center"/>
          </w:tcPr>
          <w:p w14:paraId="4DF03D35" w14:textId="77777777" w:rsidR="000E7DCD" w:rsidRPr="00F6387C" w:rsidRDefault="000E7DCD" w:rsidP="000E7DCD">
            <w:pPr>
              <w:pStyle w:val="Tabletext"/>
              <w:keepNext/>
            </w:pPr>
            <w:r w:rsidRPr="00F6387C">
              <w:t>ARR Year 4, mean (SD) N = 35</w:t>
            </w:r>
          </w:p>
        </w:tc>
        <w:tc>
          <w:tcPr>
            <w:tcW w:w="2409" w:type="dxa"/>
            <w:shd w:val="clear" w:color="auto" w:fill="auto"/>
            <w:vAlign w:val="center"/>
          </w:tcPr>
          <w:p w14:paraId="1468E9E8" w14:textId="77777777" w:rsidR="000E7DCD" w:rsidRPr="00F6387C" w:rsidRDefault="000E7DCD" w:rsidP="000E7DCD">
            <w:pPr>
              <w:pStyle w:val="Tabletext"/>
              <w:keepNext/>
              <w:jc w:val="center"/>
            </w:pPr>
            <w:r w:rsidRPr="00F6387C">
              <w:t>0.17 ± 0.38</w:t>
            </w:r>
            <w:r w:rsidRPr="00F6387C">
              <w:rPr>
                <w:vertAlign w:val="superscript"/>
              </w:rPr>
              <w:t xml:space="preserve"> a</w:t>
            </w:r>
          </w:p>
        </w:tc>
        <w:tc>
          <w:tcPr>
            <w:tcW w:w="1922" w:type="dxa"/>
          </w:tcPr>
          <w:p w14:paraId="17E21FFB" w14:textId="77777777" w:rsidR="000E7DCD" w:rsidRPr="00F6387C" w:rsidRDefault="000E7DCD" w:rsidP="000E7DCD">
            <w:pPr>
              <w:pStyle w:val="Tabletext"/>
              <w:keepNext/>
              <w:jc w:val="center"/>
            </w:pPr>
            <w:r w:rsidRPr="00F6387C">
              <w:t>0.0</w:t>
            </w:r>
          </w:p>
        </w:tc>
        <w:tc>
          <w:tcPr>
            <w:tcW w:w="2058" w:type="dxa"/>
          </w:tcPr>
          <w:p w14:paraId="58F1AA96" w14:textId="77777777" w:rsidR="000E7DCD" w:rsidRPr="00F6387C" w:rsidRDefault="000E7DCD" w:rsidP="000E7DCD">
            <w:pPr>
              <w:pStyle w:val="Tabletext"/>
              <w:keepNext/>
              <w:jc w:val="center"/>
            </w:pPr>
            <w:r w:rsidRPr="00F6387C">
              <w:t>0.0-1.0</w:t>
            </w:r>
          </w:p>
        </w:tc>
      </w:tr>
      <w:tr w:rsidR="000E7DCD" w:rsidRPr="00F6387C" w14:paraId="7DD84994" w14:textId="77777777" w:rsidTr="00540CC4">
        <w:trPr>
          <w:trHeight w:val="60"/>
        </w:trPr>
        <w:tc>
          <w:tcPr>
            <w:tcW w:w="2689" w:type="dxa"/>
            <w:shd w:val="clear" w:color="auto" w:fill="auto"/>
            <w:vAlign w:val="center"/>
          </w:tcPr>
          <w:p w14:paraId="4DC6D41C" w14:textId="77777777" w:rsidR="000E7DCD" w:rsidRPr="00F6387C" w:rsidRDefault="000E7DCD" w:rsidP="000E7DCD">
            <w:pPr>
              <w:pStyle w:val="Tabletext"/>
              <w:keepNext/>
              <w:rPr>
                <w:b/>
                <w:bCs/>
              </w:rPr>
            </w:pPr>
            <w:r w:rsidRPr="00F6387C">
              <w:rPr>
                <w:b/>
                <w:bCs/>
              </w:rPr>
              <w:t>Relapse free</w:t>
            </w:r>
          </w:p>
        </w:tc>
        <w:tc>
          <w:tcPr>
            <w:tcW w:w="6389" w:type="dxa"/>
            <w:gridSpan w:val="3"/>
            <w:shd w:val="clear" w:color="auto" w:fill="auto"/>
            <w:vAlign w:val="center"/>
          </w:tcPr>
          <w:p w14:paraId="5FC403F2" w14:textId="77777777" w:rsidR="000E7DCD" w:rsidRPr="00F6387C" w:rsidRDefault="000E7DCD" w:rsidP="000E7DCD">
            <w:pPr>
              <w:pStyle w:val="Tabletext"/>
              <w:keepNext/>
              <w:jc w:val="center"/>
              <w:rPr>
                <w:b/>
                <w:bCs/>
              </w:rPr>
            </w:pPr>
            <w:r w:rsidRPr="00F6387C">
              <w:rPr>
                <w:b/>
                <w:bCs/>
              </w:rPr>
              <w:t>N (%)</w:t>
            </w:r>
          </w:p>
        </w:tc>
      </w:tr>
      <w:tr w:rsidR="000E7DCD" w:rsidRPr="00F6387C" w14:paraId="508F23D0" w14:textId="77777777" w:rsidTr="00540CC4">
        <w:tc>
          <w:tcPr>
            <w:tcW w:w="2689" w:type="dxa"/>
            <w:shd w:val="clear" w:color="auto" w:fill="auto"/>
            <w:vAlign w:val="center"/>
          </w:tcPr>
          <w:p w14:paraId="6D8BBDD4" w14:textId="77777777" w:rsidR="000E7DCD" w:rsidRPr="00F6387C" w:rsidRDefault="000E7DCD" w:rsidP="000E7DCD">
            <w:pPr>
              <w:pStyle w:val="Tabletext"/>
              <w:keepNext/>
            </w:pPr>
            <w:r w:rsidRPr="00F6387C">
              <w:t xml:space="preserve">Relapse free Year 3, </w:t>
            </w:r>
          </w:p>
        </w:tc>
        <w:tc>
          <w:tcPr>
            <w:tcW w:w="6389" w:type="dxa"/>
            <w:gridSpan w:val="3"/>
            <w:shd w:val="clear" w:color="auto" w:fill="auto"/>
            <w:vAlign w:val="center"/>
          </w:tcPr>
          <w:p w14:paraId="24FE7304" w14:textId="77777777" w:rsidR="000E7DCD" w:rsidRPr="00F6387C" w:rsidRDefault="000E7DCD" w:rsidP="000E7DCD">
            <w:pPr>
              <w:pStyle w:val="Tabletext"/>
              <w:keepNext/>
              <w:jc w:val="center"/>
            </w:pPr>
            <w:r w:rsidRPr="00F6387C">
              <w:t>42/61 (68.9%)</w:t>
            </w:r>
          </w:p>
        </w:tc>
      </w:tr>
      <w:tr w:rsidR="000E7DCD" w:rsidRPr="00F6387C" w14:paraId="00E6FA3D" w14:textId="77777777" w:rsidTr="00540CC4">
        <w:tc>
          <w:tcPr>
            <w:tcW w:w="2689" w:type="dxa"/>
            <w:shd w:val="clear" w:color="auto" w:fill="auto"/>
            <w:vAlign w:val="center"/>
          </w:tcPr>
          <w:p w14:paraId="1E5DC7B8" w14:textId="77777777" w:rsidR="000E7DCD" w:rsidRPr="00F6387C" w:rsidRDefault="000E7DCD" w:rsidP="000E7DCD">
            <w:pPr>
              <w:pStyle w:val="Tabletext"/>
              <w:keepNext/>
            </w:pPr>
            <w:r w:rsidRPr="00F6387C">
              <w:t>Relapse free Year 4</w:t>
            </w:r>
          </w:p>
        </w:tc>
        <w:tc>
          <w:tcPr>
            <w:tcW w:w="6389" w:type="dxa"/>
            <w:gridSpan w:val="3"/>
            <w:shd w:val="clear" w:color="auto" w:fill="auto"/>
            <w:vAlign w:val="center"/>
          </w:tcPr>
          <w:p w14:paraId="0EC39991" w14:textId="77777777" w:rsidR="000E7DCD" w:rsidRPr="00F6387C" w:rsidRDefault="000E7DCD" w:rsidP="000E7DCD">
            <w:pPr>
              <w:pStyle w:val="Tabletext"/>
              <w:keepNext/>
              <w:jc w:val="center"/>
            </w:pPr>
            <w:r w:rsidRPr="00F6387C">
              <w:t>29/35 (82.9%)</w:t>
            </w:r>
          </w:p>
        </w:tc>
      </w:tr>
    </w:tbl>
    <w:p w14:paraId="381AB03B" w14:textId="77777777" w:rsidR="000E7DCD" w:rsidRPr="00F6387C" w:rsidRDefault="000E7DCD" w:rsidP="000E7DCD">
      <w:pPr>
        <w:pStyle w:val="FooterTableFigure"/>
        <w:keepNext/>
      </w:pPr>
      <w:r w:rsidRPr="00F6387C">
        <w:t>ARR = annual relapse rate; IQR = interquartile range; SD = standard deviation</w:t>
      </w:r>
    </w:p>
    <w:p w14:paraId="72E79881" w14:textId="77777777" w:rsidR="000E7DCD" w:rsidRPr="00F6387C" w:rsidRDefault="000E7DCD" w:rsidP="000E7DCD">
      <w:pPr>
        <w:pStyle w:val="FooterTableFigure"/>
        <w:keepNext/>
        <w:tabs>
          <w:tab w:val="left" w:pos="284"/>
        </w:tabs>
      </w:pPr>
      <w:r w:rsidRPr="00F6387C">
        <w:rPr>
          <w:vertAlign w:val="superscript"/>
        </w:rPr>
        <w:t>a</w:t>
      </w:r>
      <w:r w:rsidRPr="00F6387C">
        <w:tab/>
        <w:t>The decrease in mean ARR from the year prior to the study compared to years 3 and 4 was statistically significant, p &lt; 0.0001.</w:t>
      </w:r>
    </w:p>
    <w:p w14:paraId="39D286B3" w14:textId="3B4A5CD2" w:rsidR="000E7DCD" w:rsidRPr="00F6387C" w:rsidRDefault="000E7DCD" w:rsidP="000E7DCD">
      <w:pPr>
        <w:pStyle w:val="FooterTableFigure"/>
        <w:keepNext/>
      </w:pPr>
      <w:r w:rsidRPr="00F6387C">
        <w:t xml:space="preserve">Source: Table 13, p44 of the resubmission and Table 2 of </w:t>
      </w:r>
      <w:proofErr w:type="spellStart"/>
      <w:r w:rsidRPr="00F6387C">
        <w:t>Magalashvili</w:t>
      </w:r>
      <w:proofErr w:type="spellEnd"/>
      <w:r w:rsidRPr="00F6387C">
        <w:t xml:space="preserve"> 2022</w:t>
      </w:r>
    </w:p>
    <w:p w14:paraId="5C8641FD" w14:textId="1899CBEF" w:rsidR="000E7DCD" w:rsidRPr="00F6387C" w:rsidRDefault="000E7DCD" w:rsidP="000E7DCD">
      <w:pPr>
        <w:pStyle w:val="3-BodyText"/>
      </w:pPr>
      <w:bookmarkStart w:id="43" w:name="_Ref151124027"/>
      <w:proofErr w:type="spellStart"/>
      <w:r w:rsidRPr="00F6387C">
        <w:t>Magalashvili</w:t>
      </w:r>
      <w:proofErr w:type="spellEnd"/>
      <w:r w:rsidRPr="00F6387C">
        <w:t xml:space="preserve"> 2022 reported that no evidence of disease activity (NEDA-2) was achieved for 59.0% (36/61) of patients in year 3, and for 74.3% (26/35) in year 4 of cladribine treatment. </w:t>
      </w:r>
      <w:r w:rsidRPr="00F6387C">
        <w:fldChar w:fldCharType="begin" w:fldLock="1"/>
      </w:r>
      <w:r w:rsidRPr="00F6387C">
        <w:instrText xml:space="preserve"> REF _Ref142817035 \h </w:instrText>
      </w:r>
      <w:r w:rsidRPr="00F6387C">
        <w:fldChar w:fldCharType="separate"/>
      </w:r>
      <w:r w:rsidR="000D404D" w:rsidRPr="00F6387C">
        <w:t>Table 8</w:t>
      </w:r>
      <w:r w:rsidRPr="00F6387C">
        <w:fldChar w:fldCharType="end"/>
      </w:r>
      <w:r w:rsidRPr="00F6387C">
        <w:t xml:space="preserve"> provides further details.</w:t>
      </w:r>
      <w:bookmarkEnd w:id="43"/>
    </w:p>
    <w:p w14:paraId="259E7342" w14:textId="0F508B1C" w:rsidR="000E7DCD" w:rsidRPr="00F6387C" w:rsidRDefault="000E7DCD" w:rsidP="000E7DCD">
      <w:pPr>
        <w:pStyle w:val="Caption"/>
      </w:pPr>
      <w:bookmarkStart w:id="44" w:name="_Ref142817035"/>
      <w:r w:rsidRPr="00F6387C">
        <w:t xml:space="preserve">Table </w:t>
      </w:r>
      <w:fldSimple w:instr=" SEQ Table \* ARABIC " w:fldLock="1">
        <w:r w:rsidR="000D404D" w:rsidRPr="00F6387C">
          <w:t>8</w:t>
        </w:r>
      </w:fldSimple>
      <w:bookmarkEnd w:id="44"/>
      <w:r w:rsidRPr="00F6387C">
        <w:t>: Clinical characteristics of cladribine treatment responders and non-responders by NEDA-2</w:t>
      </w:r>
    </w:p>
    <w:tbl>
      <w:tblPr>
        <w:tblStyle w:val="TableGrid"/>
        <w:tblW w:w="9068" w:type="dxa"/>
        <w:tblLook w:val="04A0" w:firstRow="1" w:lastRow="0" w:firstColumn="1" w:lastColumn="0" w:noHBand="0" w:noVBand="1"/>
        <w:tblCaption w:val="Table 8: Clinical characteristics of cladribine treatment responders and non-responders by NEDA-2"/>
        <w:tblDescription w:val="Table 8: Clinical characteristics of cladribine treatment responders and non-responders by NEDA-2"/>
      </w:tblPr>
      <w:tblGrid>
        <w:gridCol w:w="2547"/>
        <w:gridCol w:w="1560"/>
        <w:gridCol w:w="1701"/>
        <w:gridCol w:w="1559"/>
        <w:gridCol w:w="1701"/>
      </w:tblGrid>
      <w:tr w:rsidR="000E7DCD" w:rsidRPr="00F6387C" w14:paraId="6CBE5796" w14:textId="77777777" w:rsidTr="00540CC4">
        <w:tc>
          <w:tcPr>
            <w:tcW w:w="2547" w:type="dxa"/>
            <w:vMerge w:val="restart"/>
            <w:shd w:val="clear" w:color="auto" w:fill="auto"/>
            <w:vAlign w:val="center"/>
          </w:tcPr>
          <w:p w14:paraId="4AB8777A" w14:textId="77777777" w:rsidR="000E7DCD" w:rsidRPr="00F6387C" w:rsidRDefault="000E7DCD" w:rsidP="00540CC4">
            <w:pPr>
              <w:pStyle w:val="In-tableHeading"/>
              <w:rPr>
                <w:lang w:val="en-AU"/>
              </w:rPr>
            </w:pPr>
            <w:r w:rsidRPr="00F6387C">
              <w:rPr>
                <w:lang w:val="en-AU"/>
              </w:rPr>
              <w:t>Characteristic</w:t>
            </w:r>
          </w:p>
        </w:tc>
        <w:tc>
          <w:tcPr>
            <w:tcW w:w="3261" w:type="dxa"/>
            <w:gridSpan w:val="2"/>
            <w:shd w:val="clear" w:color="auto" w:fill="auto"/>
            <w:vAlign w:val="center"/>
          </w:tcPr>
          <w:p w14:paraId="21CC6E9F" w14:textId="77777777" w:rsidR="000E7DCD" w:rsidRPr="00F6387C" w:rsidRDefault="000E7DCD" w:rsidP="00540CC4">
            <w:pPr>
              <w:pStyle w:val="In-tableHeading"/>
              <w:jc w:val="center"/>
              <w:rPr>
                <w:lang w:val="en-AU"/>
              </w:rPr>
            </w:pPr>
            <w:r w:rsidRPr="00F6387C">
              <w:rPr>
                <w:lang w:val="en-AU"/>
              </w:rPr>
              <w:t>Year-3, n=61</w:t>
            </w:r>
          </w:p>
        </w:tc>
        <w:tc>
          <w:tcPr>
            <w:tcW w:w="3260" w:type="dxa"/>
            <w:gridSpan w:val="2"/>
            <w:shd w:val="clear" w:color="auto" w:fill="auto"/>
            <w:vAlign w:val="center"/>
          </w:tcPr>
          <w:p w14:paraId="3ABC816F" w14:textId="77777777" w:rsidR="000E7DCD" w:rsidRPr="00F6387C" w:rsidRDefault="000E7DCD" w:rsidP="00540CC4">
            <w:pPr>
              <w:pStyle w:val="In-tableHeading"/>
              <w:jc w:val="center"/>
              <w:rPr>
                <w:lang w:val="en-AU"/>
              </w:rPr>
            </w:pPr>
            <w:r w:rsidRPr="00F6387C">
              <w:rPr>
                <w:lang w:val="en-AU"/>
              </w:rPr>
              <w:t>Year-4, n=35</w:t>
            </w:r>
          </w:p>
        </w:tc>
      </w:tr>
      <w:tr w:rsidR="000E7DCD" w:rsidRPr="00F6387C" w14:paraId="7D7233AD" w14:textId="77777777" w:rsidTr="00540CC4">
        <w:tc>
          <w:tcPr>
            <w:tcW w:w="2547" w:type="dxa"/>
            <w:vMerge/>
            <w:shd w:val="clear" w:color="auto" w:fill="auto"/>
            <w:vAlign w:val="center"/>
          </w:tcPr>
          <w:p w14:paraId="5D3314A5" w14:textId="77777777" w:rsidR="000E7DCD" w:rsidRPr="00F6387C" w:rsidRDefault="000E7DCD" w:rsidP="00540CC4">
            <w:pPr>
              <w:pStyle w:val="In-tableHeading"/>
              <w:rPr>
                <w:lang w:val="en-AU"/>
              </w:rPr>
            </w:pPr>
          </w:p>
        </w:tc>
        <w:tc>
          <w:tcPr>
            <w:tcW w:w="1560" w:type="dxa"/>
            <w:shd w:val="clear" w:color="auto" w:fill="auto"/>
            <w:vAlign w:val="center"/>
          </w:tcPr>
          <w:p w14:paraId="0BABE13A" w14:textId="77777777" w:rsidR="000E7DCD" w:rsidRPr="00F6387C" w:rsidRDefault="000E7DCD" w:rsidP="00540CC4">
            <w:pPr>
              <w:pStyle w:val="In-tableHeading"/>
              <w:jc w:val="center"/>
              <w:rPr>
                <w:lang w:val="en-AU"/>
              </w:rPr>
            </w:pPr>
            <w:r w:rsidRPr="00F6387C">
              <w:rPr>
                <w:lang w:val="en-AU"/>
              </w:rPr>
              <w:t xml:space="preserve">Responders </w:t>
            </w:r>
            <w:r w:rsidRPr="00F6387C">
              <w:rPr>
                <w:vertAlign w:val="superscript"/>
                <w:lang w:val="en-AU"/>
              </w:rPr>
              <w:t>a</w:t>
            </w:r>
          </w:p>
          <w:p w14:paraId="5BEC1508" w14:textId="77777777" w:rsidR="000E7DCD" w:rsidRPr="00F6387C" w:rsidRDefault="000E7DCD" w:rsidP="00540CC4">
            <w:pPr>
              <w:pStyle w:val="In-tableHeading"/>
              <w:jc w:val="center"/>
              <w:rPr>
                <w:lang w:val="en-AU"/>
              </w:rPr>
            </w:pPr>
            <w:r w:rsidRPr="00F6387C">
              <w:rPr>
                <w:lang w:val="en-AU"/>
              </w:rPr>
              <w:t>n=36, 59%</w:t>
            </w:r>
          </w:p>
        </w:tc>
        <w:tc>
          <w:tcPr>
            <w:tcW w:w="1701" w:type="dxa"/>
            <w:shd w:val="clear" w:color="auto" w:fill="auto"/>
            <w:vAlign w:val="center"/>
          </w:tcPr>
          <w:p w14:paraId="0AEFBF22" w14:textId="77777777" w:rsidR="000E7DCD" w:rsidRPr="00F6387C" w:rsidRDefault="000E7DCD" w:rsidP="00540CC4">
            <w:pPr>
              <w:pStyle w:val="In-tableHeading"/>
              <w:jc w:val="center"/>
              <w:rPr>
                <w:lang w:val="en-AU"/>
              </w:rPr>
            </w:pPr>
            <w:r w:rsidRPr="00F6387C">
              <w:rPr>
                <w:lang w:val="en-AU"/>
              </w:rPr>
              <w:t>Non-responders</w:t>
            </w:r>
          </w:p>
          <w:p w14:paraId="2A842C0E" w14:textId="77777777" w:rsidR="000E7DCD" w:rsidRPr="00F6387C" w:rsidRDefault="000E7DCD" w:rsidP="00540CC4">
            <w:pPr>
              <w:pStyle w:val="In-tableHeading"/>
              <w:jc w:val="center"/>
              <w:rPr>
                <w:lang w:val="en-AU"/>
              </w:rPr>
            </w:pPr>
            <w:r w:rsidRPr="00F6387C">
              <w:rPr>
                <w:lang w:val="en-AU"/>
              </w:rPr>
              <w:t>n=25, 41%</w:t>
            </w:r>
          </w:p>
        </w:tc>
        <w:tc>
          <w:tcPr>
            <w:tcW w:w="1559" w:type="dxa"/>
            <w:shd w:val="clear" w:color="auto" w:fill="auto"/>
            <w:vAlign w:val="center"/>
          </w:tcPr>
          <w:p w14:paraId="2B9AF179" w14:textId="77777777" w:rsidR="000E7DCD" w:rsidRPr="00F6387C" w:rsidRDefault="000E7DCD" w:rsidP="00540CC4">
            <w:pPr>
              <w:pStyle w:val="In-tableHeading"/>
              <w:jc w:val="center"/>
              <w:rPr>
                <w:lang w:val="en-AU"/>
              </w:rPr>
            </w:pPr>
            <w:r w:rsidRPr="00F6387C">
              <w:rPr>
                <w:lang w:val="en-AU"/>
              </w:rPr>
              <w:t xml:space="preserve">Responders </w:t>
            </w:r>
            <w:r w:rsidRPr="00F6387C">
              <w:rPr>
                <w:vertAlign w:val="superscript"/>
                <w:lang w:val="en-AU"/>
              </w:rPr>
              <w:t>a</w:t>
            </w:r>
          </w:p>
          <w:p w14:paraId="722E875F" w14:textId="77777777" w:rsidR="000E7DCD" w:rsidRPr="00F6387C" w:rsidRDefault="000E7DCD" w:rsidP="00540CC4">
            <w:pPr>
              <w:pStyle w:val="In-tableHeading"/>
              <w:jc w:val="center"/>
              <w:rPr>
                <w:lang w:val="en-AU"/>
              </w:rPr>
            </w:pPr>
            <w:r w:rsidRPr="00F6387C">
              <w:rPr>
                <w:lang w:val="en-AU"/>
              </w:rPr>
              <w:t>n=26, 74.3%</w:t>
            </w:r>
          </w:p>
        </w:tc>
        <w:tc>
          <w:tcPr>
            <w:tcW w:w="1701" w:type="dxa"/>
            <w:shd w:val="clear" w:color="auto" w:fill="auto"/>
            <w:vAlign w:val="center"/>
          </w:tcPr>
          <w:p w14:paraId="7E0C2E3C" w14:textId="77777777" w:rsidR="000E7DCD" w:rsidRPr="00F6387C" w:rsidRDefault="000E7DCD" w:rsidP="00540CC4">
            <w:pPr>
              <w:pStyle w:val="In-tableHeading"/>
              <w:jc w:val="center"/>
              <w:rPr>
                <w:lang w:val="en-AU"/>
              </w:rPr>
            </w:pPr>
            <w:r w:rsidRPr="00F6387C">
              <w:rPr>
                <w:lang w:val="en-AU"/>
              </w:rPr>
              <w:t>Non-responders</w:t>
            </w:r>
          </w:p>
          <w:p w14:paraId="3456B533" w14:textId="77777777" w:rsidR="000E7DCD" w:rsidRPr="00F6387C" w:rsidRDefault="000E7DCD" w:rsidP="00540CC4">
            <w:pPr>
              <w:pStyle w:val="In-tableHeading"/>
              <w:jc w:val="center"/>
              <w:rPr>
                <w:lang w:val="en-AU"/>
              </w:rPr>
            </w:pPr>
            <w:r w:rsidRPr="00F6387C">
              <w:rPr>
                <w:lang w:val="en-AU"/>
              </w:rPr>
              <w:t>n=9, 25.7%</w:t>
            </w:r>
          </w:p>
        </w:tc>
      </w:tr>
      <w:tr w:rsidR="000E7DCD" w:rsidRPr="00F6387C" w14:paraId="1FEA2F12" w14:textId="77777777" w:rsidTr="00540CC4">
        <w:tc>
          <w:tcPr>
            <w:tcW w:w="2547" w:type="dxa"/>
            <w:shd w:val="clear" w:color="auto" w:fill="auto"/>
            <w:vAlign w:val="center"/>
          </w:tcPr>
          <w:p w14:paraId="21355EFF" w14:textId="77777777" w:rsidR="000E7DCD" w:rsidRPr="00F6387C" w:rsidRDefault="000E7DCD" w:rsidP="00540CC4">
            <w:pPr>
              <w:pStyle w:val="TableText0"/>
            </w:pPr>
            <w:r w:rsidRPr="00F6387C">
              <w:t>Sex F/M, n</w:t>
            </w:r>
          </w:p>
        </w:tc>
        <w:tc>
          <w:tcPr>
            <w:tcW w:w="1560" w:type="dxa"/>
            <w:shd w:val="clear" w:color="auto" w:fill="auto"/>
            <w:vAlign w:val="center"/>
          </w:tcPr>
          <w:p w14:paraId="178A2CE3" w14:textId="77777777" w:rsidR="000E7DCD" w:rsidRPr="00F6387C" w:rsidRDefault="000E7DCD" w:rsidP="00540CC4">
            <w:pPr>
              <w:pStyle w:val="TableText0"/>
              <w:jc w:val="center"/>
            </w:pPr>
            <w:r w:rsidRPr="00F6387C">
              <w:t>26/10</w:t>
            </w:r>
          </w:p>
        </w:tc>
        <w:tc>
          <w:tcPr>
            <w:tcW w:w="1701" w:type="dxa"/>
            <w:shd w:val="clear" w:color="auto" w:fill="auto"/>
            <w:vAlign w:val="center"/>
          </w:tcPr>
          <w:p w14:paraId="2AE8C88C" w14:textId="77777777" w:rsidR="000E7DCD" w:rsidRPr="00F6387C" w:rsidRDefault="000E7DCD" w:rsidP="00540CC4">
            <w:pPr>
              <w:pStyle w:val="TableText0"/>
              <w:jc w:val="center"/>
            </w:pPr>
            <w:r w:rsidRPr="00F6387C">
              <w:t>17/8</w:t>
            </w:r>
          </w:p>
        </w:tc>
        <w:tc>
          <w:tcPr>
            <w:tcW w:w="1559" w:type="dxa"/>
            <w:shd w:val="clear" w:color="auto" w:fill="auto"/>
            <w:vAlign w:val="center"/>
          </w:tcPr>
          <w:p w14:paraId="3F6272A9" w14:textId="77777777" w:rsidR="000E7DCD" w:rsidRPr="00F6387C" w:rsidRDefault="000E7DCD" w:rsidP="00540CC4">
            <w:pPr>
              <w:pStyle w:val="TableText0"/>
              <w:jc w:val="center"/>
            </w:pPr>
            <w:r w:rsidRPr="00F6387C">
              <w:t>18/8</w:t>
            </w:r>
          </w:p>
        </w:tc>
        <w:tc>
          <w:tcPr>
            <w:tcW w:w="1701" w:type="dxa"/>
            <w:shd w:val="clear" w:color="auto" w:fill="auto"/>
            <w:vAlign w:val="center"/>
          </w:tcPr>
          <w:p w14:paraId="3ED58207" w14:textId="77777777" w:rsidR="000E7DCD" w:rsidRPr="00F6387C" w:rsidRDefault="000E7DCD" w:rsidP="00540CC4">
            <w:pPr>
              <w:pStyle w:val="TableText0"/>
              <w:jc w:val="center"/>
            </w:pPr>
            <w:r w:rsidRPr="00F6387C">
              <w:t>5/4</w:t>
            </w:r>
          </w:p>
        </w:tc>
      </w:tr>
      <w:tr w:rsidR="000E7DCD" w:rsidRPr="00F6387C" w14:paraId="2E19404B" w14:textId="77777777" w:rsidTr="00540CC4">
        <w:tc>
          <w:tcPr>
            <w:tcW w:w="2547" w:type="dxa"/>
            <w:shd w:val="clear" w:color="auto" w:fill="auto"/>
            <w:vAlign w:val="center"/>
          </w:tcPr>
          <w:p w14:paraId="761C87EC" w14:textId="77777777" w:rsidR="000E7DCD" w:rsidRPr="00F6387C" w:rsidRDefault="000E7DCD" w:rsidP="00540CC4">
            <w:pPr>
              <w:pStyle w:val="TableText0"/>
            </w:pPr>
            <w:r w:rsidRPr="00F6387C">
              <w:t>Sex F/M, %</w:t>
            </w:r>
          </w:p>
        </w:tc>
        <w:tc>
          <w:tcPr>
            <w:tcW w:w="1560" w:type="dxa"/>
            <w:shd w:val="clear" w:color="auto" w:fill="auto"/>
            <w:vAlign w:val="center"/>
          </w:tcPr>
          <w:p w14:paraId="3F976664" w14:textId="77777777" w:rsidR="000E7DCD" w:rsidRPr="00F6387C" w:rsidRDefault="000E7DCD" w:rsidP="00540CC4">
            <w:pPr>
              <w:pStyle w:val="TableText0"/>
              <w:jc w:val="center"/>
            </w:pPr>
            <w:r w:rsidRPr="00F6387C">
              <w:t>72.2/27.8</w:t>
            </w:r>
          </w:p>
        </w:tc>
        <w:tc>
          <w:tcPr>
            <w:tcW w:w="1701" w:type="dxa"/>
            <w:shd w:val="clear" w:color="auto" w:fill="auto"/>
            <w:vAlign w:val="center"/>
          </w:tcPr>
          <w:p w14:paraId="2E3FD555" w14:textId="77777777" w:rsidR="000E7DCD" w:rsidRPr="00F6387C" w:rsidRDefault="000E7DCD" w:rsidP="00540CC4">
            <w:pPr>
              <w:pStyle w:val="TableText0"/>
              <w:jc w:val="center"/>
            </w:pPr>
            <w:r w:rsidRPr="00F6387C">
              <w:t>68/32</w:t>
            </w:r>
          </w:p>
        </w:tc>
        <w:tc>
          <w:tcPr>
            <w:tcW w:w="1559" w:type="dxa"/>
            <w:shd w:val="clear" w:color="auto" w:fill="auto"/>
            <w:vAlign w:val="center"/>
          </w:tcPr>
          <w:p w14:paraId="61E7F0E6" w14:textId="77777777" w:rsidR="000E7DCD" w:rsidRPr="00F6387C" w:rsidRDefault="000E7DCD" w:rsidP="00540CC4">
            <w:pPr>
              <w:pStyle w:val="TableText0"/>
              <w:jc w:val="center"/>
            </w:pPr>
            <w:r w:rsidRPr="00F6387C">
              <w:t>69.2/30.8</w:t>
            </w:r>
          </w:p>
        </w:tc>
        <w:tc>
          <w:tcPr>
            <w:tcW w:w="1701" w:type="dxa"/>
            <w:shd w:val="clear" w:color="auto" w:fill="auto"/>
            <w:vAlign w:val="center"/>
          </w:tcPr>
          <w:p w14:paraId="1A118B49" w14:textId="77777777" w:rsidR="000E7DCD" w:rsidRPr="00F6387C" w:rsidRDefault="000E7DCD" w:rsidP="00540CC4">
            <w:pPr>
              <w:pStyle w:val="TableText0"/>
              <w:jc w:val="center"/>
            </w:pPr>
            <w:r w:rsidRPr="00F6387C">
              <w:t>55.6/44.4</w:t>
            </w:r>
          </w:p>
        </w:tc>
      </w:tr>
      <w:tr w:rsidR="000E7DCD" w:rsidRPr="00F6387C" w14:paraId="77E31F8A" w14:textId="77777777" w:rsidTr="00540CC4">
        <w:tc>
          <w:tcPr>
            <w:tcW w:w="2547" w:type="dxa"/>
            <w:shd w:val="clear" w:color="auto" w:fill="auto"/>
            <w:vAlign w:val="center"/>
          </w:tcPr>
          <w:p w14:paraId="19C44FBF" w14:textId="77777777" w:rsidR="000E7DCD" w:rsidRPr="00F6387C" w:rsidRDefault="000E7DCD" w:rsidP="00540CC4">
            <w:pPr>
              <w:pStyle w:val="TableText0"/>
            </w:pPr>
            <w:r w:rsidRPr="00F6387C">
              <w:t>Age, years</w:t>
            </w:r>
          </w:p>
        </w:tc>
        <w:tc>
          <w:tcPr>
            <w:tcW w:w="1560" w:type="dxa"/>
            <w:shd w:val="clear" w:color="auto" w:fill="auto"/>
            <w:vAlign w:val="center"/>
          </w:tcPr>
          <w:p w14:paraId="1B340557" w14:textId="77777777" w:rsidR="000E7DCD" w:rsidRPr="00F6387C" w:rsidRDefault="000E7DCD" w:rsidP="00540CC4">
            <w:pPr>
              <w:pStyle w:val="TableText0"/>
              <w:jc w:val="center"/>
            </w:pPr>
            <w:r w:rsidRPr="00F6387C">
              <w:t>40.9</w:t>
            </w:r>
          </w:p>
        </w:tc>
        <w:tc>
          <w:tcPr>
            <w:tcW w:w="1701" w:type="dxa"/>
            <w:shd w:val="clear" w:color="auto" w:fill="auto"/>
            <w:vAlign w:val="center"/>
          </w:tcPr>
          <w:p w14:paraId="35BDA1DD" w14:textId="77777777" w:rsidR="000E7DCD" w:rsidRPr="00F6387C" w:rsidRDefault="000E7DCD" w:rsidP="00540CC4">
            <w:pPr>
              <w:pStyle w:val="TableText0"/>
              <w:jc w:val="center"/>
            </w:pPr>
            <w:r w:rsidRPr="00F6387C">
              <w:t>37.6</w:t>
            </w:r>
          </w:p>
        </w:tc>
        <w:tc>
          <w:tcPr>
            <w:tcW w:w="1559" w:type="dxa"/>
            <w:shd w:val="clear" w:color="auto" w:fill="auto"/>
            <w:vAlign w:val="center"/>
          </w:tcPr>
          <w:p w14:paraId="46F76B29" w14:textId="77777777" w:rsidR="000E7DCD" w:rsidRPr="00F6387C" w:rsidRDefault="000E7DCD" w:rsidP="00540CC4">
            <w:pPr>
              <w:pStyle w:val="TableText0"/>
              <w:jc w:val="center"/>
            </w:pPr>
            <w:r w:rsidRPr="00F6387C">
              <w:t>38.5</w:t>
            </w:r>
          </w:p>
        </w:tc>
        <w:tc>
          <w:tcPr>
            <w:tcW w:w="1701" w:type="dxa"/>
            <w:shd w:val="clear" w:color="auto" w:fill="auto"/>
            <w:vAlign w:val="center"/>
          </w:tcPr>
          <w:p w14:paraId="1CD6CF80" w14:textId="77777777" w:rsidR="000E7DCD" w:rsidRPr="00F6387C" w:rsidRDefault="000E7DCD" w:rsidP="00540CC4">
            <w:pPr>
              <w:pStyle w:val="TableText0"/>
              <w:jc w:val="center"/>
            </w:pPr>
            <w:r w:rsidRPr="00F6387C">
              <w:t>37.8</w:t>
            </w:r>
          </w:p>
        </w:tc>
      </w:tr>
      <w:tr w:rsidR="000E7DCD" w:rsidRPr="00F6387C" w14:paraId="50FBE1CE" w14:textId="77777777" w:rsidTr="00540CC4">
        <w:tc>
          <w:tcPr>
            <w:tcW w:w="2547" w:type="dxa"/>
            <w:shd w:val="clear" w:color="auto" w:fill="auto"/>
            <w:vAlign w:val="center"/>
          </w:tcPr>
          <w:p w14:paraId="5F3DDA41" w14:textId="77777777" w:rsidR="000E7DCD" w:rsidRPr="00F6387C" w:rsidRDefault="000E7DCD" w:rsidP="00540CC4">
            <w:pPr>
              <w:pStyle w:val="TableText0"/>
            </w:pPr>
            <w:r w:rsidRPr="00F6387C">
              <w:t>Disease duration, years</w:t>
            </w:r>
          </w:p>
        </w:tc>
        <w:tc>
          <w:tcPr>
            <w:tcW w:w="1560" w:type="dxa"/>
            <w:shd w:val="clear" w:color="auto" w:fill="auto"/>
            <w:vAlign w:val="center"/>
          </w:tcPr>
          <w:p w14:paraId="62EAE9D2" w14:textId="77777777" w:rsidR="000E7DCD" w:rsidRPr="00F6387C" w:rsidRDefault="000E7DCD" w:rsidP="00540CC4">
            <w:pPr>
              <w:pStyle w:val="TableText0"/>
              <w:jc w:val="center"/>
            </w:pPr>
            <w:r w:rsidRPr="00F6387C">
              <w:t>12.3</w:t>
            </w:r>
          </w:p>
        </w:tc>
        <w:tc>
          <w:tcPr>
            <w:tcW w:w="1701" w:type="dxa"/>
            <w:shd w:val="clear" w:color="auto" w:fill="auto"/>
            <w:vAlign w:val="center"/>
          </w:tcPr>
          <w:p w14:paraId="691900F1" w14:textId="77777777" w:rsidR="000E7DCD" w:rsidRPr="00F6387C" w:rsidRDefault="000E7DCD" w:rsidP="00540CC4">
            <w:pPr>
              <w:pStyle w:val="TableText0"/>
              <w:jc w:val="center"/>
            </w:pPr>
            <w:r w:rsidRPr="00F6387C">
              <w:t>13.3</w:t>
            </w:r>
          </w:p>
        </w:tc>
        <w:tc>
          <w:tcPr>
            <w:tcW w:w="1559" w:type="dxa"/>
            <w:shd w:val="clear" w:color="auto" w:fill="auto"/>
            <w:vAlign w:val="center"/>
          </w:tcPr>
          <w:p w14:paraId="7F460DB7" w14:textId="77777777" w:rsidR="000E7DCD" w:rsidRPr="00F6387C" w:rsidRDefault="000E7DCD" w:rsidP="00540CC4">
            <w:pPr>
              <w:pStyle w:val="TableText0"/>
              <w:jc w:val="center"/>
            </w:pPr>
            <w:r w:rsidRPr="00F6387C">
              <w:t>11.5</w:t>
            </w:r>
          </w:p>
        </w:tc>
        <w:tc>
          <w:tcPr>
            <w:tcW w:w="1701" w:type="dxa"/>
            <w:shd w:val="clear" w:color="auto" w:fill="auto"/>
            <w:vAlign w:val="center"/>
          </w:tcPr>
          <w:p w14:paraId="3D892276" w14:textId="77777777" w:rsidR="000E7DCD" w:rsidRPr="00F6387C" w:rsidRDefault="000E7DCD" w:rsidP="00540CC4">
            <w:pPr>
              <w:pStyle w:val="TableText0"/>
              <w:jc w:val="center"/>
            </w:pPr>
            <w:r w:rsidRPr="00F6387C">
              <w:t>8.8</w:t>
            </w:r>
          </w:p>
        </w:tc>
      </w:tr>
      <w:tr w:rsidR="000E7DCD" w:rsidRPr="00F6387C" w14:paraId="7BAF3A37" w14:textId="77777777" w:rsidTr="00540CC4">
        <w:tc>
          <w:tcPr>
            <w:tcW w:w="2547" w:type="dxa"/>
            <w:shd w:val="clear" w:color="auto" w:fill="auto"/>
            <w:vAlign w:val="center"/>
          </w:tcPr>
          <w:p w14:paraId="6A128CFA" w14:textId="77777777" w:rsidR="000E7DCD" w:rsidRPr="00F6387C" w:rsidRDefault="000E7DCD" w:rsidP="00540CC4">
            <w:pPr>
              <w:pStyle w:val="TableText0"/>
            </w:pPr>
            <w:r w:rsidRPr="00F6387C">
              <w:t>ARR 1 year prior</w:t>
            </w:r>
          </w:p>
        </w:tc>
        <w:tc>
          <w:tcPr>
            <w:tcW w:w="1560" w:type="dxa"/>
            <w:shd w:val="clear" w:color="auto" w:fill="auto"/>
            <w:vAlign w:val="center"/>
          </w:tcPr>
          <w:p w14:paraId="64B7374C" w14:textId="77777777" w:rsidR="000E7DCD" w:rsidRPr="00F6387C" w:rsidRDefault="000E7DCD" w:rsidP="00540CC4">
            <w:pPr>
              <w:pStyle w:val="TableText0"/>
              <w:jc w:val="center"/>
            </w:pPr>
            <w:r w:rsidRPr="00F6387C">
              <w:t>1.8</w:t>
            </w:r>
          </w:p>
        </w:tc>
        <w:tc>
          <w:tcPr>
            <w:tcW w:w="1701" w:type="dxa"/>
            <w:shd w:val="clear" w:color="auto" w:fill="auto"/>
            <w:vAlign w:val="center"/>
          </w:tcPr>
          <w:p w14:paraId="63D14EB3" w14:textId="77777777" w:rsidR="000E7DCD" w:rsidRPr="00F6387C" w:rsidRDefault="000E7DCD" w:rsidP="00540CC4">
            <w:pPr>
              <w:pStyle w:val="TableText0"/>
              <w:jc w:val="center"/>
            </w:pPr>
            <w:r w:rsidRPr="00F6387C">
              <w:t>1.6</w:t>
            </w:r>
          </w:p>
        </w:tc>
        <w:tc>
          <w:tcPr>
            <w:tcW w:w="1559" w:type="dxa"/>
            <w:shd w:val="clear" w:color="auto" w:fill="auto"/>
            <w:vAlign w:val="center"/>
          </w:tcPr>
          <w:p w14:paraId="6FC51F09" w14:textId="77777777" w:rsidR="000E7DCD" w:rsidRPr="00F6387C" w:rsidRDefault="000E7DCD" w:rsidP="00540CC4">
            <w:pPr>
              <w:pStyle w:val="TableText0"/>
              <w:jc w:val="center"/>
            </w:pPr>
            <w:r w:rsidRPr="00F6387C">
              <w:t>1.7</w:t>
            </w:r>
          </w:p>
        </w:tc>
        <w:tc>
          <w:tcPr>
            <w:tcW w:w="1701" w:type="dxa"/>
            <w:shd w:val="clear" w:color="auto" w:fill="auto"/>
            <w:vAlign w:val="center"/>
          </w:tcPr>
          <w:p w14:paraId="78449FB1" w14:textId="77777777" w:rsidR="000E7DCD" w:rsidRPr="00F6387C" w:rsidRDefault="000E7DCD" w:rsidP="00540CC4">
            <w:pPr>
              <w:pStyle w:val="TableText0"/>
              <w:jc w:val="center"/>
            </w:pPr>
            <w:r w:rsidRPr="00F6387C">
              <w:t>2.1</w:t>
            </w:r>
          </w:p>
        </w:tc>
      </w:tr>
      <w:tr w:rsidR="000E7DCD" w:rsidRPr="00F6387C" w14:paraId="622D009C" w14:textId="77777777" w:rsidTr="00540CC4">
        <w:tc>
          <w:tcPr>
            <w:tcW w:w="2547" w:type="dxa"/>
            <w:shd w:val="clear" w:color="auto" w:fill="auto"/>
            <w:vAlign w:val="center"/>
          </w:tcPr>
          <w:p w14:paraId="0C5945FF" w14:textId="77777777" w:rsidR="000E7DCD" w:rsidRPr="00F6387C" w:rsidRDefault="000E7DCD" w:rsidP="00540CC4">
            <w:pPr>
              <w:pStyle w:val="TableText0"/>
            </w:pPr>
            <w:r w:rsidRPr="00F6387C">
              <w:t>EDSS Baseline</w:t>
            </w:r>
          </w:p>
        </w:tc>
        <w:tc>
          <w:tcPr>
            <w:tcW w:w="1560" w:type="dxa"/>
            <w:shd w:val="clear" w:color="auto" w:fill="auto"/>
            <w:vAlign w:val="center"/>
          </w:tcPr>
          <w:p w14:paraId="57DEFE68" w14:textId="77777777" w:rsidR="000E7DCD" w:rsidRPr="00F6387C" w:rsidRDefault="000E7DCD" w:rsidP="00540CC4">
            <w:pPr>
              <w:pStyle w:val="TableText0"/>
              <w:jc w:val="center"/>
            </w:pPr>
            <w:r w:rsidRPr="00F6387C">
              <w:t>3.8</w:t>
            </w:r>
          </w:p>
        </w:tc>
        <w:tc>
          <w:tcPr>
            <w:tcW w:w="1701" w:type="dxa"/>
            <w:shd w:val="clear" w:color="auto" w:fill="auto"/>
            <w:vAlign w:val="center"/>
          </w:tcPr>
          <w:p w14:paraId="20D2D385" w14:textId="77777777" w:rsidR="000E7DCD" w:rsidRPr="00F6387C" w:rsidRDefault="000E7DCD" w:rsidP="00540CC4">
            <w:pPr>
              <w:pStyle w:val="TableText0"/>
              <w:jc w:val="center"/>
            </w:pPr>
            <w:r w:rsidRPr="00F6387C">
              <w:t>3.5</w:t>
            </w:r>
          </w:p>
        </w:tc>
        <w:tc>
          <w:tcPr>
            <w:tcW w:w="1559" w:type="dxa"/>
            <w:shd w:val="clear" w:color="auto" w:fill="auto"/>
            <w:vAlign w:val="center"/>
          </w:tcPr>
          <w:p w14:paraId="530952D5" w14:textId="77777777" w:rsidR="000E7DCD" w:rsidRPr="00F6387C" w:rsidRDefault="000E7DCD" w:rsidP="00540CC4">
            <w:pPr>
              <w:pStyle w:val="TableText0"/>
              <w:jc w:val="center"/>
            </w:pPr>
            <w:r w:rsidRPr="00F6387C">
              <w:t>3.5</w:t>
            </w:r>
          </w:p>
        </w:tc>
        <w:tc>
          <w:tcPr>
            <w:tcW w:w="1701" w:type="dxa"/>
            <w:shd w:val="clear" w:color="auto" w:fill="auto"/>
            <w:vAlign w:val="center"/>
          </w:tcPr>
          <w:p w14:paraId="27BB9417" w14:textId="77777777" w:rsidR="000E7DCD" w:rsidRPr="00F6387C" w:rsidRDefault="000E7DCD" w:rsidP="00540CC4">
            <w:pPr>
              <w:pStyle w:val="TableText0"/>
              <w:jc w:val="center"/>
            </w:pPr>
            <w:r w:rsidRPr="00F6387C">
              <w:t>4.0</w:t>
            </w:r>
          </w:p>
        </w:tc>
      </w:tr>
    </w:tbl>
    <w:p w14:paraId="737D3ABC" w14:textId="77777777" w:rsidR="000E7DCD" w:rsidRPr="00F6387C" w:rsidRDefault="000E7DCD" w:rsidP="000E7DCD">
      <w:pPr>
        <w:pStyle w:val="FooterTableFigure"/>
      </w:pPr>
      <w:r w:rsidRPr="00F6387C">
        <w:t xml:space="preserve">ARR = annual relapse rate; </w:t>
      </w:r>
      <w:bookmarkStart w:id="45" w:name="_Hlk142680166"/>
      <w:r w:rsidRPr="00F6387C">
        <w:t>EDSS = expanded disability status scale</w:t>
      </w:r>
      <w:bookmarkEnd w:id="45"/>
      <w:r w:rsidRPr="00F6387C">
        <w:t>; F = female; M = male; NEDA-2 = no evidence of disease activity</w:t>
      </w:r>
    </w:p>
    <w:p w14:paraId="264324E0" w14:textId="77777777" w:rsidR="000E7DCD" w:rsidRPr="00F6387C" w:rsidRDefault="000E7DCD" w:rsidP="000E7DCD">
      <w:pPr>
        <w:pStyle w:val="FooterTableFigure"/>
        <w:tabs>
          <w:tab w:val="left" w:pos="284"/>
        </w:tabs>
      </w:pPr>
      <w:r w:rsidRPr="00F6387C">
        <w:rPr>
          <w:vertAlign w:val="superscript"/>
        </w:rPr>
        <w:t>a</w:t>
      </w:r>
      <w:r w:rsidRPr="00F6387C">
        <w:tab/>
        <w:t>No significant changes were found between clinical variables at the onset of cladribine treatment between responders and non-responders for Year 3 and Year 4.</w:t>
      </w:r>
    </w:p>
    <w:p w14:paraId="78EA7279" w14:textId="637B15DD" w:rsidR="000E7DCD" w:rsidRPr="00F6387C" w:rsidRDefault="000E7DCD" w:rsidP="000E7DCD">
      <w:pPr>
        <w:pStyle w:val="FooterTableFigure"/>
      </w:pPr>
      <w:r w:rsidRPr="00F6387C">
        <w:t xml:space="preserve">Source: Table 14, p44 of the resubmission and Table 4 of </w:t>
      </w:r>
      <w:proofErr w:type="spellStart"/>
      <w:r w:rsidRPr="00F6387C">
        <w:t>Magalashvili</w:t>
      </w:r>
      <w:proofErr w:type="spellEnd"/>
      <w:r w:rsidRPr="00F6387C">
        <w:t xml:space="preserve"> 2022</w:t>
      </w:r>
    </w:p>
    <w:p w14:paraId="553688A3" w14:textId="77777777" w:rsidR="000E7DCD" w:rsidRPr="00F6387C" w:rsidRDefault="000E7DCD" w:rsidP="000E7DCD">
      <w:pPr>
        <w:pStyle w:val="3-BodyText"/>
      </w:pPr>
      <w:bookmarkStart w:id="46" w:name="_Ref151124005"/>
      <w:r w:rsidRPr="00F6387C">
        <w:t>In CLARENCE, a total of 61% of patients completed treatment, with 11% discontinuing and the remaining 28% of patients having insufficient follow-up. In all, 93 % of patients did not switch from cladribine treatment to another DMT during the course of the follow-up. i.e., 7% (194/2,685) of patients who received cladribine tablets switched to another DMT.</w:t>
      </w:r>
      <w:bookmarkEnd w:id="46"/>
    </w:p>
    <w:p w14:paraId="57A63FBD" w14:textId="4DE3B274" w:rsidR="000E7DCD" w:rsidRPr="00F6387C" w:rsidRDefault="000E7DCD" w:rsidP="000E7DCD">
      <w:pPr>
        <w:pStyle w:val="3-BodyText"/>
      </w:pPr>
      <w:bookmarkStart w:id="47" w:name="_Ref151124051"/>
      <w:r w:rsidRPr="00F6387C">
        <w:t xml:space="preserve">The PBS 10% sample data was used in the resubmission to provide Australian specific </w:t>
      </w:r>
      <w:r w:rsidR="00F23460">
        <w:t>prescribing data</w:t>
      </w:r>
      <w:r w:rsidR="00F23460" w:rsidRPr="00F6387C">
        <w:t xml:space="preserve"> </w:t>
      </w:r>
      <w:r w:rsidRPr="00F6387C">
        <w:t>for the use of cladribine and fingolimod. This data was obtained by extracting PBS data records from the available PBS 10% sample data for the treatment of MS. All publicly available records from 2011 to January 2023 were utilised, although cladribine was only PBS listed in 2019.</w:t>
      </w:r>
      <w:bookmarkEnd w:id="47"/>
      <w:r w:rsidRPr="00F6387C">
        <w:rPr>
          <w:snapToGrid/>
          <w:color w:val="0066FF"/>
        </w:rPr>
        <w:t xml:space="preserve"> </w:t>
      </w:r>
    </w:p>
    <w:p w14:paraId="01F1440E" w14:textId="77777777" w:rsidR="000E7DCD" w:rsidRPr="00F6387C" w:rsidRDefault="000E7DCD" w:rsidP="000E7DCD">
      <w:pPr>
        <w:pStyle w:val="3-BodyText"/>
      </w:pPr>
      <w:r w:rsidRPr="00F6387C">
        <w:t>The resubmission reported that for the 327 patients whose first PBS script of cladribine was dispensed between January 2019 and January 2023:</w:t>
      </w:r>
    </w:p>
    <w:p w14:paraId="1FCC72C7" w14:textId="77777777" w:rsidR="000E7DCD" w:rsidRPr="00F6387C" w:rsidRDefault="000E7DCD" w:rsidP="0098756A">
      <w:pPr>
        <w:pStyle w:val="3-BodyText"/>
        <w:numPr>
          <w:ilvl w:val="2"/>
          <w:numId w:val="18"/>
        </w:numPr>
        <w:ind w:left="1134" w:hanging="283"/>
      </w:pPr>
      <w:r w:rsidRPr="00F6387C">
        <w:t>Of 188 patients for whom cladribine was initiated more than two years ago, ten (5.3%) received the third course of therapy, including one (0.5%) receiving the fourth course of therapy.</w:t>
      </w:r>
    </w:p>
    <w:p w14:paraId="015BFDC9" w14:textId="77777777" w:rsidR="000E7DCD" w:rsidRPr="00F6387C" w:rsidRDefault="000E7DCD" w:rsidP="0098756A">
      <w:pPr>
        <w:pStyle w:val="3-BodyText"/>
        <w:numPr>
          <w:ilvl w:val="2"/>
          <w:numId w:val="18"/>
        </w:numPr>
        <w:ind w:left="1134" w:hanging="283"/>
      </w:pPr>
      <w:r w:rsidRPr="00F6387C">
        <w:t xml:space="preserve">Of 117 patients receiving cladribine who have at least 3 full years of data, nine (7.7%) received the third course of therapy, including one (0.9%) receiving the fourth course of therapy. </w:t>
      </w:r>
    </w:p>
    <w:p w14:paraId="4123C90F" w14:textId="349E6C94" w:rsidR="000E7DCD" w:rsidRPr="00F6387C" w:rsidRDefault="000E7DCD" w:rsidP="000E7DCD">
      <w:pPr>
        <w:pStyle w:val="3-BodyText"/>
      </w:pPr>
      <w:r w:rsidRPr="00F6387C">
        <w:t>While this data was unable to be verified during the evaluation, it appears that some patients received additional cladribine treatment beyond the recommended dose. The cladribine PI states “Patients should receive no more than two treatment courses over two consecutive years. The recommended dose should not be exceeded. Following completion of the two treatment courses, no further cladribine treatment is required in years 3 or 4”.</w:t>
      </w:r>
    </w:p>
    <w:p w14:paraId="14E51168" w14:textId="2766E4D4" w:rsidR="000E7DCD" w:rsidRPr="00F6387C" w:rsidRDefault="000E7DCD" w:rsidP="000E7DCD">
      <w:pPr>
        <w:pStyle w:val="3-BodyText"/>
      </w:pPr>
      <w:r w:rsidRPr="00F6387C">
        <w:t xml:space="preserve">In the PBS 10% data sample, the proportion of patients remaining on cladribine or fingolimod treatment after initiation, i.e., patients who have not switched to an alternative DMT, is shown in </w:t>
      </w:r>
      <w:r w:rsidRPr="00F6387C">
        <w:fldChar w:fldCharType="begin" w:fldLock="1"/>
      </w:r>
      <w:r w:rsidRPr="00F6387C">
        <w:instrText xml:space="preserve"> REF _Ref142817069 \h </w:instrText>
      </w:r>
      <w:r w:rsidRPr="00F6387C">
        <w:fldChar w:fldCharType="separate"/>
      </w:r>
      <w:r w:rsidR="000D404D" w:rsidRPr="00F6387C">
        <w:t>Figure 4</w:t>
      </w:r>
      <w:r w:rsidRPr="00F6387C">
        <w:fldChar w:fldCharType="end"/>
      </w:r>
      <w:r w:rsidRPr="00F6387C">
        <w:t>. The resubmission reported that at 42 months, a greater proportion of fingolimod treated patients had switched compared to cladribine treated patients.</w:t>
      </w:r>
    </w:p>
    <w:p w14:paraId="32D97044" w14:textId="2096DF94" w:rsidR="000E7DCD" w:rsidRPr="00F6387C" w:rsidRDefault="000E7DCD" w:rsidP="000E7DCD">
      <w:pPr>
        <w:pStyle w:val="Caption"/>
      </w:pPr>
      <w:bookmarkStart w:id="48" w:name="_Ref142817069"/>
      <w:r w:rsidRPr="00F6387C">
        <w:t xml:space="preserve">Figure </w:t>
      </w:r>
      <w:fldSimple w:instr=" SEQ Figure \* ARABIC " w:fldLock="1">
        <w:r w:rsidR="000D404D" w:rsidRPr="00F6387C">
          <w:t>4</w:t>
        </w:r>
      </w:fldSimple>
      <w:bookmarkEnd w:id="48"/>
      <w:r w:rsidRPr="00F6387C">
        <w:t xml:space="preserve">: PBS 10% sample data, Kaplan-Meier curve of the proportion of patients remaining on indexed treatment </w:t>
      </w:r>
      <w:r w:rsidRPr="00F6387C">
        <w:rPr>
          <w:vertAlign w:val="superscript"/>
        </w:rPr>
        <w:t>a b</w:t>
      </w:r>
    </w:p>
    <w:p w14:paraId="5AB49DFE" w14:textId="77777777" w:rsidR="000E7DCD" w:rsidRPr="00F6387C" w:rsidRDefault="000E7DCD" w:rsidP="00E56670">
      <w:pPr>
        <w:jc w:val="left"/>
      </w:pPr>
      <w:r w:rsidRPr="00F6387C">
        <w:rPr>
          <w:noProof/>
        </w:rPr>
        <w:drawing>
          <wp:inline distT="0" distB="0" distL="0" distR="0" wp14:anchorId="266DFF98" wp14:editId="368D6FE7">
            <wp:extent cx="4649638" cy="2855344"/>
            <wp:effectExtent l="0" t="0" r="17780" b="2540"/>
            <wp:docPr id="1146351074" name="Chart 1146351074" descr="Figure 4: PBS 10% sample data, Kaplan-Meier curve of the proportion of patients remaining on indexed treatment a b">
              <a:extLst xmlns:a="http://schemas.openxmlformats.org/drawingml/2006/main">
                <a:ext uri="{FF2B5EF4-FFF2-40B4-BE49-F238E27FC236}">
                  <a16:creationId xmlns:a16="http://schemas.microsoft.com/office/drawing/2014/main" id="{4BF6CD51-C2AF-2F5E-0503-AEF22A2EB5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1E0971" w14:textId="77777777" w:rsidR="000E7DCD" w:rsidRPr="00F6387C" w:rsidRDefault="000E7DCD" w:rsidP="000E7DCD">
      <w:pPr>
        <w:pStyle w:val="FooterTableFigure"/>
        <w:tabs>
          <w:tab w:val="left" w:pos="284"/>
        </w:tabs>
      </w:pPr>
      <w:r w:rsidRPr="00F6387C">
        <w:rPr>
          <w:vertAlign w:val="superscript"/>
        </w:rPr>
        <w:t>a</w:t>
      </w:r>
      <w:r w:rsidRPr="00F6387C">
        <w:rPr>
          <w:vertAlign w:val="superscript"/>
        </w:rPr>
        <w:tab/>
      </w:r>
      <w:r w:rsidRPr="00F6387C">
        <w:t>Data for fingolimod patients is shown over 48 months, whereas data for cladribine treated patients is shown for 42 months.</w:t>
      </w:r>
    </w:p>
    <w:p w14:paraId="415D0AAB" w14:textId="77777777" w:rsidR="000E7DCD" w:rsidRPr="00F6387C" w:rsidRDefault="000E7DCD" w:rsidP="000E7DCD">
      <w:pPr>
        <w:pStyle w:val="FooterTableFigure"/>
        <w:tabs>
          <w:tab w:val="left" w:pos="284"/>
        </w:tabs>
      </w:pPr>
      <w:r w:rsidRPr="00F6387C">
        <w:rPr>
          <w:vertAlign w:val="superscript"/>
        </w:rPr>
        <w:t>b</w:t>
      </w:r>
      <w:r w:rsidRPr="00F6387C">
        <w:tab/>
        <w:t>Patients were censored if they were still on therapy as of 31 December 2022.</w:t>
      </w:r>
    </w:p>
    <w:p w14:paraId="296F1B10" w14:textId="6F977C1B" w:rsidR="000E7DCD" w:rsidRPr="00F6387C" w:rsidRDefault="000E7DCD" w:rsidP="000E7DCD">
      <w:pPr>
        <w:pStyle w:val="FooterTableFigure"/>
      </w:pPr>
      <w:r w:rsidRPr="00F6387C">
        <w:t>Source: Figure 10, p48 of the resubmission</w:t>
      </w:r>
    </w:p>
    <w:p w14:paraId="342C0A6C" w14:textId="23F0FF6C" w:rsidR="000E7DCD" w:rsidRPr="00F6387C" w:rsidRDefault="000E7DCD" w:rsidP="000E7DCD">
      <w:pPr>
        <w:pStyle w:val="3-BodyText"/>
      </w:pPr>
      <w:bookmarkStart w:id="49" w:name="_Ref151124059"/>
      <w:r w:rsidRPr="00F6387C">
        <w:t xml:space="preserve">The resubmission claimed that the PBS 10% sample data show that in years 3 and 4 after treatment initiation, a greater proportion of patients on fingolimod switched or discontinued treatment compared to patients on cladribine. The resubmission stated that cladribine had zero (0%) discontinuations or switch-outs in years 3 and 4, whereas fingolimod treated patients had 9.6% (63/658) and 9.0% (52/581), respectively. </w:t>
      </w:r>
      <w:r w:rsidRPr="00F6387C">
        <w:fldChar w:fldCharType="begin" w:fldLock="1"/>
      </w:r>
      <w:r w:rsidRPr="00F6387C">
        <w:instrText xml:space="preserve"> REF _Ref142817086 \h </w:instrText>
      </w:r>
      <w:r w:rsidRPr="00F6387C">
        <w:fldChar w:fldCharType="separate"/>
      </w:r>
      <w:r w:rsidR="000D404D" w:rsidRPr="00F6387C">
        <w:t>Table 9</w:t>
      </w:r>
      <w:r w:rsidRPr="00F6387C">
        <w:fldChar w:fldCharType="end"/>
      </w:r>
      <w:r w:rsidRPr="00F6387C">
        <w:t xml:space="preserve"> provides further details.</w:t>
      </w:r>
      <w:bookmarkEnd w:id="49"/>
    </w:p>
    <w:p w14:paraId="18988F94" w14:textId="7BD769C2" w:rsidR="000E7DCD" w:rsidRPr="00F6387C" w:rsidRDefault="000E7DCD" w:rsidP="000E7DCD">
      <w:pPr>
        <w:pStyle w:val="Caption"/>
      </w:pPr>
      <w:bookmarkStart w:id="50" w:name="_Ref142817086"/>
      <w:r w:rsidRPr="00F6387C">
        <w:t xml:space="preserve">Table </w:t>
      </w:r>
      <w:fldSimple w:instr=" SEQ Table \* ARABIC " w:fldLock="1">
        <w:r w:rsidR="000D404D" w:rsidRPr="00F6387C">
          <w:t>9</w:t>
        </w:r>
      </w:fldSimple>
      <w:bookmarkEnd w:id="50"/>
      <w:r w:rsidRPr="00F6387C">
        <w:t>: PBS 10% sample data, progression of patients on fingolimod or cladribine on PBS over previous 5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PBS 10% sample data, progression of patients on fingolimod or cladribine on PBS over previous 5 years"/>
        <w:tblDescription w:val="Table 9: PBS 10% sample data, progression of patients on fingolimod or cladribine on PBS over previous 5 years"/>
      </w:tblPr>
      <w:tblGrid>
        <w:gridCol w:w="1242"/>
        <w:gridCol w:w="2590"/>
        <w:gridCol w:w="1041"/>
        <w:gridCol w:w="1041"/>
        <w:gridCol w:w="1040"/>
        <w:gridCol w:w="1040"/>
        <w:gridCol w:w="1022"/>
      </w:tblGrid>
      <w:tr w:rsidR="000E7DCD" w:rsidRPr="00F6387C" w14:paraId="0FD3F393" w14:textId="77777777" w:rsidTr="001B5EFB">
        <w:trPr>
          <w:trHeight w:val="70"/>
          <w:tblHeader/>
        </w:trPr>
        <w:tc>
          <w:tcPr>
            <w:tcW w:w="688" w:type="pct"/>
            <w:shd w:val="clear" w:color="auto" w:fill="auto"/>
            <w:noWrap/>
            <w:vAlign w:val="bottom"/>
            <w:hideMark/>
          </w:tcPr>
          <w:p w14:paraId="2FC8D90A" w14:textId="77777777" w:rsidR="000E7DCD" w:rsidRPr="00F6387C" w:rsidRDefault="000E7DCD" w:rsidP="00540CC4">
            <w:pPr>
              <w:pStyle w:val="In-tableHeading"/>
              <w:rPr>
                <w:lang w:val="en-AU"/>
              </w:rPr>
            </w:pPr>
            <w:r w:rsidRPr="00F6387C">
              <w:rPr>
                <w:lang w:val="en-AU"/>
              </w:rPr>
              <w:t>DMT</w:t>
            </w:r>
          </w:p>
        </w:tc>
        <w:tc>
          <w:tcPr>
            <w:tcW w:w="1436" w:type="pct"/>
            <w:shd w:val="clear" w:color="auto" w:fill="auto"/>
            <w:noWrap/>
            <w:vAlign w:val="bottom"/>
            <w:hideMark/>
          </w:tcPr>
          <w:p w14:paraId="473B17EB" w14:textId="77777777" w:rsidR="000E7DCD" w:rsidRPr="00F6387C" w:rsidRDefault="000E7DCD" w:rsidP="00540CC4">
            <w:pPr>
              <w:pStyle w:val="In-tableHeading"/>
              <w:rPr>
                <w:lang w:val="en-AU"/>
              </w:rPr>
            </w:pPr>
          </w:p>
        </w:tc>
        <w:tc>
          <w:tcPr>
            <w:tcW w:w="577" w:type="pct"/>
            <w:shd w:val="clear" w:color="auto" w:fill="auto"/>
            <w:noWrap/>
            <w:vAlign w:val="bottom"/>
            <w:hideMark/>
          </w:tcPr>
          <w:p w14:paraId="4111708E" w14:textId="77777777" w:rsidR="000E7DCD" w:rsidRPr="00F6387C" w:rsidRDefault="000E7DCD" w:rsidP="00540CC4">
            <w:pPr>
              <w:pStyle w:val="In-tableHeading"/>
              <w:jc w:val="center"/>
              <w:rPr>
                <w:bCs/>
                <w:color w:val="000000"/>
                <w:lang w:val="en-AU"/>
              </w:rPr>
            </w:pPr>
            <w:r w:rsidRPr="00F6387C">
              <w:rPr>
                <w:bCs/>
                <w:color w:val="000000"/>
                <w:lang w:val="en-AU"/>
              </w:rPr>
              <w:t>Year 1</w:t>
            </w:r>
          </w:p>
        </w:tc>
        <w:tc>
          <w:tcPr>
            <w:tcW w:w="577" w:type="pct"/>
            <w:shd w:val="clear" w:color="auto" w:fill="auto"/>
            <w:noWrap/>
            <w:vAlign w:val="bottom"/>
            <w:hideMark/>
          </w:tcPr>
          <w:p w14:paraId="5517DDCA" w14:textId="77777777" w:rsidR="000E7DCD" w:rsidRPr="00F6387C" w:rsidRDefault="000E7DCD" w:rsidP="00540CC4">
            <w:pPr>
              <w:pStyle w:val="In-tableHeading"/>
              <w:jc w:val="center"/>
              <w:rPr>
                <w:bCs/>
                <w:color w:val="000000"/>
                <w:lang w:val="en-AU"/>
              </w:rPr>
            </w:pPr>
            <w:r w:rsidRPr="00F6387C">
              <w:rPr>
                <w:bCs/>
                <w:color w:val="000000"/>
                <w:lang w:val="en-AU"/>
              </w:rPr>
              <w:t>Year 2</w:t>
            </w:r>
          </w:p>
        </w:tc>
        <w:tc>
          <w:tcPr>
            <w:tcW w:w="577" w:type="pct"/>
            <w:shd w:val="clear" w:color="auto" w:fill="auto"/>
            <w:noWrap/>
            <w:vAlign w:val="bottom"/>
            <w:hideMark/>
          </w:tcPr>
          <w:p w14:paraId="0FA45EEF" w14:textId="77777777" w:rsidR="000E7DCD" w:rsidRPr="00F6387C" w:rsidRDefault="000E7DCD" w:rsidP="00540CC4">
            <w:pPr>
              <w:pStyle w:val="In-tableHeading"/>
              <w:jc w:val="center"/>
              <w:rPr>
                <w:bCs/>
                <w:color w:val="000000"/>
                <w:lang w:val="en-AU"/>
              </w:rPr>
            </w:pPr>
            <w:r w:rsidRPr="00F6387C">
              <w:rPr>
                <w:bCs/>
                <w:color w:val="000000"/>
                <w:lang w:val="en-AU"/>
              </w:rPr>
              <w:t>Year 3</w:t>
            </w:r>
          </w:p>
        </w:tc>
        <w:tc>
          <w:tcPr>
            <w:tcW w:w="577" w:type="pct"/>
            <w:shd w:val="clear" w:color="auto" w:fill="auto"/>
            <w:noWrap/>
            <w:vAlign w:val="bottom"/>
            <w:hideMark/>
          </w:tcPr>
          <w:p w14:paraId="2FDAB46B" w14:textId="77777777" w:rsidR="000E7DCD" w:rsidRPr="00F6387C" w:rsidRDefault="000E7DCD" w:rsidP="00540CC4">
            <w:pPr>
              <w:pStyle w:val="In-tableHeading"/>
              <w:jc w:val="center"/>
              <w:rPr>
                <w:bCs/>
                <w:color w:val="000000"/>
                <w:lang w:val="en-AU"/>
              </w:rPr>
            </w:pPr>
            <w:r w:rsidRPr="00F6387C">
              <w:rPr>
                <w:bCs/>
                <w:color w:val="000000"/>
                <w:lang w:val="en-AU"/>
              </w:rPr>
              <w:t>Year 4</w:t>
            </w:r>
          </w:p>
        </w:tc>
        <w:tc>
          <w:tcPr>
            <w:tcW w:w="567" w:type="pct"/>
            <w:shd w:val="clear" w:color="auto" w:fill="auto"/>
            <w:noWrap/>
            <w:vAlign w:val="bottom"/>
            <w:hideMark/>
          </w:tcPr>
          <w:p w14:paraId="74482C2F" w14:textId="77777777" w:rsidR="000E7DCD" w:rsidRPr="00F6387C" w:rsidRDefault="000E7DCD" w:rsidP="00540CC4">
            <w:pPr>
              <w:pStyle w:val="In-tableHeading"/>
              <w:jc w:val="center"/>
              <w:rPr>
                <w:bCs/>
                <w:color w:val="000000"/>
                <w:lang w:val="en-AU"/>
              </w:rPr>
            </w:pPr>
            <w:r w:rsidRPr="00F6387C">
              <w:rPr>
                <w:bCs/>
                <w:color w:val="000000"/>
                <w:lang w:val="en-AU"/>
              </w:rPr>
              <w:t>Year 5</w:t>
            </w:r>
          </w:p>
        </w:tc>
      </w:tr>
      <w:tr w:rsidR="000E7DCD" w:rsidRPr="00F6387C" w14:paraId="61C62B3F" w14:textId="77777777" w:rsidTr="001B5EFB">
        <w:trPr>
          <w:trHeight w:val="70"/>
        </w:trPr>
        <w:tc>
          <w:tcPr>
            <w:tcW w:w="688" w:type="pct"/>
            <w:vMerge w:val="restart"/>
            <w:shd w:val="clear" w:color="auto" w:fill="auto"/>
            <w:noWrap/>
            <w:vAlign w:val="center"/>
            <w:hideMark/>
          </w:tcPr>
          <w:p w14:paraId="5134027A" w14:textId="77777777" w:rsidR="000E7DCD" w:rsidRPr="00F6387C" w:rsidRDefault="000E7DCD" w:rsidP="00540CC4">
            <w:pPr>
              <w:pStyle w:val="TableText0"/>
              <w:rPr>
                <w:b/>
                <w:color w:val="000000"/>
              </w:rPr>
            </w:pPr>
            <w:r w:rsidRPr="00F6387C">
              <w:rPr>
                <w:b/>
                <w:color w:val="000000"/>
              </w:rPr>
              <w:t xml:space="preserve">Fingolimod </w:t>
            </w:r>
          </w:p>
        </w:tc>
        <w:tc>
          <w:tcPr>
            <w:tcW w:w="1436" w:type="pct"/>
            <w:shd w:val="clear" w:color="auto" w:fill="auto"/>
            <w:noWrap/>
            <w:vAlign w:val="bottom"/>
            <w:hideMark/>
          </w:tcPr>
          <w:p w14:paraId="534FE560" w14:textId="77777777" w:rsidR="000E7DCD" w:rsidRPr="00F6387C" w:rsidRDefault="000E7DCD" w:rsidP="00540CC4">
            <w:pPr>
              <w:pStyle w:val="TableText0"/>
              <w:rPr>
                <w:color w:val="000000"/>
              </w:rPr>
            </w:pPr>
            <w:r w:rsidRPr="00F6387C">
              <w:rPr>
                <w:color w:val="000000"/>
              </w:rPr>
              <w:t>Start of period</w:t>
            </w:r>
          </w:p>
        </w:tc>
        <w:tc>
          <w:tcPr>
            <w:tcW w:w="577" w:type="pct"/>
            <w:shd w:val="clear" w:color="auto" w:fill="auto"/>
            <w:noWrap/>
            <w:vAlign w:val="bottom"/>
            <w:hideMark/>
          </w:tcPr>
          <w:p w14:paraId="3B1F72A9" w14:textId="77777777" w:rsidR="000E7DCD" w:rsidRPr="00F6387C" w:rsidRDefault="000E7DCD" w:rsidP="00540CC4">
            <w:pPr>
              <w:pStyle w:val="TableText0"/>
              <w:jc w:val="center"/>
              <w:rPr>
                <w:color w:val="000000"/>
              </w:rPr>
            </w:pPr>
            <w:r w:rsidRPr="00F6387C">
              <w:rPr>
                <w:color w:val="000000"/>
              </w:rPr>
              <w:t>978</w:t>
            </w:r>
          </w:p>
        </w:tc>
        <w:tc>
          <w:tcPr>
            <w:tcW w:w="577" w:type="pct"/>
            <w:shd w:val="clear" w:color="auto" w:fill="auto"/>
            <w:noWrap/>
            <w:vAlign w:val="bottom"/>
            <w:hideMark/>
          </w:tcPr>
          <w:p w14:paraId="407E8E9E" w14:textId="77777777" w:rsidR="000E7DCD" w:rsidRPr="00F6387C" w:rsidRDefault="000E7DCD" w:rsidP="00540CC4">
            <w:pPr>
              <w:pStyle w:val="TableText0"/>
              <w:jc w:val="center"/>
              <w:rPr>
                <w:color w:val="000000"/>
              </w:rPr>
            </w:pPr>
            <w:r w:rsidRPr="00F6387C">
              <w:rPr>
                <w:color w:val="000000"/>
              </w:rPr>
              <w:t>753</w:t>
            </w:r>
          </w:p>
        </w:tc>
        <w:tc>
          <w:tcPr>
            <w:tcW w:w="577" w:type="pct"/>
            <w:shd w:val="clear" w:color="auto" w:fill="auto"/>
            <w:noWrap/>
            <w:vAlign w:val="bottom"/>
            <w:hideMark/>
          </w:tcPr>
          <w:p w14:paraId="52321957" w14:textId="77777777" w:rsidR="000E7DCD" w:rsidRPr="00F6387C" w:rsidRDefault="000E7DCD" w:rsidP="00540CC4">
            <w:pPr>
              <w:pStyle w:val="TableText0"/>
              <w:jc w:val="center"/>
              <w:rPr>
                <w:color w:val="000000"/>
              </w:rPr>
            </w:pPr>
            <w:r w:rsidRPr="00F6387C">
              <w:rPr>
                <w:color w:val="000000"/>
              </w:rPr>
              <w:t>658</w:t>
            </w:r>
          </w:p>
        </w:tc>
        <w:tc>
          <w:tcPr>
            <w:tcW w:w="577" w:type="pct"/>
            <w:shd w:val="clear" w:color="auto" w:fill="auto"/>
            <w:noWrap/>
            <w:vAlign w:val="bottom"/>
            <w:hideMark/>
          </w:tcPr>
          <w:p w14:paraId="6703058E" w14:textId="77777777" w:rsidR="000E7DCD" w:rsidRPr="00F6387C" w:rsidRDefault="000E7DCD" w:rsidP="00540CC4">
            <w:pPr>
              <w:pStyle w:val="TableText0"/>
              <w:jc w:val="center"/>
              <w:rPr>
                <w:color w:val="000000"/>
              </w:rPr>
            </w:pPr>
            <w:r w:rsidRPr="00F6387C">
              <w:rPr>
                <w:color w:val="000000"/>
              </w:rPr>
              <w:t>581</w:t>
            </w:r>
          </w:p>
        </w:tc>
        <w:tc>
          <w:tcPr>
            <w:tcW w:w="567" w:type="pct"/>
            <w:shd w:val="clear" w:color="auto" w:fill="auto"/>
            <w:noWrap/>
            <w:vAlign w:val="bottom"/>
            <w:hideMark/>
          </w:tcPr>
          <w:p w14:paraId="79F90873" w14:textId="77777777" w:rsidR="000E7DCD" w:rsidRPr="00F6387C" w:rsidRDefault="000E7DCD" w:rsidP="00540CC4">
            <w:pPr>
              <w:pStyle w:val="TableText0"/>
              <w:jc w:val="center"/>
              <w:rPr>
                <w:color w:val="000000"/>
              </w:rPr>
            </w:pPr>
            <w:r w:rsidRPr="00F6387C">
              <w:rPr>
                <w:color w:val="000000"/>
              </w:rPr>
              <w:t>511</w:t>
            </w:r>
          </w:p>
        </w:tc>
      </w:tr>
      <w:tr w:rsidR="000E7DCD" w:rsidRPr="00F6387C" w14:paraId="431A2E1E" w14:textId="77777777" w:rsidTr="001B5EFB">
        <w:trPr>
          <w:trHeight w:val="70"/>
        </w:trPr>
        <w:tc>
          <w:tcPr>
            <w:tcW w:w="688" w:type="pct"/>
            <w:vMerge/>
            <w:shd w:val="clear" w:color="auto" w:fill="auto"/>
            <w:vAlign w:val="center"/>
            <w:hideMark/>
          </w:tcPr>
          <w:p w14:paraId="0A75F950" w14:textId="77777777" w:rsidR="000E7DCD" w:rsidRPr="00F6387C" w:rsidRDefault="000E7DCD" w:rsidP="00540CC4">
            <w:pPr>
              <w:pStyle w:val="TableText0"/>
              <w:rPr>
                <w:color w:val="000000"/>
              </w:rPr>
            </w:pPr>
          </w:p>
        </w:tc>
        <w:tc>
          <w:tcPr>
            <w:tcW w:w="1436" w:type="pct"/>
            <w:shd w:val="clear" w:color="auto" w:fill="auto"/>
            <w:noWrap/>
            <w:vAlign w:val="bottom"/>
            <w:hideMark/>
          </w:tcPr>
          <w:p w14:paraId="6AEA3B57" w14:textId="77777777" w:rsidR="000E7DCD" w:rsidRPr="00F6387C" w:rsidRDefault="000E7DCD" w:rsidP="00540CC4">
            <w:pPr>
              <w:pStyle w:val="TableText0"/>
              <w:rPr>
                <w:color w:val="000000"/>
              </w:rPr>
            </w:pPr>
            <w:r w:rsidRPr="00F6387C">
              <w:rPr>
                <w:color w:val="000000"/>
              </w:rPr>
              <w:t>Switch outs</w:t>
            </w:r>
          </w:p>
        </w:tc>
        <w:tc>
          <w:tcPr>
            <w:tcW w:w="577" w:type="pct"/>
            <w:shd w:val="clear" w:color="auto" w:fill="auto"/>
            <w:noWrap/>
            <w:vAlign w:val="bottom"/>
            <w:hideMark/>
          </w:tcPr>
          <w:p w14:paraId="36F36B2C" w14:textId="77777777" w:rsidR="000E7DCD" w:rsidRPr="00F6387C" w:rsidRDefault="000E7DCD" w:rsidP="00540CC4">
            <w:pPr>
              <w:pStyle w:val="TableText0"/>
              <w:jc w:val="center"/>
              <w:rPr>
                <w:color w:val="000000"/>
              </w:rPr>
            </w:pPr>
            <w:r w:rsidRPr="00F6387C">
              <w:rPr>
                <w:color w:val="000000"/>
              </w:rPr>
              <w:t>180</w:t>
            </w:r>
          </w:p>
        </w:tc>
        <w:tc>
          <w:tcPr>
            <w:tcW w:w="577" w:type="pct"/>
            <w:shd w:val="clear" w:color="auto" w:fill="auto"/>
            <w:noWrap/>
            <w:vAlign w:val="bottom"/>
            <w:hideMark/>
          </w:tcPr>
          <w:p w14:paraId="3363467C" w14:textId="77777777" w:rsidR="000E7DCD" w:rsidRPr="00F6387C" w:rsidRDefault="000E7DCD" w:rsidP="00540CC4">
            <w:pPr>
              <w:pStyle w:val="TableText0"/>
              <w:jc w:val="center"/>
              <w:rPr>
                <w:color w:val="000000"/>
              </w:rPr>
            </w:pPr>
            <w:r w:rsidRPr="00F6387C">
              <w:rPr>
                <w:color w:val="000000"/>
              </w:rPr>
              <w:t>80</w:t>
            </w:r>
          </w:p>
        </w:tc>
        <w:tc>
          <w:tcPr>
            <w:tcW w:w="577" w:type="pct"/>
            <w:shd w:val="clear" w:color="auto" w:fill="auto"/>
            <w:noWrap/>
            <w:vAlign w:val="bottom"/>
            <w:hideMark/>
          </w:tcPr>
          <w:p w14:paraId="0293D22D" w14:textId="77777777" w:rsidR="000E7DCD" w:rsidRPr="00F6387C" w:rsidRDefault="000E7DCD" w:rsidP="00540CC4">
            <w:pPr>
              <w:pStyle w:val="TableText0"/>
              <w:jc w:val="center"/>
              <w:rPr>
                <w:color w:val="000000"/>
              </w:rPr>
            </w:pPr>
            <w:r w:rsidRPr="00F6387C">
              <w:rPr>
                <w:color w:val="000000"/>
              </w:rPr>
              <w:t>50</w:t>
            </w:r>
          </w:p>
        </w:tc>
        <w:tc>
          <w:tcPr>
            <w:tcW w:w="577" w:type="pct"/>
            <w:shd w:val="clear" w:color="auto" w:fill="auto"/>
            <w:noWrap/>
            <w:vAlign w:val="bottom"/>
            <w:hideMark/>
          </w:tcPr>
          <w:p w14:paraId="7BF2B4A0" w14:textId="77777777" w:rsidR="000E7DCD" w:rsidRPr="00F6387C" w:rsidRDefault="000E7DCD" w:rsidP="00540CC4">
            <w:pPr>
              <w:pStyle w:val="TableText0"/>
              <w:jc w:val="center"/>
              <w:rPr>
                <w:color w:val="000000"/>
              </w:rPr>
            </w:pPr>
            <w:r w:rsidRPr="00F6387C">
              <w:rPr>
                <w:color w:val="000000"/>
              </w:rPr>
              <w:t>44</w:t>
            </w:r>
          </w:p>
        </w:tc>
        <w:tc>
          <w:tcPr>
            <w:tcW w:w="567" w:type="pct"/>
            <w:shd w:val="clear" w:color="auto" w:fill="auto"/>
            <w:noWrap/>
            <w:vAlign w:val="bottom"/>
            <w:hideMark/>
          </w:tcPr>
          <w:p w14:paraId="29086BBE" w14:textId="77777777" w:rsidR="000E7DCD" w:rsidRPr="00F6387C" w:rsidRDefault="000E7DCD" w:rsidP="00540CC4">
            <w:pPr>
              <w:pStyle w:val="TableText0"/>
              <w:jc w:val="center"/>
              <w:rPr>
                <w:color w:val="000000"/>
              </w:rPr>
            </w:pPr>
            <w:r w:rsidRPr="00F6387C">
              <w:rPr>
                <w:color w:val="000000"/>
              </w:rPr>
              <w:t>45</w:t>
            </w:r>
          </w:p>
        </w:tc>
      </w:tr>
      <w:tr w:rsidR="000E7DCD" w:rsidRPr="00F6387C" w14:paraId="159306CD" w14:textId="77777777" w:rsidTr="001B5EFB">
        <w:trPr>
          <w:trHeight w:val="70"/>
        </w:trPr>
        <w:tc>
          <w:tcPr>
            <w:tcW w:w="688" w:type="pct"/>
            <w:vMerge/>
            <w:shd w:val="clear" w:color="auto" w:fill="auto"/>
            <w:vAlign w:val="center"/>
            <w:hideMark/>
          </w:tcPr>
          <w:p w14:paraId="5E68036C" w14:textId="77777777" w:rsidR="000E7DCD" w:rsidRPr="00F6387C" w:rsidRDefault="000E7DCD" w:rsidP="00540CC4">
            <w:pPr>
              <w:pStyle w:val="TableText0"/>
              <w:rPr>
                <w:color w:val="000000"/>
              </w:rPr>
            </w:pPr>
          </w:p>
        </w:tc>
        <w:tc>
          <w:tcPr>
            <w:tcW w:w="1436" w:type="pct"/>
            <w:shd w:val="clear" w:color="auto" w:fill="auto"/>
            <w:noWrap/>
            <w:vAlign w:val="bottom"/>
            <w:hideMark/>
          </w:tcPr>
          <w:p w14:paraId="57582DDC" w14:textId="77777777" w:rsidR="000E7DCD" w:rsidRPr="00F6387C" w:rsidRDefault="000E7DCD" w:rsidP="00540CC4">
            <w:pPr>
              <w:pStyle w:val="TableText0"/>
              <w:rPr>
                <w:color w:val="000000"/>
              </w:rPr>
            </w:pPr>
            <w:r w:rsidRPr="00F6387C">
              <w:rPr>
                <w:color w:val="000000"/>
              </w:rPr>
              <w:t>Discontinuations</w:t>
            </w:r>
          </w:p>
        </w:tc>
        <w:tc>
          <w:tcPr>
            <w:tcW w:w="577" w:type="pct"/>
            <w:shd w:val="clear" w:color="auto" w:fill="auto"/>
            <w:noWrap/>
            <w:vAlign w:val="bottom"/>
            <w:hideMark/>
          </w:tcPr>
          <w:p w14:paraId="6CE432C7" w14:textId="77777777" w:rsidR="000E7DCD" w:rsidRPr="00F6387C" w:rsidRDefault="000E7DCD" w:rsidP="00540CC4">
            <w:pPr>
              <w:pStyle w:val="TableText0"/>
              <w:jc w:val="center"/>
              <w:rPr>
                <w:color w:val="000000"/>
              </w:rPr>
            </w:pPr>
            <w:r w:rsidRPr="00F6387C">
              <w:rPr>
                <w:color w:val="000000"/>
              </w:rPr>
              <w:t>40</w:t>
            </w:r>
          </w:p>
        </w:tc>
        <w:tc>
          <w:tcPr>
            <w:tcW w:w="577" w:type="pct"/>
            <w:shd w:val="clear" w:color="auto" w:fill="auto"/>
            <w:noWrap/>
            <w:vAlign w:val="bottom"/>
            <w:hideMark/>
          </w:tcPr>
          <w:p w14:paraId="097CDEAD" w14:textId="77777777" w:rsidR="000E7DCD" w:rsidRPr="00F6387C" w:rsidRDefault="000E7DCD" w:rsidP="00540CC4">
            <w:pPr>
              <w:pStyle w:val="TableText0"/>
              <w:jc w:val="center"/>
              <w:rPr>
                <w:color w:val="000000"/>
              </w:rPr>
            </w:pPr>
            <w:r w:rsidRPr="00F6387C">
              <w:rPr>
                <w:color w:val="000000"/>
              </w:rPr>
              <w:t>9</w:t>
            </w:r>
          </w:p>
        </w:tc>
        <w:tc>
          <w:tcPr>
            <w:tcW w:w="577" w:type="pct"/>
            <w:shd w:val="clear" w:color="auto" w:fill="auto"/>
            <w:noWrap/>
            <w:vAlign w:val="bottom"/>
            <w:hideMark/>
          </w:tcPr>
          <w:p w14:paraId="1677595C" w14:textId="77777777" w:rsidR="000E7DCD" w:rsidRPr="00F6387C" w:rsidRDefault="000E7DCD" w:rsidP="00540CC4">
            <w:pPr>
              <w:pStyle w:val="TableText0"/>
              <w:jc w:val="center"/>
              <w:rPr>
                <w:color w:val="000000"/>
              </w:rPr>
            </w:pPr>
            <w:r w:rsidRPr="00F6387C">
              <w:rPr>
                <w:color w:val="000000"/>
              </w:rPr>
              <w:t>13</w:t>
            </w:r>
          </w:p>
        </w:tc>
        <w:tc>
          <w:tcPr>
            <w:tcW w:w="577" w:type="pct"/>
            <w:shd w:val="clear" w:color="auto" w:fill="auto"/>
            <w:noWrap/>
            <w:vAlign w:val="bottom"/>
            <w:hideMark/>
          </w:tcPr>
          <w:p w14:paraId="7BABCEF9" w14:textId="77777777" w:rsidR="000E7DCD" w:rsidRPr="00F6387C" w:rsidRDefault="000E7DCD" w:rsidP="00540CC4">
            <w:pPr>
              <w:pStyle w:val="TableText0"/>
              <w:jc w:val="center"/>
              <w:rPr>
                <w:color w:val="000000"/>
              </w:rPr>
            </w:pPr>
            <w:r w:rsidRPr="00F6387C">
              <w:rPr>
                <w:color w:val="000000"/>
              </w:rPr>
              <w:t>8</w:t>
            </w:r>
          </w:p>
        </w:tc>
        <w:tc>
          <w:tcPr>
            <w:tcW w:w="567" w:type="pct"/>
            <w:shd w:val="clear" w:color="auto" w:fill="auto"/>
            <w:noWrap/>
            <w:vAlign w:val="bottom"/>
            <w:hideMark/>
          </w:tcPr>
          <w:p w14:paraId="09301B46" w14:textId="77777777" w:rsidR="000E7DCD" w:rsidRPr="00F6387C" w:rsidRDefault="000E7DCD" w:rsidP="00540CC4">
            <w:pPr>
              <w:pStyle w:val="TableText0"/>
              <w:jc w:val="center"/>
              <w:rPr>
                <w:color w:val="000000"/>
              </w:rPr>
            </w:pPr>
            <w:r w:rsidRPr="00F6387C">
              <w:rPr>
                <w:color w:val="000000"/>
              </w:rPr>
              <w:t>7</w:t>
            </w:r>
          </w:p>
        </w:tc>
      </w:tr>
      <w:tr w:rsidR="000E7DCD" w:rsidRPr="00F6387C" w14:paraId="3500DE83" w14:textId="77777777" w:rsidTr="001B5EFB">
        <w:trPr>
          <w:trHeight w:val="70"/>
        </w:trPr>
        <w:tc>
          <w:tcPr>
            <w:tcW w:w="688" w:type="pct"/>
            <w:vMerge/>
            <w:shd w:val="clear" w:color="auto" w:fill="auto"/>
            <w:vAlign w:val="center"/>
            <w:hideMark/>
          </w:tcPr>
          <w:p w14:paraId="4478AD0E" w14:textId="77777777" w:rsidR="000E7DCD" w:rsidRPr="00F6387C" w:rsidRDefault="000E7DCD" w:rsidP="00540CC4">
            <w:pPr>
              <w:pStyle w:val="TableText0"/>
              <w:rPr>
                <w:color w:val="000000"/>
              </w:rPr>
            </w:pPr>
          </w:p>
        </w:tc>
        <w:tc>
          <w:tcPr>
            <w:tcW w:w="1436" w:type="pct"/>
            <w:shd w:val="clear" w:color="auto" w:fill="auto"/>
            <w:noWrap/>
            <w:vAlign w:val="bottom"/>
            <w:hideMark/>
          </w:tcPr>
          <w:p w14:paraId="6493CFF8" w14:textId="23B659C8" w:rsidR="000E7DCD" w:rsidRPr="00F6387C" w:rsidRDefault="000E7DCD" w:rsidP="00540CC4">
            <w:pPr>
              <w:pStyle w:val="TableText0"/>
              <w:rPr>
                <w:color w:val="000000"/>
              </w:rPr>
            </w:pPr>
            <w:r w:rsidRPr="00F6387C">
              <w:rPr>
                <w:color w:val="000000"/>
              </w:rPr>
              <w:t>Censored (still on therapy)</w:t>
            </w:r>
            <w:r w:rsidR="00BD3727" w:rsidRPr="00F6387C">
              <w:rPr>
                <w:color w:val="000000"/>
              </w:rPr>
              <w:t xml:space="preserve"> </w:t>
            </w:r>
            <w:r w:rsidR="001B5EFB" w:rsidRPr="00F6387C">
              <w:rPr>
                <w:color w:val="000000"/>
                <w:vertAlign w:val="superscript"/>
              </w:rPr>
              <w:t>a</w:t>
            </w:r>
          </w:p>
        </w:tc>
        <w:tc>
          <w:tcPr>
            <w:tcW w:w="577" w:type="pct"/>
            <w:shd w:val="clear" w:color="auto" w:fill="auto"/>
            <w:noWrap/>
            <w:vAlign w:val="bottom"/>
            <w:hideMark/>
          </w:tcPr>
          <w:p w14:paraId="159E4DCA" w14:textId="77777777" w:rsidR="000E7DCD" w:rsidRPr="00F6387C" w:rsidRDefault="000E7DCD" w:rsidP="00540CC4">
            <w:pPr>
              <w:pStyle w:val="TableText0"/>
              <w:jc w:val="center"/>
              <w:rPr>
                <w:color w:val="000000"/>
              </w:rPr>
            </w:pPr>
            <w:r w:rsidRPr="00F6387C">
              <w:rPr>
                <w:color w:val="000000"/>
              </w:rPr>
              <w:t>5</w:t>
            </w:r>
          </w:p>
        </w:tc>
        <w:tc>
          <w:tcPr>
            <w:tcW w:w="577" w:type="pct"/>
            <w:shd w:val="clear" w:color="auto" w:fill="auto"/>
            <w:noWrap/>
            <w:vAlign w:val="bottom"/>
            <w:hideMark/>
          </w:tcPr>
          <w:p w14:paraId="751AF90C" w14:textId="77777777" w:rsidR="000E7DCD" w:rsidRPr="00F6387C" w:rsidRDefault="000E7DCD" w:rsidP="00540CC4">
            <w:pPr>
              <w:pStyle w:val="TableText0"/>
              <w:jc w:val="center"/>
              <w:rPr>
                <w:color w:val="000000"/>
              </w:rPr>
            </w:pPr>
            <w:r w:rsidRPr="00F6387C">
              <w:rPr>
                <w:color w:val="000000"/>
              </w:rPr>
              <w:t>6</w:t>
            </w:r>
          </w:p>
        </w:tc>
        <w:tc>
          <w:tcPr>
            <w:tcW w:w="577" w:type="pct"/>
            <w:shd w:val="clear" w:color="auto" w:fill="auto"/>
            <w:noWrap/>
            <w:vAlign w:val="bottom"/>
            <w:hideMark/>
          </w:tcPr>
          <w:p w14:paraId="26D14A2E" w14:textId="77777777" w:rsidR="000E7DCD" w:rsidRPr="00F6387C" w:rsidRDefault="000E7DCD" w:rsidP="00540CC4">
            <w:pPr>
              <w:pStyle w:val="TableText0"/>
              <w:jc w:val="center"/>
              <w:rPr>
                <w:color w:val="000000"/>
              </w:rPr>
            </w:pPr>
            <w:r w:rsidRPr="00F6387C">
              <w:rPr>
                <w:color w:val="000000"/>
              </w:rPr>
              <w:t>14</w:t>
            </w:r>
          </w:p>
        </w:tc>
        <w:tc>
          <w:tcPr>
            <w:tcW w:w="577" w:type="pct"/>
            <w:shd w:val="clear" w:color="auto" w:fill="auto"/>
            <w:noWrap/>
            <w:vAlign w:val="bottom"/>
            <w:hideMark/>
          </w:tcPr>
          <w:p w14:paraId="46179443" w14:textId="77777777" w:rsidR="000E7DCD" w:rsidRPr="00F6387C" w:rsidRDefault="000E7DCD" w:rsidP="00540CC4">
            <w:pPr>
              <w:pStyle w:val="TableText0"/>
              <w:jc w:val="center"/>
              <w:rPr>
                <w:color w:val="000000"/>
              </w:rPr>
            </w:pPr>
            <w:r w:rsidRPr="00F6387C">
              <w:rPr>
                <w:color w:val="000000"/>
              </w:rPr>
              <w:t>18</w:t>
            </w:r>
          </w:p>
        </w:tc>
        <w:tc>
          <w:tcPr>
            <w:tcW w:w="567" w:type="pct"/>
            <w:shd w:val="clear" w:color="auto" w:fill="auto"/>
            <w:noWrap/>
            <w:vAlign w:val="bottom"/>
            <w:hideMark/>
          </w:tcPr>
          <w:p w14:paraId="119FA81B" w14:textId="77777777" w:rsidR="000E7DCD" w:rsidRPr="00F6387C" w:rsidRDefault="000E7DCD" w:rsidP="00540CC4">
            <w:pPr>
              <w:pStyle w:val="TableText0"/>
              <w:jc w:val="center"/>
              <w:rPr>
                <w:color w:val="000000"/>
              </w:rPr>
            </w:pPr>
            <w:r w:rsidRPr="00F6387C">
              <w:rPr>
                <w:color w:val="000000"/>
              </w:rPr>
              <w:t>17</w:t>
            </w:r>
          </w:p>
        </w:tc>
      </w:tr>
      <w:tr w:rsidR="000E7DCD" w:rsidRPr="00F6387C" w14:paraId="53F33991" w14:textId="77777777" w:rsidTr="001B5EFB">
        <w:trPr>
          <w:trHeight w:val="70"/>
        </w:trPr>
        <w:tc>
          <w:tcPr>
            <w:tcW w:w="688" w:type="pct"/>
            <w:vMerge/>
            <w:tcBorders>
              <w:bottom w:val="single" w:sz="12" w:space="0" w:color="auto"/>
            </w:tcBorders>
            <w:shd w:val="clear" w:color="auto" w:fill="auto"/>
            <w:vAlign w:val="center"/>
            <w:hideMark/>
          </w:tcPr>
          <w:p w14:paraId="7D652519" w14:textId="77777777" w:rsidR="000E7DCD" w:rsidRPr="00F6387C" w:rsidRDefault="000E7DCD" w:rsidP="00540CC4">
            <w:pPr>
              <w:pStyle w:val="TableText0"/>
              <w:rPr>
                <w:color w:val="000000"/>
              </w:rPr>
            </w:pPr>
          </w:p>
        </w:tc>
        <w:tc>
          <w:tcPr>
            <w:tcW w:w="1436" w:type="pct"/>
            <w:tcBorders>
              <w:bottom w:val="single" w:sz="12" w:space="0" w:color="auto"/>
            </w:tcBorders>
            <w:shd w:val="clear" w:color="auto" w:fill="auto"/>
            <w:noWrap/>
            <w:vAlign w:val="bottom"/>
            <w:hideMark/>
          </w:tcPr>
          <w:p w14:paraId="2C4D244C" w14:textId="77777777" w:rsidR="000E7DCD" w:rsidRPr="00F6387C" w:rsidRDefault="000E7DCD" w:rsidP="00540CC4">
            <w:pPr>
              <w:pStyle w:val="TableText0"/>
              <w:rPr>
                <w:color w:val="000000"/>
              </w:rPr>
            </w:pPr>
            <w:r w:rsidRPr="00F6387C">
              <w:rPr>
                <w:color w:val="000000"/>
              </w:rPr>
              <w:t>End of period</w:t>
            </w:r>
          </w:p>
        </w:tc>
        <w:tc>
          <w:tcPr>
            <w:tcW w:w="577" w:type="pct"/>
            <w:tcBorders>
              <w:bottom w:val="single" w:sz="12" w:space="0" w:color="auto"/>
            </w:tcBorders>
            <w:shd w:val="clear" w:color="auto" w:fill="auto"/>
            <w:noWrap/>
            <w:vAlign w:val="bottom"/>
            <w:hideMark/>
          </w:tcPr>
          <w:p w14:paraId="267646F6" w14:textId="77777777" w:rsidR="000E7DCD" w:rsidRPr="00F6387C" w:rsidRDefault="000E7DCD" w:rsidP="00540CC4">
            <w:pPr>
              <w:pStyle w:val="TableText0"/>
              <w:jc w:val="center"/>
              <w:rPr>
                <w:color w:val="000000"/>
              </w:rPr>
            </w:pPr>
            <w:r w:rsidRPr="00F6387C">
              <w:rPr>
                <w:color w:val="000000"/>
              </w:rPr>
              <w:t>753</w:t>
            </w:r>
          </w:p>
        </w:tc>
        <w:tc>
          <w:tcPr>
            <w:tcW w:w="577" w:type="pct"/>
            <w:tcBorders>
              <w:bottom w:val="single" w:sz="12" w:space="0" w:color="auto"/>
            </w:tcBorders>
            <w:shd w:val="clear" w:color="auto" w:fill="auto"/>
            <w:noWrap/>
            <w:vAlign w:val="bottom"/>
            <w:hideMark/>
          </w:tcPr>
          <w:p w14:paraId="228D0C8F" w14:textId="77777777" w:rsidR="000E7DCD" w:rsidRPr="00F6387C" w:rsidRDefault="000E7DCD" w:rsidP="00540CC4">
            <w:pPr>
              <w:pStyle w:val="TableText0"/>
              <w:jc w:val="center"/>
              <w:rPr>
                <w:color w:val="000000"/>
              </w:rPr>
            </w:pPr>
            <w:r w:rsidRPr="00F6387C">
              <w:rPr>
                <w:color w:val="000000"/>
              </w:rPr>
              <w:t>658</w:t>
            </w:r>
          </w:p>
        </w:tc>
        <w:tc>
          <w:tcPr>
            <w:tcW w:w="577" w:type="pct"/>
            <w:tcBorders>
              <w:bottom w:val="single" w:sz="12" w:space="0" w:color="auto"/>
            </w:tcBorders>
            <w:shd w:val="clear" w:color="auto" w:fill="auto"/>
            <w:noWrap/>
            <w:vAlign w:val="bottom"/>
            <w:hideMark/>
          </w:tcPr>
          <w:p w14:paraId="18277E7A" w14:textId="77777777" w:rsidR="000E7DCD" w:rsidRPr="00F6387C" w:rsidRDefault="000E7DCD" w:rsidP="00540CC4">
            <w:pPr>
              <w:pStyle w:val="TableText0"/>
              <w:jc w:val="center"/>
              <w:rPr>
                <w:color w:val="000000"/>
              </w:rPr>
            </w:pPr>
            <w:r w:rsidRPr="00F6387C">
              <w:rPr>
                <w:color w:val="000000"/>
              </w:rPr>
              <w:t>581</w:t>
            </w:r>
          </w:p>
        </w:tc>
        <w:tc>
          <w:tcPr>
            <w:tcW w:w="577" w:type="pct"/>
            <w:tcBorders>
              <w:bottom w:val="single" w:sz="12" w:space="0" w:color="auto"/>
            </w:tcBorders>
            <w:shd w:val="clear" w:color="auto" w:fill="auto"/>
            <w:noWrap/>
            <w:vAlign w:val="bottom"/>
            <w:hideMark/>
          </w:tcPr>
          <w:p w14:paraId="3E2BCE76" w14:textId="77777777" w:rsidR="000E7DCD" w:rsidRPr="00F6387C" w:rsidRDefault="000E7DCD" w:rsidP="00540CC4">
            <w:pPr>
              <w:pStyle w:val="TableText0"/>
              <w:jc w:val="center"/>
              <w:rPr>
                <w:color w:val="000000"/>
              </w:rPr>
            </w:pPr>
            <w:r w:rsidRPr="00F6387C">
              <w:rPr>
                <w:color w:val="000000"/>
              </w:rPr>
              <w:t>511</w:t>
            </w:r>
          </w:p>
        </w:tc>
        <w:tc>
          <w:tcPr>
            <w:tcW w:w="567" w:type="pct"/>
            <w:tcBorders>
              <w:bottom w:val="single" w:sz="12" w:space="0" w:color="auto"/>
            </w:tcBorders>
            <w:shd w:val="clear" w:color="auto" w:fill="auto"/>
            <w:noWrap/>
            <w:vAlign w:val="bottom"/>
            <w:hideMark/>
          </w:tcPr>
          <w:p w14:paraId="319C4AED" w14:textId="77777777" w:rsidR="000E7DCD" w:rsidRPr="00F6387C" w:rsidRDefault="000E7DCD" w:rsidP="00540CC4">
            <w:pPr>
              <w:pStyle w:val="TableText0"/>
              <w:jc w:val="center"/>
              <w:rPr>
                <w:color w:val="000000"/>
              </w:rPr>
            </w:pPr>
            <w:r w:rsidRPr="00F6387C">
              <w:rPr>
                <w:color w:val="000000"/>
              </w:rPr>
              <w:t>442</w:t>
            </w:r>
          </w:p>
        </w:tc>
      </w:tr>
      <w:tr w:rsidR="000E7DCD" w:rsidRPr="00F6387C" w14:paraId="2B902D8C" w14:textId="77777777" w:rsidTr="001B5EFB">
        <w:trPr>
          <w:trHeight w:val="50"/>
        </w:trPr>
        <w:tc>
          <w:tcPr>
            <w:tcW w:w="688" w:type="pct"/>
            <w:vMerge w:val="restart"/>
            <w:tcBorders>
              <w:top w:val="single" w:sz="12" w:space="0" w:color="auto"/>
            </w:tcBorders>
            <w:shd w:val="clear" w:color="auto" w:fill="auto"/>
            <w:noWrap/>
            <w:vAlign w:val="center"/>
            <w:hideMark/>
          </w:tcPr>
          <w:p w14:paraId="34F456DA" w14:textId="77777777" w:rsidR="000E7DCD" w:rsidRPr="00F6387C" w:rsidRDefault="000E7DCD" w:rsidP="00540CC4">
            <w:pPr>
              <w:pStyle w:val="TableText0"/>
              <w:rPr>
                <w:b/>
                <w:color w:val="000000"/>
              </w:rPr>
            </w:pPr>
            <w:r w:rsidRPr="00F6387C">
              <w:rPr>
                <w:b/>
                <w:color w:val="000000"/>
              </w:rPr>
              <w:t>Cladribine</w:t>
            </w:r>
          </w:p>
        </w:tc>
        <w:tc>
          <w:tcPr>
            <w:tcW w:w="1436" w:type="pct"/>
            <w:tcBorders>
              <w:top w:val="single" w:sz="12" w:space="0" w:color="auto"/>
            </w:tcBorders>
            <w:shd w:val="clear" w:color="auto" w:fill="auto"/>
            <w:noWrap/>
            <w:vAlign w:val="bottom"/>
            <w:hideMark/>
          </w:tcPr>
          <w:p w14:paraId="1CB4C79C" w14:textId="77777777" w:rsidR="000E7DCD" w:rsidRPr="00F6387C" w:rsidRDefault="000E7DCD" w:rsidP="00540CC4">
            <w:pPr>
              <w:pStyle w:val="TableText0"/>
              <w:rPr>
                <w:color w:val="000000"/>
              </w:rPr>
            </w:pPr>
            <w:r w:rsidRPr="00F6387C">
              <w:rPr>
                <w:color w:val="000000"/>
              </w:rPr>
              <w:t>Start of period</w:t>
            </w:r>
          </w:p>
        </w:tc>
        <w:tc>
          <w:tcPr>
            <w:tcW w:w="577" w:type="pct"/>
            <w:tcBorders>
              <w:top w:val="single" w:sz="12" w:space="0" w:color="auto"/>
            </w:tcBorders>
            <w:shd w:val="clear" w:color="auto" w:fill="auto"/>
            <w:noWrap/>
            <w:vAlign w:val="bottom"/>
            <w:hideMark/>
          </w:tcPr>
          <w:p w14:paraId="5E5A5A0D" w14:textId="77777777" w:rsidR="000E7DCD" w:rsidRPr="00F6387C" w:rsidRDefault="000E7DCD" w:rsidP="00540CC4">
            <w:pPr>
              <w:pStyle w:val="TableText0"/>
              <w:jc w:val="center"/>
              <w:rPr>
                <w:color w:val="000000"/>
              </w:rPr>
            </w:pPr>
            <w:r w:rsidRPr="00F6387C">
              <w:rPr>
                <w:color w:val="000000"/>
              </w:rPr>
              <w:t>310</w:t>
            </w:r>
          </w:p>
        </w:tc>
        <w:tc>
          <w:tcPr>
            <w:tcW w:w="577" w:type="pct"/>
            <w:tcBorders>
              <w:top w:val="single" w:sz="12" w:space="0" w:color="auto"/>
            </w:tcBorders>
            <w:shd w:val="clear" w:color="auto" w:fill="auto"/>
            <w:noWrap/>
            <w:vAlign w:val="bottom"/>
            <w:hideMark/>
          </w:tcPr>
          <w:p w14:paraId="4B3D8F45" w14:textId="77777777" w:rsidR="000E7DCD" w:rsidRPr="00F6387C" w:rsidRDefault="000E7DCD" w:rsidP="00540CC4">
            <w:pPr>
              <w:pStyle w:val="TableText0"/>
              <w:jc w:val="center"/>
              <w:rPr>
                <w:color w:val="000000"/>
              </w:rPr>
            </w:pPr>
            <w:r w:rsidRPr="00F6387C">
              <w:rPr>
                <w:color w:val="000000"/>
              </w:rPr>
              <w:t>236</w:t>
            </w:r>
          </w:p>
        </w:tc>
        <w:tc>
          <w:tcPr>
            <w:tcW w:w="577" w:type="pct"/>
            <w:tcBorders>
              <w:top w:val="single" w:sz="12" w:space="0" w:color="auto"/>
            </w:tcBorders>
            <w:shd w:val="clear" w:color="auto" w:fill="auto"/>
            <w:noWrap/>
            <w:vAlign w:val="bottom"/>
            <w:hideMark/>
          </w:tcPr>
          <w:p w14:paraId="13AE2F26" w14:textId="77777777" w:rsidR="000E7DCD" w:rsidRPr="00F6387C" w:rsidRDefault="000E7DCD" w:rsidP="00540CC4">
            <w:pPr>
              <w:pStyle w:val="TableText0"/>
              <w:jc w:val="center"/>
              <w:rPr>
                <w:color w:val="000000"/>
              </w:rPr>
            </w:pPr>
            <w:r w:rsidRPr="00F6387C">
              <w:rPr>
                <w:color w:val="000000"/>
              </w:rPr>
              <w:t>157</w:t>
            </w:r>
          </w:p>
        </w:tc>
        <w:tc>
          <w:tcPr>
            <w:tcW w:w="577" w:type="pct"/>
            <w:tcBorders>
              <w:top w:val="single" w:sz="12" w:space="0" w:color="auto"/>
            </w:tcBorders>
            <w:shd w:val="clear" w:color="auto" w:fill="auto"/>
            <w:noWrap/>
            <w:vAlign w:val="bottom"/>
            <w:hideMark/>
          </w:tcPr>
          <w:p w14:paraId="1C53798F" w14:textId="77777777" w:rsidR="000E7DCD" w:rsidRPr="00F6387C" w:rsidRDefault="000E7DCD" w:rsidP="00540CC4">
            <w:pPr>
              <w:pStyle w:val="TableText0"/>
              <w:jc w:val="center"/>
              <w:rPr>
                <w:color w:val="000000"/>
              </w:rPr>
            </w:pPr>
            <w:r w:rsidRPr="00F6387C">
              <w:rPr>
                <w:color w:val="000000"/>
              </w:rPr>
              <w:t>103</w:t>
            </w:r>
          </w:p>
        </w:tc>
        <w:tc>
          <w:tcPr>
            <w:tcW w:w="567" w:type="pct"/>
            <w:tcBorders>
              <w:top w:val="single" w:sz="12" w:space="0" w:color="auto"/>
            </w:tcBorders>
            <w:shd w:val="clear" w:color="auto" w:fill="auto"/>
            <w:noWrap/>
            <w:vAlign w:val="bottom"/>
            <w:hideMark/>
          </w:tcPr>
          <w:p w14:paraId="496B11A1" w14:textId="77777777" w:rsidR="000E7DCD" w:rsidRPr="00F6387C" w:rsidRDefault="000E7DCD" w:rsidP="00540CC4">
            <w:pPr>
              <w:pStyle w:val="TableText0"/>
              <w:jc w:val="center"/>
              <w:rPr>
                <w:color w:val="000000"/>
              </w:rPr>
            </w:pPr>
            <w:r w:rsidRPr="00F6387C">
              <w:rPr>
                <w:color w:val="000000"/>
              </w:rPr>
              <w:t>29</w:t>
            </w:r>
          </w:p>
        </w:tc>
      </w:tr>
      <w:tr w:rsidR="000E7DCD" w:rsidRPr="00F6387C" w14:paraId="3334E179" w14:textId="77777777" w:rsidTr="001B5EFB">
        <w:trPr>
          <w:trHeight w:val="70"/>
        </w:trPr>
        <w:tc>
          <w:tcPr>
            <w:tcW w:w="688" w:type="pct"/>
            <w:vMerge/>
            <w:shd w:val="clear" w:color="auto" w:fill="auto"/>
            <w:vAlign w:val="center"/>
            <w:hideMark/>
          </w:tcPr>
          <w:p w14:paraId="55302874" w14:textId="77777777" w:rsidR="000E7DCD" w:rsidRPr="00F6387C" w:rsidRDefault="000E7DCD" w:rsidP="00540CC4">
            <w:pPr>
              <w:pStyle w:val="TableText0"/>
              <w:rPr>
                <w:color w:val="000000"/>
              </w:rPr>
            </w:pPr>
          </w:p>
        </w:tc>
        <w:tc>
          <w:tcPr>
            <w:tcW w:w="1436" w:type="pct"/>
            <w:shd w:val="clear" w:color="auto" w:fill="auto"/>
            <w:noWrap/>
            <w:vAlign w:val="bottom"/>
            <w:hideMark/>
          </w:tcPr>
          <w:p w14:paraId="338CC6C1" w14:textId="77777777" w:rsidR="000E7DCD" w:rsidRPr="00F6387C" w:rsidRDefault="000E7DCD" w:rsidP="00540CC4">
            <w:pPr>
              <w:pStyle w:val="TableText0"/>
              <w:rPr>
                <w:color w:val="000000"/>
              </w:rPr>
            </w:pPr>
            <w:r w:rsidRPr="00F6387C">
              <w:rPr>
                <w:color w:val="000000"/>
              </w:rPr>
              <w:t>Switch outs</w:t>
            </w:r>
          </w:p>
        </w:tc>
        <w:tc>
          <w:tcPr>
            <w:tcW w:w="577" w:type="pct"/>
            <w:shd w:val="clear" w:color="auto" w:fill="auto"/>
            <w:noWrap/>
            <w:vAlign w:val="bottom"/>
            <w:hideMark/>
          </w:tcPr>
          <w:p w14:paraId="3AB1A112" w14:textId="77777777" w:rsidR="000E7DCD" w:rsidRPr="00F6387C" w:rsidRDefault="000E7DCD" w:rsidP="00540CC4">
            <w:pPr>
              <w:pStyle w:val="TableText0"/>
              <w:jc w:val="center"/>
              <w:rPr>
                <w:color w:val="000000"/>
              </w:rPr>
            </w:pPr>
            <w:r w:rsidRPr="00F6387C">
              <w:rPr>
                <w:color w:val="000000"/>
              </w:rPr>
              <w:t>33</w:t>
            </w:r>
          </w:p>
        </w:tc>
        <w:tc>
          <w:tcPr>
            <w:tcW w:w="577" w:type="pct"/>
            <w:shd w:val="clear" w:color="auto" w:fill="auto"/>
            <w:noWrap/>
            <w:vAlign w:val="bottom"/>
            <w:hideMark/>
          </w:tcPr>
          <w:p w14:paraId="4B7D09E7" w14:textId="77777777" w:rsidR="000E7DCD" w:rsidRPr="00F6387C" w:rsidRDefault="000E7DCD" w:rsidP="00540CC4">
            <w:pPr>
              <w:pStyle w:val="TableText0"/>
              <w:jc w:val="center"/>
              <w:rPr>
                <w:color w:val="000000"/>
              </w:rPr>
            </w:pPr>
            <w:r w:rsidRPr="00F6387C">
              <w:rPr>
                <w:color w:val="000000"/>
              </w:rPr>
              <w:t>11</w:t>
            </w:r>
          </w:p>
        </w:tc>
        <w:tc>
          <w:tcPr>
            <w:tcW w:w="577" w:type="pct"/>
            <w:shd w:val="clear" w:color="auto" w:fill="auto"/>
            <w:noWrap/>
            <w:vAlign w:val="bottom"/>
            <w:hideMark/>
          </w:tcPr>
          <w:p w14:paraId="16F1BF02" w14:textId="77777777" w:rsidR="000E7DCD" w:rsidRPr="00F6387C" w:rsidRDefault="000E7DCD" w:rsidP="00540CC4">
            <w:pPr>
              <w:pStyle w:val="TableText0"/>
              <w:jc w:val="center"/>
              <w:rPr>
                <w:color w:val="000000"/>
              </w:rPr>
            </w:pPr>
            <w:r w:rsidRPr="00F6387C">
              <w:rPr>
                <w:color w:val="000000"/>
              </w:rPr>
              <w:t>0</w:t>
            </w:r>
          </w:p>
        </w:tc>
        <w:tc>
          <w:tcPr>
            <w:tcW w:w="577" w:type="pct"/>
            <w:shd w:val="clear" w:color="auto" w:fill="auto"/>
            <w:noWrap/>
            <w:vAlign w:val="bottom"/>
            <w:hideMark/>
          </w:tcPr>
          <w:p w14:paraId="53396C45" w14:textId="77777777" w:rsidR="000E7DCD" w:rsidRPr="00F6387C" w:rsidRDefault="000E7DCD" w:rsidP="00540CC4">
            <w:pPr>
              <w:pStyle w:val="TableText0"/>
              <w:jc w:val="center"/>
              <w:rPr>
                <w:color w:val="000000"/>
              </w:rPr>
            </w:pPr>
            <w:r w:rsidRPr="00F6387C">
              <w:rPr>
                <w:color w:val="000000"/>
              </w:rPr>
              <w:t>0</w:t>
            </w:r>
          </w:p>
        </w:tc>
        <w:tc>
          <w:tcPr>
            <w:tcW w:w="567" w:type="pct"/>
            <w:shd w:val="clear" w:color="auto" w:fill="auto"/>
            <w:noWrap/>
            <w:vAlign w:val="bottom"/>
            <w:hideMark/>
          </w:tcPr>
          <w:p w14:paraId="5CFB63EA" w14:textId="77777777" w:rsidR="000E7DCD" w:rsidRPr="00F6387C" w:rsidRDefault="000E7DCD" w:rsidP="00540CC4">
            <w:pPr>
              <w:pStyle w:val="TableText0"/>
              <w:jc w:val="center"/>
              <w:rPr>
                <w:color w:val="000000"/>
              </w:rPr>
            </w:pPr>
            <w:r w:rsidRPr="00F6387C">
              <w:rPr>
                <w:color w:val="000000"/>
              </w:rPr>
              <w:t>0</w:t>
            </w:r>
          </w:p>
        </w:tc>
      </w:tr>
      <w:tr w:rsidR="000E7DCD" w:rsidRPr="00F6387C" w14:paraId="127C68FC" w14:textId="77777777" w:rsidTr="001B5EFB">
        <w:trPr>
          <w:trHeight w:val="70"/>
        </w:trPr>
        <w:tc>
          <w:tcPr>
            <w:tcW w:w="688" w:type="pct"/>
            <w:vMerge/>
            <w:shd w:val="clear" w:color="auto" w:fill="auto"/>
            <w:vAlign w:val="center"/>
            <w:hideMark/>
          </w:tcPr>
          <w:p w14:paraId="0EBAB427" w14:textId="77777777" w:rsidR="000E7DCD" w:rsidRPr="00F6387C" w:rsidRDefault="000E7DCD" w:rsidP="00540CC4">
            <w:pPr>
              <w:pStyle w:val="TableText0"/>
              <w:rPr>
                <w:color w:val="000000"/>
              </w:rPr>
            </w:pPr>
          </w:p>
        </w:tc>
        <w:tc>
          <w:tcPr>
            <w:tcW w:w="1436" w:type="pct"/>
            <w:shd w:val="clear" w:color="auto" w:fill="auto"/>
            <w:noWrap/>
            <w:vAlign w:val="bottom"/>
            <w:hideMark/>
          </w:tcPr>
          <w:p w14:paraId="2B9E03CD" w14:textId="77777777" w:rsidR="000E7DCD" w:rsidRPr="00F6387C" w:rsidRDefault="000E7DCD" w:rsidP="00540CC4">
            <w:pPr>
              <w:pStyle w:val="TableText0"/>
              <w:rPr>
                <w:color w:val="000000"/>
              </w:rPr>
            </w:pPr>
            <w:r w:rsidRPr="00F6387C">
              <w:rPr>
                <w:color w:val="000000"/>
              </w:rPr>
              <w:t>Discontinuations</w:t>
            </w:r>
          </w:p>
        </w:tc>
        <w:tc>
          <w:tcPr>
            <w:tcW w:w="577" w:type="pct"/>
            <w:shd w:val="clear" w:color="auto" w:fill="auto"/>
            <w:noWrap/>
            <w:vAlign w:val="bottom"/>
            <w:hideMark/>
          </w:tcPr>
          <w:p w14:paraId="68049BD3" w14:textId="77777777" w:rsidR="000E7DCD" w:rsidRPr="00F6387C" w:rsidRDefault="000E7DCD" w:rsidP="00540CC4">
            <w:pPr>
              <w:pStyle w:val="TableText0"/>
              <w:jc w:val="center"/>
              <w:rPr>
                <w:color w:val="000000"/>
              </w:rPr>
            </w:pPr>
            <w:r w:rsidRPr="00F6387C">
              <w:rPr>
                <w:color w:val="000000"/>
              </w:rPr>
              <w:t>0</w:t>
            </w:r>
          </w:p>
        </w:tc>
        <w:tc>
          <w:tcPr>
            <w:tcW w:w="577" w:type="pct"/>
            <w:shd w:val="clear" w:color="auto" w:fill="auto"/>
            <w:noWrap/>
            <w:vAlign w:val="bottom"/>
            <w:hideMark/>
          </w:tcPr>
          <w:p w14:paraId="13DACB04" w14:textId="77777777" w:rsidR="000E7DCD" w:rsidRPr="00F6387C" w:rsidRDefault="000E7DCD" w:rsidP="00540CC4">
            <w:pPr>
              <w:pStyle w:val="TableText0"/>
              <w:jc w:val="center"/>
              <w:rPr>
                <w:color w:val="000000"/>
              </w:rPr>
            </w:pPr>
            <w:r w:rsidRPr="00F6387C">
              <w:rPr>
                <w:color w:val="000000"/>
              </w:rPr>
              <w:t>0</w:t>
            </w:r>
          </w:p>
        </w:tc>
        <w:tc>
          <w:tcPr>
            <w:tcW w:w="577" w:type="pct"/>
            <w:shd w:val="clear" w:color="auto" w:fill="auto"/>
            <w:noWrap/>
            <w:vAlign w:val="bottom"/>
            <w:hideMark/>
          </w:tcPr>
          <w:p w14:paraId="4BAB185E" w14:textId="77777777" w:rsidR="000E7DCD" w:rsidRPr="00F6387C" w:rsidRDefault="000E7DCD" w:rsidP="00540CC4">
            <w:pPr>
              <w:pStyle w:val="TableText0"/>
              <w:jc w:val="center"/>
              <w:rPr>
                <w:color w:val="000000"/>
              </w:rPr>
            </w:pPr>
            <w:r w:rsidRPr="00F6387C">
              <w:rPr>
                <w:color w:val="000000"/>
              </w:rPr>
              <w:t>0</w:t>
            </w:r>
          </w:p>
        </w:tc>
        <w:tc>
          <w:tcPr>
            <w:tcW w:w="577" w:type="pct"/>
            <w:shd w:val="clear" w:color="auto" w:fill="auto"/>
            <w:noWrap/>
            <w:vAlign w:val="bottom"/>
            <w:hideMark/>
          </w:tcPr>
          <w:p w14:paraId="7DD2A5A9" w14:textId="77777777" w:rsidR="000E7DCD" w:rsidRPr="00F6387C" w:rsidRDefault="000E7DCD" w:rsidP="00540CC4">
            <w:pPr>
              <w:pStyle w:val="TableText0"/>
              <w:jc w:val="center"/>
              <w:rPr>
                <w:color w:val="000000"/>
              </w:rPr>
            </w:pPr>
            <w:r w:rsidRPr="00F6387C">
              <w:rPr>
                <w:color w:val="000000"/>
              </w:rPr>
              <w:t>0</w:t>
            </w:r>
          </w:p>
        </w:tc>
        <w:tc>
          <w:tcPr>
            <w:tcW w:w="567" w:type="pct"/>
            <w:shd w:val="clear" w:color="auto" w:fill="auto"/>
            <w:noWrap/>
            <w:vAlign w:val="bottom"/>
            <w:hideMark/>
          </w:tcPr>
          <w:p w14:paraId="152A4A98" w14:textId="77777777" w:rsidR="000E7DCD" w:rsidRPr="00F6387C" w:rsidRDefault="000E7DCD" w:rsidP="00540CC4">
            <w:pPr>
              <w:pStyle w:val="TableText0"/>
              <w:jc w:val="center"/>
              <w:rPr>
                <w:color w:val="000000"/>
              </w:rPr>
            </w:pPr>
            <w:r w:rsidRPr="00F6387C">
              <w:rPr>
                <w:color w:val="000000"/>
              </w:rPr>
              <w:t>0</w:t>
            </w:r>
          </w:p>
        </w:tc>
      </w:tr>
      <w:tr w:rsidR="000E7DCD" w:rsidRPr="00F6387C" w14:paraId="5FDC7736" w14:textId="77777777" w:rsidTr="001B5EFB">
        <w:trPr>
          <w:trHeight w:val="70"/>
        </w:trPr>
        <w:tc>
          <w:tcPr>
            <w:tcW w:w="688" w:type="pct"/>
            <w:vMerge/>
            <w:shd w:val="clear" w:color="auto" w:fill="auto"/>
            <w:vAlign w:val="center"/>
            <w:hideMark/>
          </w:tcPr>
          <w:p w14:paraId="49D45520" w14:textId="77777777" w:rsidR="000E7DCD" w:rsidRPr="00F6387C" w:rsidRDefault="000E7DCD" w:rsidP="00540CC4">
            <w:pPr>
              <w:pStyle w:val="TableText0"/>
              <w:rPr>
                <w:color w:val="000000"/>
              </w:rPr>
            </w:pPr>
          </w:p>
        </w:tc>
        <w:tc>
          <w:tcPr>
            <w:tcW w:w="1436" w:type="pct"/>
            <w:shd w:val="clear" w:color="auto" w:fill="auto"/>
            <w:noWrap/>
            <w:vAlign w:val="bottom"/>
            <w:hideMark/>
          </w:tcPr>
          <w:p w14:paraId="71D294B3" w14:textId="2D99D492" w:rsidR="000E7DCD" w:rsidRPr="00F6387C" w:rsidRDefault="000E7DCD" w:rsidP="00540CC4">
            <w:pPr>
              <w:pStyle w:val="TableText0"/>
              <w:rPr>
                <w:color w:val="000000"/>
              </w:rPr>
            </w:pPr>
            <w:r w:rsidRPr="00F6387C">
              <w:rPr>
                <w:color w:val="000000"/>
              </w:rPr>
              <w:t>Censored (still on therapy)</w:t>
            </w:r>
            <w:r w:rsidR="001B5EFB" w:rsidRPr="00F6387C">
              <w:rPr>
                <w:color w:val="000000"/>
                <w:vertAlign w:val="superscript"/>
              </w:rPr>
              <w:t xml:space="preserve"> a</w:t>
            </w:r>
          </w:p>
        </w:tc>
        <w:tc>
          <w:tcPr>
            <w:tcW w:w="577" w:type="pct"/>
            <w:shd w:val="clear" w:color="auto" w:fill="auto"/>
            <w:noWrap/>
            <w:vAlign w:val="bottom"/>
            <w:hideMark/>
          </w:tcPr>
          <w:p w14:paraId="369F7C55" w14:textId="77777777" w:rsidR="000E7DCD" w:rsidRPr="00F6387C" w:rsidRDefault="000E7DCD" w:rsidP="00540CC4">
            <w:pPr>
              <w:pStyle w:val="TableText0"/>
              <w:jc w:val="center"/>
              <w:rPr>
                <w:color w:val="000000"/>
              </w:rPr>
            </w:pPr>
            <w:r w:rsidRPr="00F6387C">
              <w:rPr>
                <w:color w:val="000000"/>
              </w:rPr>
              <w:t>41</w:t>
            </w:r>
          </w:p>
        </w:tc>
        <w:tc>
          <w:tcPr>
            <w:tcW w:w="577" w:type="pct"/>
            <w:shd w:val="clear" w:color="auto" w:fill="auto"/>
            <w:noWrap/>
            <w:vAlign w:val="bottom"/>
            <w:hideMark/>
          </w:tcPr>
          <w:p w14:paraId="1F719289" w14:textId="77777777" w:rsidR="000E7DCD" w:rsidRPr="00F6387C" w:rsidRDefault="000E7DCD" w:rsidP="00540CC4">
            <w:pPr>
              <w:pStyle w:val="TableText0"/>
              <w:jc w:val="center"/>
              <w:rPr>
                <w:color w:val="000000"/>
              </w:rPr>
            </w:pPr>
            <w:r w:rsidRPr="00F6387C">
              <w:rPr>
                <w:color w:val="000000"/>
              </w:rPr>
              <w:t>68</w:t>
            </w:r>
          </w:p>
        </w:tc>
        <w:tc>
          <w:tcPr>
            <w:tcW w:w="577" w:type="pct"/>
            <w:shd w:val="clear" w:color="auto" w:fill="auto"/>
            <w:noWrap/>
            <w:vAlign w:val="bottom"/>
            <w:hideMark/>
          </w:tcPr>
          <w:p w14:paraId="630F5A73" w14:textId="77777777" w:rsidR="000E7DCD" w:rsidRPr="00F6387C" w:rsidRDefault="000E7DCD" w:rsidP="00540CC4">
            <w:pPr>
              <w:pStyle w:val="TableText0"/>
              <w:jc w:val="center"/>
              <w:rPr>
                <w:color w:val="000000"/>
              </w:rPr>
            </w:pPr>
            <w:r w:rsidRPr="00F6387C">
              <w:rPr>
                <w:color w:val="000000"/>
              </w:rPr>
              <w:t>54</w:t>
            </w:r>
          </w:p>
        </w:tc>
        <w:tc>
          <w:tcPr>
            <w:tcW w:w="577" w:type="pct"/>
            <w:shd w:val="clear" w:color="auto" w:fill="auto"/>
            <w:noWrap/>
            <w:vAlign w:val="bottom"/>
            <w:hideMark/>
          </w:tcPr>
          <w:p w14:paraId="5F0DCEF5" w14:textId="77777777" w:rsidR="000E7DCD" w:rsidRPr="00F6387C" w:rsidRDefault="000E7DCD" w:rsidP="00540CC4">
            <w:pPr>
              <w:pStyle w:val="TableText0"/>
              <w:jc w:val="center"/>
              <w:rPr>
                <w:color w:val="000000"/>
              </w:rPr>
            </w:pPr>
            <w:r w:rsidRPr="00F6387C">
              <w:rPr>
                <w:color w:val="000000"/>
              </w:rPr>
              <w:t>74</w:t>
            </w:r>
          </w:p>
        </w:tc>
        <w:tc>
          <w:tcPr>
            <w:tcW w:w="567" w:type="pct"/>
            <w:shd w:val="clear" w:color="auto" w:fill="auto"/>
            <w:noWrap/>
            <w:vAlign w:val="bottom"/>
            <w:hideMark/>
          </w:tcPr>
          <w:p w14:paraId="2FC97D66" w14:textId="77777777" w:rsidR="000E7DCD" w:rsidRPr="00F6387C" w:rsidRDefault="000E7DCD" w:rsidP="00540CC4">
            <w:pPr>
              <w:pStyle w:val="TableText0"/>
              <w:jc w:val="center"/>
              <w:rPr>
                <w:color w:val="000000"/>
              </w:rPr>
            </w:pPr>
            <w:r w:rsidRPr="00F6387C">
              <w:rPr>
                <w:color w:val="000000"/>
              </w:rPr>
              <w:t>29</w:t>
            </w:r>
          </w:p>
        </w:tc>
      </w:tr>
      <w:tr w:rsidR="000E7DCD" w:rsidRPr="00F6387C" w14:paraId="6A898772" w14:textId="77777777" w:rsidTr="001B5EFB">
        <w:trPr>
          <w:trHeight w:val="70"/>
        </w:trPr>
        <w:tc>
          <w:tcPr>
            <w:tcW w:w="688" w:type="pct"/>
            <w:vMerge/>
            <w:shd w:val="clear" w:color="auto" w:fill="auto"/>
            <w:vAlign w:val="center"/>
            <w:hideMark/>
          </w:tcPr>
          <w:p w14:paraId="27D6458F" w14:textId="77777777" w:rsidR="000E7DCD" w:rsidRPr="00F6387C" w:rsidRDefault="000E7DCD" w:rsidP="00540CC4">
            <w:pPr>
              <w:pStyle w:val="TableText0"/>
              <w:rPr>
                <w:color w:val="000000"/>
              </w:rPr>
            </w:pPr>
          </w:p>
        </w:tc>
        <w:tc>
          <w:tcPr>
            <w:tcW w:w="1436" w:type="pct"/>
            <w:shd w:val="clear" w:color="auto" w:fill="auto"/>
            <w:noWrap/>
            <w:vAlign w:val="bottom"/>
            <w:hideMark/>
          </w:tcPr>
          <w:p w14:paraId="62374ADA" w14:textId="77777777" w:rsidR="000E7DCD" w:rsidRPr="00F6387C" w:rsidRDefault="000E7DCD" w:rsidP="00540CC4">
            <w:pPr>
              <w:pStyle w:val="TableText0"/>
              <w:rPr>
                <w:color w:val="000000"/>
              </w:rPr>
            </w:pPr>
            <w:r w:rsidRPr="00F6387C">
              <w:rPr>
                <w:color w:val="000000"/>
              </w:rPr>
              <w:t>End of period</w:t>
            </w:r>
          </w:p>
        </w:tc>
        <w:tc>
          <w:tcPr>
            <w:tcW w:w="577" w:type="pct"/>
            <w:shd w:val="clear" w:color="auto" w:fill="auto"/>
            <w:noWrap/>
            <w:vAlign w:val="bottom"/>
            <w:hideMark/>
          </w:tcPr>
          <w:p w14:paraId="7E3F671B" w14:textId="77777777" w:rsidR="000E7DCD" w:rsidRPr="00F6387C" w:rsidRDefault="000E7DCD" w:rsidP="00540CC4">
            <w:pPr>
              <w:pStyle w:val="TableText0"/>
              <w:jc w:val="center"/>
              <w:rPr>
                <w:color w:val="000000"/>
              </w:rPr>
            </w:pPr>
            <w:r w:rsidRPr="00F6387C">
              <w:rPr>
                <w:color w:val="000000"/>
              </w:rPr>
              <w:t>236</w:t>
            </w:r>
          </w:p>
        </w:tc>
        <w:tc>
          <w:tcPr>
            <w:tcW w:w="577" w:type="pct"/>
            <w:shd w:val="clear" w:color="auto" w:fill="auto"/>
            <w:noWrap/>
            <w:vAlign w:val="bottom"/>
            <w:hideMark/>
          </w:tcPr>
          <w:p w14:paraId="616375CF" w14:textId="77777777" w:rsidR="000E7DCD" w:rsidRPr="00F6387C" w:rsidRDefault="000E7DCD" w:rsidP="00540CC4">
            <w:pPr>
              <w:pStyle w:val="TableText0"/>
              <w:jc w:val="center"/>
              <w:rPr>
                <w:color w:val="000000"/>
              </w:rPr>
            </w:pPr>
            <w:r w:rsidRPr="00F6387C">
              <w:rPr>
                <w:color w:val="000000"/>
              </w:rPr>
              <w:t>157</w:t>
            </w:r>
          </w:p>
        </w:tc>
        <w:tc>
          <w:tcPr>
            <w:tcW w:w="577" w:type="pct"/>
            <w:shd w:val="clear" w:color="auto" w:fill="auto"/>
            <w:noWrap/>
            <w:vAlign w:val="bottom"/>
            <w:hideMark/>
          </w:tcPr>
          <w:p w14:paraId="3FAB81E8" w14:textId="77777777" w:rsidR="000E7DCD" w:rsidRPr="00F6387C" w:rsidRDefault="000E7DCD" w:rsidP="00540CC4">
            <w:pPr>
              <w:pStyle w:val="TableText0"/>
              <w:jc w:val="center"/>
              <w:rPr>
                <w:color w:val="000000"/>
              </w:rPr>
            </w:pPr>
            <w:r w:rsidRPr="00F6387C">
              <w:rPr>
                <w:color w:val="000000"/>
              </w:rPr>
              <w:t>103</w:t>
            </w:r>
          </w:p>
        </w:tc>
        <w:tc>
          <w:tcPr>
            <w:tcW w:w="577" w:type="pct"/>
            <w:shd w:val="clear" w:color="auto" w:fill="auto"/>
            <w:noWrap/>
            <w:vAlign w:val="bottom"/>
            <w:hideMark/>
          </w:tcPr>
          <w:p w14:paraId="31A376DA" w14:textId="77777777" w:rsidR="000E7DCD" w:rsidRPr="00F6387C" w:rsidRDefault="000E7DCD" w:rsidP="00540CC4">
            <w:pPr>
              <w:pStyle w:val="TableText0"/>
              <w:jc w:val="center"/>
              <w:rPr>
                <w:color w:val="000000"/>
              </w:rPr>
            </w:pPr>
            <w:r w:rsidRPr="00F6387C">
              <w:rPr>
                <w:color w:val="000000"/>
              </w:rPr>
              <w:t>29</w:t>
            </w:r>
          </w:p>
        </w:tc>
        <w:tc>
          <w:tcPr>
            <w:tcW w:w="567" w:type="pct"/>
            <w:shd w:val="clear" w:color="auto" w:fill="auto"/>
            <w:noWrap/>
            <w:vAlign w:val="bottom"/>
            <w:hideMark/>
          </w:tcPr>
          <w:p w14:paraId="67134D4E" w14:textId="77777777" w:rsidR="000E7DCD" w:rsidRPr="00F6387C" w:rsidRDefault="000E7DCD" w:rsidP="00540CC4">
            <w:pPr>
              <w:pStyle w:val="TableText0"/>
              <w:jc w:val="center"/>
              <w:rPr>
                <w:color w:val="000000"/>
              </w:rPr>
            </w:pPr>
            <w:r w:rsidRPr="00F6387C">
              <w:rPr>
                <w:color w:val="000000"/>
              </w:rPr>
              <w:t>0</w:t>
            </w:r>
          </w:p>
        </w:tc>
      </w:tr>
    </w:tbl>
    <w:p w14:paraId="2D7126E0" w14:textId="36CFA782" w:rsidR="001B5EFB" w:rsidRPr="00F6387C" w:rsidRDefault="001B5EFB" w:rsidP="001B5EFB">
      <w:pPr>
        <w:pStyle w:val="FooterTableFigure"/>
        <w:tabs>
          <w:tab w:val="left" w:pos="284"/>
        </w:tabs>
      </w:pPr>
      <w:r w:rsidRPr="00F6387C">
        <w:rPr>
          <w:vertAlign w:val="superscript"/>
        </w:rPr>
        <w:t>a</w:t>
      </w:r>
      <w:r w:rsidRPr="00F6387C">
        <w:tab/>
        <w:t>Patients who were still on therapy on 31 December 2022 were censored.</w:t>
      </w:r>
    </w:p>
    <w:p w14:paraId="391DFFA6" w14:textId="3E479C93" w:rsidR="000E7DCD" w:rsidRPr="00F6387C" w:rsidRDefault="000E7DCD" w:rsidP="000E7DCD">
      <w:pPr>
        <w:pStyle w:val="FooterTableFigure"/>
      </w:pPr>
      <w:r w:rsidRPr="00F6387C">
        <w:t>Source: Table 16, p48-49 of the resubmission</w:t>
      </w:r>
    </w:p>
    <w:p w14:paraId="0F3D2D9B" w14:textId="669BB212" w:rsidR="00E81A9A" w:rsidRPr="00F6387C" w:rsidRDefault="000E7DCD" w:rsidP="000E7DCD">
      <w:pPr>
        <w:pStyle w:val="3-BodyText"/>
      </w:pPr>
      <w:r w:rsidRPr="00F6387C">
        <w:t>The data included in the 10% PBS sample covered different time spans for cladribine and fingolimod, due to the dates they were listed on the PBS. This resulted in the potential for these drugs to be used in different environments due to the timeframes involved. For example, from 2011 to 2018 there were a number of other DMTs listed on the PBS for the treatment of MS</w:t>
      </w:r>
      <w:r w:rsidR="00AF2A34" w:rsidRPr="00F6387C">
        <w:t>,</w:t>
      </w:r>
      <w:r w:rsidRPr="00F6387C">
        <w:t xml:space="preserve"> which could have increased the potential for patients using fingolimod during these years to switch treatment</w:t>
      </w:r>
      <w:r w:rsidR="00F6387C">
        <w:t xml:space="preserve">. </w:t>
      </w:r>
      <w:r w:rsidR="00B82C62" w:rsidRPr="00F6387C">
        <w:rPr>
          <w:iCs/>
        </w:rPr>
        <w:t>The PSCR argued this suggestion was unsubstantiated as a similar number of new DMTs in the higher efficacy tier were listed in the period after the listing of cladribine (</w:t>
      </w:r>
      <w:proofErr w:type="spellStart"/>
      <w:r w:rsidR="00B82C62" w:rsidRPr="00F6387C">
        <w:rPr>
          <w:iCs/>
        </w:rPr>
        <w:t>siponimod</w:t>
      </w:r>
      <w:proofErr w:type="spellEnd"/>
      <w:r w:rsidR="00B82C62" w:rsidRPr="00F6387C">
        <w:rPr>
          <w:iCs/>
        </w:rPr>
        <w:t>, ozanimod and ofatumumab) than were listed in the prior 6 years (alemtuzumab, daclizumab (now delisted) and ocrelizumab, and further argued that treatment selection in practice is often related to patients’ personal preferences for how certain treatments are delivered. The Response also argued the propensity score-matched analyses of the GLIMPSE study balanced over 10 potential confounding baseline characteristics, effectively mitigating the impact of any residual biases in the study.</w:t>
      </w:r>
    </w:p>
    <w:p w14:paraId="2FC96323" w14:textId="25140268" w:rsidR="000E7DCD" w:rsidRPr="00F6387C" w:rsidRDefault="000E7DCD" w:rsidP="000E7DCD">
      <w:pPr>
        <w:pStyle w:val="3-BodyText"/>
      </w:pPr>
      <w:r w:rsidRPr="00F6387C">
        <w:rPr>
          <w:snapToGrid/>
        </w:rPr>
        <w:t xml:space="preserve">While the resubmission did not re-present any data from the November 2021 submission, for reference, </w:t>
      </w:r>
      <w:r w:rsidRPr="00F6387C">
        <w:rPr>
          <w:snapToGrid/>
        </w:rPr>
        <w:fldChar w:fldCharType="begin" w:fldLock="1"/>
      </w:r>
      <w:r w:rsidRPr="00F6387C">
        <w:rPr>
          <w:snapToGrid/>
        </w:rPr>
        <w:instrText xml:space="preserve"> REF _Ref142817110 \h </w:instrText>
      </w:r>
      <w:r w:rsidR="00F86F80" w:rsidRPr="00F6387C">
        <w:rPr>
          <w:snapToGrid/>
        </w:rPr>
        <w:instrText xml:space="preserve"> \* MERGEFORMAT </w:instrText>
      </w:r>
      <w:r w:rsidRPr="00F6387C">
        <w:rPr>
          <w:snapToGrid/>
        </w:rPr>
      </w:r>
      <w:r w:rsidRPr="00F6387C">
        <w:rPr>
          <w:snapToGrid/>
        </w:rPr>
        <w:fldChar w:fldCharType="separate"/>
      </w:r>
      <w:r w:rsidR="000D404D" w:rsidRPr="00F6387C">
        <w:t>Table 10</w:t>
      </w:r>
      <w:r w:rsidRPr="00F6387C">
        <w:rPr>
          <w:snapToGrid/>
        </w:rPr>
        <w:fldChar w:fldCharType="end"/>
      </w:r>
      <w:r w:rsidRPr="00F6387C">
        <w:rPr>
          <w:snapToGrid/>
        </w:rPr>
        <w:t xml:space="preserve"> provides an overview of the ARR and proportion of patients free from relapses, as reported in the November 2021 submission.</w:t>
      </w:r>
    </w:p>
    <w:p w14:paraId="5BECF421" w14:textId="07EF56CC" w:rsidR="000E7DCD" w:rsidRPr="00F6387C" w:rsidRDefault="000E7DCD" w:rsidP="000E7DCD">
      <w:pPr>
        <w:pStyle w:val="Caption"/>
        <w:rPr>
          <w:rStyle w:val="CommentReference"/>
          <w:rFonts w:eastAsiaTheme="majorEastAsia" w:cstheme="majorBidi"/>
          <w:b/>
          <w:szCs w:val="24"/>
        </w:rPr>
      </w:pPr>
      <w:bookmarkStart w:id="51" w:name="_Ref142817110"/>
      <w:r w:rsidRPr="00F6387C">
        <w:t xml:space="preserve">Table </w:t>
      </w:r>
      <w:fldSimple w:instr=" SEQ Table \* ARABIC " w:fldLock="1">
        <w:r w:rsidR="000D404D" w:rsidRPr="00F6387C">
          <w:t>10</w:t>
        </w:r>
      </w:fldSimple>
      <w:bookmarkEnd w:id="51"/>
      <w:r w:rsidRPr="00F6387C">
        <w:rPr>
          <w:rStyle w:val="CommentReference"/>
          <w:rFonts w:eastAsiaTheme="majorEastAsia" w:cstheme="majorBidi"/>
          <w:b/>
          <w:szCs w:val="24"/>
        </w:rPr>
        <w:t>: Comparison of the duration of benefit over four years (including the extension trials)</w:t>
      </w:r>
    </w:p>
    <w:tbl>
      <w:tblPr>
        <w:tblStyle w:val="TableGrid"/>
        <w:tblW w:w="9067" w:type="dxa"/>
        <w:tblLook w:val="04A0" w:firstRow="1" w:lastRow="0" w:firstColumn="1" w:lastColumn="0" w:noHBand="0" w:noVBand="1"/>
        <w:tblCaption w:val="Table 10: Comparison of the duration of benefit over four years (including the extension trials)"/>
        <w:tblDescription w:val="Table 10: Comparison of the duration of benefit over four years (including the extension trials)"/>
      </w:tblPr>
      <w:tblGrid>
        <w:gridCol w:w="3964"/>
        <w:gridCol w:w="1701"/>
        <w:gridCol w:w="1701"/>
        <w:gridCol w:w="1701"/>
      </w:tblGrid>
      <w:tr w:rsidR="000E7DCD" w:rsidRPr="00F6387C" w14:paraId="08CED2BA" w14:textId="77777777" w:rsidTr="00540CC4">
        <w:trPr>
          <w:tblHeader/>
        </w:trPr>
        <w:tc>
          <w:tcPr>
            <w:tcW w:w="3964" w:type="dxa"/>
          </w:tcPr>
          <w:p w14:paraId="2C5E7B98" w14:textId="77777777" w:rsidR="000E7DCD" w:rsidRPr="00F6387C" w:rsidRDefault="000E7DCD" w:rsidP="00540CC4">
            <w:pPr>
              <w:pStyle w:val="TableText0"/>
              <w:rPr>
                <w:b/>
                <w:bCs w:val="0"/>
              </w:rPr>
            </w:pPr>
          </w:p>
        </w:tc>
        <w:tc>
          <w:tcPr>
            <w:tcW w:w="1701" w:type="dxa"/>
            <w:vAlign w:val="center"/>
          </w:tcPr>
          <w:p w14:paraId="3FB83562" w14:textId="77777777" w:rsidR="000E7DCD" w:rsidRPr="00F6387C" w:rsidRDefault="000E7DCD" w:rsidP="00540CC4">
            <w:pPr>
              <w:pStyle w:val="TableText0"/>
              <w:jc w:val="center"/>
              <w:rPr>
                <w:b/>
                <w:bCs w:val="0"/>
              </w:rPr>
            </w:pPr>
            <w:r w:rsidRPr="00F6387C">
              <w:rPr>
                <w:b/>
              </w:rPr>
              <w:t>CLARITY + EXT</w:t>
            </w:r>
          </w:p>
          <w:p w14:paraId="18E4CF2A" w14:textId="77777777" w:rsidR="000E7DCD" w:rsidRPr="00F6387C" w:rsidRDefault="000E7DCD" w:rsidP="00540CC4">
            <w:pPr>
              <w:pStyle w:val="TableText0"/>
              <w:jc w:val="center"/>
              <w:rPr>
                <w:b/>
                <w:bCs w:val="0"/>
              </w:rPr>
            </w:pPr>
            <w:r w:rsidRPr="00F6387C">
              <w:rPr>
                <w:b/>
              </w:rPr>
              <w:t>(LLPP)</w:t>
            </w:r>
          </w:p>
        </w:tc>
        <w:tc>
          <w:tcPr>
            <w:tcW w:w="1701" w:type="dxa"/>
            <w:vAlign w:val="center"/>
          </w:tcPr>
          <w:p w14:paraId="1CEC3A94" w14:textId="77777777" w:rsidR="000E7DCD" w:rsidRPr="00F6387C" w:rsidRDefault="000E7DCD" w:rsidP="00540CC4">
            <w:pPr>
              <w:pStyle w:val="TableText0"/>
              <w:jc w:val="center"/>
              <w:rPr>
                <w:b/>
                <w:bCs w:val="0"/>
              </w:rPr>
            </w:pPr>
            <w:r w:rsidRPr="00F6387C">
              <w:rPr>
                <w:b/>
              </w:rPr>
              <w:t>FREEDOMS + EXT</w:t>
            </w:r>
          </w:p>
          <w:p w14:paraId="2D8FFBB6" w14:textId="77777777" w:rsidR="000E7DCD" w:rsidRPr="00F6387C" w:rsidRDefault="000E7DCD" w:rsidP="00540CC4">
            <w:pPr>
              <w:pStyle w:val="TableText0"/>
              <w:jc w:val="center"/>
              <w:rPr>
                <w:b/>
                <w:bCs w:val="0"/>
              </w:rPr>
            </w:pPr>
            <w:r w:rsidRPr="00F6387C">
              <w:rPr>
                <w:b/>
              </w:rPr>
              <w:t>(Continuous fingolimod 0.5 mg)</w:t>
            </w:r>
          </w:p>
        </w:tc>
        <w:tc>
          <w:tcPr>
            <w:tcW w:w="1701" w:type="dxa"/>
            <w:vAlign w:val="center"/>
          </w:tcPr>
          <w:p w14:paraId="07B83496" w14:textId="77777777" w:rsidR="000E7DCD" w:rsidRPr="00F6387C" w:rsidRDefault="000E7DCD" w:rsidP="00540CC4">
            <w:pPr>
              <w:pStyle w:val="TableText0"/>
              <w:jc w:val="center"/>
              <w:rPr>
                <w:b/>
                <w:bCs w:val="0"/>
              </w:rPr>
            </w:pPr>
            <w:r w:rsidRPr="00F6387C">
              <w:rPr>
                <w:b/>
              </w:rPr>
              <w:t>FREEDOMS II + EXT</w:t>
            </w:r>
          </w:p>
          <w:p w14:paraId="40C60C33" w14:textId="77777777" w:rsidR="000E7DCD" w:rsidRPr="00F6387C" w:rsidRDefault="000E7DCD" w:rsidP="00540CC4">
            <w:pPr>
              <w:pStyle w:val="TableText0"/>
              <w:jc w:val="center"/>
              <w:rPr>
                <w:b/>
                <w:bCs w:val="0"/>
              </w:rPr>
            </w:pPr>
            <w:r w:rsidRPr="00F6387C">
              <w:rPr>
                <w:b/>
              </w:rPr>
              <w:t>(Continuous fingolimod 0.5 mg)</w:t>
            </w:r>
          </w:p>
        </w:tc>
      </w:tr>
      <w:tr w:rsidR="000E7DCD" w:rsidRPr="00F6387C" w14:paraId="299D0B65" w14:textId="77777777" w:rsidTr="00540CC4">
        <w:tc>
          <w:tcPr>
            <w:tcW w:w="3964" w:type="dxa"/>
          </w:tcPr>
          <w:p w14:paraId="0176E704" w14:textId="77777777" w:rsidR="000E7DCD" w:rsidRPr="00F6387C" w:rsidRDefault="000E7DCD" w:rsidP="00540CC4">
            <w:pPr>
              <w:pStyle w:val="TableText0"/>
            </w:pPr>
            <w:r w:rsidRPr="00F6387C">
              <w:t>Annualised relapse rate</w:t>
            </w:r>
          </w:p>
          <w:p w14:paraId="498935D5" w14:textId="77777777" w:rsidR="000E7DCD" w:rsidRPr="00F6387C" w:rsidRDefault="000E7DCD" w:rsidP="00540CC4">
            <w:pPr>
              <w:pStyle w:val="TableText0"/>
            </w:pPr>
            <w:r w:rsidRPr="00F6387C">
              <w:t>Core study ITT (Years 1 and 2)</w:t>
            </w:r>
          </w:p>
          <w:p w14:paraId="2FE2FAC2" w14:textId="77777777" w:rsidR="000E7DCD" w:rsidRPr="00F6387C" w:rsidRDefault="000E7DCD" w:rsidP="00540CC4">
            <w:pPr>
              <w:pStyle w:val="TableText0"/>
            </w:pPr>
            <w:r w:rsidRPr="00F6387C">
              <w:t>Extension study ITT (Years 3 and 4)</w:t>
            </w:r>
          </w:p>
          <w:p w14:paraId="31BAA345" w14:textId="77777777" w:rsidR="000E7DCD" w:rsidRPr="00F6387C" w:rsidRDefault="000E7DCD" w:rsidP="00540CC4">
            <w:pPr>
              <w:pStyle w:val="TableText0"/>
            </w:pPr>
            <w:r w:rsidRPr="00F6387C">
              <w:t>Entire trial period (core + extension) (Years 1 to 4)</w:t>
            </w:r>
          </w:p>
        </w:tc>
        <w:tc>
          <w:tcPr>
            <w:tcW w:w="1701" w:type="dxa"/>
            <w:vAlign w:val="center"/>
          </w:tcPr>
          <w:p w14:paraId="601649C8" w14:textId="77777777" w:rsidR="000E7DCD" w:rsidRPr="00F6387C" w:rsidRDefault="000E7DCD" w:rsidP="00540CC4">
            <w:pPr>
              <w:pStyle w:val="TableText0"/>
              <w:jc w:val="center"/>
            </w:pPr>
          </w:p>
          <w:p w14:paraId="521974F1" w14:textId="77777777" w:rsidR="000E7DCD" w:rsidRPr="00F6387C" w:rsidRDefault="000E7DCD" w:rsidP="00540CC4">
            <w:pPr>
              <w:pStyle w:val="TableText0"/>
              <w:jc w:val="center"/>
            </w:pPr>
            <w:r w:rsidRPr="00F6387C">
              <w:t>0.14</w:t>
            </w:r>
          </w:p>
          <w:p w14:paraId="35A821FC" w14:textId="77777777" w:rsidR="000E7DCD" w:rsidRPr="00F6387C" w:rsidRDefault="000E7DCD" w:rsidP="00540CC4">
            <w:pPr>
              <w:pStyle w:val="TableText0"/>
              <w:jc w:val="center"/>
            </w:pPr>
            <w:r w:rsidRPr="00F6387C">
              <w:t>0.15</w:t>
            </w:r>
          </w:p>
          <w:p w14:paraId="0E2C919F" w14:textId="77777777" w:rsidR="000E7DCD" w:rsidRPr="00F6387C" w:rsidRDefault="000E7DCD" w:rsidP="00540CC4">
            <w:pPr>
              <w:pStyle w:val="TableText0"/>
              <w:jc w:val="center"/>
            </w:pPr>
            <w:r w:rsidRPr="00F6387C">
              <w:t>-</w:t>
            </w:r>
          </w:p>
        </w:tc>
        <w:tc>
          <w:tcPr>
            <w:tcW w:w="1701" w:type="dxa"/>
            <w:vAlign w:val="center"/>
          </w:tcPr>
          <w:p w14:paraId="5EDB48C4" w14:textId="77777777" w:rsidR="000E7DCD" w:rsidRPr="00F6387C" w:rsidRDefault="000E7DCD" w:rsidP="00540CC4">
            <w:pPr>
              <w:pStyle w:val="TableText0"/>
              <w:jc w:val="center"/>
            </w:pPr>
          </w:p>
          <w:p w14:paraId="1D837666" w14:textId="77777777" w:rsidR="000E7DCD" w:rsidRPr="00F6387C" w:rsidRDefault="000E7DCD" w:rsidP="00540CC4">
            <w:pPr>
              <w:pStyle w:val="TableText0"/>
              <w:jc w:val="center"/>
            </w:pPr>
            <w:r w:rsidRPr="00F6387C">
              <w:t>0.20</w:t>
            </w:r>
          </w:p>
          <w:p w14:paraId="5761EFCF" w14:textId="77777777" w:rsidR="000E7DCD" w:rsidRPr="00F6387C" w:rsidRDefault="000E7DCD" w:rsidP="00540CC4">
            <w:pPr>
              <w:pStyle w:val="TableText0"/>
              <w:jc w:val="center"/>
            </w:pPr>
            <w:r w:rsidRPr="00F6387C">
              <w:t>0.17</w:t>
            </w:r>
          </w:p>
          <w:p w14:paraId="6339C059" w14:textId="77777777" w:rsidR="000E7DCD" w:rsidRPr="00F6387C" w:rsidRDefault="000E7DCD" w:rsidP="00540CC4">
            <w:pPr>
              <w:pStyle w:val="TableText0"/>
              <w:jc w:val="center"/>
            </w:pPr>
            <w:r w:rsidRPr="00F6387C">
              <w:t>0.19</w:t>
            </w:r>
          </w:p>
        </w:tc>
        <w:tc>
          <w:tcPr>
            <w:tcW w:w="1701" w:type="dxa"/>
            <w:vAlign w:val="center"/>
          </w:tcPr>
          <w:p w14:paraId="3995029B" w14:textId="77777777" w:rsidR="000E7DCD" w:rsidRPr="00F6387C" w:rsidRDefault="000E7DCD" w:rsidP="00540CC4">
            <w:pPr>
              <w:pStyle w:val="TableText0"/>
              <w:jc w:val="center"/>
            </w:pPr>
          </w:p>
          <w:p w14:paraId="2491B9D8" w14:textId="77777777" w:rsidR="000E7DCD" w:rsidRPr="00F6387C" w:rsidRDefault="000E7DCD" w:rsidP="00540CC4">
            <w:pPr>
              <w:pStyle w:val="TableText0"/>
              <w:jc w:val="center"/>
            </w:pPr>
            <w:r w:rsidRPr="00F6387C">
              <w:t>0.21</w:t>
            </w:r>
          </w:p>
          <w:p w14:paraId="05935C87" w14:textId="77777777" w:rsidR="000E7DCD" w:rsidRPr="00F6387C" w:rsidRDefault="000E7DCD" w:rsidP="00540CC4">
            <w:pPr>
              <w:pStyle w:val="TableText0"/>
              <w:jc w:val="center"/>
            </w:pPr>
            <w:r w:rsidRPr="00F6387C">
              <w:t>-</w:t>
            </w:r>
          </w:p>
          <w:p w14:paraId="01515E58" w14:textId="77777777" w:rsidR="000E7DCD" w:rsidRPr="00F6387C" w:rsidRDefault="000E7DCD" w:rsidP="00540CC4">
            <w:pPr>
              <w:pStyle w:val="TableText0"/>
              <w:jc w:val="center"/>
            </w:pPr>
            <w:r w:rsidRPr="00F6387C">
              <w:t>0.19</w:t>
            </w:r>
          </w:p>
        </w:tc>
      </w:tr>
      <w:tr w:rsidR="000E7DCD" w:rsidRPr="00F6387C" w14:paraId="77AC155C" w14:textId="77777777" w:rsidTr="00540CC4">
        <w:tc>
          <w:tcPr>
            <w:tcW w:w="3964" w:type="dxa"/>
          </w:tcPr>
          <w:p w14:paraId="08CAE8BA" w14:textId="77777777" w:rsidR="000E7DCD" w:rsidRPr="00F6387C" w:rsidRDefault="000E7DCD" w:rsidP="00540CC4">
            <w:pPr>
              <w:pStyle w:val="TableText0"/>
            </w:pPr>
            <w:r w:rsidRPr="00F6387C">
              <w:t>Proportion free from relapses, n/N (%)</w:t>
            </w:r>
          </w:p>
          <w:p w14:paraId="6B4EEE0A" w14:textId="77777777" w:rsidR="000E7DCD" w:rsidRPr="00F6387C" w:rsidRDefault="000E7DCD" w:rsidP="00540CC4">
            <w:pPr>
              <w:pStyle w:val="TableText0"/>
            </w:pPr>
            <w:r w:rsidRPr="00F6387C">
              <w:t>Core study ITT (Years 1 and 2)</w:t>
            </w:r>
          </w:p>
          <w:p w14:paraId="4E0EDC3F" w14:textId="77777777" w:rsidR="000E7DCD" w:rsidRPr="00F6387C" w:rsidRDefault="000E7DCD" w:rsidP="00540CC4">
            <w:pPr>
              <w:pStyle w:val="TableText0"/>
            </w:pPr>
            <w:r w:rsidRPr="00F6387C">
              <w:t>Extension study ITT (Years 3 and 4)</w:t>
            </w:r>
          </w:p>
          <w:p w14:paraId="2B24409E" w14:textId="77777777" w:rsidR="000E7DCD" w:rsidRPr="00F6387C" w:rsidRDefault="000E7DCD" w:rsidP="00540CC4">
            <w:pPr>
              <w:pStyle w:val="TableText0"/>
            </w:pPr>
            <w:r w:rsidRPr="00F6387C">
              <w:t>Entire trial period (core + extension) (Years 1 to 4)</w:t>
            </w:r>
          </w:p>
        </w:tc>
        <w:tc>
          <w:tcPr>
            <w:tcW w:w="1701" w:type="dxa"/>
            <w:vAlign w:val="center"/>
          </w:tcPr>
          <w:p w14:paraId="28CFBE2C" w14:textId="77777777" w:rsidR="000E7DCD" w:rsidRPr="00F6387C" w:rsidRDefault="000E7DCD" w:rsidP="00540CC4">
            <w:pPr>
              <w:pStyle w:val="TableText0"/>
              <w:jc w:val="center"/>
            </w:pPr>
          </w:p>
          <w:p w14:paraId="44BF707B" w14:textId="77777777" w:rsidR="000E7DCD" w:rsidRPr="00F6387C" w:rsidRDefault="000E7DCD" w:rsidP="00540CC4">
            <w:pPr>
              <w:pStyle w:val="TableText0"/>
              <w:jc w:val="center"/>
            </w:pPr>
            <w:r w:rsidRPr="00F6387C">
              <w:t>345/433 (79.7%)</w:t>
            </w:r>
          </w:p>
          <w:p w14:paraId="7F4AF7FF" w14:textId="77777777" w:rsidR="000E7DCD" w:rsidRPr="00F6387C" w:rsidRDefault="000E7DCD" w:rsidP="00540CC4">
            <w:pPr>
              <w:pStyle w:val="TableText0"/>
              <w:jc w:val="center"/>
            </w:pPr>
            <w:r w:rsidRPr="00F6387C">
              <w:t>68/98 (75.6%)</w:t>
            </w:r>
          </w:p>
          <w:p w14:paraId="7A18DF41" w14:textId="77777777" w:rsidR="000E7DCD" w:rsidRPr="00F6387C" w:rsidRDefault="000E7DCD" w:rsidP="00540CC4">
            <w:pPr>
              <w:pStyle w:val="TableText0"/>
              <w:jc w:val="center"/>
            </w:pPr>
            <w:r w:rsidRPr="00F6387C">
              <w:t>-</w:t>
            </w:r>
          </w:p>
        </w:tc>
        <w:tc>
          <w:tcPr>
            <w:tcW w:w="1701" w:type="dxa"/>
            <w:vAlign w:val="center"/>
          </w:tcPr>
          <w:p w14:paraId="2739B6ED" w14:textId="77777777" w:rsidR="000E7DCD" w:rsidRPr="00F6387C" w:rsidRDefault="000E7DCD" w:rsidP="00540CC4">
            <w:pPr>
              <w:pStyle w:val="TableText0"/>
              <w:jc w:val="center"/>
            </w:pPr>
          </w:p>
          <w:p w14:paraId="6C2B74BE" w14:textId="77777777" w:rsidR="000E7DCD" w:rsidRPr="00F6387C" w:rsidRDefault="000E7DCD" w:rsidP="00540CC4">
            <w:pPr>
              <w:pStyle w:val="TableText0"/>
              <w:jc w:val="center"/>
            </w:pPr>
            <w:r w:rsidRPr="00F6387C">
              <w:t>229/425 (70.4%)</w:t>
            </w:r>
          </w:p>
          <w:p w14:paraId="5A2A8446" w14:textId="77777777" w:rsidR="000E7DCD" w:rsidRPr="00F6387C" w:rsidRDefault="000E7DCD" w:rsidP="00540CC4">
            <w:pPr>
              <w:pStyle w:val="TableText0"/>
              <w:jc w:val="center"/>
            </w:pPr>
            <w:r w:rsidRPr="00F6387C">
              <w:t>-</w:t>
            </w:r>
          </w:p>
          <w:p w14:paraId="2C2156F6" w14:textId="77777777" w:rsidR="000E7DCD" w:rsidRPr="00F6387C" w:rsidRDefault="000E7DCD" w:rsidP="00540CC4">
            <w:pPr>
              <w:pStyle w:val="TableText0"/>
              <w:jc w:val="center"/>
              <w:rPr>
                <w:vertAlign w:val="superscript"/>
              </w:rPr>
            </w:pPr>
            <w:r w:rsidRPr="00F6387C">
              <w:t>59.3%</w:t>
            </w:r>
            <w:r w:rsidRPr="00F6387C">
              <w:rPr>
                <w:vertAlign w:val="superscript"/>
              </w:rPr>
              <w:t>a</w:t>
            </w:r>
          </w:p>
        </w:tc>
        <w:tc>
          <w:tcPr>
            <w:tcW w:w="1701" w:type="dxa"/>
            <w:vAlign w:val="center"/>
          </w:tcPr>
          <w:p w14:paraId="1611D391" w14:textId="77777777" w:rsidR="000E7DCD" w:rsidRPr="00F6387C" w:rsidRDefault="000E7DCD" w:rsidP="00540CC4">
            <w:pPr>
              <w:pStyle w:val="TableText0"/>
              <w:jc w:val="center"/>
            </w:pPr>
          </w:p>
          <w:p w14:paraId="44EE1DFE" w14:textId="77777777" w:rsidR="000E7DCD" w:rsidRPr="00F6387C" w:rsidRDefault="000E7DCD" w:rsidP="00540CC4">
            <w:pPr>
              <w:pStyle w:val="TableText0"/>
              <w:jc w:val="center"/>
            </w:pPr>
            <w:r w:rsidRPr="00F6387C">
              <w:t>256/358 (71.5%)</w:t>
            </w:r>
          </w:p>
          <w:p w14:paraId="7E017B93" w14:textId="77777777" w:rsidR="000E7DCD" w:rsidRPr="00F6387C" w:rsidRDefault="000E7DCD" w:rsidP="00540CC4">
            <w:pPr>
              <w:pStyle w:val="TableText0"/>
              <w:jc w:val="center"/>
            </w:pPr>
            <w:r w:rsidRPr="00F6387C">
              <w:t>-</w:t>
            </w:r>
          </w:p>
          <w:p w14:paraId="19EEC299" w14:textId="77777777" w:rsidR="000E7DCD" w:rsidRPr="00F6387C" w:rsidRDefault="000E7DCD" w:rsidP="00540CC4">
            <w:pPr>
              <w:pStyle w:val="TableText0"/>
              <w:jc w:val="center"/>
              <w:rPr>
                <w:vertAlign w:val="superscript"/>
              </w:rPr>
            </w:pPr>
            <w:r w:rsidRPr="00F6387C">
              <w:t>66.6%</w:t>
            </w:r>
            <w:r w:rsidRPr="00F6387C">
              <w:rPr>
                <w:vertAlign w:val="superscript"/>
              </w:rPr>
              <w:t>a</w:t>
            </w:r>
          </w:p>
        </w:tc>
      </w:tr>
    </w:tbl>
    <w:p w14:paraId="1FBC69F4" w14:textId="2F5565A1" w:rsidR="000E7DCD" w:rsidRPr="00F6387C" w:rsidRDefault="000E7DCD" w:rsidP="000E7DCD">
      <w:pPr>
        <w:pStyle w:val="TableFooter"/>
        <w:tabs>
          <w:tab w:val="left" w:pos="284"/>
        </w:tabs>
      </w:pPr>
      <w:r w:rsidRPr="00F6387C">
        <w:t xml:space="preserve">EXT = extension trial; LLPP = low dose cladribine followed by </w:t>
      </w:r>
      <w:r w:rsidR="00B51236" w:rsidRPr="00F6387C">
        <w:t>placebo.</w:t>
      </w:r>
    </w:p>
    <w:p w14:paraId="1A396F1D" w14:textId="77777777" w:rsidR="000E7DCD" w:rsidRPr="00F6387C" w:rsidRDefault="000E7DCD" w:rsidP="000E7DCD">
      <w:pPr>
        <w:pStyle w:val="TableFooter"/>
        <w:tabs>
          <w:tab w:val="left" w:pos="284"/>
        </w:tabs>
      </w:pPr>
      <w:r w:rsidRPr="00F6387C">
        <w:rPr>
          <w:vertAlign w:val="superscript"/>
        </w:rPr>
        <w:t>a</w:t>
      </w:r>
      <w:r w:rsidRPr="00F6387C">
        <w:tab/>
        <w:t>patient numbers (n/N) not presented.</w:t>
      </w:r>
    </w:p>
    <w:p w14:paraId="6CEAFD03" w14:textId="6E7F167A" w:rsidR="00260F01" w:rsidRPr="00F6387C" w:rsidRDefault="000E7DCD" w:rsidP="000E7DCD">
      <w:pPr>
        <w:pStyle w:val="TableFooter"/>
      </w:pPr>
      <w:r w:rsidRPr="00F6387C">
        <w:t>Source: paragraph 6.14, cla</w:t>
      </w:r>
      <w:r w:rsidR="005D5751" w:rsidRPr="00F6387C">
        <w:t>d</w:t>
      </w:r>
      <w:r w:rsidRPr="00F6387C">
        <w:t>ribine PSD, November 2021.</w:t>
      </w:r>
    </w:p>
    <w:p w14:paraId="1452C351" w14:textId="0D19F1B0" w:rsidR="00B60939" w:rsidRPr="00F6387C" w:rsidRDefault="00B60939" w:rsidP="00D86231">
      <w:pPr>
        <w:pStyle w:val="4-SubsectionHeading"/>
      </w:pPr>
      <w:bookmarkStart w:id="52" w:name="_Toc22897642"/>
      <w:bookmarkStart w:id="53" w:name="_Toc145504210"/>
      <w:r w:rsidRPr="00F6387C">
        <w:t>Comparative harms</w:t>
      </w:r>
      <w:bookmarkEnd w:id="52"/>
      <w:bookmarkEnd w:id="53"/>
    </w:p>
    <w:p w14:paraId="62EA614F" w14:textId="7BC2949D" w:rsidR="005D5751" w:rsidRPr="00F6387C" w:rsidRDefault="005D5751" w:rsidP="005D5751">
      <w:pPr>
        <w:pStyle w:val="3-BodyText"/>
      </w:pPr>
      <w:bookmarkStart w:id="54" w:name="_Toc22897643"/>
      <w:r w:rsidRPr="00F6387C">
        <w:t>Data regarding the incidence of adverse events experienced by patients with RRMS was not available for GLIMPSE. While Spelman 2022 reported that safety data were not considered as part of the current analysis and were only partially available, reasons for treatment discontinuation were reported where available. Overall, a greater proportion of patients in the matched fingolimod cohort discontinued treatment compared to patients in the cladribine cohort (August 2021 data set). This was the case for every reported discontinuation reason, except for “scheduled stop” where the same number of patients in each treatment arm discontinued. The most common reasons for discontinuing treatment were lack of improvement (cladribine 0.8%, fingolimod 11.0%) and adverse event (cladribine 0%, fingolimod 8.7%).</w:t>
      </w:r>
    </w:p>
    <w:p w14:paraId="54A3F794" w14:textId="72CC3C79" w:rsidR="005D5751" w:rsidRPr="00F6387C" w:rsidRDefault="005D5751" w:rsidP="005D5751">
      <w:pPr>
        <w:pStyle w:val="3-BodyText"/>
      </w:pPr>
      <w:r w:rsidRPr="00F6387C">
        <w:t>For the November 2021 submission, the PBAC considered that non-inferior safety was not adequately demonstrated. This was on the basis of the CLARITY and FREEDOMS trial extensions and because the submission did not explain the high rate of serious adverse events in the CLARITY extension (LLPP arm) compared to the arms of the pivotal trial (paragraph 6.27, cladribine PSD, November 2021). The data available for GLIMPSE and the other studies presented in the resubmission did not allow for a comparison of individual adverse events or serious adverse events. Consequently, concerns regarding the high rate of serious adverse events seen in the CLARITY extension trial may persist.</w:t>
      </w:r>
    </w:p>
    <w:p w14:paraId="04908C7F" w14:textId="415B9B7D" w:rsidR="007F1017" w:rsidRPr="00F6387C" w:rsidRDefault="007F1017" w:rsidP="00D86231">
      <w:pPr>
        <w:pStyle w:val="4-SubsectionHeading"/>
      </w:pPr>
      <w:bookmarkStart w:id="55" w:name="_Toc145504211"/>
      <w:r w:rsidRPr="00F6387C">
        <w:t>Benefits/harms</w:t>
      </w:r>
      <w:bookmarkEnd w:id="54"/>
      <w:bookmarkEnd w:id="55"/>
    </w:p>
    <w:p w14:paraId="3B653B96" w14:textId="52E12FBD" w:rsidR="00FC1884" w:rsidRPr="00F6387C" w:rsidRDefault="005D5751" w:rsidP="005D5751">
      <w:pPr>
        <w:pStyle w:val="3-BodyText"/>
      </w:pPr>
      <w:r w:rsidRPr="00F6387C">
        <w:t xml:space="preserve">The evidence presented in the resubmission did not allow for a quantitative comparison of the benefits and harms for the use of cladribine for the treatment of RRMS. Accordingly, a benefits/harms table </w:t>
      </w:r>
      <w:r w:rsidR="00A008EB" w:rsidRPr="00F6387C">
        <w:t>was not</w:t>
      </w:r>
      <w:r w:rsidRPr="00F6387C">
        <w:t xml:space="preserve"> presented.</w:t>
      </w:r>
      <w:r w:rsidR="003270E4" w:rsidRPr="00F6387C">
        <w:rPr>
          <w:snapToGrid/>
        </w:rPr>
        <w:t> </w:t>
      </w:r>
    </w:p>
    <w:p w14:paraId="7A1772B6" w14:textId="23BB3145" w:rsidR="00B60939" w:rsidRPr="00F6387C" w:rsidRDefault="00B60939" w:rsidP="00E9094A">
      <w:pPr>
        <w:pStyle w:val="4-SubsectionHeading"/>
      </w:pPr>
      <w:bookmarkStart w:id="56" w:name="_Toc22897644"/>
      <w:bookmarkStart w:id="57" w:name="_Toc145504212"/>
      <w:r w:rsidRPr="00F6387C">
        <w:t>Clinical claim</w:t>
      </w:r>
      <w:bookmarkEnd w:id="56"/>
      <w:bookmarkEnd w:id="57"/>
    </w:p>
    <w:p w14:paraId="372EE22D" w14:textId="56879C19" w:rsidR="005D5751" w:rsidRPr="00F6387C" w:rsidRDefault="005D5751" w:rsidP="005D5751">
      <w:pPr>
        <w:pStyle w:val="3-BodyText"/>
        <w:rPr>
          <w:rFonts w:eastAsia="Calibri"/>
        </w:rPr>
      </w:pPr>
      <w:r w:rsidRPr="00F6387C">
        <w:rPr>
          <w:rFonts w:eastAsia="Calibri"/>
        </w:rPr>
        <w:t xml:space="preserve">The resubmission described cladribine as non-inferior in terms of effectiveness compared to fingolimod over four years </w:t>
      </w:r>
      <w:r w:rsidRPr="00F6387C">
        <w:t>and non-inferior in terms of safety compared to fingolimod over four years</w:t>
      </w:r>
      <w:r w:rsidRPr="00F6387C">
        <w:rPr>
          <w:rFonts w:eastAsia="Calibri"/>
        </w:rPr>
        <w:t xml:space="preserve">. </w:t>
      </w:r>
      <w:r w:rsidRPr="00F6387C">
        <w:rPr>
          <w:rFonts w:eastAsia="Calibri"/>
          <w:iCs/>
        </w:rPr>
        <w:t>Th</w:t>
      </w:r>
      <w:r w:rsidR="001C149B" w:rsidRPr="00F6387C">
        <w:rPr>
          <w:rFonts w:eastAsia="Calibri"/>
          <w:iCs/>
        </w:rPr>
        <w:t>e</w:t>
      </w:r>
      <w:r w:rsidRPr="00F6387C">
        <w:rPr>
          <w:rFonts w:eastAsia="Calibri"/>
          <w:iCs/>
        </w:rPr>
        <w:t xml:space="preserve"> </w:t>
      </w:r>
      <w:r w:rsidR="001C149B" w:rsidRPr="00F6387C">
        <w:rPr>
          <w:rFonts w:eastAsia="Calibri"/>
          <w:iCs/>
        </w:rPr>
        <w:t>evaluation considered</w:t>
      </w:r>
      <w:r w:rsidR="001C149B" w:rsidRPr="00F6387C">
        <w:rPr>
          <w:rFonts w:eastAsia="Calibri"/>
        </w:rPr>
        <w:t xml:space="preserve"> that this </w:t>
      </w:r>
      <w:r w:rsidRPr="00F6387C">
        <w:rPr>
          <w:rFonts w:eastAsia="Calibri"/>
        </w:rPr>
        <w:t xml:space="preserve">claim was not adequately supported. The key issues were: </w:t>
      </w:r>
    </w:p>
    <w:p w14:paraId="1CA7B590" w14:textId="4D95385B" w:rsidR="005D5751" w:rsidRPr="00F6387C" w:rsidRDefault="005D5751" w:rsidP="00937C58">
      <w:pPr>
        <w:pStyle w:val="3-BodyText"/>
        <w:numPr>
          <w:ilvl w:val="2"/>
          <w:numId w:val="18"/>
        </w:numPr>
        <w:ind w:left="993" w:hanging="284"/>
      </w:pPr>
      <w:r w:rsidRPr="00F6387C">
        <w:t>There was limited data demonstrating the efficacy of cladribine versus fingolimod for the treatment of RRMS over 4 years. While GLIMPSE and the PBS 10% sample both allowed patients to be followed for four years, GLIMPSE reported a median on-treatment follow-up of 0.91 years (IQR: 0.11-1.50) for cladribine tablets and 1.07 years (IQR: 0.42-1.77) for fingolimod (matched cohorts, August 2021 data cut). For the PBS 10% sample, only 29 patients out of an initial cohort of 310 patients on cladribine were still being followed during year 4</w:t>
      </w:r>
      <w:r w:rsidR="00E5759A" w:rsidRPr="00F6387C">
        <w:t xml:space="preserve">, with the remainder of the patients considered to be “switch outs” </w:t>
      </w:r>
      <w:r w:rsidR="0055475C" w:rsidRPr="00F6387C">
        <w:t xml:space="preserve">or </w:t>
      </w:r>
      <w:r w:rsidR="00E5759A" w:rsidRPr="00F6387C">
        <w:t>“discontinuations” (defined for fingolimod as the patient not receiv</w:t>
      </w:r>
      <w:r w:rsidR="0055475C" w:rsidRPr="00F6387C">
        <w:t>ing</w:t>
      </w:r>
      <w:r w:rsidR="00E5759A" w:rsidRPr="00F6387C">
        <w:t xml:space="preserve"> another script for the drug for six months or when they switched to another therapy</w:t>
      </w:r>
      <w:r w:rsidR="00A11F0B" w:rsidRPr="00F6387C">
        <w:t>,</w:t>
      </w:r>
      <w:r w:rsidR="0055475C" w:rsidRPr="00F6387C">
        <w:t xml:space="preserve"> and for </w:t>
      </w:r>
      <w:r w:rsidR="00E5759A" w:rsidRPr="00F6387C">
        <w:t xml:space="preserve">cladribine </w:t>
      </w:r>
      <w:r w:rsidR="00A11F0B" w:rsidRPr="00F6387C">
        <w:t xml:space="preserve">this was defined </w:t>
      </w:r>
      <w:r w:rsidR="0055475C" w:rsidRPr="00F6387C">
        <w:t xml:space="preserve">as </w:t>
      </w:r>
      <w:r w:rsidR="00E5759A" w:rsidRPr="00F6387C">
        <w:t>when the patient switched to a new therapy</w:t>
      </w:r>
      <w:r w:rsidR="0055475C" w:rsidRPr="00F6387C">
        <w:t xml:space="preserve">) </w:t>
      </w:r>
      <w:r w:rsidR="00E5759A" w:rsidRPr="00F6387C">
        <w:t>or “censored” (i.e. still on therapy on 31 December 2022)</w:t>
      </w:r>
      <w:r w:rsidRPr="00F6387C">
        <w:t>.</w:t>
      </w:r>
      <w:r w:rsidR="00E5759A" w:rsidRPr="00F6387C">
        <w:t xml:space="preserve"> </w:t>
      </w:r>
      <w:r w:rsidR="00E5759A" w:rsidRPr="00F6387C" w:rsidDel="00F23460">
        <w:t>Consequently, GLIMPSE provided limited data to substantiate the resubmission’s clinical claims that cladribine is non-inferior to fingolimod in terms of both efficacy and safety over four years.</w:t>
      </w:r>
      <w:r w:rsidR="0055475C" w:rsidRPr="00F6387C" w:rsidDel="00F23460">
        <w:t xml:space="preserve"> </w:t>
      </w:r>
    </w:p>
    <w:p w14:paraId="68ED074A" w14:textId="325EC812" w:rsidR="005D5751" w:rsidRPr="00F6387C" w:rsidRDefault="005D5751" w:rsidP="00937C58">
      <w:pPr>
        <w:pStyle w:val="3-BodyText"/>
        <w:numPr>
          <w:ilvl w:val="2"/>
          <w:numId w:val="18"/>
        </w:numPr>
        <w:ind w:left="993" w:hanging="284"/>
      </w:pPr>
      <w:r w:rsidRPr="00F6387C">
        <w:t xml:space="preserve">For GLIMPSE, the </w:t>
      </w:r>
      <w:r w:rsidR="00A32026" w:rsidRPr="00F6387C">
        <w:t>four-year</w:t>
      </w:r>
      <w:r w:rsidRPr="00F6387C">
        <w:t xml:space="preserve"> data for ARR (matched cohorts, July 2022 data cut) found no statistically significant differences between cladribine and fingolimod. The PBAC has previously stated its preference for the outcome of proportion of patients remaining relapse-free as an outcome of sustained benefit (paragraph 6.10, alemtuzumab PSD, November 2018).</w:t>
      </w:r>
      <w:r w:rsidR="002E3E68" w:rsidRPr="00F6387C">
        <w:t xml:space="preserve"> </w:t>
      </w:r>
    </w:p>
    <w:p w14:paraId="683D81A4" w14:textId="1AD5B5C1" w:rsidR="005D5751" w:rsidRPr="00F6387C" w:rsidRDefault="005D5751" w:rsidP="00937C58">
      <w:pPr>
        <w:pStyle w:val="3-BodyText"/>
        <w:numPr>
          <w:ilvl w:val="2"/>
          <w:numId w:val="18"/>
        </w:numPr>
        <w:ind w:left="993" w:hanging="284"/>
      </w:pPr>
      <w:r w:rsidRPr="00F6387C">
        <w:t>While the time to treatment switch and time to treatment discontinuation data for GLIMPSE indicated favourable results for cladribine versus fingolimod, previously the PBAC considered that the rate of commencing alternative DMTs is not a direct measure of the durability of effect of cladribine in years 3 and 4 and considered that it was unclear if this was a reasonable surrogate measure (paragraph 7.5 cladribine PSD, November 2021).</w:t>
      </w:r>
      <w:r w:rsidR="00D273EF" w:rsidRPr="00F6387C">
        <w:t xml:space="preserve"> </w:t>
      </w:r>
    </w:p>
    <w:p w14:paraId="1AA34FAA" w14:textId="77754482" w:rsidR="005D5751" w:rsidRPr="00F6387C" w:rsidRDefault="005D5751" w:rsidP="00937C58">
      <w:pPr>
        <w:pStyle w:val="3-BodyText"/>
        <w:numPr>
          <w:ilvl w:val="2"/>
          <w:numId w:val="18"/>
        </w:numPr>
        <w:ind w:left="993" w:hanging="284"/>
      </w:pPr>
      <w:r w:rsidRPr="00F6387C">
        <w:t>GLIMPSE (July 2022 data cut, matched cohorts) found that patients taking cladribine had a statistically significantly longer time to treatment switch and time to treatment discontinuation compared to patients taking fingolimod, yet there was no significant difference in the proportion of patients remaining relapse-free for these treatments. As a correlation was not observed between patient relapse and the proposed surrogate outcomes, it suggests that treatment switch and treatment discontinuation may be a poor surrogate for patient relapse.</w:t>
      </w:r>
    </w:p>
    <w:p w14:paraId="0633F37E" w14:textId="68D22B75" w:rsidR="005D5751" w:rsidRPr="00F6387C" w:rsidRDefault="005D5751" w:rsidP="00937C58">
      <w:pPr>
        <w:pStyle w:val="3-BodyText"/>
        <w:numPr>
          <w:ilvl w:val="2"/>
          <w:numId w:val="18"/>
        </w:numPr>
        <w:ind w:left="993" w:hanging="284"/>
      </w:pPr>
      <w:r w:rsidRPr="00F6387C">
        <w:t>The nature of the cladribine dosage schedule makes treatment discontinuation more difficult to assess for cladribine compared to fingolimod or other DMTs, which necessitated the use of different definitions of time to treatment discontinuation for cladribine compared to fingolimod. Consequently, these measures may not be equivalent between cladribine and other DMT.</w:t>
      </w:r>
    </w:p>
    <w:p w14:paraId="3E03ED9B" w14:textId="128BAEBB" w:rsidR="004E1754" w:rsidRPr="00F6387C" w:rsidRDefault="005D5751" w:rsidP="004E1754">
      <w:pPr>
        <w:pStyle w:val="3-BodyText"/>
        <w:numPr>
          <w:ilvl w:val="2"/>
          <w:numId w:val="18"/>
        </w:numPr>
        <w:ind w:left="993" w:hanging="284"/>
        <w:rPr>
          <w:rFonts w:eastAsia="Calibri"/>
        </w:rPr>
      </w:pPr>
      <w:r w:rsidRPr="00F6387C">
        <w:t xml:space="preserve">In clinical practice the inclination to switch treatments is likely to be correlated with the choice of treatment for RRMS. If a patient is considered likely to need or want to switch treatment in the next 3 to 4 years, it is less likely they would be prescribed cladribine. Consequently, the characteristics of the patients prescribed cladribine in </w:t>
      </w:r>
      <w:r w:rsidR="00E0289E">
        <w:t>non-randomised</w:t>
      </w:r>
      <w:r w:rsidR="00923A57" w:rsidRPr="00F6387C">
        <w:t xml:space="preserve"> </w:t>
      </w:r>
      <w:r w:rsidRPr="00F6387C">
        <w:t>studies may be different to the characteristics of patients prescribed fingolimod. This, in fact, was observed to be the case in GLIMPSE where the propensity score matching pre-defined standard difference threshold indicated differences in the unmatched cohorts for most of the ten pre-defined potential confounders other than sex and being treatment naïve (yes/no) and included age, duration of MS disease, expanded disability status scale (EDSS) score, count of relapses in the prior 12 and 24 months, number of prior DMTs since disease onset, country and MS classification).</w:t>
      </w:r>
    </w:p>
    <w:p w14:paraId="354EC062" w14:textId="3362B6D5" w:rsidR="0023637C" w:rsidRPr="00F6387C" w:rsidRDefault="004E1754" w:rsidP="004E1754">
      <w:pPr>
        <w:pStyle w:val="3-BodyText"/>
        <w:rPr>
          <w:rFonts w:eastAsia="Calibri"/>
          <w:iCs/>
        </w:rPr>
      </w:pPr>
      <w:bookmarkStart w:id="58" w:name="_Ref151450944"/>
      <w:r w:rsidRPr="00F6387C">
        <w:rPr>
          <w:rFonts w:eastAsia="Calibri"/>
          <w:iCs/>
        </w:rPr>
        <w:t>The ESC considered that while the data may be suggestive of the proposition that 2 years of cladribine treatment (plus a period of no treatment) may be non-inferior to more than 2 years of fingolimod, the data provided was not robust</w:t>
      </w:r>
      <w:r w:rsidR="00F6387C">
        <w:rPr>
          <w:rFonts w:eastAsia="Calibri"/>
          <w:iCs/>
        </w:rPr>
        <w:t xml:space="preserve">. </w:t>
      </w:r>
      <w:r w:rsidRPr="00F6387C">
        <w:rPr>
          <w:rFonts w:eastAsia="Calibri"/>
          <w:iCs/>
        </w:rPr>
        <w:t xml:space="preserve">The ESC noted that the data </w:t>
      </w:r>
      <w:r w:rsidR="00923A57">
        <w:rPr>
          <w:rFonts w:eastAsia="Calibri"/>
          <w:iCs/>
        </w:rPr>
        <w:t xml:space="preserve">from GLIMPSE </w:t>
      </w:r>
      <w:r w:rsidRPr="00F6387C">
        <w:rPr>
          <w:rFonts w:eastAsia="Calibri"/>
          <w:iCs/>
        </w:rPr>
        <w:t>was not randomised and, based on updated data in the PSCR, for the outcome of proportion relapse free, only 5% (n=61) of the cladribine cohort and 10% (n=119) of the fingolimod cohort remained at risk at 4 years.</w:t>
      </w:r>
      <w:bookmarkEnd w:id="58"/>
    </w:p>
    <w:p w14:paraId="55E7DB1F" w14:textId="450F9A55" w:rsidR="00803AE9" w:rsidRPr="00F6387C" w:rsidRDefault="00803AE9" w:rsidP="006132CE">
      <w:pPr>
        <w:pStyle w:val="3-BodyText"/>
        <w:rPr>
          <w:szCs w:val="20"/>
        </w:rPr>
      </w:pPr>
      <w:bookmarkStart w:id="59" w:name="_Hlk76376200"/>
      <w:r w:rsidRPr="00F6387C">
        <w:rPr>
          <w:iCs/>
        </w:rPr>
        <w:t>The</w:t>
      </w:r>
      <w:r w:rsidRPr="00F6387C">
        <w:rPr>
          <w:szCs w:val="20"/>
        </w:rPr>
        <w:t xml:space="preserve"> PBAC </w:t>
      </w:r>
      <w:r w:rsidR="00D27F37" w:rsidRPr="00F6387C">
        <w:t xml:space="preserve">considered the clinical claim of non-inferior comparative efficacy and safety of cladribine </w:t>
      </w:r>
      <w:r w:rsidR="00F65ED5" w:rsidRPr="00F6387C">
        <w:t xml:space="preserve">for two years (with two year of no treatment) </w:t>
      </w:r>
      <w:r w:rsidR="00D27F37" w:rsidRPr="00F6387C">
        <w:t>and fingolimod over four years was not adequately justified</w:t>
      </w:r>
      <w:r w:rsidRPr="00F6387C">
        <w:rPr>
          <w:szCs w:val="20"/>
        </w:rPr>
        <w:t>.</w:t>
      </w:r>
    </w:p>
    <w:p w14:paraId="74A1172E" w14:textId="1EFCB270" w:rsidR="00B60939" w:rsidRPr="00F6387C" w:rsidRDefault="00B60939" w:rsidP="00E9094A">
      <w:pPr>
        <w:pStyle w:val="4-SubsectionHeading"/>
      </w:pPr>
      <w:bookmarkStart w:id="60" w:name="_Toc22897645"/>
      <w:bookmarkStart w:id="61" w:name="_Toc145504213"/>
      <w:bookmarkEnd w:id="59"/>
      <w:r w:rsidRPr="00F6387C">
        <w:t>Economic analysis</w:t>
      </w:r>
      <w:bookmarkEnd w:id="60"/>
      <w:bookmarkEnd w:id="61"/>
      <w:r w:rsidR="00491B3A" w:rsidRPr="00F6387C">
        <w:t xml:space="preserve"> </w:t>
      </w:r>
    </w:p>
    <w:p w14:paraId="5E238270" w14:textId="5D9537DB" w:rsidR="005D5751" w:rsidRPr="00F6387C" w:rsidRDefault="005D5751" w:rsidP="005D5751">
      <w:pPr>
        <w:pStyle w:val="3-BodyText"/>
        <w:rPr>
          <w:rFonts w:eastAsia="Calibri"/>
        </w:rPr>
      </w:pPr>
      <w:r w:rsidRPr="00F6387C">
        <w:rPr>
          <w:rFonts w:eastAsia="Calibri"/>
        </w:rPr>
        <w:t xml:space="preserve">During the evaluation the sponsor provided an updated CMA workbook for evaluation. The updated CMA included modified cladribine and fingolimod switch data, as the switch data used in the model had initially been inconsistent with the </w:t>
      </w:r>
      <w:r w:rsidR="001C149B" w:rsidRPr="00F6387C">
        <w:rPr>
          <w:rFonts w:eastAsia="Calibri"/>
        </w:rPr>
        <w:t>clinical data presented.</w:t>
      </w:r>
    </w:p>
    <w:p w14:paraId="134FDABB" w14:textId="77777777" w:rsidR="005D5751" w:rsidRPr="00F6387C" w:rsidRDefault="005D5751" w:rsidP="005D5751">
      <w:pPr>
        <w:pStyle w:val="3-BodyText"/>
        <w:rPr>
          <w:rFonts w:eastAsia="Calibri"/>
        </w:rPr>
      </w:pPr>
      <w:r w:rsidRPr="00F6387C">
        <w:rPr>
          <w:rFonts w:eastAsia="Calibri"/>
        </w:rPr>
        <w:t>As in the November 2021 submission, the resubmission presented a CMA of cladribine compared to fingolimod over four years. The most notable change in the CMA in the resubmission was the use of PBS 10% sample data to determine treatment switching for cladribine and fingolimod (timing of switching and the treatment received after switching) and compliance for fingolimod. Additionally, unlike in the November 2021 CMA, cost offsets for health professional time were not included in the base case.</w:t>
      </w:r>
    </w:p>
    <w:p w14:paraId="16C8653C" w14:textId="60079628" w:rsidR="008C5739" w:rsidRPr="00F6387C" w:rsidRDefault="005D5751" w:rsidP="005D5751">
      <w:pPr>
        <w:pStyle w:val="3-BodyText"/>
      </w:pPr>
      <w:r w:rsidRPr="00F6387C">
        <w:fldChar w:fldCharType="begin" w:fldLock="1"/>
      </w:r>
      <w:r w:rsidRPr="00F6387C">
        <w:instrText xml:space="preserve"> REF _Ref142817139 \h </w:instrText>
      </w:r>
      <w:r w:rsidRPr="00F6387C">
        <w:fldChar w:fldCharType="separate"/>
      </w:r>
      <w:r w:rsidR="000D404D" w:rsidRPr="00F6387C">
        <w:t>Table 11</w:t>
      </w:r>
      <w:r w:rsidRPr="00F6387C">
        <w:fldChar w:fldCharType="end"/>
      </w:r>
      <w:r w:rsidRPr="00F6387C">
        <w:t xml:space="preserve"> provides a summary the key components of the CMA.</w:t>
      </w:r>
    </w:p>
    <w:p w14:paraId="42C80D83" w14:textId="03D98D87" w:rsidR="00821CB9" w:rsidRPr="00F6387C" w:rsidRDefault="00821CB9" w:rsidP="00821CB9">
      <w:pPr>
        <w:pStyle w:val="Caption"/>
        <w:rPr>
          <w:rStyle w:val="CommentReference"/>
          <w:b/>
          <w:szCs w:val="24"/>
        </w:rPr>
      </w:pPr>
      <w:bookmarkStart w:id="62" w:name="_Ref142817139"/>
      <w:r w:rsidRPr="00F6387C">
        <w:t xml:space="preserve">Table </w:t>
      </w:r>
      <w:fldSimple w:instr=" SEQ Table \* ARABIC " w:fldLock="1">
        <w:r w:rsidR="000D404D" w:rsidRPr="00F6387C">
          <w:t>11</w:t>
        </w:r>
      </w:fldSimple>
      <w:bookmarkEnd w:id="62"/>
      <w:r w:rsidRPr="00F6387C">
        <w:rPr>
          <w:rStyle w:val="CommentReference"/>
          <w:b/>
          <w:szCs w:val="24"/>
        </w:rPr>
        <w:t>: Key components and assumptions of the cost-minimisation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Key components and assumptions of the cost-minimisation approach"/>
        <w:tblDescription w:val="Table 11: Key components and assumptions of the cost-minimisation approach"/>
      </w:tblPr>
      <w:tblGrid>
        <w:gridCol w:w="2155"/>
        <w:gridCol w:w="6861"/>
      </w:tblGrid>
      <w:tr w:rsidR="00821CB9" w:rsidRPr="00F6387C" w14:paraId="5174731F" w14:textId="77777777" w:rsidTr="00904884">
        <w:tc>
          <w:tcPr>
            <w:tcW w:w="1195" w:type="pct"/>
            <w:vAlign w:val="center"/>
          </w:tcPr>
          <w:p w14:paraId="0FBB2153" w14:textId="77777777" w:rsidR="00821CB9" w:rsidRPr="00F6387C" w:rsidRDefault="00821CB9" w:rsidP="00540CC4">
            <w:pPr>
              <w:pStyle w:val="In-tableHeading"/>
              <w:rPr>
                <w:lang w:val="en-AU"/>
              </w:rPr>
            </w:pPr>
            <w:r w:rsidRPr="00F6387C">
              <w:rPr>
                <w:lang w:val="en-AU"/>
              </w:rPr>
              <w:t>Component</w:t>
            </w:r>
          </w:p>
        </w:tc>
        <w:tc>
          <w:tcPr>
            <w:tcW w:w="3805" w:type="pct"/>
            <w:vAlign w:val="center"/>
          </w:tcPr>
          <w:p w14:paraId="18FA329D" w14:textId="77777777" w:rsidR="00821CB9" w:rsidRPr="00F6387C" w:rsidRDefault="00821CB9" w:rsidP="00540CC4">
            <w:pPr>
              <w:pStyle w:val="In-tableHeading"/>
              <w:rPr>
                <w:lang w:val="en-AU"/>
              </w:rPr>
            </w:pPr>
            <w:r w:rsidRPr="00F6387C">
              <w:rPr>
                <w:lang w:val="en-AU"/>
              </w:rPr>
              <w:t>Claim or assumption</w:t>
            </w:r>
          </w:p>
        </w:tc>
      </w:tr>
      <w:tr w:rsidR="00821CB9" w:rsidRPr="00F6387C" w14:paraId="5B13A1B2" w14:textId="77777777" w:rsidTr="00904884">
        <w:tc>
          <w:tcPr>
            <w:tcW w:w="1195" w:type="pct"/>
            <w:vAlign w:val="center"/>
          </w:tcPr>
          <w:p w14:paraId="7B714E0A" w14:textId="77777777" w:rsidR="00821CB9" w:rsidRPr="00F6387C" w:rsidRDefault="00821CB9" w:rsidP="00540CC4">
            <w:pPr>
              <w:pStyle w:val="TableText0"/>
            </w:pPr>
            <w:r w:rsidRPr="00F6387C">
              <w:t>Therapeutic claim: effectiveness</w:t>
            </w:r>
          </w:p>
        </w:tc>
        <w:tc>
          <w:tcPr>
            <w:tcW w:w="3805" w:type="pct"/>
          </w:tcPr>
          <w:p w14:paraId="44CBD769" w14:textId="488C93CA" w:rsidR="00821CB9" w:rsidRPr="00F6387C" w:rsidRDefault="00821CB9" w:rsidP="00540CC4">
            <w:pPr>
              <w:pStyle w:val="TableText0"/>
            </w:pPr>
            <w:r w:rsidRPr="00F6387C">
              <w:t xml:space="preserve">Based on </w:t>
            </w:r>
            <w:r w:rsidR="00475E16" w:rsidRPr="00F6387C">
              <w:t xml:space="preserve">the clinical </w:t>
            </w:r>
            <w:r w:rsidRPr="00F6387C">
              <w:t>evidence presented, effectiveness of cladribine is non-inferior to fingolimod for MS outcomes over a four-year period.</w:t>
            </w:r>
          </w:p>
        </w:tc>
      </w:tr>
      <w:tr w:rsidR="00821CB9" w:rsidRPr="00F6387C" w14:paraId="0EB8A729" w14:textId="77777777" w:rsidTr="00904884">
        <w:tc>
          <w:tcPr>
            <w:tcW w:w="1195" w:type="pct"/>
            <w:vAlign w:val="center"/>
          </w:tcPr>
          <w:p w14:paraId="1B2F1F9B" w14:textId="77777777" w:rsidR="00821CB9" w:rsidRPr="00F6387C" w:rsidRDefault="00821CB9" w:rsidP="00540CC4">
            <w:pPr>
              <w:pStyle w:val="TableText0"/>
            </w:pPr>
            <w:r w:rsidRPr="00F6387C">
              <w:t>Therapeutic claim: safety</w:t>
            </w:r>
          </w:p>
        </w:tc>
        <w:tc>
          <w:tcPr>
            <w:tcW w:w="3805" w:type="pct"/>
          </w:tcPr>
          <w:p w14:paraId="79DC2D09" w14:textId="4E7930C6" w:rsidR="00821CB9" w:rsidRPr="00F6387C" w:rsidRDefault="00821CB9" w:rsidP="00540CC4">
            <w:pPr>
              <w:pStyle w:val="TableText0"/>
            </w:pPr>
            <w:r w:rsidRPr="00F6387C">
              <w:t xml:space="preserve">Based on </w:t>
            </w:r>
            <w:r w:rsidR="00475E16" w:rsidRPr="00F6387C">
              <w:t xml:space="preserve">the clinical </w:t>
            </w:r>
            <w:r w:rsidRPr="00F6387C">
              <w:t>evidence presented, safety of cladribine is likely to be non-inferior to fingolimod over a four-year period.</w:t>
            </w:r>
          </w:p>
        </w:tc>
      </w:tr>
      <w:tr w:rsidR="00821CB9" w:rsidRPr="00F6387C" w14:paraId="3EEEF159" w14:textId="77777777" w:rsidTr="00904884">
        <w:tc>
          <w:tcPr>
            <w:tcW w:w="1195" w:type="pct"/>
            <w:vAlign w:val="center"/>
          </w:tcPr>
          <w:p w14:paraId="5CF19128" w14:textId="77777777" w:rsidR="00821CB9" w:rsidRPr="00F6387C" w:rsidRDefault="00821CB9" w:rsidP="00540CC4">
            <w:pPr>
              <w:pStyle w:val="TableText0"/>
            </w:pPr>
            <w:r w:rsidRPr="00F6387C">
              <w:t>Evidence base</w:t>
            </w:r>
          </w:p>
        </w:tc>
        <w:tc>
          <w:tcPr>
            <w:tcW w:w="3805" w:type="pct"/>
          </w:tcPr>
          <w:p w14:paraId="3A5A8D63" w14:textId="77777777" w:rsidR="00821CB9" w:rsidRPr="00F6387C" w:rsidRDefault="00821CB9" w:rsidP="00540CC4">
            <w:pPr>
              <w:pStyle w:val="TableText0"/>
            </w:pPr>
            <w:r w:rsidRPr="00F6387C">
              <w:t xml:space="preserve">PBS 10% sample data </w:t>
            </w:r>
            <w:r w:rsidRPr="00F6387C">
              <w:rPr>
                <w:vertAlign w:val="superscript"/>
              </w:rPr>
              <w:t>a</w:t>
            </w:r>
          </w:p>
        </w:tc>
      </w:tr>
      <w:tr w:rsidR="00821CB9" w:rsidRPr="00F6387C" w14:paraId="387E6ED1" w14:textId="77777777" w:rsidTr="00904884">
        <w:tc>
          <w:tcPr>
            <w:tcW w:w="1195" w:type="pct"/>
            <w:vAlign w:val="center"/>
          </w:tcPr>
          <w:p w14:paraId="6FADA9C3" w14:textId="77777777" w:rsidR="00821CB9" w:rsidRPr="00F6387C" w:rsidRDefault="00821CB9" w:rsidP="00540CC4">
            <w:pPr>
              <w:pStyle w:val="TableText0"/>
            </w:pPr>
            <w:r w:rsidRPr="00F6387C">
              <w:t>Equi-effective doses</w:t>
            </w:r>
          </w:p>
        </w:tc>
        <w:tc>
          <w:tcPr>
            <w:tcW w:w="3805" w:type="pct"/>
          </w:tcPr>
          <w:p w14:paraId="74569426" w14:textId="77777777" w:rsidR="00821CB9" w:rsidRPr="00F6387C" w:rsidRDefault="00821CB9" w:rsidP="00540CC4">
            <w:pPr>
              <w:pStyle w:val="TableText0"/>
            </w:pPr>
            <w:r w:rsidRPr="00F6387C">
              <w:t>Cladribine 3.5 mg/kg over 2 years administered as one treatment course of 1.75 mg/kg per year (consisting of 2 treatment weeks per year) = Fingolimod 500 mcg once daily over 4 years.</w:t>
            </w:r>
          </w:p>
        </w:tc>
      </w:tr>
      <w:tr w:rsidR="00991B92" w:rsidRPr="00F6387C" w14:paraId="3EF71D84" w14:textId="77777777" w:rsidTr="00904884">
        <w:tc>
          <w:tcPr>
            <w:tcW w:w="1195" w:type="pct"/>
            <w:vAlign w:val="center"/>
          </w:tcPr>
          <w:p w14:paraId="6663A125" w14:textId="70E2EF89" w:rsidR="00991B92" w:rsidRPr="00F6387C" w:rsidRDefault="00991B92" w:rsidP="00540CC4">
            <w:pPr>
              <w:pStyle w:val="TableText0"/>
            </w:pPr>
            <w:r w:rsidRPr="00F6387C">
              <w:t>Compliance rate</w:t>
            </w:r>
          </w:p>
        </w:tc>
        <w:tc>
          <w:tcPr>
            <w:tcW w:w="3805" w:type="pct"/>
          </w:tcPr>
          <w:p w14:paraId="1A9075DC" w14:textId="56A9545B" w:rsidR="00991B92" w:rsidRPr="00F6387C" w:rsidRDefault="00991B92" w:rsidP="00540CC4">
            <w:pPr>
              <w:pStyle w:val="TableText0"/>
            </w:pPr>
            <w:r w:rsidRPr="00F6387C">
              <w:t>Cladribine: 100%</w:t>
            </w:r>
            <w:r w:rsidR="00E219BF" w:rsidRPr="00F6387C">
              <w:t xml:space="preserve"> (</w:t>
            </w:r>
            <w:r w:rsidR="0057476F" w:rsidRPr="00F6387C">
              <w:t>as</w:t>
            </w:r>
            <w:r w:rsidR="00E219BF" w:rsidRPr="00F6387C">
              <w:t xml:space="preserve"> use</w:t>
            </w:r>
            <w:r w:rsidR="0057476F" w:rsidRPr="00F6387C">
              <w:t>d</w:t>
            </w:r>
            <w:r w:rsidR="00E219BF" w:rsidRPr="00F6387C">
              <w:t xml:space="preserve"> in July 2018 and November 2021 cladribine submissions)</w:t>
            </w:r>
          </w:p>
          <w:p w14:paraId="1729F05F" w14:textId="58868269" w:rsidR="00991B92" w:rsidRPr="00F6387C" w:rsidRDefault="00991B92" w:rsidP="00540CC4">
            <w:pPr>
              <w:pStyle w:val="TableText0"/>
            </w:pPr>
            <w:r w:rsidRPr="00F6387C">
              <w:t xml:space="preserve">Fingolimod: 85.90% </w:t>
            </w:r>
            <w:r w:rsidR="00E219BF" w:rsidRPr="00F6387C">
              <w:t>(</w:t>
            </w:r>
            <w:r w:rsidR="0057476F" w:rsidRPr="00F6387C">
              <w:t>based on</w:t>
            </w:r>
            <w:r w:rsidR="00E219BF" w:rsidRPr="00F6387C">
              <w:t xml:space="preserve"> PBS 10% sample data)</w:t>
            </w:r>
            <w:r w:rsidRPr="00F6387C">
              <w:t xml:space="preserve"> </w:t>
            </w:r>
          </w:p>
        </w:tc>
      </w:tr>
      <w:tr w:rsidR="00821CB9" w:rsidRPr="00F6387C" w14:paraId="4A257010" w14:textId="77777777" w:rsidTr="00904884">
        <w:tc>
          <w:tcPr>
            <w:tcW w:w="1195" w:type="pct"/>
            <w:vAlign w:val="center"/>
          </w:tcPr>
          <w:p w14:paraId="656E08E3" w14:textId="77777777" w:rsidR="00821CB9" w:rsidRPr="00F6387C" w:rsidRDefault="00821CB9" w:rsidP="00540CC4">
            <w:pPr>
              <w:pStyle w:val="TableText0"/>
            </w:pPr>
            <w:r w:rsidRPr="00F6387C">
              <w:t>Direct medicine costs</w:t>
            </w:r>
          </w:p>
        </w:tc>
        <w:tc>
          <w:tcPr>
            <w:tcW w:w="3805" w:type="pct"/>
          </w:tcPr>
          <w:p w14:paraId="4957D8D0" w14:textId="77777777" w:rsidR="00821CB9" w:rsidRPr="00F6387C" w:rsidRDefault="00821CB9" w:rsidP="00540CC4">
            <w:pPr>
              <w:pStyle w:val="TableText0"/>
            </w:pPr>
            <w:r w:rsidRPr="00F6387C">
              <w:t>Two years of cladribine tablets medicine costs is no more expensive than four years of fingolimod treatment costs.</w:t>
            </w:r>
          </w:p>
        </w:tc>
      </w:tr>
      <w:tr w:rsidR="00821CB9" w:rsidRPr="00F6387C" w14:paraId="77B66284" w14:textId="77777777" w:rsidTr="00904884">
        <w:tc>
          <w:tcPr>
            <w:tcW w:w="1195" w:type="pct"/>
            <w:vAlign w:val="center"/>
          </w:tcPr>
          <w:p w14:paraId="1949011D" w14:textId="77777777" w:rsidR="00821CB9" w:rsidRPr="00F6387C" w:rsidRDefault="00821CB9" w:rsidP="00540CC4">
            <w:pPr>
              <w:pStyle w:val="TableText0"/>
            </w:pPr>
            <w:r w:rsidRPr="00F6387C">
              <w:t>Other costs or cost offsets</w:t>
            </w:r>
          </w:p>
        </w:tc>
        <w:tc>
          <w:tcPr>
            <w:tcW w:w="3805" w:type="pct"/>
          </w:tcPr>
          <w:p w14:paraId="2E2AE841" w14:textId="0F90D4A5" w:rsidR="00227797" w:rsidRPr="00F6387C" w:rsidRDefault="00EB50A5" w:rsidP="00540CC4">
            <w:pPr>
              <w:pStyle w:val="TableText0"/>
            </w:pPr>
            <w:r w:rsidRPr="00F6387C">
              <w:t xml:space="preserve">The CMA included </w:t>
            </w:r>
            <w:r w:rsidR="00227797" w:rsidRPr="00F6387C">
              <w:t>offsets for the</w:t>
            </w:r>
            <w:r w:rsidRPr="00F6387C">
              <w:t xml:space="preserve"> </w:t>
            </w:r>
            <w:r w:rsidR="00227797" w:rsidRPr="00F6387C">
              <w:t xml:space="preserve">cost of </w:t>
            </w:r>
            <w:r w:rsidR="008F6062" w:rsidRPr="00F6387C">
              <w:t>subsequent</w:t>
            </w:r>
            <w:r w:rsidR="00821CB9" w:rsidRPr="00F6387C">
              <w:t xml:space="preserve"> </w:t>
            </w:r>
            <w:r w:rsidRPr="00F6387C">
              <w:t>DMT</w:t>
            </w:r>
            <w:r w:rsidR="00227797" w:rsidRPr="00F6387C">
              <w:t>s</w:t>
            </w:r>
            <w:r w:rsidRPr="00F6387C">
              <w:t xml:space="preserve"> received after treatment with</w:t>
            </w:r>
            <w:r w:rsidR="00821CB9" w:rsidRPr="00F6387C">
              <w:t xml:space="preserve"> cladribine </w:t>
            </w:r>
            <w:r w:rsidRPr="00F6387C">
              <w:t xml:space="preserve">or </w:t>
            </w:r>
            <w:r w:rsidR="00821CB9" w:rsidRPr="00F6387C">
              <w:t>fingolimod</w:t>
            </w:r>
            <w:r w:rsidRPr="00F6387C">
              <w:t xml:space="preserve"> in</w:t>
            </w:r>
            <w:r w:rsidR="00821CB9" w:rsidRPr="00F6387C">
              <w:t xml:space="preserve"> patients who switch</w:t>
            </w:r>
            <w:r w:rsidR="00227797" w:rsidRPr="00F6387C">
              <w:t>ed</w:t>
            </w:r>
            <w:r w:rsidR="00821CB9" w:rsidRPr="00F6387C">
              <w:t xml:space="preserve"> treatment at any point during the 4-year period</w:t>
            </w:r>
            <w:r w:rsidR="00227797" w:rsidRPr="00F6387C">
              <w:t>, based on the PBS 10% sample data</w:t>
            </w:r>
            <w:r w:rsidR="00B74A20" w:rsidRPr="00F6387C">
              <w:t xml:space="preserve">. The pre-PBAC </w:t>
            </w:r>
            <w:r w:rsidR="00AD3A9A" w:rsidRPr="00F6387C">
              <w:t>R</w:t>
            </w:r>
            <w:r w:rsidR="00B74A20" w:rsidRPr="00F6387C">
              <w:t>esponse</w:t>
            </w:r>
            <w:r w:rsidR="00CD6005">
              <w:t xml:space="preserve"> </w:t>
            </w:r>
            <w:r w:rsidR="00B74A20" w:rsidRPr="00F6387C">
              <w:t>presented a revised CMA with the switching assumptions and cost offsets removed.</w:t>
            </w:r>
          </w:p>
          <w:p w14:paraId="20BC6D36" w14:textId="53ACE0B5" w:rsidR="00821CB9" w:rsidRPr="00F6387C" w:rsidRDefault="00227797" w:rsidP="00540CC4">
            <w:pPr>
              <w:pStyle w:val="TableText0"/>
            </w:pPr>
            <w:r w:rsidRPr="00F6387C">
              <w:t xml:space="preserve">For MS outcomes, some cost offsets in healthcare professional time as shown by the Time and Motion study (Appendix 1 to the resubmission) were included in </w:t>
            </w:r>
            <w:r w:rsidR="000B73DA" w:rsidRPr="00F6387C">
              <w:t xml:space="preserve">the </w:t>
            </w:r>
            <w:r w:rsidRPr="00F6387C">
              <w:t>sensitivity analysis.</w:t>
            </w:r>
          </w:p>
        </w:tc>
      </w:tr>
      <w:tr w:rsidR="00821CB9" w:rsidRPr="00F6387C" w14:paraId="05783BAF" w14:textId="77777777" w:rsidTr="00904884">
        <w:tc>
          <w:tcPr>
            <w:tcW w:w="1195" w:type="pct"/>
            <w:vAlign w:val="center"/>
          </w:tcPr>
          <w:p w14:paraId="2AEE611C" w14:textId="77777777" w:rsidR="00821CB9" w:rsidRPr="00F6387C" w:rsidRDefault="00821CB9" w:rsidP="00587000">
            <w:pPr>
              <w:pStyle w:val="TableText0"/>
            </w:pPr>
            <w:r w:rsidRPr="00F6387C">
              <w:t>Discounting</w:t>
            </w:r>
          </w:p>
        </w:tc>
        <w:tc>
          <w:tcPr>
            <w:tcW w:w="3805" w:type="pct"/>
          </w:tcPr>
          <w:p w14:paraId="16102C17" w14:textId="3F75BE04" w:rsidR="00821CB9" w:rsidRPr="00F6387C" w:rsidRDefault="00821CB9" w:rsidP="00540CC4">
            <w:pPr>
              <w:pStyle w:val="TableText0"/>
              <w:rPr>
                <w:i/>
                <w:iCs/>
              </w:rPr>
            </w:pPr>
            <w:r w:rsidRPr="00F6387C">
              <w:t>No discount rate was applied because no outcomes were modelled, and it was not necessary to discount the costs used in the economic evaluation.</w:t>
            </w:r>
            <w:r w:rsidR="00092B9D" w:rsidRPr="00F6387C">
              <w:t xml:space="preserve"> </w:t>
            </w:r>
            <w:r w:rsidR="00092B9D" w:rsidRPr="00F6387C">
              <w:rPr>
                <w:iCs/>
              </w:rPr>
              <w:t xml:space="preserve">The ESC noted the costs were discounted in the CMAs for </w:t>
            </w:r>
            <w:r w:rsidR="0023637C" w:rsidRPr="00F6387C">
              <w:rPr>
                <w:iCs/>
              </w:rPr>
              <w:t>onasemnogene abeparvovec</w:t>
            </w:r>
            <w:r w:rsidR="00092B9D" w:rsidRPr="00F6387C">
              <w:rPr>
                <w:iCs/>
              </w:rPr>
              <w:t xml:space="preserve"> </w:t>
            </w:r>
            <w:r w:rsidR="0023637C" w:rsidRPr="00F6387C">
              <w:rPr>
                <w:iCs/>
              </w:rPr>
              <w:t>(</w:t>
            </w:r>
            <w:r w:rsidR="00B81E9C" w:rsidRPr="00F6387C">
              <w:rPr>
                <w:iCs/>
              </w:rPr>
              <w:t xml:space="preserve">paragraph 8.11, </w:t>
            </w:r>
            <w:r w:rsidR="0023637C" w:rsidRPr="00F6387C">
              <w:rPr>
                <w:iCs/>
              </w:rPr>
              <w:t xml:space="preserve">September 2021 PSD) </w:t>
            </w:r>
            <w:r w:rsidR="00092B9D" w:rsidRPr="00F6387C">
              <w:rPr>
                <w:iCs/>
              </w:rPr>
              <w:t>and zanubrutinib</w:t>
            </w:r>
            <w:r w:rsidR="000834BC" w:rsidRPr="00F6387C">
              <w:rPr>
                <w:iCs/>
              </w:rPr>
              <w:t xml:space="preserve"> (</w:t>
            </w:r>
            <w:r w:rsidR="00B81E9C" w:rsidRPr="00F6387C">
              <w:rPr>
                <w:iCs/>
              </w:rPr>
              <w:t>paragraph 6.66, March 2023 PSD).</w:t>
            </w:r>
          </w:p>
        </w:tc>
      </w:tr>
    </w:tbl>
    <w:p w14:paraId="70966D6E" w14:textId="77777777" w:rsidR="00821CB9" w:rsidRPr="00F6387C" w:rsidRDefault="00821CB9" w:rsidP="00821CB9">
      <w:pPr>
        <w:pStyle w:val="FooterTableFigure"/>
      </w:pPr>
      <w:r w:rsidRPr="00F6387C">
        <w:t>MS = multiple sclerosis</w:t>
      </w:r>
    </w:p>
    <w:p w14:paraId="55F11264" w14:textId="77777777" w:rsidR="00821CB9" w:rsidRPr="00F6387C" w:rsidRDefault="00821CB9" w:rsidP="00821CB9">
      <w:pPr>
        <w:pStyle w:val="FooterTableFigure"/>
      </w:pPr>
      <w:r w:rsidRPr="00F6387C">
        <w:rPr>
          <w:vertAlign w:val="superscript"/>
        </w:rPr>
        <w:t>a</w:t>
      </w:r>
      <w:r w:rsidRPr="00F6387C">
        <w:t xml:space="preserve"> The resubmission incorrectly</w:t>
      </w:r>
      <w:r w:rsidRPr="00F6387C">
        <w:rPr>
          <w:iCs/>
        </w:rPr>
        <w:t xml:space="preserve"> </w:t>
      </w:r>
      <w:r w:rsidRPr="00F6387C">
        <w:t>stated that the evidence base was “Indirect analysis using randomised controlled trials for MS as well as match-adjusted indirection comparison in the GLIMPSE study of real-world data”.</w:t>
      </w:r>
    </w:p>
    <w:p w14:paraId="78EC9EA2" w14:textId="4CE9E008" w:rsidR="00821CB9" w:rsidRPr="00F6387C" w:rsidRDefault="00821CB9" w:rsidP="00821CB9">
      <w:pPr>
        <w:pStyle w:val="FooterTableFigure"/>
      </w:pPr>
      <w:r w:rsidRPr="00F6387C">
        <w:t>Source: Table 22, p60 of the resubmission.</w:t>
      </w:r>
    </w:p>
    <w:p w14:paraId="288EB1B4" w14:textId="14BEF9B8" w:rsidR="00821CB9" w:rsidRPr="00F6387C" w:rsidRDefault="00821CB9" w:rsidP="00821CB9">
      <w:pPr>
        <w:pStyle w:val="3-BodyText"/>
        <w:rPr>
          <w:rFonts w:eastAsia="Calibri"/>
        </w:rPr>
      </w:pPr>
      <w:r w:rsidRPr="00F6387C">
        <w:rPr>
          <w:rFonts w:eastAsia="Calibri"/>
        </w:rPr>
        <w:t>The CMA assumed non-inferiority over a four-year time horizon. The PBAC rejected this claim for the cladribine submission in November 2021 (paragraph 7.1, cladribine PSD, November 2021). If the clinical claim of non-inferiority over four years is not accepted, a cost-minimisation over four years remains inappropriate.</w:t>
      </w:r>
    </w:p>
    <w:p w14:paraId="0543FBD2" w14:textId="77777777" w:rsidR="00821CB9" w:rsidRPr="00F6387C" w:rsidRDefault="00821CB9" w:rsidP="00821CB9">
      <w:pPr>
        <w:pStyle w:val="ListParagraph"/>
        <w:numPr>
          <w:ilvl w:val="1"/>
          <w:numId w:val="1"/>
        </w:numPr>
        <w:spacing w:after="160"/>
      </w:pPr>
      <w:r w:rsidRPr="00F6387C">
        <w:t>The proposed equi-effective dose was:</w:t>
      </w:r>
    </w:p>
    <w:p w14:paraId="1C2047F6" w14:textId="77777777" w:rsidR="00821CB9" w:rsidRPr="00F6387C" w:rsidRDefault="00821CB9" w:rsidP="0098756A">
      <w:pPr>
        <w:pStyle w:val="ListParagraph"/>
        <w:widowControl w:val="0"/>
        <w:numPr>
          <w:ilvl w:val="0"/>
          <w:numId w:val="19"/>
        </w:numPr>
        <w:spacing w:after="160"/>
        <w:ind w:left="993" w:hanging="284"/>
      </w:pPr>
      <w:r w:rsidRPr="00F6387C">
        <w:t>Cladribine 3.5 mg/kg over 2 years administered as 1 treatment course of 1.75 mg/kg per year (consisting of 2 treatment weeks), with observation (i.e., no active cladribine treatment) in Years 3 and 4; and</w:t>
      </w:r>
    </w:p>
    <w:p w14:paraId="1D756357" w14:textId="77777777" w:rsidR="00821CB9" w:rsidRPr="00F6387C" w:rsidRDefault="00821CB9" w:rsidP="0098756A">
      <w:pPr>
        <w:pStyle w:val="ListParagraph"/>
        <w:widowControl w:val="0"/>
        <w:numPr>
          <w:ilvl w:val="0"/>
          <w:numId w:val="19"/>
        </w:numPr>
        <w:spacing w:after="160"/>
        <w:ind w:left="993" w:hanging="284"/>
      </w:pPr>
      <w:r w:rsidRPr="00F6387C">
        <w:t>Fingolimod 500 mcg once daily over 4 years.</w:t>
      </w:r>
    </w:p>
    <w:p w14:paraId="3B70B235" w14:textId="77777777" w:rsidR="00821CB9" w:rsidRPr="00F6387C" w:rsidRDefault="00821CB9" w:rsidP="00821CB9">
      <w:pPr>
        <w:pStyle w:val="ListBullet"/>
        <w:spacing w:after="160"/>
        <w:ind w:left="709"/>
      </w:pPr>
      <w:r w:rsidRPr="00F6387C">
        <w:t>This equated to a proposed equi-effective dose of 280 mg of cladribine and 627.06 mg of fingolimod.</w:t>
      </w:r>
    </w:p>
    <w:p w14:paraId="6D717E88" w14:textId="679DD051" w:rsidR="00821CB9" w:rsidRPr="00F6387C" w:rsidRDefault="00821CB9" w:rsidP="00821CB9">
      <w:pPr>
        <w:pStyle w:val="ListParagraph"/>
        <w:numPr>
          <w:ilvl w:val="1"/>
          <w:numId w:val="1"/>
        </w:numPr>
        <w:spacing w:after="160"/>
      </w:pPr>
      <w:r w:rsidRPr="00F6387C">
        <w:t xml:space="preserve">In the CMA in the November 2021 submission, the proposed equi-effective dose was 280 mg of cladribine and 697 mg of fingolimod. The difference in fingolimod dose was due to a change in assumed compliance rate, which was based on the PBS 10% sample data in the resubmission. The PBS 10% sample data did not report compliance data for </w:t>
      </w:r>
      <w:r w:rsidR="00B51236" w:rsidRPr="00F6387C">
        <w:t>cladribine,</w:t>
      </w:r>
      <w:r w:rsidRPr="00F6387C">
        <w:t xml:space="preserve"> and this was assumed to be 100% as in previous submissions. In the July 2018 </w:t>
      </w:r>
      <w:r w:rsidR="00923A57">
        <w:t xml:space="preserve">submission </w:t>
      </w:r>
      <w:r w:rsidRPr="00F6387C">
        <w:t xml:space="preserve">where cladribine was </w:t>
      </w:r>
      <w:r w:rsidR="00923A57">
        <w:t>recommended</w:t>
      </w:r>
      <w:r w:rsidR="00923A57" w:rsidRPr="00F6387C">
        <w:t xml:space="preserve"> </w:t>
      </w:r>
      <w:r w:rsidRPr="00F6387C">
        <w:t>by the PBAC, the equi-effective dose presented was 280 mg of cladribine and 348 mg of fingolimod</w:t>
      </w:r>
      <w:r w:rsidR="00D33BAD" w:rsidRPr="00F6387C">
        <w:t xml:space="preserve"> (i.e. for the 2-year CMA of cladribine and </w:t>
      </w:r>
      <w:r w:rsidR="00126F88" w:rsidRPr="00F6387C">
        <w:t>fingolimod)</w:t>
      </w:r>
      <w:r w:rsidRPr="00F6387C">
        <w:t xml:space="preserve"> (paragraph 5.12, cladribine PSD, July 2018).</w:t>
      </w:r>
    </w:p>
    <w:p w14:paraId="36101B19" w14:textId="67FEE7F4" w:rsidR="00821CB9" w:rsidRPr="00F6387C" w:rsidRDefault="00821CB9" w:rsidP="00821CB9">
      <w:pPr>
        <w:pStyle w:val="ListParagraph"/>
        <w:numPr>
          <w:ilvl w:val="1"/>
          <w:numId w:val="1"/>
        </w:numPr>
        <w:spacing w:after="160"/>
      </w:pPr>
      <w:r w:rsidRPr="00F6387C">
        <w:t>As in the November 2021 submission, treatment switching was not addressed in the consideration of equi-effective doses but rather included as an offset</w:t>
      </w:r>
      <w:r w:rsidR="001B506E" w:rsidRPr="00F6387C">
        <w:t xml:space="preserve"> in the current resubmission</w:t>
      </w:r>
      <w:r w:rsidRPr="00F6387C">
        <w:t xml:space="preserve">. The PBAC previously considered that “(t)his approach may be the simplest way to calculate the effects of treatment switching. However, it is unclear if these doses can be accepted as equi-effective when a large portion of patients are assumed to switch to another DMT before four years of cladribine treatment. Further, the ESC </w:t>
      </w:r>
      <w:r w:rsidR="00627A33" w:rsidRPr="00F6387C">
        <w:t xml:space="preserve">previously </w:t>
      </w:r>
      <w:r w:rsidRPr="00F6387C">
        <w:t>noted that inclusion of any rate of treatment switching would only be appropriate if non-inferiority is demonstrated” (paragraph 6.35, cladribine PSD, November 2021).</w:t>
      </w:r>
      <w:r w:rsidR="00627A33" w:rsidRPr="00F6387C">
        <w:t xml:space="preserve"> </w:t>
      </w:r>
      <w:r w:rsidR="00627A33" w:rsidRPr="00F6387C">
        <w:rPr>
          <w:iCs/>
        </w:rPr>
        <w:t xml:space="preserve">The PSCR stated that the switching rates applied in the CMA were derived from the </w:t>
      </w:r>
      <w:r w:rsidR="00923A57">
        <w:rPr>
          <w:iCs/>
        </w:rPr>
        <w:t>prescription</w:t>
      </w:r>
      <w:r w:rsidR="00627A33" w:rsidRPr="00F6387C">
        <w:rPr>
          <w:iCs/>
        </w:rPr>
        <w:t xml:space="preserve"> data of the PBS 10% sample and that this adequately reflects treatment practice in Australia. The ESC considered that this issue remains relevant to the resubmission.</w:t>
      </w:r>
    </w:p>
    <w:p w14:paraId="22EC52F1" w14:textId="40D135EC" w:rsidR="00821CB9" w:rsidRPr="00F6387C" w:rsidRDefault="00821CB9" w:rsidP="00821CB9">
      <w:pPr>
        <w:pStyle w:val="3-BodyText"/>
      </w:pPr>
      <w:r w:rsidRPr="00F6387C">
        <w:t xml:space="preserve">Unlike the November 2021 submission where patients were assumed to only switch treatment after 2 years of cladribine or fingolimod, the resubmission claimed that the PBS 10% sample data demonstrated that patients </w:t>
      </w:r>
      <w:r w:rsidR="00B51236" w:rsidRPr="00F6387C">
        <w:t>could</w:t>
      </w:r>
      <w:r w:rsidRPr="00F6387C">
        <w:t xml:space="preserve"> switch treatment in years 1 to 4. The cladribine and fingolimod switch rates used in the CMA are shown in </w:t>
      </w:r>
      <w:r w:rsidRPr="00F6387C">
        <w:fldChar w:fldCharType="begin" w:fldLock="1"/>
      </w:r>
      <w:r w:rsidRPr="00F6387C">
        <w:instrText xml:space="preserve"> REF _Ref142823468 \h </w:instrText>
      </w:r>
      <w:r w:rsidR="00F86F80" w:rsidRPr="00F6387C">
        <w:instrText xml:space="preserve"> \* MERGEFORMAT </w:instrText>
      </w:r>
      <w:r w:rsidRPr="00F6387C">
        <w:fldChar w:fldCharType="separate"/>
      </w:r>
      <w:r w:rsidR="000D404D" w:rsidRPr="00F6387C">
        <w:t>Table</w:t>
      </w:r>
      <w:r w:rsidR="00D14AB6">
        <w:t> </w:t>
      </w:r>
      <w:r w:rsidR="000D404D" w:rsidRPr="00F6387C">
        <w:t>12</w:t>
      </w:r>
      <w:r w:rsidRPr="00F6387C">
        <w:fldChar w:fldCharType="end"/>
      </w:r>
      <w:r w:rsidRPr="00F6387C">
        <w:t>.</w:t>
      </w:r>
    </w:p>
    <w:p w14:paraId="5F36BE9E" w14:textId="3786AF31" w:rsidR="00821CB9" w:rsidRPr="00F6387C" w:rsidRDefault="00821CB9" w:rsidP="00821CB9">
      <w:pPr>
        <w:pStyle w:val="TableFigureHeading"/>
      </w:pPr>
      <w:bookmarkStart w:id="63" w:name="_Ref142823468"/>
      <w:r w:rsidRPr="00F6387C">
        <w:t xml:space="preserve">Table </w:t>
      </w:r>
      <w:fldSimple w:instr=" SEQ Table \* ARABIC " w:fldLock="1">
        <w:r w:rsidR="000D404D" w:rsidRPr="00F6387C">
          <w:t>12</w:t>
        </w:r>
      </w:fldSimple>
      <w:bookmarkEnd w:id="63"/>
      <w:r w:rsidRPr="00F6387C">
        <w:t xml:space="preserve">: PBS 10% sample data, cladribine and fingolimod switch rate per year </w:t>
      </w:r>
      <w:r w:rsidRPr="00F6387C">
        <w:rPr>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PBS 10% sample data, cladribine and fingolimod switch rate per year a"/>
        <w:tblDescription w:val="Table 12: PBS 10% sample data, cladribine and fingolimod switch rate per year a"/>
      </w:tblPr>
      <w:tblGrid>
        <w:gridCol w:w="3374"/>
        <w:gridCol w:w="1410"/>
        <w:gridCol w:w="1410"/>
        <w:gridCol w:w="1410"/>
        <w:gridCol w:w="1412"/>
      </w:tblGrid>
      <w:tr w:rsidR="00821CB9" w:rsidRPr="00F6387C" w14:paraId="2D184CB0" w14:textId="77777777" w:rsidTr="00763B87">
        <w:trPr>
          <w:trHeight w:val="70"/>
          <w:tblHeader/>
        </w:trPr>
        <w:tc>
          <w:tcPr>
            <w:tcW w:w="1871" w:type="pct"/>
            <w:vMerge w:val="restart"/>
            <w:shd w:val="clear" w:color="auto" w:fill="auto"/>
            <w:noWrap/>
            <w:vAlign w:val="bottom"/>
          </w:tcPr>
          <w:p w14:paraId="523B8FC9" w14:textId="77777777" w:rsidR="00821CB9" w:rsidRPr="00F6387C" w:rsidRDefault="00821CB9" w:rsidP="00821CB9">
            <w:pPr>
              <w:pStyle w:val="In-tableHeading"/>
              <w:rPr>
                <w:lang w:val="en-AU"/>
              </w:rPr>
            </w:pPr>
            <w:r w:rsidRPr="00F6387C">
              <w:rPr>
                <w:lang w:val="en-AU"/>
              </w:rPr>
              <w:t>DMT</w:t>
            </w:r>
          </w:p>
        </w:tc>
        <w:tc>
          <w:tcPr>
            <w:tcW w:w="1564" w:type="pct"/>
            <w:gridSpan w:val="2"/>
            <w:shd w:val="clear" w:color="auto" w:fill="auto"/>
          </w:tcPr>
          <w:p w14:paraId="5207EA6F" w14:textId="77777777" w:rsidR="00821CB9" w:rsidRPr="00F6387C" w:rsidRDefault="00821CB9" w:rsidP="00540CC4">
            <w:pPr>
              <w:pStyle w:val="In-tableHeading"/>
              <w:jc w:val="center"/>
              <w:rPr>
                <w:lang w:val="en-AU"/>
              </w:rPr>
            </w:pPr>
            <w:r w:rsidRPr="00F6387C">
              <w:rPr>
                <w:lang w:val="en-AU"/>
              </w:rPr>
              <w:t>Cladribine tablets</w:t>
            </w:r>
          </w:p>
        </w:tc>
        <w:tc>
          <w:tcPr>
            <w:tcW w:w="1565" w:type="pct"/>
            <w:gridSpan w:val="2"/>
          </w:tcPr>
          <w:p w14:paraId="14B98B0E" w14:textId="77777777" w:rsidR="00821CB9" w:rsidRPr="00F6387C" w:rsidRDefault="00821CB9" w:rsidP="00540CC4">
            <w:pPr>
              <w:pStyle w:val="In-tableHeading"/>
              <w:jc w:val="center"/>
              <w:rPr>
                <w:lang w:val="en-AU"/>
              </w:rPr>
            </w:pPr>
            <w:r w:rsidRPr="00F6387C">
              <w:rPr>
                <w:lang w:val="en-AU"/>
              </w:rPr>
              <w:t>Fingolimod</w:t>
            </w:r>
          </w:p>
        </w:tc>
      </w:tr>
      <w:tr w:rsidR="00821CB9" w:rsidRPr="00F6387C" w14:paraId="08A46B5F" w14:textId="77777777" w:rsidTr="00763B87">
        <w:trPr>
          <w:trHeight w:val="70"/>
          <w:tblHeader/>
        </w:trPr>
        <w:tc>
          <w:tcPr>
            <w:tcW w:w="1871" w:type="pct"/>
            <w:vMerge/>
            <w:shd w:val="clear" w:color="auto" w:fill="auto"/>
            <w:noWrap/>
          </w:tcPr>
          <w:p w14:paraId="1842C30C" w14:textId="77777777" w:rsidR="00821CB9" w:rsidRPr="00F6387C" w:rsidRDefault="00821CB9" w:rsidP="00540CC4">
            <w:pPr>
              <w:pStyle w:val="In-tableHeading"/>
              <w:rPr>
                <w:lang w:val="en-AU"/>
              </w:rPr>
            </w:pPr>
          </w:p>
        </w:tc>
        <w:tc>
          <w:tcPr>
            <w:tcW w:w="782" w:type="pct"/>
            <w:shd w:val="clear" w:color="auto" w:fill="auto"/>
          </w:tcPr>
          <w:p w14:paraId="5441654C" w14:textId="77777777" w:rsidR="00821CB9" w:rsidRPr="00F6387C" w:rsidRDefault="00821CB9" w:rsidP="00540CC4">
            <w:pPr>
              <w:pStyle w:val="In-tableHeading"/>
              <w:jc w:val="center"/>
              <w:rPr>
                <w:lang w:val="en-AU"/>
              </w:rPr>
            </w:pPr>
            <w:r w:rsidRPr="00F6387C">
              <w:rPr>
                <w:lang w:val="en-AU"/>
              </w:rPr>
              <w:t>Patients, n</w:t>
            </w:r>
          </w:p>
        </w:tc>
        <w:tc>
          <w:tcPr>
            <w:tcW w:w="782" w:type="pct"/>
            <w:shd w:val="clear" w:color="auto" w:fill="auto"/>
          </w:tcPr>
          <w:p w14:paraId="6BD7E874" w14:textId="77777777" w:rsidR="00821CB9" w:rsidRPr="00F6387C" w:rsidRDefault="00821CB9" w:rsidP="00540CC4">
            <w:pPr>
              <w:pStyle w:val="In-tableHeading"/>
              <w:jc w:val="center"/>
              <w:rPr>
                <w:lang w:val="en-AU"/>
              </w:rPr>
            </w:pPr>
            <w:r w:rsidRPr="00F6387C">
              <w:rPr>
                <w:lang w:val="en-AU"/>
              </w:rPr>
              <w:t>% switch</w:t>
            </w:r>
          </w:p>
        </w:tc>
        <w:tc>
          <w:tcPr>
            <w:tcW w:w="782" w:type="pct"/>
          </w:tcPr>
          <w:p w14:paraId="54FD8DCB" w14:textId="77777777" w:rsidR="00821CB9" w:rsidRPr="00F6387C" w:rsidRDefault="00821CB9" w:rsidP="00540CC4">
            <w:pPr>
              <w:pStyle w:val="In-tableHeading"/>
              <w:jc w:val="center"/>
              <w:rPr>
                <w:lang w:val="en-AU"/>
              </w:rPr>
            </w:pPr>
            <w:r w:rsidRPr="00F6387C">
              <w:rPr>
                <w:lang w:val="en-AU"/>
              </w:rPr>
              <w:t>Patients, n</w:t>
            </w:r>
          </w:p>
        </w:tc>
        <w:tc>
          <w:tcPr>
            <w:tcW w:w="783" w:type="pct"/>
          </w:tcPr>
          <w:p w14:paraId="1E359511" w14:textId="77777777" w:rsidR="00821CB9" w:rsidRPr="00F6387C" w:rsidRDefault="00821CB9" w:rsidP="00540CC4">
            <w:pPr>
              <w:pStyle w:val="In-tableHeading"/>
              <w:jc w:val="center"/>
              <w:rPr>
                <w:lang w:val="en-AU"/>
              </w:rPr>
            </w:pPr>
            <w:r w:rsidRPr="00F6387C">
              <w:rPr>
                <w:lang w:val="en-AU"/>
              </w:rPr>
              <w:t>% switch</w:t>
            </w:r>
          </w:p>
        </w:tc>
      </w:tr>
      <w:tr w:rsidR="00821CB9" w:rsidRPr="00F6387C" w14:paraId="0C08E889" w14:textId="77777777" w:rsidTr="00763B87">
        <w:trPr>
          <w:trHeight w:val="70"/>
        </w:trPr>
        <w:tc>
          <w:tcPr>
            <w:tcW w:w="1871" w:type="pct"/>
            <w:shd w:val="clear" w:color="auto" w:fill="auto"/>
            <w:noWrap/>
            <w:hideMark/>
          </w:tcPr>
          <w:p w14:paraId="26B7C5D9" w14:textId="77777777" w:rsidR="00821CB9" w:rsidRPr="00F6387C" w:rsidRDefault="00821CB9" w:rsidP="00540CC4">
            <w:pPr>
              <w:pStyle w:val="Tabletext"/>
            </w:pPr>
            <w:r w:rsidRPr="00F6387C">
              <w:t>Total patients year 1</w:t>
            </w:r>
          </w:p>
        </w:tc>
        <w:tc>
          <w:tcPr>
            <w:tcW w:w="782" w:type="pct"/>
            <w:shd w:val="clear" w:color="auto" w:fill="auto"/>
            <w:noWrap/>
          </w:tcPr>
          <w:p w14:paraId="732DE15B" w14:textId="77777777" w:rsidR="00821CB9" w:rsidRPr="00F6387C" w:rsidRDefault="00821CB9" w:rsidP="00540CC4">
            <w:pPr>
              <w:pStyle w:val="Tabletext"/>
              <w:jc w:val="center"/>
            </w:pPr>
            <w:r w:rsidRPr="00F6387C">
              <w:t>269</w:t>
            </w:r>
          </w:p>
        </w:tc>
        <w:tc>
          <w:tcPr>
            <w:tcW w:w="782" w:type="pct"/>
            <w:shd w:val="clear" w:color="auto" w:fill="auto"/>
            <w:noWrap/>
            <w:hideMark/>
          </w:tcPr>
          <w:p w14:paraId="422B63DC" w14:textId="77777777" w:rsidR="00821CB9" w:rsidRPr="00F6387C" w:rsidRDefault="00821CB9" w:rsidP="00540CC4">
            <w:pPr>
              <w:pStyle w:val="Tabletext"/>
              <w:jc w:val="center"/>
            </w:pPr>
          </w:p>
        </w:tc>
        <w:tc>
          <w:tcPr>
            <w:tcW w:w="782" w:type="pct"/>
          </w:tcPr>
          <w:p w14:paraId="15A2B5E2" w14:textId="77777777" w:rsidR="00821CB9" w:rsidRPr="00F6387C" w:rsidRDefault="00821CB9" w:rsidP="00540CC4">
            <w:pPr>
              <w:pStyle w:val="Tabletext"/>
              <w:jc w:val="center"/>
            </w:pPr>
            <w:r w:rsidRPr="00F6387C">
              <w:t>973</w:t>
            </w:r>
          </w:p>
        </w:tc>
        <w:tc>
          <w:tcPr>
            <w:tcW w:w="783" w:type="pct"/>
          </w:tcPr>
          <w:p w14:paraId="1E28531B" w14:textId="77777777" w:rsidR="00821CB9" w:rsidRPr="00F6387C" w:rsidRDefault="00821CB9" w:rsidP="00540CC4">
            <w:pPr>
              <w:pStyle w:val="Tabletext"/>
              <w:jc w:val="center"/>
            </w:pPr>
          </w:p>
        </w:tc>
      </w:tr>
      <w:tr w:rsidR="00821CB9" w:rsidRPr="00F6387C" w14:paraId="50285A02" w14:textId="77777777" w:rsidTr="00763B87">
        <w:trPr>
          <w:trHeight w:val="70"/>
        </w:trPr>
        <w:tc>
          <w:tcPr>
            <w:tcW w:w="1871" w:type="pct"/>
            <w:shd w:val="clear" w:color="auto" w:fill="auto"/>
            <w:noWrap/>
            <w:hideMark/>
          </w:tcPr>
          <w:p w14:paraId="4CCD8C50" w14:textId="77777777" w:rsidR="00821CB9" w:rsidRPr="00F6387C" w:rsidRDefault="00821CB9" w:rsidP="00540CC4">
            <w:pPr>
              <w:pStyle w:val="Tabletext"/>
            </w:pPr>
            <w:r w:rsidRPr="00F6387C">
              <w:t>Patients who switched treatment year 1</w:t>
            </w:r>
          </w:p>
        </w:tc>
        <w:tc>
          <w:tcPr>
            <w:tcW w:w="782" w:type="pct"/>
            <w:shd w:val="clear" w:color="auto" w:fill="auto"/>
            <w:noWrap/>
          </w:tcPr>
          <w:p w14:paraId="048CA9EA" w14:textId="77777777" w:rsidR="00821CB9" w:rsidRPr="00F6387C" w:rsidRDefault="00821CB9" w:rsidP="00540CC4">
            <w:pPr>
              <w:pStyle w:val="Tabletext"/>
              <w:jc w:val="center"/>
            </w:pPr>
            <w:r w:rsidRPr="00F6387C">
              <w:t>33</w:t>
            </w:r>
          </w:p>
        </w:tc>
        <w:tc>
          <w:tcPr>
            <w:tcW w:w="782" w:type="pct"/>
            <w:shd w:val="clear" w:color="auto" w:fill="auto"/>
            <w:noWrap/>
            <w:hideMark/>
          </w:tcPr>
          <w:p w14:paraId="235F291C" w14:textId="77777777" w:rsidR="00821CB9" w:rsidRPr="00F6387C" w:rsidRDefault="00821CB9" w:rsidP="00540CC4">
            <w:pPr>
              <w:pStyle w:val="Tabletext"/>
              <w:jc w:val="center"/>
            </w:pPr>
            <w:r w:rsidRPr="00F6387C">
              <w:t>12.3%</w:t>
            </w:r>
          </w:p>
        </w:tc>
        <w:tc>
          <w:tcPr>
            <w:tcW w:w="782" w:type="pct"/>
          </w:tcPr>
          <w:p w14:paraId="14B8EC5E" w14:textId="77777777" w:rsidR="00821CB9" w:rsidRPr="00F6387C" w:rsidRDefault="00821CB9" w:rsidP="00540CC4">
            <w:pPr>
              <w:pStyle w:val="Tabletext"/>
              <w:jc w:val="center"/>
            </w:pPr>
            <w:r w:rsidRPr="00F6387C">
              <w:t>220</w:t>
            </w:r>
          </w:p>
        </w:tc>
        <w:tc>
          <w:tcPr>
            <w:tcW w:w="783" w:type="pct"/>
          </w:tcPr>
          <w:p w14:paraId="155099C8" w14:textId="77777777" w:rsidR="00821CB9" w:rsidRPr="00F6387C" w:rsidRDefault="00821CB9" w:rsidP="00540CC4">
            <w:pPr>
              <w:pStyle w:val="Tabletext"/>
              <w:jc w:val="center"/>
            </w:pPr>
            <w:r w:rsidRPr="00F6387C">
              <w:t>22.6%</w:t>
            </w:r>
          </w:p>
        </w:tc>
      </w:tr>
      <w:tr w:rsidR="00821CB9" w:rsidRPr="00F6387C" w14:paraId="424037D9" w14:textId="77777777" w:rsidTr="00763B87">
        <w:trPr>
          <w:trHeight w:val="70"/>
        </w:trPr>
        <w:tc>
          <w:tcPr>
            <w:tcW w:w="1871" w:type="pct"/>
            <w:shd w:val="clear" w:color="auto" w:fill="auto"/>
            <w:noWrap/>
            <w:hideMark/>
          </w:tcPr>
          <w:p w14:paraId="3711DC17" w14:textId="77777777" w:rsidR="00821CB9" w:rsidRPr="00F6387C" w:rsidRDefault="00821CB9" w:rsidP="00540CC4">
            <w:pPr>
              <w:pStyle w:val="Tabletext"/>
            </w:pPr>
            <w:r w:rsidRPr="00F6387C">
              <w:t>Total patients year 2</w:t>
            </w:r>
          </w:p>
        </w:tc>
        <w:tc>
          <w:tcPr>
            <w:tcW w:w="782" w:type="pct"/>
            <w:shd w:val="clear" w:color="auto" w:fill="auto"/>
            <w:noWrap/>
          </w:tcPr>
          <w:p w14:paraId="43351E45" w14:textId="77777777" w:rsidR="00821CB9" w:rsidRPr="00F6387C" w:rsidRDefault="00821CB9" w:rsidP="00540CC4">
            <w:pPr>
              <w:pStyle w:val="Tabletext"/>
              <w:jc w:val="center"/>
            </w:pPr>
            <w:r w:rsidRPr="00F6387C">
              <w:t>168</w:t>
            </w:r>
          </w:p>
        </w:tc>
        <w:tc>
          <w:tcPr>
            <w:tcW w:w="782" w:type="pct"/>
            <w:shd w:val="clear" w:color="auto" w:fill="auto"/>
            <w:noWrap/>
            <w:hideMark/>
          </w:tcPr>
          <w:p w14:paraId="67D71495" w14:textId="77777777" w:rsidR="00821CB9" w:rsidRPr="00F6387C" w:rsidRDefault="00821CB9" w:rsidP="00540CC4">
            <w:pPr>
              <w:pStyle w:val="Tabletext"/>
              <w:jc w:val="center"/>
            </w:pPr>
          </w:p>
        </w:tc>
        <w:tc>
          <w:tcPr>
            <w:tcW w:w="782" w:type="pct"/>
          </w:tcPr>
          <w:p w14:paraId="413D77F6" w14:textId="77777777" w:rsidR="00821CB9" w:rsidRPr="00F6387C" w:rsidRDefault="00821CB9" w:rsidP="00540CC4">
            <w:pPr>
              <w:pStyle w:val="Tabletext"/>
              <w:jc w:val="center"/>
            </w:pPr>
            <w:r w:rsidRPr="00F6387C">
              <w:t>747</w:t>
            </w:r>
          </w:p>
        </w:tc>
        <w:tc>
          <w:tcPr>
            <w:tcW w:w="783" w:type="pct"/>
          </w:tcPr>
          <w:p w14:paraId="6E2FFE6B" w14:textId="77777777" w:rsidR="00821CB9" w:rsidRPr="00F6387C" w:rsidRDefault="00821CB9" w:rsidP="00540CC4">
            <w:pPr>
              <w:pStyle w:val="Tabletext"/>
              <w:jc w:val="center"/>
            </w:pPr>
          </w:p>
        </w:tc>
      </w:tr>
      <w:tr w:rsidR="00821CB9" w:rsidRPr="00F6387C" w14:paraId="5A7EC420" w14:textId="77777777" w:rsidTr="00763B87">
        <w:trPr>
          <w:trHeight w:val="70"/>
        </w:trPr>
        <w:tc>
          <w:tcPr>
            <w:tcW w:w="1871" w:type="pct"/>
            <w:shd w:val="clear" w:color="auto" w:fill="auto"/>
            <w:noWrap/>
            <w:hideMark/>
          </w:tcPr>
          <w:p w14:paraId="34AB45BE" w14:textId="77777777" w:rsidR="00821CB9" w:rsidRPr="00F6387C" w:rsidRDefault="00821CB9" w:rsidP="00540CC4">
            <w:pPr>
              <w:pStyle w:val="Tabletext"/>
            </w:pPr>
            <w:r w:rsidRPr="00F6387C">
              <w:t>Patients who switched treatment year 2</w:t>
            </w:r>
          </w:p>
        </w:tc>
        <w:tc>
          <w:tcPr>
            <w:tcW w:w="782" w:type="pct"/>
            <w:shd w:val="clear" w:color="auto" w:fill="auto"/>
            <w:noWrap/>
          </w:tcPr>
          <w:p w14:paraId="299F4F8F" w14:textId="77777777" w:rsidR="00821CB9" w:rsidRPr="00F6387C" w:rsidRDefault="00821CB9" w:rsidP="00540CC4">
            <w:pPr>
              <w:pStyle w:val="Tabletext"/>
              <w:jc w:val="center"/>
            </w:pPr>
            <w:r w:rsidRPr="00F6387C">
              <w:t>11</w:t>
            </w:r>
          </w:p>
        </w:tc>
        <w:tc>
          <w:tcPr>
            <w:tcW w:w="782" w:type="pct"/>
            <w:shd w:val="clear" w:color="auto" w:fill="auto"/>
            <w:noWrap/>
            <w:hideMark/>
          </w:tcPr>
          <w:p w14:paraId="5FBBEA01" w14:textId="77777777" w:rsidR="00821CB9" w:rsidRPr="00F6387C" w:rsidRDefault="00821CB9" w:rsidP="00540CC4">
            <w:pPr>
              <w:pStyle w:val="Tabletext"/>
              <w:jc w:val="center"/>
            </w:pPr>
            <w:r w:rsidRPr="00F6387C">
              <w:t>6.5%</w:t>
            </w:r>
          </w:p>
        </w:tc>
        <w:tc>
          <w:tcPr>
            <w:tcW w:w="782" w:type="pct"/>
          </w:tcPr>
          <w:p w14:paraId="470D0606" w14:textId="77777777" w:rsidR="00821CB9" w:rsidRPr="00F6387C" w:rsidRDefault="00821CB9" w:rsidP="00540CC4">
            <w:pPr>
              <w:pStyle w:val="Tabletext"/>
              <w:jc w:val="center"/>
            </w:pPr>
            <w:r w:rsidRPr="00F6387C">
              <w:t>89</w:t>
            </w:r>
          </w:p>
        </w:tc>
        <w:tc>
          <w:tcPr>
            <w:tcW w:w="783" w:type="pct"/>
          </w:tcPr>
          <w:p w14:paraId="59ACEFF7" w14:textId="77777777" w:rsidR="00821CB9" w:rsidRPr="00F6387C" w:rsidRDefault="00821CB9" w:rsidP="00540CC4">
            <w:pPr>
              <w:pStyle w:val="Tabletext"/>
              <w:jc w:val="center"/>
            </w:pPr>
            <w:r w:rsidRPr="00F6387C">
              <w:t>11.9%</w:t>
            </w:r>
          </w:p>
        </w:tc>
      </w:tr>
      <w:tr w:rsidR="00821CB9" w:rsidRPr="00F6387C" w14:paraId="6FF138B4" w14:textId="77777777" w:rsidTr="00763B87">
        <w:trPr>
          <w:trHeight w:val="70"/>
        </w:trPr>
        <w:tc>
          <w:tcPr>
            <w:tcW w:w="1871" w:type="pct"/>
            <w:shd w:val="clear" w:color="auto" w:fill="auto"/>
            <w:noWrap/>
            <w:hideMark/>
          </w:tcPr>
          <w:p w14:paraId="4C36E0F5" w14:textId="77777777" w:rsidR="00821CB9" w:rsidRPr="00F6387C" w:rsidRDefault="00821CB9" w:rsidP="00540CC4">
            <w:pPr>
              <w:pStyle w:val="Tabletext"/>
            </w:pPr>
            <w:r w:rsidRPr="00F6387C">
              <w:t>Total patients year 3</w:t>
            </w:r>
          </w:p>
        </w:tc>
        <w:tc>
          <w:tcPr>
            <w:tcW w:w="782" w:type="pct"/>
            <w:shd w:val="clear" w:color="auto" w:fill="auto"/>
            <w:noWrap/>
          </w:tcPr>
          <w:p w14:paraId="7060EEF8" w14:textId="77777777" w:rsidR="00821CB9" w:rsidRPr="00F6387C" w:rsidRDefault="00821CB9" w:rsidP="00540CC4">
            <w:pPr>
              <w:pStyle w:val="Tabletext"/>
              <w:jc w:val="center"/>
            </w:pPr>
            <w:r w:rsidRPr="00F6387C">
              <w:t>103</w:t>
            </w:r>
          </w:p>
        </w:tc>
        <w:tc>
          <w:tcPr>
            <w:tcW w:w="782" w:type="pct"/>
            <w:shd w:val="clear" w:color="auto" w:fill="auto"/>
            <w:noWrap/>
            <w:hideMark/>
          </w:tcPr>
          <w:p w14:paraId="51BC835F" w14:textId="77777777" w:rsidR="00821CB9" w:rsidRPr="00F6387C" w:rsidRDefault="00821CB9" w:rsidP="00540CC4">
            <w:pPr>
              <w:pStyle w:val="Tabletext"/>
              <w:jc w:val="center"/>
            </w:pPr>
          </w:p>
        </w:tc>
        <w:tc>
          <w:tcPr>
            <w:tcW w:w="782" w:type="pct"/>
          </w:tcPr>
          <w:p w14:paraId="4808C747" w14:textId="77777777" w:rsidR="00821CB9" w:rsidRPr="00F6387C" w:rsidRDefault="00821CB9" w:rsidP="00540CC4">
            <w:pPr>
              <w:pStyle w:val="Tabletext"/>
              <w:jc w:val="center"/>
            </w:pPr>
            <w:r w:rsidRPr="00F6387C">
              <w:t>644</w:t>
            </w:r>
          </w:p>
        </w:tc>
        <w:tc>
          <w:tcPr>
            <w:tcW w:w="783" w:type="pct"/>
          </w:tcPr>
          <w:p w14:paraId="13D1BAA0" w14:textId="77777777" w:rsidR="00821CB9" w:rsidRPr="00F6387C" w:rsidRDefault="00821CB9" w:rsidP="00540CC4">
            <w:pPr>
              <w:pStyle w:val="Tabletext"/>
              <w:jc w:val="center"/>
            </w:pPr>
          </w:p>
        </w:tc>
      </w:tr>
      <w:tr w:rsidR="00821CB9" w:rsidRPr="00F6387C" w14:paraId="32E0DEAF" w14:textId="77777777" w:rsidTr="00763B87">
        <w:trPr>
          <w:trHeight w:val="70"/>
        </w:trPr>
        <w:tc>
          <w:tcPr>
            <w:tcW w:w="1871" w:type="pct"/>
            <w:shd w:val="clear" w:color="auto" w:fill="auto"/>
            <w:noWrap/>
          </w:tcPr>
          <w:p w14:paraId="14195485" w14:textId="77777777" w:rsidR="00821CB9" w:rsidRPr="00F6387C" w:rsidRDefault="00821CB9" w:rsidP="00540CC4">
            <w:pPr>
              <w:pStyle w:val="Tabletext"/>
            </w:pPr>
            <w:r w:rsidRPr="00F6387C">
              <w:t>Patients who switched treatment year 3</w:t>
            </w:r>
          </w:p>
        </w:tc>
        <w:tc>
          <w:tcPr>
            <w:tcW w:w="782" w:type="pct"/>
            <w:shd w:val="clear" w:color="auto" w:fill="auto"/>
            <w:noWrap/>
          </w:tcPr>
          <w:p w14:paraId="2ACC2100" w14:textId="77777777" w:rsidR="00821CB9" w:rsidRPr="00F6387C" w:rsidRDefault="00821CB9" w:rsidP="00540CC4">
            <w:pPr>
              <w:pStyle w:val="Tabletext"/>
              <w:jc w:val="center"/>
            </w:pPr>
            <w:r w:rsidRPr="00F6387C">
              <w:t>0</w:t>
            </w:r>
          </w:p>
        </w:tc>
        <w:tc>
          <w:tcPr>
            <w:tcW w:w="782" w:type="pct"/>
            <w:shd w:val="clear" w:color="auto" w:fill="auto"/>
            <w:noWrap/>
          </w:tcPr>
          <w:p w14:paraId="741AB6B1" w14:textId="77777777" w:rsidR="00821CB9" w:rsidRPr="00F6387C" w:rsidRDefault="00821CB9" w:rsidP="00540CC4">
            <w:pPr>
              <w:pStyle w:val="Tabletext"/>
              <w:jc w:val="center"/>
            </w:pPr>
            <w:r w:rsidRPr="00F6387C">
              <w:t>0.0%</w:t>
            </w:r>
          </w:p>
        </w:tc>
        <w:tc>
          <w:tcPr>
            <w:tcW w:w="782" w:type="pct"/>
          </w:tcPr>
          <w:p w14:paraId="3FDF9F42" w14:textId="77777777" w:rsidR="00821CB9" w:rsidRPr="00F6387C" w:rsidRDefault="00821CB9" w:rsidP="00540CC4">
            <w:pPr>
              <w:pStyle w:val="Tabletext"/>
              <w:jc w:val="center"/>
            </w:pPr>
            <w:r w:rsidRPr="00F6387C">
              <w:t>63</w:t>
            </w:r>
          </w:p>
        </w:tc>
        <w:tc>
          <w:tcPr>
            <w:tcW w:w="783" w:type="pct"/>
          </w:tcPr>
          <w:p w14:paraId="00ED83AB" w14:textId="77777777" w:rsidR="00821CB9" w:rsidRPr="00F6387C" w:rsidRDefault="00821CB9" w:rsidP="00540CC4">
            <w:pPr>
              <w:pStyle w:val="Tabletext"/>
              <w:jc w:val="center"/>
            </w:pPr>
            <w:r w:rsidRPr="00F6387C">
              <w:t>9.8%</w:t>
            </w:r>
          </w:p>
        </w:tc>
      </w:tr>
      <w:tr w:rsidR="00821CB9" w:rsidRPr="00F6387C" w14:paraId="791733DE" w14:textId="77777777" w:rsidTr="00763B87">
        <w:trPr>
          <w:trHeight w:val="70"/>
        </w:trPr>
        <w:tc>
          <w:tcPr>
            <w:tcW w:w="1871" w:type="pct"/>
            <w:shd w:val="clear" w:color="auto" w:fill="auto"/>
            <w:noWrap/>
          </w:tcPr>
          <w:p w14:paraId="77CBB5D1" w14:textId="77777777" w:rsidR="00821CB9" w:rsidRPr="00F6387C" w:rsidRDefault="00821CB9" w:rsidP="00540CC4">
            <w:pPr>
              <w:pStyle w:val="Tabletext"/>
            </w:pPr>
            <w:r w:rsidRPr="00F6387C">
              <w:t>Total patients year 4</w:t>
            </w:r>
          </w:p>
        </w:tc>
        <w:tc>
          <w:tcPr>
            <w:tcW w:w="782" w:type="pct"/>
            <w:shd w:val="clear" w:color="auto" w:fill="auto"/>
            <w:noWrap/>
          </w:tcPr>
          <w:p w14:paraId="5D0AFAE3" w14:textId="77777777" w:rsidR="00821CB9" w:rsidRPr="00F6387C" w:rsidRDefault="00821CB9" w:rsidP="00540CC4">
            <w:pPr>
              <w:pStyle w:val="Tabletext"/>
              <w:jc w:val="center"/>
            </w:pPr>
            <w:r w:rsidRPr="00F6387C">
              <w:t>29</w:t>
            </w:r>
          </w:p>
        </w:tc>
        <w:tc>
          <w:tcPr>
            <w:tcW w:w="782" w:type="pct"/>
            <w:shd w:val="clear" w:color="auto" w:fill="auto"/>
            <w:noWrap/>
          </w:tcPr>
          <w:p w14:paraId="0947C48A" w14:textId="77777777" w:rsidR="00821CB9" w:rsidRPr="00F6387C" w:rsidRDefault="00821CB9" w:rsidP="00540CC4">
            <w:pPr>
              <w:pStyle w:val="Tabletext"/>
              <w:jc w:val="center"/>
            </w:pPr>
          </w:p>
        </w:tc>
        <w:tc>
          <w:tcPr>
            <w:tcW w:w="782" w:type="pct"/>
          </w:tcPr>
          <w:p w14:paraId="214B8F18" w14:textId="77777777" w:rsidR="00821CB9" w:rsidRPr="00F6387C" w:rsidRDefault="00821CB9" w:rsidP="00540CC4">
            <w:pPr>
              <w:pStyle w:val="Tabletext"/>
              <w:jc w:val="center"/>
            </w:pPr>
            <w:r w:rsidRPr="00F6387C">
              <w:t>563</w:t>
            </w:r>
          </w:p>
        </w:tc>
        <w:tc>
          <w:tcPr>
            <w:tcW w:w="783" w:type="pct"/>
          </w:tcPr>
          <w:p w14:paraId="6ABD3E98" w14:textId="77777777" w:rsidR="00821CB9" w:rsidRPr="00F6387C" w:rsidRDefault="00821CB9" w:rsidP="00540CC4">
            <w:pPr>
              <w:pStyle w:val="Tabletext"/>
              <w:jc w:val="center"/>
            </w:pPr>
          </w:p>
        </w:tc>
      </w:tr>
      <w:tr w:rsidR="00821CB9" w:rsidRPr="00F6387C" w14:paraId="4B1A3AA4" w14:textId="77777777" w:rsidTr="00763B87">
        <w:trPr>
          <w:trHeight w:val="70"/>
        </w:trPr>
        <w:tc>
          <w:tcPr>
            <w:tcW w:w="1871" w:type="pct"/>
            <w:shd w:val="clear" w:color="auto" w:fill="auto"/>
            <w:noWrap/>
          </w:tcPr>
          <w:p w14:paraId="0A2DC603" w14:textId="77777777" w:rsidR="00821CB9" w:rsidRPr="00F6387C" w:rsidRDefault="00821CB9" w:rsidP="00540CC4">
            <w:pPr>
              <w:pStyle w:val="Tabletext"/>
            </w:pPr>
            <w:r w:rsidRPr="00F6387C">
              <w:t>Patients who switched treatment year 4</w:t>
            </w:r>
          </w:p>
        </w:tc>
        <w:tc>
          <w:tcPr>
            <w:tcW w:w="782" w:type="pct"/>
            <w:shd w:val="clear" w:color="auto" w:fill="auto"/>
            <w:noWrap/>
          </w:tcPr>
          <w:p w14:paraId="19120608" w14:textId="77777777" w:rsidR="00821CB9" w:rsidRPr="00F6387C" w:rsidRDefault="00821CB9" w:rsidP="00540CC4">
            <w:pPr>
              <w:pStyle w:val="Tabletext"/>
              <w:jc w:val="center"/>
            </w:pPr>
            <w:r w:rsidRPr="00F6387C">
              <w:t>0</w:t>
            </w:r>
          </w:p>
        </w:tc>
        <w:tc>
          <w:tcPr>
            <w:tcW w:w="782" w:type="pct"/>
            <w:shd w:val="clear" w:color="auto" w:fill="auto"/>
            <w:noWrap/>
          </w:tcPr>
          <w:p w14:paraId="637E296F" w14:textId="77777777" w:rsidR="00821CB9" w:rsidRPr="00F6387C" w:rsidRDefault="00821CB9" w:rsidP="00540CC4">
            <w:pPr>
              <w:pStyle w:val="Tabletext"/>
              <w:jc w:val="center"/>
            </w:pPr>
            <w:r w:rsidRPr="00F6387C">
              <w:t>0.0%</w:t>
            </w:r>
          </w:p>
        </w:tc>
        <w:tc>
          <w:tcPr>
            <w:tcW w:w="782" w:type="pct"/>
          </w:tcPr>
          <w:p w14:paraId="7A0880EE" w14:textId="77777777" w:rsidR="00821CB9" w:rsidRPr="00F6387C" w:rsidRDefault="00821CB9" w:rsidP="00540CC4">
            <w:pPr>
              <w:pStyle w:val="Tabletext"/>
              <w:jc w:val="center"/>
            </w:pPr>
            <w:r w:rsidRPr="00F6387C">
              <w:t>50</w:t>
            </w:r>
          </w:p>
        </w:tc>
        <w:tc>
          <w:tcPr>
            <w:tcW w:w="783" w:type="pct"/>
          </w:tcPr>
          <w:p w14:paraId="33472319" w14:textId="77777777" w:rsidR="00821CB9" w:rsidRPr="00F6387C" w:rsidRDefault="00821CB9" w:rsidP="00540CC4">
            <w:pPr>
              <w:pStyle w:val="Tabletext"/>
              <w:jc w:val="center"/>
            </w:pPr>
            <w:r w:rsidRPr="00F6387C">
              <w:t>8.9%</w:t>
            </w:r>
          </w:p>
        </w:tc>
      </w:tr>
    </w:tbl>
    <w:p w14:paraId="48488722" w14:textId="77777777" w:rsidR="00821CB9" w:rsidRPr="00F6387C" w:rsidRDefault="00821CB9" w:rsidP="00821CB9">
      <w:pPr>
        <w:pStyle w:val="FooterTableFigure"/>
        <w:tabs>
          <w:tab w:val="left" w:pos="284"/>
        </w:tabs>
      </w:pPr>
      <w:r w:rsidRPr="00F6387C">
        <w:rPr>
          <w:vertAlign w:val="superscript"/>
        </w:rPr>
        <w:t>a</w:t>
      </w:r>
      <w:r w:rsidRPr="00F6387C">
        <w:tab/>
        <w:t>Switch rate incorporates patients reported as either switching or discontinuing in the PBS 10% sample data.</w:t>
      </w:r>
    </w:p>
    <w:p w14:paraId="21751039" w14:textId="2DD34A7A" w:rsidR="00821CB9" w:rsidRPr="00F6387C" w:rsidRDefault="00821CB9" w:rsidP="00821CB9">
      <w:pPr>
        <w:pStyle w:val="FooterTableFigure"/>
      </w:pPr>
      <w:r w:rsidRPr="00F6387C">
        <w:t xml:space="preserve">Source: Tables 26 and 27, pp 64 and 65 of the resubmission and </w:t>
      </w:r>
      <w:proofErr w:type="spellStart"/>
      <w:r w:rsidRPr="00F6387C">
        <w:t>Mavenclad</w:t>
      </w:r>
      <w:proofErr w:type="spellEnd"/>
      <w:r w:rsidRPr="00F6387C">
        <w:t xml:space="preserve"> Cost Min Analysis PBAC Nov 2023 (revised 20230802).xlsm</w:t>
      </w:r>
    </w:p>
    <w:p w14:paraId="0E2B85A6" w14:textId="44CB8DFA" w:rsidR="00821CB9" w:rsidRPr="00F6387C" w:rsidRDefault="00821CB9" w:rsidP="00821CB9">
      <w:pPr>
        <w:pStyle w:val="3-BodyText"/>
      </w:pPr>
      <w:r w:rsidRPr="00F6387C">
        <w:t>While the resubmission used the current PBS 10% sample data to provide the switch rate for cladribine and fingolimod patients in this resubmission CMA, several concerns remain with the use of this data:</w:t>
      </w:r>
    </w:p>
    <w:p w14:paraId="36B2EE86" w14:textId="77777777" w:rsidR="00821CB9" w:rsidRPr="00F6387C" w:rsidRDefault="00821CB9" w:rsidP="00A338D8">
      <w:pPr>
        <w:pStyle w:val="3-BodyText"/>
        <w:numPr>
          <w:ilvl w:val="2"/>
          <w:numId w:val="18"/>
        </w:numPr>
        <w:ind w:left="993" w:hanging="284"/>
      </w:pPr>
      <w:r w:rsidRPr="00F6387C">
        <w:t>The PBS 10% sample data contained limited data for patients receiving cladribine after year 2, with only 29 of the original 310 patients receiving cladribine remaining active during year 4 of treatment (9.4%). In comparison, 511 of the original 978 patients receiving fingolimod remained active during year 4 of treatment (52.2%).</w:t>
      </w:r>
    </w:p>
    <w:p w14:paraId="09754D85" w14:textId="77777777" w:rsidR="00821CB9" w:rsidRPr="00F6387C" w:rsidRDefault="00821CB9" w:rsidP="00A338D8">
      <w:pPr>
        <w:pStyle w:val="3-BodyText"/>
        <w:numPr>
          <w:ilvl w:val="2"/>
          <w:numId w:val="18"/>
        </w:numPr>
        <w:ind w:left="993" w:hanging="284"/>
      </w:pPr>
      <w:r w:rsidRPr="00F6387C">
        <w:t xml:space="preserve">Switch rates may be overestimated due to the inclusion of 'discontinuations' in the total number of patients classified as having switched from cladribine or fingolimod to another RRMS treatment. This may favour cladribine as a total of 0 patients on cladribine were classified as discontinuations over years 1 to 4, compared to a total of 75 patients for fingolimod. </w:t>
      </w:r>
    </w:p>
    <w:p w14:paraId="742B9BB0" w14:textId="77777777" w:rsidR="00821CB9" w:rsidRPr="00F6387C" w:rsidRDefault="00821CB9" w:rsidP="00A338D8">
      <w:pPr>
        <w:pStyle w:val="3-BodyText"/>
        <w:numPr>
          <w:ilvl w:val="2"/>
          <w:numId w:val="18"/>
        </w:numPr>
        <w:ind w:left="993" w:hanging="284"/>
      </w:pPr>
      <w:r w:rsidRPr="00F6387C">
        <w:t>Patients discontinuing treatment with fingolimod would generally be expected to continue on a different DMT. However, the assumption that patients who discontinue treatment immediately start another treatment inherently overestimates costs, as there may be some lag time between discontinuation and initiation of a new treatment. This favours cladribine as higher rates of switching were used for fingolimod in the CMA.</w:t>
      </w:r>
    </w:p>
    <w:p w14:paraId="4800ADDE" w14:textId="1AD14D07" w:rsidR="00821CB9" w:rsidRPr="00F6387C" w:rsidRDefault="00821CB9" w:rsidP="00A338D8">
      <w:pPr>
        <w:pStyle w:val="3-BodyText"/>
        <w:numPr>
          <w:ilvl w:val="2"/>
          <w:numId w:val="18"/>
        </w:numPr>
        <w:ind w:left="993" w:hanging="284"/>
      </w:pPr>
      <w:r w:rsidRPr="00F6387C">
        <w:t>The nature of the cladribine dosage schedule makes it more difficult to assess discontinuation for cladribine compared to fingolimod or other DMTs, thereby necessitating the use of different definitions to define discontinuation for cladribine compared to fingolimod. Consequently, these measures may not be equivalent.</w:t>
      </w:r>
    </w:p>
    <w:p w14:paraId="5D1AEC19" w14:textId="391578EC" w:rsidR="00821CB9" w:rsidRPr="00F6387C" w:rsidRDefault="00821CB9" w:rsidP="00A338D8">
      <w:pPr>
        <w:pStyle w:val="3-BodyText"/>
        <w:numPr>
          <w:ilvl w:val="2"/>
          <w:numId w:val="18"/>
        </w:numPr>
        <w:ind w:left="993" w:hanging="284"/>
      </w:pPr>
      <w:r w:rsidRPr="00F6387C">
        <w:t>The data included in the 10% PBS sample covered different time spans for cladribine and fingolimod due to the dates they were listed on the PBS. This resulted in the potential for these drugs to be used in different environments due to the timeframes involved. For example, from 2011 to 2018 there were a number of other DMTs listed on the PBS for the treatment of MS thereby increasing the potential for patients using fingolimod to switch treatment during these years.</w:t>
      </w:r>
      <w:r w:rsidR="00587000" w:rsidRPr="00F6387C">
        <w:t xml:space="preserve"> </w:t>
      </w:r>
      <w:r w:rsidR="00587000" w:rsidRPr="00F6387C">
        <w:rPr>
          <w:iCs/>
        </w:rPr>
        <w:t>The PSCR argued that new DMT listings on the PBS are not drivers of patient treatment choices and therefore not impactful on the CMA.</w:t>
      </w:r>
    </w:p>
    <w:p w14:paraId="6CE05BBD" w14:textId="78E13773" w:rsidR="00821CB9" w:rsidRPr="00F6387C" w:rsidRDefault="00821CB9" w:rsidP="00821CB9">
      <w:pPr>
        <w:pStyle w:val="3-BodyText"/>
        <w:rPr>
          <w:iCs/>
        </w:rPr>
      </w:pPr>
      <w:r w:rsidRPr="00F6387C">
        <w:t>The resubmission reported that some patients captured in the PBS 10% data sample received additional cladribine treatment beyond the recommended dose. i.e., third and fourth dose</w:t>
      </w:r>
      <w:r w:rsidR="005D6EBE" w:rsidRPr="00F6387C">
        <w:t xml:space="preserve"> courses</w:t>
      </w:r>
      <w:r w:rsidRPr="00F6387C">
        <w:t xml:space="preserve">. </w:t>
      </w:r>
      <w:r w:rsidR="002F12DA" w:rsidRPr="00F6387C">
        <w:t>T</w:t>
      </w:r>
      <w:r w:rsidRPr="00F6387C">
        <w:t>hese additional doses</w:t>
      </w:r>
      <w:r w:rsidR="002F12DA" w:rsidRPr="00F6387C">
        <w:t xml:space="preserve"> should be accounted for</w:t>
      </w:r>
      <w:r w:rsidRPr="00F6387C">
        <w:t xml:space="preserve"> in the CMA </w:t>
      </w:r>
      <w:r w:rsidR="00587000" w:rsidRPr="00F6387C">
        <w:rPr>
          <w:iCs/>
        </w:rPr>
        <w:t>and/</w:t>
      </w:r>
      <w:r w:rsidRPr="00F6387C">
        <w:t>or the uncertainty associated with the use of additional (off label) cladribine dose</w:t>
      </w:r>
      <w:r w:rsidR="002F12DA" w:rsidRPr="00F6387C">
        <w:t xml:space="preserve"> course</w:t>
      </w:r>
      <w:r w:rsidR="001D210B" w:rsidRPr="00F6387C">
        <w:t>s</w:t>
      </w:r>
      <w:r w:rsidRPr="00F6387C">
        <w:t xml:space="preserve"> </w:t>
      </w:r>
      <w:r w:rsidR="00A46084" w:rsidRPr="00F6387C">
        <w:t xml:space="preserve">should be addressed </w:t>
      </w:r>
      <w:r w:rsidRPr="00F6387C">
        <w:t>through a risk-sharing arrangement</w:t>
      </w:r>
      <w:r w:rsidR="006240FB" w:rsidRPr="00F6387C">
        <w:t xml:space="preserve"> (RSA)</w:t>
      </w:r>
      <w:r w:rsidRPr="00F6387C">
        <w:t>.</w:t>
      </w:r>
      <w:r w:rsidR="00D46E6C" w:rsidRPr="00F6387C">
        <w:t xml:space="preserve"> As the third and fourth courses of cladribine were not included in the CMA presented in the resubmission, they were included in a sensitivity analysis conducted during the evaluation.</w:t>
      </w:r>
      <w:r w:rsidR="00477DA1" w:rsidRPr="00F6387C">
        <w:t xml:space="preserve"> </w:t>
      </w:r>
      <w:r w:rsidR="00477DA1" w:rsidRPr="00F6387C">
        <w:rPr>
          <w:iCs/>
        </w:rPr>
        <w:t>The PSCR</w:t>
      </w:r>
      <w:r w:rsidR="00E87B6C" w:rsidRPr="00F6387C">
        <w:rPr>
          <w:iCs/>
        </w:rPr>
        <w:t xml:space="preserve"> stated the sponsor was amenable to revising the base case CMA with this adjustment </w:t>
      </w:r>
      <w:r w:rsidR="00475245" w:rsidRPr="00F6387C">
        <w:rPr>
          <w:iCs/>
        </w:rPr>
        <w:t>and noted that this</w:t>
      </w:r>
      <w:r w:rsidR="00E87B6C" w:rsidRPr="00F6387C">
        <w:rPr>
          <w:iCs/>
        </w:rPr>
        <w:t xml:space="preserve"> resulted in a base case cost-minimised effective price of </w:t>
      </w:r>
      <w:r w:rsidR="00E56670">
        <w:rPr>
          <w:iCs/>
        </w:rPr>
        <w:t>$</w:t>
      </w:r>
      <w:r w:rsidR="00632E88" w:rsidRPr="00D14AB6">
        <w:rPr>
          <w:iCs/>
          <w:color w:val="000000"/>
          <w:w w:val="15"/>
          <w:shd w:val="solid" w:color="000000" w:fill="000000"/>
          <w:fitText w:val="-20" w:id="-1031597559"/>
          <w14:textFill>
            <w14:solidFill>
              <w14:srgbClr w14:val="000000">
                <w14:alpha w14:val="100000"/>
              </w14:srgbClr>
            </w14:solidFill>
          </w14:textFill>
        </w:rPr>
        <w:t>|</w:t>
      </w:r>
      <w:r w:rsidR="00E56670" w:rsidRPr="00D14AB6">
        <w:rPr>
          <w:iCs/>
          <w:color w:val="000000"/>
          <w:w w:val="15"/>
          <w:shd w:val="solid" w:color="000000" w:fill="000000"/>
          <w:fitText w:val="-20" w:id="-1031597559"/>
          <w14:textFill>
            <w14:solidFill>
              <w14:srgbClr w14:val="000000">
                <w14:alpha w14:val="100000"/>
              </w14:srgbClr>
            </w14:solidFill>
          </w14:textFill>
        </w:rPr>
        <w:t xml:space="preserve"> </w:t>
      </w:r>
      <w:r w:rsidR="00632E88" w:rsidRPr="00D14AB6">
        <w:rPr>
          <w:iCs/>
          <w:color w:val="000000"/>
          <w:spacing w:val="-61"/>
          <w:w w:val="15"/>
          <w:shd w:val="solid" w:color="000000" w:fill="000000"/>
          <w:fitText w:val="-20" w:id="-1031597559"/>
          <w14:textFill>
            <w14:solidFill>
              <w14:srgbClr w14:val="000000">
                <w14:alpha w14:val="100000"/>
              </w14:srgbClr>
            </w14:solidFill>
          </w14:textFill>
        </w:rPr>
        <w:t>|</w:t>
      </w:r>
      <w:r w:rsidR="00E87B6C" w:rsidRPr="00F6387C">
        <w:rPr>
          <w:iCs/>
        </w:rPr>
        <w:t xml:space="preserve"> per 10 mg tablet.</w:t>
      </w:r>
    </w:p>
    <w:p w14:paraId="55D7FFE8" w14:textId="7A6E0A9E" w:rsidR="006240FB" w:rsidRPr="00F6387C" w:rsidRDefault="006240FB" w:rsidP="006240FB">
      <w:pPr>
        <w:pStyle w:val="3-BodyText"/>
      </w:pPr>
      <w:r w:rsidRPr="00F6387C">
        <w:t xml:space="preserve">The pre-PBAC </w:t>
      </w:r>
      <w:r w:rsidR="00AD3A9A" w:rsidRPr="00F6387C">
        <w:t>R</w:t>
      </w:r>
      <w:r w:rsidRPr="00F6387C">
        <w:t>esponse presented a revised CMA with the switching and treatment assumptions removed and a</w:t>
      </w:r>
      <w:r w:rsidR="00AD3A9A" w:rsidRPr="00F6387C">
        <w:t>s an alternative to an RSA, the Response proposed increasing the p</w:t>
      </w:r>
      <w:r w:rsidRPr="00F6387C">
        <w:t xml:space="preserve">roportion of patients taking cladribine </w:t>
      </w:r>
      <w:r w:rsidR="00AD3A9A" w:rsidRPr="00F6387C">
        <w:t xml:space="preserve">up </w:t>
      </w:r>
      <w:r w:rsidRPr="00F6387C">
        <w:t>to 10% in years 3 and 4.</w:t>
      </w:r>
    </w:p>
    <w:p w14:paraId="762C47A2" w14:textId="6CF289DB" w:rsidR="00821CB9" w:rsidRPr="00F6387C" w:rsidRDefault="00821CB9" w:rsidP="00821CB9">
      <w:pPr>
        <w:pStyle w:val="3-BodyText"/>
      </w:pPr>
      <w:r w:rsidRPr="00F6387C">
        <w:t>To incorporate the cost of the alternate RRMS treatments that patients switched to after cladribine or fingolimod</w:t>
      </w:r>
      <w:r w:rsidR="000E4612" w:rsidRPr="00F6387C">
        <w:t xml:space="preserve"> as a cost offset</w:t>
      </w:r>
      <w:r w:rsidRPr="00F6387C">
        <w:t>, the treatment options were categorised into three tiers: high efficacy tier, low efficacy tier and fingolimod tier. While fingolimod is cost-minimised to several DMTs categorised as “high efficacy”, the resubmission stated that fingolimod was assigned its own tier due to its pricing being different from the other high efficacy tier treatments.</w:t>
      </w:r>
    </w:p>
    <w:p w14:paraId="1BC51A4C" w14:textId="1CD9EC12" w:rsidR="00821CB9" w:rsidRPr="00F6387C" w:rsidRDefault="00821CB9" w:rsidP="00821CB9">
      <w:pPr>
        <w:pStyle w:val="3-BodyText"/>
      </w:pPr>
      <w:r w:rsidRPr="00F6387C">
        <w:t xml:space="preserve">The annual cost for each of the alternate RRMS therapies reported by the PBS 10% sample data was calculated using their respective Product Information or estimated based on the PBS Therapeutic Relativity Sheets. The annual cost of each alternate treatment was bundled into an average treatment cost for each tier with each of the treatments </w:t>
      </w:r>
      <w:r w:rsidR="00F91957" w:rsidRPr="00F6387C">
        <w:t>with</w:t>
      </w:r>
      <w:r w:rsidRPr="00F6387C">
        <w:t>in each tier given equal weighting. Then the average treatment cost of the tiers was used to calculate the weighted average cost per year of alternate treatment following switching or discontinuation from cladribine and fingolimod.</w:t>
      </w:r>
    </w:p>
    <w:p w14:paraId="5441EBB2" w14:textId="758DDE39" w:rsidR="008F6062" w:rsidRPr="00F6387C" w:rsidRDefault="00E30699" w:rsidP="0007227A">
      <w:pPr>
        <w:pStyle w:val="3-BodyText"/>
      </w:pPr>
      <w:r w:rsidRPr="00F6387C">
        <w:t>It may have been inappropriate for fingolimod to be included in its own tier in the CMA rather than in the high efficacy tier as</w:t>
      </w:r>
      <w:r w:rsidR="008F6062" w:rsidRPr="00F6387C">
        <w:t xml:space="preserve"> fingolimod has been cost-minimised to or considered non-inferior to the drugs in the high efficacy tier and the clinical claim made in the resubmission was that cladribine has non-inferior efficacy and safety</w:t>
      </w:r>
      <w:r w:rsidR="000E4612" w:rsidRPr="00F6387C">
        <w:t xml:space="preserve"> compared</w:t>
      </w:r>
      <w:r w:rsidR="008F6062" w:rsidRPr="00F6387C">
        <w:t xml:space="preserve"> to fingolimod.</w:t>
      </w:r>
      <w:r w:rsidRPr="00F6387C">
        <w:t xml:space="preserve"> If fingolimod </w:t>
      </w:r>
      <w:r w:rsidR="008A58A9" w:rsidRPr="00F6387C">
        <w:t>had been</w:t>
      </w:r>
      <w:r w:rsidRPr="00F6387C">
        <w:t xml:space="preserve"> put into the high-efficacy tier, its (lower) price </w:t>
      </w:r>
      <w:r w:rsidR="000E4612" w:rsidRPr="00F6387C">
        <w:t>may</w:t>
      </w:r>
      <w:r w:rsidRPr="00F6387C">
        <w:t xml:space="preserve"> have </w:t>
      </w:r>
      <w:r w:rsidR="008A58A9" w:rsidRPr="00F6387C">
        <w:t>less</w:t>
      </w:r>
      <w:r w:rsidRPr="00F6387C">
        <w:t xml:space="preserve"> impact (as the price of the tier was calculated using an average, </w:t>
      </w:r>
      <w:r w:rsidR="008A58A9" w:rsidRPr="00F6387C">
        <w:t xml:space="preserve">with </w:t>
      </w:r>
      <w:r w:rsidR="000E4612" w:rsidRPr="00F6387C">
        <w:t xml:space="preserve">the </w:t>
      </w:r>
      <w:r w:rsidRPr="00F6387C">
        <w:t>price of all drugs ha</w:t>
      </w:r>
      <w:r w:rsidR="008A58A9" w:rsidRPr="00F6387C">
        <w:t>ving</w:t>
      </w:r>
      <w:r w:rsidRPr="00F6387C">
        <w:t xml:space="preserve"> equal impact. </w:t>
      </w:r>
      <w:r w:rsidR="008A58A9" w:rsidRPr="00F6387C">
        <w:t>However, a sensitivity analysis conducted during the evaluation found that reclassifying fingolimod into the high efficacy tier had a low impact on the price of cladribine calculated in the CMA.</w:t>
      </w:r>
    </w:p>
    <w:p w14:paraId="429A6FB6" w14:textId="77777777" w:rsidR="00821CB9" w:rsidRPr="00F6387C" w:rsidRDefault="00821CB9" w:rsidP="00821CB9">
      <w:pPr>
        <w:pStyle w:val="3-BodyText"/>
      </w:pPr>
      <w:r w:rsidRPr="00F6387C">
        <w:t>The resubmission stated there were three stages in the stepped analysis:</w:t>
      </w:r>
    </w:p>
    <w:p w14:paraId="39BC6612" w14:textId="77777777" w:rsidR="00821CB9" w:rsidRPr="00F6387C" w:rsidRDefault="00821CB9" w:rsidP="0098756A">
      <w:pPr>
        <w:pStyle w:val="3-BodyText"/>
        <w:numPr>
          <w:ilvl w:val="2"/>
          <w:numId w:val="18"/>
        </w:numPr>
        <w:ind w:left="1134" w:hanging="283"/>
      </w:pPr>
      <w:r w:rsidRPr="00F6387C">
        <w:t>Step 1: Calculation of the total medicine cost for fingolimod over two years;</w:t>
      </w:r>
    </w:p>
    <w:p w14:paraId="0BA488EC" w14:textId="77777777" w:rsidR="00821CB9" w:rsidRPr="00F6387C" w:rsidRDefault="00821CB9" w:rsidP="0098756A">
      <w:pPr>
        <w:pStyle w:val="3-BodyText"/>
        <w:numPr>
          <w:ilvl w:val="2"/>
          <w:numId w:val="18"/>
        </w:numPr>
        <w:ind w:left="1134" w:hanging="283"/>
      </w:pPr>
      <w:r w:rsidRPr="00F6387C">
        <w:t>Step 2: Calculation of the total medicine cost for fingolimod over four years; and</w:t>
      </w:r>
    </w:p>
    <w:p w14:paraId="42258B0B" w14:textId="77777777" w:rsidR="00821CB9" w:rsidRPr="00F6387C" w:rsidRDefault="00821CB9" w:rsidP="0098756A">
      <w:pPr>
        <w:pStyle w:val="3-BodyText"/>
        <w:numPr>
          <w:ilvl w:val="2"/>
          <w:numId w:val="18"/>
        </w:numPr>
        <w:ind w:left="1134" w:hanging="283"/>
      </w:pPr>
      <w:r w:rsidRPr="00F6387C">
        <w:t>Step 3: Calculation of the base case model for the cost-minimised price of a one tablet pack of cladribine based on an equivalent total healthcare cost for fingolimod over four years, including the cost for switch patients.</w:t>
      </w:r>
    </w:p>
    <w:p w14:paraId="3553FF83" w14:textId="049372E2" w:rsidR="00821CB9" w:rsidRPr="00F6387C" w:rsidRDefault="00821CB9" w:rsidP="00821CB9">
      <w:pPr>
        <w:pStyle w:val="3-BodyText"/>
      </w:pPr>
      <w:r w:rsidRPr="00F6387C">
        <w:fldChar w:fldCharType="begin" w:fldLock="1"/>
      </w:r>
      <w:r w:rsidRPr="00F6387C">
        <w:instrText xml:space="preserve"> REF _Ref142826899 \h </w:instrText>
      </w:r>
      <w:r w:rsidRPr="00F6387C">
        <w:fldChar w:fldCharType="separate"/>
      </w:r>
      <w:r w:rsidR="000D404D" w:rsidRPr="00F6387C">
        <w:t>Table 13</w:t>
      </w:r>
      <w:r w:rsidRPr="00F6387C">
        <w:fldChar w:fldCharType="end"/>
      </w:r>
      <w:r w:rsidRPr="00F6387C">
        <w:t xml:space="preserve"> presents the details of the CMA</w:t>
      </w:r>
      <w:r w:rsidR="00057F22" w:rsidRPr="00F6387C">
        <w:t xml:space="preserve"> (step 3)</w:t>
      </w:r>
      <w:r w:rsidRPr="00F6387C">
        <w:t>.</w:t>
      </w:r>
    </w:p>
    <w:p w14:paraId="727E083F" w14:textId="41223A17" w:rsidR="00821CB9" w:rsidRPr="00F6387C" w:rsidRDefault="00821CB9" w:rsidP="00821CB9">
      <w:pPr>
        <w:pStyle w:val="TableFigureHeading"/>
        <w:rPr>
          <w:rStyle w:val="CommentReference"/>
          <w:b/>
          <w:szCs w:val="24"/>
        </w:rPr>
      </w:pPr>
      <w:bookmarkStart w:id="64" w:name="_Ref142826899"/>
      <w:r w:rsidRPr="00F6387C">
        <w:t xml:space="preserve">Table </w:t>
      </w:r>
      <w:fldSimple w:instr=" SEQ Table \* ARABIC " w:fldLock="1">
        <w:r w:rsidR="000D404D" w:rsidRPr="00F6387C">
          <w:t>13</w:t>
        </w:r>
      </w:fldSimple>
      <w:bookmarkEnd w:id="64"/>
      <w:r w:rsidRPr="00F6387C">
        <w:t xml:space="preserve">: </w:t>
      </w:r>
      <w:r w:rsidRPr="00F6387C">
        <w:rPr>
          <w:rStyle w:val="CommentReference"/>
          <w:b/>
          <w:szCs w:val="24"/>
        </w:rPr>
        <w:t>CMA of cladribine versus fingolimod</w:t>
      </w:r>
      <w:r w:rsidR="00057F22" w:rsidRPr="00F6387C">
        <w:rPr>
          <w:rStyle w:val="CommentReference"/>
          <w:b/>
          <w:szCs w:val="24"/>
        </w:rPr>
        <w:t xml:space="preserve"> over 4 years</w:t>
      </w:r>
    </w:p>
    <w:tbl>
      <w:tblPr>
        <w:tblStyle w:val="TableGrid"/>
        <w:tblW w:w="0" w:type="auto"/>
        <w:tblLook w:val="04A0" w:firstRow="1" w:lastRow="0" w:firstColumn="1" w:lastColumn="0" w:noHBand="0" w:noVBand="1"/>
        <w:tblCaption w:val="Table 13: CMA of cladribine versus fingolimod over 4 years"/>
        <w:tblDescription w:val="Table 13: CMA of cladribine versus fingolimod over 4 years"/>
      </w:tblPr>
      <w:tblGrid>
        <w:gridCol w:w="5098"/>
        <w:gridCol w:w="2127"/>
        <w:gridCol w:w="1791"/>
      </w:tblGrid>
      <w:tr w:rsidR="00205889" w:rsidRPr="00F6387C" w14:paraId="08C9FAD7" w14:textId="77777777" w:rsidTr="00057F22">
        <w:trPr>
          <w:trHeight w:val="59"/>
        </w:trPr>
        <w:tc>
          <w:tcPr>
            <w:tcW w:w="5098" w:type="dxa"/>
            <w:noWrap/>
          </w:tcPr>
          <w:p w14:paraId="2CBC828D" w14:textId="77777777" w:rsidR="00821CB9" w:rsidRPr="00F6387C" w:rsidRDefault="00821CB9" w:rsidP="00540CC4">
            <w:pPr>
              <w:pStyle w:val="Tabletext"/>
              <w:keepNext/>
              <w:keepLines/>
            </w:pPr>
          </w:p>
        </w:tc>
        <w:tc>
          <w:tcPr>
            <w:tcW w:w="2127" w:type="dxa"/>
            <w:noWrap/>
            <w:hideMark/>
          </w:tcPr>
          <w:p w14:paraId="56E929D2" w14:textId="6757EBD0" w:rsidR="00821CB9" w:rsidRPr="00F6387C" w:rsidRDefault="0007227A" w:rsidP="00540CC4">
            <w:pPr>
              <w:pStyle w:val="In-tableHeading"/>
              <w:jc w:val="center"/>
              <w:rPr>
                <w:bCs/>
                <w:lang w:val="en-AU"/>
              </w:rPr>
            </w:pPr>
            <w:r w:rsidRPr="00F6387C">
              <w:rPr>
                <w:lang w:val="en-AU"/>
              </w:rPr>
              <w:t>C</w:t>
            </w:r>
            <w:r w:rsidR="00821CB9" w:rsidRPr="00F6387C">
              <w:rPr>
                <w:lang w:val="en-AU"/>
              </w:rPr>
              <w:t>ladribine</w:t>
            </w:r>
          </w:p>
        </w:tc>
        <w:tc>
          <w:tcPr>
            <w:tcW w:w="1853" w:type="dxa"/>
          </w:tcPr>
          <w:p w14:paraId="49F64BE2" w14:textId="65DC8E0F" w:rsidR="00821CB9" w:rsidRPr="00F6387C" w:rsidRDefault="0007227A" w:rsidP="00540CC4">
            <w:pPr>
              <w:pStyle w:val="In-tableHeading"/>
              <w:jc w:val="center"/>
              <w:rPr>
                <w:bCs/>
                <w:lang w:val="en-AU"/>
              </w:rPr>
            </w:pPr>
            <w:r w:rsidRPr="00F6387C">
              <w:rPr>
                <w:lang w:val="en-AU"/>
              </w:rPr>
              <w:t>F</w:t>
            </w:r>
            <w:r w:rsidR="00821CB9" w:rsidRPr="00F6387C">
              <w:rPr>
                <w:lang w:val="en-AU"/>
              </w:rPr>
              <w:t>ingolimod</w:t>
            </w:r>
          </w:p>
        </w:tc>
      </w:tr>
      <w:tr w:rsidR="00205889" w:rsidRPr="00F6387C" w14:paraId="56DD9FA3" w14:textId="77777777" w:rsidTr="00057F22">
        <w:trPr>
          <w:trHeight w:val="59"/>
        </w:trPr>
        <w:tc>
          <w:tcPr>
            <w:tcW w:w="5098" w:type="dxa"/>
            <w:noWrap/>
            <w:vAlign w:val="center"/>
          </w:tcPr>
          <w:p w14:paraId="47A8C67F" w14:textId="77777777" w:rsidR="00821CB9" w:rsidRPr="00F6387C" w:rsidRDefault="00821CB9" w:rsidP="00540CC4">
            <w:pPr>
              <w:pStyle w:val="Tabletext"/>
              <w:keepNext/>
              <w:keepLines/>
            </w:pPr>
            <w:r w:rsidRPr="00F6387C">
              <w:rPr>
                <w:szCs w:val="20"/>
              </w:rPr>
              <w:t>Mg per maximum quantity</w:t>
            </w:r>
          </w:p>
        </w:tc>
        <w:tc>
          <w:tcPr>
            <w:tcW w:w="2127" w:type="dxa"/>
            <w:noWrap/>
            <w:vAlign w:val="center"/>
          </w:tcPr>
          <w:p w14:paraId="30D3DF6A" w14:textId="77777777" w:rsidR="00821CB9" w:rsidRPr="00F6387C" w:rsidRDefault="00821CB9" w:rsidP="00540CC4">
            <w:pPr>
              <w:pStyle w:val="Tabletext"/>
              <w:keepNext/>
              <w:keepLines/>
              <w:jc w:val="center"/>
            </w:pPr>
            <w:r w:rsidRPr="00F6387C">
              <w:rPr>
                <w:szCs w:val="20"/>
              </w:rPr>
              <w:t>10.00</w:t>
            </w:r>
          </w:p>
        </w:tc>
        <w:tc>
          <w:tcPr>
            <w:tcW w:w="1853" w:type="dxa"/>
            <w:vAlign w:val="center"/>
          </w:tcPr>
          <w:p w14:paraId="4B2EA0DA" w14:textId="77777777" w:rsidR="00821CB9" w:rsidRPr="00F6387C" w:rsidRDefault="00821CB9" w:rsidP="00540CC4">
            <w:pPr>
              <w:pStyle w:val="Tabletext"/>
              <w:keepNext/>
              <w:keepLines/>
              <w:jc w:val="center"/>
            </w:pPr>
            <w:r w:rsidRPr="00F6387C">
              <w:rPr>
                <w:szCs w:val="20"/>
              </w:rPr>
              <w:t>14.00</w:t>
            </w:r>
          </w:p>
        </w:tc>
      </w:tr>
      <w:tr w:rsidR="00205889" w:rsidRPr="00F6387C" w14:paraId="5912177A" w14:textId="77777777" w:rsidTr="00057F22">
        <w:trPr>
          <w:trHeight w:val="59"/>
        </w:trPr>
        <w:tc>
          <w:tcPr>
            <w:tcW w:w="5098" w:type="dxa"/>
            <w:noWrap/>
            <w:vAlign w:val="center"/>
          </w:tcPr>
          <w:p w14:paraId="0F422542" w14:textId="77777777" w:rsidR="00821CB9" w:rsidRPr="00F6387C" w:rsidRDefault="00821CB9" w:rsidP="00540CC4">
            <w:pPr>
              <w:pStyle w:val="Tabletext"/>
              <w:keepNext/>
              <w:keepLines/>
            </w:pPr>
            <w:r w:rsidRPr="00F6387C">
              <w:rPr>
                <w:szCs w:val="20"/>
              </w:rPr>
              <w:t>Maximum quantity overs 4 years</w:t>
            </w:r>
          </w:p>
        </w:tc>
        <w:tc>
          <w:tcPr>
            <w:tcW w:w="2127" w:type="dxa"/>
            <w:noWrap/>
            <w:vAlign w:val="center"/>
          </w:tcPr>
          <w:p w14:paraId="779BFDCF" w14:textId="77777777" w:rsidR="00821CB9" w:rsidRPr="00F6387C" w:rsidRDefault="00821CB9" w:rsidP="00540CC4">
            <w:pPr>
              <w:pStyle w:val="Tabletext"/>
              <w:keepNext/>
              <w:keepLines/>
              <w:jc w:val="center"/>
            </w:pPr>
            <w:r w:rsidRPr="00F6387C">
              <w:rPr>
                <w:szCs w:val="20"/>
              </w:rPr>
              <w:t>28.00</w:t>
            </w:r>
          </w:p>
        </w:tc>
        <w:tc>
          <w:tcPr>
            <w:tcW w:w="1853" w:type="dxa"/>
            <w:vAlign w:val="center"/>
          </w:tcPr>
          <w:p w14:paraId="3664EE2D" w14:textId="77777777" w:rsidR="00821CB9" w:rsidRPr="00F6387C" w:rsidRDefault="00821CB9" w:rsidP="00540CC4">
            <w:pPr>
              <w:pStyle w:val="Tabletext"/>
              <w:keepNext/>
              <w:keepLines/>
              <w:jc w:val="center"/>
            </w:pPr>
            <w:r w:rsidRPr="00F6387C">
              <w:rPr>
                <w:szCs w:val="20"/>
              </w:rPr>
              <w:t>45.00</w:t>
            </w:r>
          </w:p>
        </w:tc>
      </w:tr>
      <w:tr w:rsidR="00205889" w:rsidRPr="00F6387C" w14:paraId="2FAF85A4" w14:textId="77777777" w:rsidTr="00057F22">
        <w:trPr>
          <w:trHeight w:val="59"/>
        </w:trPr>
        <w:tc>
          <w:tcPr>
            <w:tcW w:w="5098" w:type="dxa"/>
            <w:noWrap/>
            <w:vAlign w:val="center"/>
          </w:tcPr>
          <w:p w14:paraId="261B8913" w14:textId="77777777" w:rsidR="00821CB9" w:rsidRPr="00F6387C" w:rsidRDefault="00821CB9" w:rsidP="00540CC4">
            <w:pPr>
              <w:pStyle w:val="Tabletext"/>
              <w:keepNext/>
              <w:keepLines/>
            </w:pPr>
            <w:r w:rsidRPr="00F6387C">
              <w:rPr>
                <w:szCs w:val="20"/>
              </w:rPr>
              <w:t>Total patients in year 1 (n)</w:t>
            </w:r>
          </w:p>
        </w:tc>
        <w:tc>
          <w:tcPr>
            <w:tcW w:w="2127" w:type="dxa"/>
            <w:noWrap/>
            <w:vAlign w:val="center"/>
          </w:tcPr>
          <w:p w14:paraId="09666B02" w14:textId="77777777" w:rsidR="00821CB9" w:rsidRPr="00F6387C" w:rsidRDefault="00821CB9" w:rsidP="00540CC4">
            <w:pPr>
              <w:pStyle w:val="Tabletext"/>
              <w:keepNext/>
              <w:keepLines/>
              <w:jc w:val="center"/>
            </w:pPr>
            <w:r w:rsidRPr="00F6387C">
              <w:rPr>
                <w:szCs w:val="20"/>
              </w:rPr>
              <w:t>252</w:t>
            </w:r>
          </w:p>
        </w:tc>
        <w:tc>
          <w:tcPr>
            <w:tcW w:w="1853" w:type="dxa"/>
            <w:vAlign w:val="center"/>
          </w:tcPr>
          <w:p w14:paraId="3923DBAE" w14:textId="77777777" w:rsidR="00821CB9" w:rsidRPr="00F6387C" w:rsidRDefault="00821CB9" w:rsidP="00540CC4">
            <w:pPr>
              <w:pStyle w:val="Tabletext"/>
              <w:keepNext/>
              <w:keepLines/>
              <w:jc w:val="center"/>
            </w:pPr>
            <w:r w:rsidRPr="00F6387C">
              <w:rPr>
                <w:szCs w:val="20"/>
              </w:rPr>
              <w:t>973</w:t>
            </w:r>
          </w:p>
        </w:tc>
      </w:tr>
      <w:tr w:rsidR="00205889" w:rsidRPr="00F6387C" w14:paraId="3A105F6A" w14:textId="77777777" w:rsidTr="00057F22">
        <w:trPr>
          <w:trHeight w:val="59"/>
        </w:trPr>
        <w:tc>
          <w:tcPr>
            <w:tcW w:w="5098" w:type="dxa"/>
            <w:noWrap/>
            <w:vAlign w:val="center"/>
          </w:tcPr>
          <w:p w14:paraId="7BA6BFD6" w14:textId="77777777" w:rsidR="00821CB9" w:rsidRPr="00F6387C" w:rsidRDefault="00821CB9" w:rsidP="00540CC4">
            <w:pPr>
              <w:pStyle w:val="Tabletext"/>
              <w:keepNext/>
              <w:keepLines/>
            </w:pPr>
            <w:r w:rsidRPr="00F6387C">
              <w:rPr>
                <w:szCs w:val="20"/>
              </w:rPr>
              <w:t>Patients who switched treatment year 1 (%)</w:t>
            </w:r>
          </w:p>
        </w:tc>
        <w:tc>
          <w:tcPr>
            <w:tcW w:w="2127" w:type="dxa"/>
            <w:noWrap/>
            <w:vAlign w:val="center"/>
          </w:tcPr>
          <w:p w14:paraId="471A7E16" w14:textId="77777777" w:rsidR="00821CB9" w:rsidRPr="00F6387C" w:rsidRDefault="00821CB9" w:rsidP="00540CC4">
            <w:pPr>
              <w:pStyle w:val="Tabletext"/>
              <w:keepNext/>
              <w:keepLines/>
              <w:jc w:val="center"/>
            </w:pPr>
            <w:r w:rsidRPr="00F6387C">
              <w:rPr>
                <w:szCs w:val="20"/>
              </w:rPr>
              <w:t>16.7%</w:t>
            </w:r>
          </w:p>
        </w:tc>
        <w:tc>
          <w:tcPr>
            <w:tcW w:w="1853" w:type="dxa"/>
            <w:vAlign w:val="center"/>
          </w:tcPr>
          <w:p w14:paraId="5E63E9E2" w14:textId="77777777" w:rsidR="00821CB9" w:rsidRPr="00F6387C" w:rsidRDefault="00821CB9" w:rsidP="00540CC4">
            <w:pPr>
              <w:pStyle w:val="Tabletext"/>
              <w:keepNext/>
              <w:keepLines/>
              <w:jc w:val="center"/>
            </w:pPr>
            <w:r w:rsidRPr="00F6387C">
              <w:rPr>
                <w:szCs w:val="20"/>
              </w:rPr>
              <w:t>22.6%</w:t>
            </w:r>
          </w:p>
        </w:tc>
      </w:tr>
      <w:tr w:rsidR="00205889" w:rsidRPr="00F6387C" w14:paraId="2670E9A1" w14:textId="77777777" w:rsidTr="00057F22">
        <w:trPr>
          <w:trHeight w:val="59"/>
        </w:trPr>
        <w:tc>
          <w:tcPr>
            <w:tcW w:w="5098" w:type="dxa"/>
            <w:noWrap/>
            <w:vAlign w:val="center"/>
          </w:tcPr>
          <w:p w14:paraId="212936F5" w14:textId="77777777" w:rsidR="00821CB9" w:rsidRPr="00F6387C" w:rsidRDefault="00821CB9" w:rsidP="00540CC4">
            <w:pPr>
              <w:pStyle w:val="Tabletext"/>
              <w:keepNext/>
              <w:keepLines/>
            </w:pPr>
            <w:r w:rsidRPr="00F6387C">
              <w:rPr>
                <w:szCs w:val="20"/>
              </w:rPr>
              <w:t>Total patients in year 2 (n)</w:t>
            </w:r>
          </w:p>
        </w:tc>
        <w:tc>
          <w:tcPr>
            <w:tcW w:w="2127" w:type="dxa"/>
            <w:noWrap/>
            <w:vAlign w:val="center"/>
          </w:tcPr>
          <w:p w14:paraId="452E197D" w14:textId="77777777" w:rsidR="00821CB9" w:rsidRPr="00F6387C" w:rsidRDefault="00821CB9" w:rsidP="00540CC4">
            <w:pPr>
              <w:pStyle w:val="Tabletext"/>
              <w:keepNext/>
              <w:keepLines/>
              <w:jc w:val="center"/>
            </w:pPr>
            <w:r w:rsidRPr="00F6387C">
              <w:rPr>
                <w:szCs w:val="20"/>
              </w:rPr>
              <w:t>149</w:t>
            </w:r>
          </w:p>
        </w:tc>
        <w:tc>
          <w:tcPr>
            <w:tcW w:w="1853" w:type="dxa"/>
            <w:vAlign w:val="center"/>
          </w:tcPr>
          <w:p w14:paraId="1494AB00" w14:textId="77777777" w:rsidR="00821CB9" w:rsidRPr="00F6387C" w:rsidRDefault="00821CB9" w:rsidP="00540CC4">
            <w:pPr>
              <w:pStyle w:val="Tabletext"/>
              <w:keepNext/>
              <w:keepLines/>
              <w:jc w:val="center"/>
            </w:pPr>
            <w:r w:rsidRPr="00F6387C">
              <w:rPr>
                <w:szCs w:val="20"/>
              </w:rPr>
              <w:t>747</w:t>
            </w:r>
          </w:p>
        </w:tc>
      </w:tr>
      <w:tr w:rsidR="00205889" w:rsidRPr="00F6387C" w14:paraId="63832F51" w14:textId="77777777" w:rsidTr="00057F22">
        <w:trPr>
          <w:trHeight w:val="59"/>
        </w:trPr>
        <w:tc>
          <w:tcPr>
            <w:tcW w:w="5098" w:type="dxa"/>
            <w:noWrap/>
            <w:vAlign w:val="center"/>
          </w:tcPr>
          <w:p w14:paraId="54BF9C08" w14:textId="77777777" w:rsidR="00821CB9" w:rsidRPr="00F6387C" w:rsidRDefault="00821CB9" w:rsidP="00540CC4">
            <w:pPr>
              <w:pStyle w:val="Tabletext"/>
              <w:keepNext/>
              <w:keepLines/>
            </w:pPr>
            <w:r w:rsidRPr="00F6387C">
              <w:rPr>
                <w:szCs w:val="20"/>
              </w:rPr>
              <w:t>Patients who switched treatment year 2 (%)</w:t>
            </w:r>
          </w:p>
        </w:tc>
        <w:tc>
          <w:tcPr>
            <w:tcW w:w="2127" w:type="dxa"/>
            <w:noWrap/>
            <w:vAlign w:val="center"/>
          </w:tcPr>
          <w:p w14:paraId="55D1B0E0" w14:textId="77777777" w:rsidR="00821CB9" w:rsidRPr="00F6387C" w:rsidRDefault="00821CB9" w:rsidP="00540CC4">
            <w:pPr>
              <w:pStyle w:val="Tabletext"/>
              <w:keepNext/>
              <w:keepLines/>
              <w:jc w:val="center"/>
            </w:pPr>
            <w:r w:rsidRPr="00F6387C">
              <w:rPr>
                <w:szCs w:val="20"/>
              </w:rPr>
              <w:t>4.0%</w:t>
            </w:r>
          </w:p>
        </w:tc>
        <w:tc>
          <w:tcPr>
            <w:tcW w:w="1853" w:type="dxa"/>
            <w:vAlign w:val="center"/>
          </w:tcPr>
          <w:p w14:paraId="687B76A3" w14:textId="77777777" w:rsidR="00821CB9" w:rsidRPr="00F6387C" w:rsidRDefault="00821CB9" w:rsidP="00540CC4">
            <w:pPr>
              <w:pStyle w:val="Tabletext"/>
              <w:keepNext/>
              <w:keepLines/>
              <w:jc w:val="center"/>
            </w:pPr>
            <w:r w:rsidRPr="00F6387C">
              <w:rPr>
                <w:szCs w:val="20"/>
              </w:rPr>
              <w:t>11.9%</w:t>
            </w:r>
          </w:p>
        </w:tc>
      </w:tr>
      <w:tr w:rsidR="00205889" w:rsidRPr="00F6387C" w14:paraId="272172AF" w14:textId="77777777" w:rsidTr="00057F22">
        <w:trPr>
          <w:trHeight w:val="59"/>
        </w:trPr>
        <w:tc>
          <w:tcPr>
            <w:tcW w:w="5098" w:type="dxa"/>
            <w:noWrap/>
            <w:vAlign w:val="center"/>
          </w:tcPr>
          <w:p w14:paraId="3ABB2A0A" w14:textId="77777777" w:rsidR="00821CB9" w:rsidRPr="00F6387C" w:rsidRDefault="00821CB9" w:rsidP="00540CC4">
            <w:pPr>
              <w:pStyle w:val="Tabletext"/>
              <w:keepNext/>
              <w:keepLines/>
            </w:pPr>
            <w:r w:rsidRPr="00F6387C">
              <w:rPr>
                <w:szCs w:val="20"/>
              </w:rPr>
              <w:t>Total patients in year 3 (n)</w:t>
            </w:r>
          </w:p>
        </w:tc>
        <w:tc>
          <w:tcPr>
            <w:tcW w:w="2127" w:type="dxa"/>
            <w:noWrap/>
            <w:vAlign w:val="center"/>
          </w:tcPr>
          <w:p w14:paraId="3948A5E3" w14:textId="77777777" w:rsidR="00821CB9" w:rsidRPr="00F6387C" w:rsidRDefault="00821CB9" w:rsidP="00540CC4">
            <w:pPr>
              <w:pStyle w:val="Tabletext"/>
              <w:keepNext/>
              <w:keepLines/>
              <w:jc w:val="center"/>
            </w:pPr>
            <w:r w:rsidRPr="00F6387C">
              <w:rPr>
                <w:szCs w:val="20"/>
              </w:rPr>
              <w:t>84</w:t>
            </w:r>
          </w:p>
        </w:tc>
        <w:tc>
          <w:tcPr>
            <w:tcW w:w="1853" w:type="dxa"/>
            <w:vAlign w:val="center"/>
          </w:tcPr>
          <w:p w14:paraId="3310D0A7" w14:textId="77777777" w:rsidR="00821CB9" w:rsidRPr="00F6387C" w:rsidRDefault="00821CB9" w:rsidP="00540CC4">
            <w:pPr>
              <w:pStyle w:val="Tabletext"/>
              <w:keepNext/>
              <w:keepLines/>
              <w:jc w:val="center"/>
            </w:pPr>
            <w:r w:rsidRPr="00F6387C">
              <w:rPr>
                <w:szCs w:val="20"/>
              </w:rPr>
              <w:t>644</w:t>
            </w:r>
          </w:p>
        </w:tc>
      </w:tr>
      <w:tr w:rsidR="00205889" w:rsidRPr="00F6387C" w14:paraId="485DDC88" w14:textId="77777777" w:rsidTr="00057F22">
        <w:trPr>
          <w:trHeight w:val="59"/>
        </w:trPr>
        <w:tc>
          <w:tcPr>
            <w:tcW w:w="5098" w:type="dxa"/>
            <w:noWrap/>
            <w:vAlign w:val="center"/>
          </w:tcPr>
          <w:p w14:paraId="49395926" w14:textId="77777777" w:rsidR="00821CB9" w:rsidRPr="00F6387C" w:rsidRDefault="00821CB9" w:rsidP="00540CC4">
            <w:pPr>
              <w:pStyle w:val="Tabletext"/>
              <w:keepNext/>
              <w:keepLines/>
            </w:pPr>
            <w:r w:rsidRPr="00F6387C">
              <w:rPr>
                <w:szCs w:val="20"/>
              </w:rPr>
              <w:t>Patients who switch in year 3 (%)</w:t>
            </w:r>
          </w:p>
        </w:tc>
        <w:tc>
          <w:tcPr>
            <w:tcW w:w="2127" w:type="dxa"/>
            <w:noWrap/>
            <w:vAlign w:val="center"/>
          </w:tcPr>
          <w:p w14:paraId="381DDBC6" w14:textId="77777777" w:rsidR="00821CB9" w:rsidRPr="00F6387C" w:rsidRDefault="00821CB9" w:rsidP="00540CC4">
            <w:pPr>
              <w:pStyle w:val="Tabletext"/>
              <w:keepNext/>
              <w:keepLines/>
              <w:jc w:val="center"/>
            </w:pPr>
            <w:r w:rsidRPr="00F6387C">
              <w:rPr>
                <w:szCs w:val="20"/>
              </w:rPr>
              <w:t>0.0%</w:t>
            </w:r>
          </w:p>
        </w:tc>
        <w:tc>
          <w:tcPr>
            <w:tcW w:w="1853" w:type="dxa"/>
            <w:vAlign w:val="center"/>
          </w:tcPr>
          <w:p w14:paraId="6C851404" w14:textId="77777777" w:rsidR="00821CB9" w:rsidRPr="00F6387C" w:rsidRDefault="00821CB9" w:rsidP="00540CC4">
            <w:pPr>
              <w:pStyle w:val="Tabletext"/>
              <w:keepNext/>
              <w:keepLines/>
              <w:jc w:val="center"/>
            </w:pPr>
            <w:r w:rsidRPr="00F6387C">
              <w:rPr>
                <w:szCs w:val="20"/>
              </w:rPr>
              <w:t>9.8%</w:t>
            </w:r>
          </w:p>
        </w:tc>
      </w:tr>
      <w:tr w:rsidR="00205889" w:rsidRPr="00F6387C" w14:paraId="5EB83E51" w14:textId="77777777" w:rsidTr="00057F22">
        <w:trPr>
          <w:trHeight w:val="59"/>
        </w:trPr>
        <w:tc>
          <w:tcPr>
            <w:tcW w:w="5098" w:type="dxa"/>
            <w:noWrap/>
            <w:vAlign w:val="center"/>
          </w:tcPr>
          <w:p w14:paraId="53E229A4" w14:textId="77777777" w:rsidR="00821CB9" w:rsidRPr="00F6387C" w:rsidRDefault="00821CB9" w:rsidP="00540CC4">
            <w:pPr>
              <w:pStyle w:val="Tabletext"/>
              <w:keepNext/>
              <w:keepLines/>
            </w:pPr>
            <w:r w:rsidRPr="00F6387C">
              <w:rPr>
                <w:szCs w:val="20"/>
              </w:rPr>
              <w:t>Total patients in year 4 (n)</w:t>
            </w:r>
          </w:p>
        </w:tc>
        <w:tc>
          <w:tcPr>
            <w:tcW w:w="2127" w:type="dxa"/>
            <w:noWrap/>
            <w:vAlign w:val="center"/>
          </w:tcPr>
          <w:p w14:paraId="2664696C" w14:textId="77777777" w:rsidR="00821CB9" w:rsidRPr="00F6387C" w:rsidRDefault="00821CB9" w:rsidP="00540CC4">
            <w:pPr>
              <w:pStyle w:val="Tabletext"/>
              <w:keepNext/>
              <w:keepLines/>
              <w:jc w:val="center"/>
            </w:pPr>
            <w:r w:rsidRPr="00F6387C">
              <w:rPr>
                <w:szCs w:val="20"/>
              </w:rPr>
              <w:t>0</w:t>
            </w:r>
          </w:p>
        </w:tc>
        <w:tc>
          <w:tcPr>
            <w:tcW w:w="1853" w:type="dxa"/>
            <w:vAlign w:val="center"/>
          </w:tcPr>
          <w:p w14:paraId="752D1CD6" w14:textId="77777777" w:rsidR="00821CB9" w:rsidRPr="00F6387C" w:rsidRDefault="00821CB9" w:rsidP="00540CC4">
            <w:pPr>
              <w:pStyle w:val="Tabletext"/>
              <w:keepNext/>
              <w:keepLines/>
              <w:jc w:val="center"/>
            </w:pPr>
            <w:r w:rsidRPr="00F6387C">
              <w:rPr>
                <w:szCs w:val="20"/>
              </w:rPr>
              <w:t>562</w:t>
            </w:r>
          </w:p>
        </w:tc>
      </w:tr>
      <w:tr w:rsidR="00205889" w:rsidRPr="00F6387C" w14:paraId="1E0F741E" w14:textId="77777777" w:rsidTr="00057F22">
        <w:trPr>
          <w:trHeight w:val="59"/>
        </w:trPr>
        <w:tc>
          <w:tcPr>
            <w:tcW w:w="5098" w:type="dxa"/>
            <w:noWrap/>
            <w:vAlign w:val="center"/>
          </w:tcPr>
          <w:p w14:paraId="5D3B9DF0" w14:textId="77777777" w:rsidR="00821CB9" w:rsidRPr="00F6387C" w:rsidRDefault="00821CB9" w:rsidP="00540CC4">
            <w:pPr>
              <w:pStyle w:val="Tabletext"/>
              <w:keepNext/>
              <w:keepLines/>
            </w:pPr>
            <w:r w:rsidRPr="00F6387C">
              <w:rPr>
                <w:szCs w:val="20"/>
              </w:rPr>
              <w:t>Patients who switch in year 4 (%)</w:t>
            </w:r>
          </w:p>
        </w:tc>
        <w:tc>
          <w:tcPr>
            <w:tcW w:w="2127" w:type="dxa"/>
            <w:noWrap/>
            <w:vAlign w:val="center"/>
          </w:tcPr>
          <w:p w14:paraId="5326EB56" w14:textId="77777777" w:rsidR="00821CB9" w:rsidRPr="00F6387C" w:rsidRDefault="00821CB9" w:rsidP="00540CC4">
            <w:pPr>
              <w:pStyle w:val="Tabletext"/>
              <w:keepNext/>
              <w:keepLines/>
              <w:jc w:val="center"/>
            </w:pPr>
            <w:r w:rsidRPr="00F6387C">
              <w:rPr>
                <w:szCs w:val="20"/>
              </w:rPr>
              <w:t>0.0%</w:t>
            </w:r>
          </w:p>
        </w:tc>
        <w:tc>
          <w:tcPr>
            <w:tcW w:w="1853" w:type="dxa"/>
            <w:vAlign w:val="center"/>
          </w:tcPr>
          <w:p w14:paraId="171F1258" w14:textId="77777777" w:rsidR="00821CB9" w:rsidRPr="00F6387C" w:rsidRDefault="00821CB9" w:rsidP="00540CC4">
            <w:pPr>
              <w:pStyle w:val="Tabletext"/>
              <w:keepNext/>
              <w:keepLines/>
              <w:jc w:val="center"/>
            </w:pPr>
            <w:r w:rsidRPr="00F6387C">
              <w:rPr>
                <w:szCs w:val="20"/>
              </w:rPr>
              <w:t>8.9%</w:t>
            </w:r>
          </w:p>
        </w:tc>
      </w:tr>
      <w:tr w:rsidR="00205889" w:rsidRPr="00F6387C" w14:paraId="4520669C" w14:textId="77777777" w:rsidTr="00057F22">
        <w:trPr>
          <w:trHeight w:val="59"/>
        </w:trPr>
        <w:tc>
          <w:tcPr>
            <w:tcW w:w="5098" w:type="dxa"/>
            <w:noWrap/>
            <w:vAlign w:val="center"/>
          </w:tcPr>
          <w:p w14:paraId="51E65493" w14:textId="2EDF0BFF" w:rsidR="00821CB9" w:rsidRPr="00F6387C" w:rsidRDefault="00821CB9" w:rsidP="00540CC4">
            <w:pPr>
              <w:pStyle w:val="Tabletext"/>
              <w:keepNext/>
              <w:keepLines/>
            </w:pPr>
            <w:r w:rsidRPr="00F6387C">
              <w:rPr>
                <w:szCs w:val="20"/>
              </w:rPr>
              <w:t>Weighted average alternate treatment costs</w:t>
            </w:r>
            <w:r w:rsidR="00EA4240">
              <w:rPr>
                <w:szCs w:val="20"/>
              </w:rPr>
              <w:t xml:space="preserve"> ($)</w:t>
            </w:r>
          </w:p>
        </w:tc>
        <w:tc>
          <w:tcPr>
            <w:tcW w:w="2127" w:type="dxa"/>
            <w:noWrap/>
            <w:vAlign w:val="center"/>
          </w:tcPr>
          <w:p w14:paraId="0C4775A7" w14:textId="44A65532" w:rsidR="00821CB9" w:rsidRPr="00EA4240" w:rsidRDefault="00632E88" w:rsidP="00540CC4">
            <w:pPr>
              <w:pStyle w:val="Tabletext"/>
              <w:keepNext/>
              <w:keepLines/>
              <w:jc w:val="center"/>
              <w:rPr>
                <w:highlight w:val="darkGray"/>
              </w:rPr>
            </w:pPr>
            <w:r>
              <w:rPr>
                <w:szCs w:val="20"/>
              </w:rPr>
              <w:t xml:space="preserve"> </w:t>
            </w:r>
            <w:r w:rsidRPr="00632E88">
              <w:rPr>
                <w:color w:val="000000"/>
                <w:szCs w:val="20"/>
                <w:shd w:val="solid" w:color="000000" w:fill="000000"/>
                <w14:textFill>
                  <w14:solidFill>
                    <w14:srgbClr w14:val="000000">
                      <w14:alpha w14:val="100000"/>
                    </w14:srgbClr>
                  </w14:solidFill>
                </w14:textFill>
              </w:rPr>
              <w:t>|</w:t>
            </w:r>
          </w:p>
        </w:tc>
        <w:tc>
          <w:tcPr>
            <w:tcW w:w="1853" w:type="dxa"/>
            <w:vAlign w:val="center"/>
          </w:tcPr>
          <w:p w14:paraId="2C7950E0" w14:textId="77777777" w:rsidR="00821CB9" w:rsidRPr="00F6387C" w:rsidRDefault="00821CB9" w:rsidP="00540CC4">
            <w:pPr>
              <w:pStyle w:val="Tabletext"/>
              <w:keepNext/>
              <w:keepLines/>
              <w:jc w:val="center"/>
            </w:pPr>
            <w:r w:rsidRPr="00F6387C">
              <w:rPr>
                <w:szCs w:val="20"/>
              </w:rPr>
              <w:t>$12,128.48</w:t>
            </w:r>
          </w:p>
        </w:tc>
      </w:tr>
      <w:tr w:rsidR="00205889" w:rsidRPr="00F6387C" w14:paraId="2D04AD21" w14:textId="77777777" w:rsidTr="00057F22">
        <w:trPr>
          <w:trHeight w:val="59"/>
        </w:trPr>
        <w:tc>
          <w:tcPr>
            <w:tcW w:w="5098" w:type="dxa"/>
            <w:noWrap/>
            <w:vAlign w:val="center"/>
          </w:tcPr>
          <w:p w14:paraId="070D4239" w14:textId="3D9E56AA" w:rsidR="00821CB9" w:rsidRPr="00F6387C" w:rsidRDefault="00821CB9" w:rsidP="00540CC4">
            <w:pPr>
              <w:pStyle w:val="Tabletext"/>
              <w:keepNext/>
              <w:keepLines/>
            </w:pPr>
            <w:r w:rsidRPr="00F6387C">
              <w:rPr>
                <w:szCs w:val="20"/>
              </w:rPr>
              <w:t>Weighted average cost of treatment Year 1</w:t>
            </w:r>
            <w:r w:rsidR="00EA4240">
              <w:rPr>
                <w:szCs w:val="20"/>
              </w:rPr>
              <w:t>($)</w:t>
            </w:r>
          </w:p>
        </w:tc>
        <w:tc>
          <w:tcPr>
            <w:tcW w:w="2127" w:type="dxa"/>
            <w:noWrap/>
            <w:vAlign w:val="center"/>
          </w:tcPr>
          <w:p w14:paraId="22B22621" w14:textId="22A40B54" w:rsidR="00821CB9" w:rsidRPr="00EA4240" w:rsidRDefault="00632E88" w:rsidP="00540CC4">
            <w:pPr>
              <w:pStyle w:val="Tabletext"/>
              <w:keepNext/>
              <w:keepLines/>
              <w:jc w:val="center"/>
              <w:rPr>
                <w:highlight w:val="darkGray"/>
              </w:rPr>
            </w:pPr>
            <w:r>
              <w:rPr>
                <w:szCs w:val="20"/>
              </w:rPr>
              <w:t xml:space="preserve"> </w:t>
            </w:r>
            <w:r w:rsidRPr="00632E88">
              <w:rPr>
                <w:color w:val="000000"/>
                <w:szCs w:val="20"/>
                <w:shd w:val="solid" w:color="000000" w:fill="000000"/>
                <w14:textFill>
                  <w14:solidFill>
                    <w14:srgbClr w14:val="000000">
                      <w14:alpha w14:val="100000"/>
                    </w14:srgbClr>
                  </w14:solidFill>
                </w14:textFill>
              </w:rPr>
              <w:t>|</w:t>
            </w:r>
          </w:p>
        </w:tc>
        <w:tc>
          <w:tcPr>
            <w:tcW w:w="1853" w:type="dxa"/>
            <w:vAlign w:val="center"/>
          </w:tcPr>
          <w:p w14:paraId="276D73EA" w14:textId="77777777" w:rsidR="00821CB9" w:rsidRPr="00F6387C" w:rsidRDefault="00821CB9" w:rsidP="00540CC4">
            <w:pPr>
              <w:pStyle w:val="Tabletext"/>
              <w:keepNext/>
              <w:keepLines/>
              <w:jc w:val="center"/>
            </w:pPr>
            <w:r w:rsidRPr="00F6387C">
              <w:rPr>
                <w:szCs w:val="20"/>
              </w:rPr>
              <w:t>$11,022</w:t>
            </w:r>
          </w:p>
        </w:tc>
      </w:tr>
      <w:tr w:rsidR="00205889" w:rsidRPr="00F6387C" w14:paraId="22C2CFB0" w14:textId="77777777" w:rsidTr="00057F22">
        <w:trPr>
          <w:trHeight w:val="59"/>
        </w:trPr>
        <w:tc>
          <w:tcPr>
            <w:tcW w:w="5098" w:type="dxa"/>
            <w:noWrap/>
            <w:vAlign w:val="center"/>
          </w:tcPr>
          <w:p w14:paraId="27728BA7" w14:textId="10E0C21B" w:rsidR="00821CB9" w:rsidRPr="00F6387C" w:rsidRDefault="00821CB9" w:rsidP="00540CC4">
            <w:pPr>
              <w:pStyle w:val="Tabletext"/>
              <w:keepNext/>
              <w:keepLines/>
            </w:pPr>
            <w:r w:rsidRPr="00F6387C">
              <w:rPr>
                <w:szCs w:val="20"/>
              </w:rPr>
              <w:t>Weighted average cost of treatment Year 2</w:t>
            </w:r>
            <w:r w:rsidR="00EA4240">
              <w:rPr>
                <w:szCs w:val="20"/>
              </w:rPr>
              <w:t>($)</w:t>
            </w:r>
          </w:p>
        </w:tc>
        <w:tc>
          <w:tcPr>
            <w:tcW w:w="2127" w:type="dxa"/>
            <w:noWrap/>
            <w:vAlign w:val="center"/>
          </w:tcPr>
          <w:p w14:paraId="70645623" w14:textId="2CFB898B" w:rsidR="00821CB9" w:rsidRPr="00EA4240" w:rsidRDefault="00632E88" w:rsidP="00540CC4">
            <w:pPr>
              <w:pStyle w:val="Tabletext"/>
              <w:keepNext/>
              <w:keepLines/>
              <w:jc w:val="center"/>
              <w:rPr>
                <w:highlight w:val="darkGray"/>
              </w:rPr>
            </w:pPr>
            <w:r>
              <w:rPr>
                <w:szCs w:val="20"/>
              </w:rPr>
              <w:t xml:space="preserve"> </w:t>
            </w:r>
            <w:r w:rsidRPr="00632E88">
              <w:rPr>
                <w:color w:val="000000"/>
                <w:szCs w:val="20"/>
                <w:shd w:val="solid" w:color="000000" w:fill="000000"/>
                <w14:textFill>
                  <w14:solidFill>
                    <w14:srgbClr w14:val="000000">
                      <w14:alpha w14:val="100000"/>
                    </w14:srgbClr>
                  </w14:solidFill>
                </w14:textFill>
              </w:rPr>
              <w:t>|</w:t>
            </w:r>
          </w:p>
        </w:tc>
        <w:tc>
          <w:tcPr>
            <w:tcW w:w="1853" w:type="dxa"/>
            <w:vAlign w:val="center"/>
          </w:tcPr>
          <w:p w14:paraId="54498010" w14:textId="77777777" w:rsidR="00821CB9" w:rsidRPr="00F6387C" w:rsidRDefault="00821CB9" w:rsidP="00540CC4">
            <w:pPr>
              <w:pStyle w:val="Tabletext"/>
              <w:keepNext/>
              <w:keepLines/>
              <w:jc w:val="center"/>
            </w:pPr>
            <w:r w:rsidRPr="00F6387C">
              <w:rPr>
                <w:szCs w:val="20"/>
              </w:rPr>
              <w:t>$10,870</w:t>
            </w:r>
          </w:p>
        </w:tc>
      </w:tr>
      <w:tr w:rsidR="00205889" w:rsidRPr="00F6387C" w14:paraId="57430000" w14:textId="77777777" w:rsidTr="00057F22">
        <w:trPr>
          <w:trHeight w:val="59"/>
        </w:trPr>
        <w:tc>
          <w:tcPr>
            <w:tcW w:w="5098" w:type="dxa"/>
            <w:noWrap/>
            <w:vAlign w:val="center"/>
          </w:tcPr>
          <w:p w14:paraId="26A65FAA" w14:textId="34196156" w:rsidR="00821CB9" w:rsidRPr="00F6387C" w:rsidRDefault="00821CB9" w:rsidP="00540CC4">
            <w:pPr>
              <w:pStyle w:val="Tabletext"/>
              <w:keepNext/>
              <w:keepLines/>
            </w:pPr>
            <w:r w:rsidRPr="00F6387C">
              <w:rPr>
                <w:szCs w:val="20"/>
              </w:rPr>
              <w:t>Weighted average cost of treatment Year 3</w:t>
            </w:r>
            <w:r w:rsidR="00EA4240">
              <w:rPr>
                <w:szCs w:val="20"/>
              </w:rPr>
              <w:t>($)</w:t>
            </w:r>
          </w:p>
        </w:tc>
        <w:tc>
          <w:tcPr>
            <w:tcW w:w="2127" w:type="dxa"/>
            <w:noWrap/>
            <w:vAlign w:val="center"/>
          </w:tcPr>
          <w:p w14:paraId="57B0D699" w14:textId="5515076E" w:rsidR="00821CB9" w:rsidRPr="00EA4240" w:rsidRDefault="00632E88" w:rsidP="00540CC4">
            <w:pPr>
              <w:pStyle w:val="Tabletext"/>
              <w:keepNext/>
              <w:keepLines/>
              <w:jc w:val="center"/>
              <w:rPr>
                <w:highlight w:val="darkGray"/>
              </w:rPr>
            </w:pPr>
            <w:r>
              <w:rPr>
                <w:szCs w:val="20"/>
              </w:rPr>
              <w:t xml:space="preserve"> </w:t>
            </w:r>
            <w:r w:rsidRPr="00632E88">
              <w:rPr>
                <w:color w:val="000000"/>
                <w:szCs w:val="20"/>
                <w:shd w:val="solid" w:color="000000" w:fill="000000"/>
                <w14:textFill>
                  <w14:solidFill>
                    <w14:srgbClr w14:val="000000">
                      <w14:alpha w14:val="100000"/>
                    </w14:srgbClr>
                  </w14:solidFill>
                </w14:textFill>
              </w:rPr>
              <w:t>|</w:t>
            </w:r>
          </w:p>
        </w:tc>
        <w:tc>
          <w:tcPr>
            <w:tcW w:w="1853" w:type="dxa"/>
            <w:vAlign w:val="center"/>
          </w:tcPr>
          <w:p w14:paraId="36257D41" w14:textId="77777777" w:rsidR="00821CB9" w:rsidRPr="00F6387C" w:rsidRDefault="00821CB9" w:rsidP="00540CC4">
            <w:pPr>
              <w:pStyle w:val="Tabletext"/>
              <w:keepNext/>
              <w:keepLines/>
              <w:jc w:val="center"/>
            </w:pPr>
            <w:r w:rsidRPr="00F6387C">
              <w:rPr>
                <w:szCs w:val="20"/>
              </w:rPr>
              <w:t>$10,839</w:t>
            </w:r>
          </w:p>
        </w:tc>
      </w:tr>
      <w:tr w:rsidR="00205889" w:rsidRPr="00F6387C" w14:paraId="53F14D30" w14:textId="77777777" w:rsidTr="00057F22">
        <w:trPr>
          <w:trHeight w:val="59"/>
        </w:trPr>
        <w:tc>
          <w:tcPr>
            <w:tcW w:w="5098" w:type="dxa"/>
            <w:noWrap/>
            <w:vAlign w:val="center"/>
          </w:tcPr>
          <w:p w14:paraId="4063F497" w14:textId="638337D8" w:rsidR="00821CB9" w:rsidRPr="00F6387C" w:rsidRDefault="00821CB9" w:rsidP="00540CC4">
            <w:pPr>
              <w:pStyle w:val="Tabletext"/>
              <w:keepNext/>
              <w:keepLines/>
            </w:pPr>
            <w:r w:rsidRPr="00F6387C">
              <w:rPr>
                <w:szCs w:val="20"/>
              </w:rPr>
              <w:t>Weighted average cost of treatment Year 4</w:t>
            </w:r>
            <w:r w:rsidR="00EA4240">
              <w:rPr>
                <w:szCs w:val="20"/>
              </w:rPr>
              <w:t>($)</w:t>
            </w:r>
          </w:p>
        </w:tc>
        <w:tc>
          <w:tcPr>
            <w:tcW w:w="2127" w:type="dxa"/>
            <w:noWrap/>
            <w:vAlign w:val="center"/>
          </w:tcPr>
          <w:p w14:paraId="55AB109B" w14:textId="2FA480E9" w:rsidR="00821CB9" w:rsidRPr="00EA4240" w:rsidRDefault="00632E88" w:rsidP="00540CC4">
            <w:pPr>
              <w:pStyle w:val="Tabletext"/>
              <w:keepNext/>
              <w:keepLines/>
              <w:jc w:val="center"/>
              <w:rPr>
                <w:highlight w:val="darkGray"/>
              </w:rPr>
            </w:pPr>
            <w:r>
              <w:rPr>
                <w:szCs w:val="20"/>
              </w:rPr>
              <w:t xml:space="preserve"> </w:t>
            </w:r>
            <w:r w:rsidRPr="00632E88">
              <w:rPr>
                <w:color w:val="000000"/>
                <w:szCs w:val="20"/>
                <w:shd w:val="solid" w:color="000000" w:fill="000000"/>
                <w14:textFill>
                  <w14:solidFill>
                    <w14:srgbClr w14:val="000000">
                      <w14:alpha w14:val="100000"/>
                    </w14:srgbClr>
                  </w14:solidFill>
                </w14:textFill>
              </w:rPr>
              <w:t>|</w:t>
            </w:r>
          </w:p>
        </w:tc>
        <w:tc>
          <w:tcPr>
            <w:tcW w:w="1853" w:type="dxa"/>
            <w:vAlign w:val="center"/>
          </w:tcPr>
          <w:p w14:paraId="1EA8FCA7" w14:textId="77777777" w:rsidR="00821CB9" w:rsidRPr="00F6387C" w:rsidRDefault="00821CB9" w:rsidP="00540CC4">
            <w:pPr>
              <w:pStyle w:val="Tabletext"/>
              <w:keepNext/>
              <w:keepLines/>
              <w:jc w:val="center"/>
            </w:pPr>
            <w:r w:rsidRPr="00F6387C">
              <w:rPr>
                <w:szCs w:val="20"/>
              </w:rPr>
              <w:t>$10,826</w:t>
            </w:r>
          </w:p>
        </w:tc>
      </w:tr>
      <w:tr w:rsidR="00205889" w:rsidRPr="00F6387C" w14:paraId="79B96A88" w14:textId="77777777" w:rsidTr="00057F22">
        <w:trPr>
          <w:trHeight w:val="59"/>
        </w:trPr>
        <w:tc>
          <w:tcPr>
            <w:tcW w:w="5098" w:type="dxa"/>
            <w:noWrap/>
            <w:vAlign w:val="center"/>
          </w:tcPr>
          <w:p w14:paraId="6B2AFEF4" w14:textId="0FA89C26" w:rsidR="00821CB9" w:rsidRPr="00F6387C" w:rsidRDefault="00821CB9" w:rsidP="00540CC4">
            <w:pPr>
              <w:pStyle w:val="Tabletext"/>
              <w:keepNext/>
              <w:keepLines/>
            </w:pPr>
            <w:r w:rsidRPr="00F6387C">
              <w:rPr>
                <w:szCs w:val="20"/>
              </w:rPr>
              <w:t xml:space="preserve">Total cost of treatment with switch for 4 years (effective AEMP) </w:t>
            </w:r>
            <w:r w:rsidR="00613731">
              <w:rPr>
                <w:szCs w:val="20"/>
              </w:rPr>
              <w:t>($)</w:t>
            </w:r>
          </w:p>
        </w:tc>
        <w:tc>
          <w:tcPr>
            <w:tcW w:w="2127" w:type="dxa"/>
            <w:noWrap/>
            <w:vAlign w:val="center"/>
          </w:tcPr>
          <w:p w14:paraId="6B83D2A5" w14:textId="6C2B4A6A" w:rsidR="00821CB9" w:rsidRPr="00EA4240" w:rsidRDefault="00632E88" w:rsidP="00540CC4">
            <w:pPr>
              <w:pStyle w:val="Tabletext"/>
              <w:keepNext/>
              <w:keepLines/>
              <w:jc w:val="center"/>
              <w:rPr>
                <w:highlight w:val="darkGray"/>
              </w:rPr>
            </w:pPr>
            <w:r>
              <w:rPr>
                <w:szCs w:val="20"/>
              </w:rPr>
              <w:t xml:space="preserve"> </w:t>
            </w:r>
            <w:r w:rsidRPr="00632E88">
              <w:rPr>
                <w:color w:val="000000"/>
                <w:szCs w:val="20"/>
                <w:shd w:val="solid" w:color="000000" w:fill="000000"/>
                <w14:textFill>
                  <w14:solidFill>
                    <w14:srgbClr w14:val="000000">
                      <w14:alpha w14:val="100000"/>
                    </w14:srgbClr>
                  </w14:solidFill>
                </w14:textFill>
              </w:rPr>
              <w:t>|</w:t>
            </w:r>
          </w:p>
        </w:tc>
        <w:tc>
          <w:tcPr>
            <w:tcW w:w="1853" w:type="dxa"/>
            <w:vAlign w:val="center"/>
          </w:tcPr>
          <w:p w14:paraId="3B34F575" w14:textId="77777777" w:rsidR="00821CB9" w:rsidRPr="00F6387C" w:rsidRDefault="00821CB9" w:rsidP="00540CC4">
            <w:pPr>
              <w:pStyle w:val="Tabletext"/>
              <w:keepNext/>
              <w:keepLines/>
              <w:jc w:val="center"/>
            </w:pPr>
            <w:r w:rsidRPr="00F6387C">
              <w:rPr>
                <w:szCs w:val="20"/>
              </w:rPr>
              <w:t>$43,557.40</w:t>
            </w:r>
          </w:p>
        </w:tc>
      </w:tr>
      <w:tr w:rsidR="00205889" w:rsidRPr="00F6387C" w14:paraId="478468E5" w14:textId="77777777" w:rsidTr="00057F22">
        <w:trPr>
          <w:trHeight w:val="71"/>
        </w:trPr>
        <w:tc>
          <w:tcPr>
            <w:tcW w:w="5098" w:type="dxa"/>
            <w:noWrap/>
            <w:vAlign w:val="center"/>
          </w:tcPr>
          <w:p w14:paraId="5938EC39" w14:textId="3A6C7D77" w:rsidR="00821CB9" w:rsidRPr="00F6387C" w:rsidRDefault="00821CB9" w:rsidP="00540CC4">
            <w:pPr>
              <w:pStyle w:val="Tabletext"/>
              <w:keepNext/>
              <w:keepLines/>
            </w:pPr>
            <w:r w:rsidRPr="00F6387C">
              <w:rPr>
                <w:b/>
                <w:bCs/>
                <w:szCs w:val="20"/>
              </w:rPr>
              <w:t>Equi-effective EMP (cladribine cost-minimised against fingolimod treatment cost over four years)</w:t>
            </w:r>
            <w:r w:rsidR="00613731">
              <w:rPr>
                <w:szCs w:val="20"/>
              </w:rPr>
              <w:t xml:space="preserve"> ($)</w:t>
            </w:r>
          </w:p>
        </w:tc>
        <w:tc>
          <w:tcPr>
            <w:tcW w:w="2127" w:type="dxa"/>
            <w:noWrap/>
            <w:vAlign w:val="center"/>
          </w:tcPr>
          <w:p w14:paraId="77CB3A9E" w14:textId="73706E87" w:rsidR="00821CB9" w:rsidRPr="00EA4240" w:rsidRDefault="00632E88" w:rsidP="00540CC4">
            <w:pPr>
              <w:pStyle w:val="Tabletext"/>
              <w:keepNext/>
              <w:keepLines/>
              <w:jc w:val="center"/>
              <w:rPr>
                <w:highlight w:val="darkGray"/>
              </w:rPr>
            </w:pPr>
            <w:r>
              <w:rPr>
                <w:b/>
                <w:bCs/>
                <w:szCs w:val="20"/>
              </w:rPr>
              <w:t xml:space="preserve"> </w:t>
            </w:r>
            <w:r w:rsidRPr="00632E88">
              <w:rPr>
                <w:b/>
                <w:bCs/>
                <w:color w:val="000000"/>
                <w:szCs w:val="20"/>
                <w:shd w:val="solid" w:color="000000" w:fill="000000"/>
                <w14:textFill>
                  <w14:solidFill>
                    <w14:srgbClr w14:val="000000">
                      <w14:alpha w14:val="100000"/>
                    </w14:srgbClr>
                  </w14:solidFill>
                </w14:textFill>
              </w:rPr>
              <w:t>|</w:t>
            </w:r>
          </w:p>
        </w:tc>
        <w:tc>
          <w:tcPr>
            <w:tcW w:w="1853" w:type="dxa"/>
            <w:vAlign w:val="center"/>
          </w:tcPr>
          <w:p w14:paraId="4A94BF87" w14:textId="77777777" w:rsidR="00821CB9" w:rsidRPr="00F6387C" w:rsidRDefault="00821CB9" w:rsidP="00540CC4">
            <w:pPr>
              <w:pStyle w:val="Tabletext"/>
              <w:keepNext/>
              <w:keepLines/>
              <w:jc w:val="center"/>
            </w:pPr>
            <w:r w:rsidRPr="00F6387C">
              <w:rPr>
                <w:szCs w:val="20"/>
              </w:rPr>
              <w:t>$951.05</w:t>
            </w:r>
          </w:p>
        </w:tc>
      </w:tr>
    </w:tbl>
    <w:p w14:paraId="2A73CA71" w14:textId="1C8E28C7" w:rsidR="000C1DB0" w:rsidRPr="00F6387C" w:rsidRDefault="00821CB9" w:rsidP="00F33D5E">
      <w:pPr>
        <w:pStyle w:val="FooterTableFigure"/>
        <w:tabs>
          <w:tab w:val="left" w:pos="2490"/>
        </w:tabs>
      </w:pPr>
      <w:r w:rsidRPr="00F6387C">
        <w:t xml:space="preserve">EMP = </w:t>
      </w:r>
      <w:r w:rsidR="00F13CBE">
        <w:t>E</w:t>
      </w:r>
      <w:r w:rsidRPr="00F6387C">
        <w:t>x-manufacturer price</w:t>
      </w:r>
    </w:p>
    <w:p w14:paraId="7DF3CD2F" w14:textId="7F8C2AF9" w:rsidR="00821CB9" w:rsidRPr="00F6387C" w:rsidRDefault="00821CB9" w:rsidP="00821CB9">
      <w:pPr>
        <w:pStyle w:val="FooterTableFigure"/>
      </w:pPr>
      <w:r w:rsidRPr="00F6387C">
        <w:t>Source: Table</w:t>
      </w:r>
      <w:r w:rsidR="0049155A" w:rsidRPr="00F6387C">
        <w:t xml:space="preserve"> </w:t>
      </w:r>
      <w:r w:rsidRPr="00F6387C">
        <w:t>39, p</w:t>
      </w:r>
      <w:r w:rsidR="0049155A" w:rsidRPr="00F6387C">
        <w:t xml:space="preserve"> </w:t>
      </w:r>
      <w:r w:rsidRPr="00F6387C">
        <w:t xml:space="preserve">72 of the resubmission and </w:t>
      </w:r>
      <w:proofErr w:type="spellStart"/>
      <w:r w:rsidRPr="00F6387C">
        <w:t>Mavenclad</w:t>
      </w:r>
      <w:proofErr w:type="spellEnd"/>
      <w:r w:rsidRPr="00F6387C">
        <w:t xml:space="preserve"> Cost Min Analysis PBAC Nov 2023 (revised 20230802).xlsm</w:t>
      </w:r>
    </w:p>
    <w:p w14:paraId="42048751" w14:textId="1F0D0A0D" w:rsidR="00821CB9" w:rsidRPr="00F6387C" w:rsidRDefault="00821CB9" w:rsidP="00821CB9">
      <w:pPr>
        <w:pStyle w:val="3-BodyText"/>
      </w:pPr>
      <w:r w:rsidRPr="00F6387C">
        <w:t xml:space="preserve">The proposed effective EMP per pack of cladribine tablets based on the calculated price of one cladribine tablet from the updated CMA is shown in </w:t>
      </w:r>
      <w:r w:rsidRPr="00F6387C">
        <w:fldChar w:fldCharType="begin" w:fldLock="1"/>
      </w:r>
      <w:r w:rsidRPr="00F6387C">
        <w:instrText xml:space="preserve"> REF _Ref142828293 \h </w:instrText>
      </w:r>
      <w:r w:rsidRPr="00F6387C">
        <w:fldChar w:fldCharType="separate"/>
      </w:r>
      <w:r w:rsidR="000D404D" w:rsidRPr="00F6387C">
        <w:t>Table 14</w:t>
      </w:r>
      <w:r w:rsidRPr="00F6387C">
        <w:fldChar w:fldCharType="end"/>
      </w:r>
      <w:r w:rsidRPr="00F6387C">
        <w:t>.</w:t>
      </w:r>
    </w:p>
    <w:p w14:paraId="282DFF73" w14:textId="0ADB687D" w:rsidR="00821CB9" w:rsidRPr="00F6387C" w:rsidRDefault="00821CB9" w:rsidP="00904884">
      <w:pPr>
        <w:pStyle w:val="Caption"/>
      </w:pPr>
      <w:bookmarkStart w:id="65" w:name="_Ref142828293"/>
      <w:r w:rsidRPr="00F6387C">
        <w:t xml:space="preserve">Table </w:t>
      </w:r>
      <w:fldSimple w:instr=" SEQ Table \* ARABIC " w:fldLock="1">
        <w:r w:rsidR="000D404D" w:rsidRPr="00F6387C">
          <w:t>14</w:t>
        </w:r>
      </w:fldSimple>
      <w:bookmarkEnd w:id="65"/>
      <w:r w:rsidRPr="00F6387C">
        <w:t>: Cladribine tablets effective EMP pricing details</w:t>
      </w:r>
    </w:p>
    <w:tbl>
      <w:tblPr>
        <w:tblStyle w:val="TableGrid1"/>
        <w:tblW w:w="4921" w:type="pct"/>
        <w:tblLayout w:type="fixed"/>
        <w:tblLook w:val="04A0" w:firstRow="1" w:lastRow="0" w:firstColumn="1" w:lastColumn="0" w:noHBand="0" w:noVBand="1"/>
        <w:tblCaption w:val="Table 14: Cladribine tablets effective EMP pricing details"/>
        <w:tblDescription w:val="Table 14: Cladribine tablets effective EMP pricing details"/>
      </w:tblPr>
      <w:tblGrid>
        <w:gridCol w:w="1652"/>
        <w:gridCol w:w="1864"/>
        <w:gridCol w:w="1746"/>
        <w:gridCol w:w="1809"/>
        <w:gridCol w:w="1803"/>
      </w:tblGrid>
      <w:tr w:rsidR="00821CB9" w:rsidRPr="00F6387C" w14:paraId="6FEA8B0B" w14:textId="77777777" w:rsidTr="00904884">
        <w:trPr>
          <w:trHeight w:val="365"/>
        </w:trPr>
        <w:tc>
          <w:tcPr>
            <w:tcW w:w="931" w:type="pct"/>
            <w:shd w:val="clear" w:color="auto" w:fill="auto"/>
            <w:vAlign w:val="center"/>
          </w:tcPr>
          <w:p w14:paraId="07ADA271" w14:textId="1F0EB817" w:rsidR="00821CB9" w:rsidRPr="00F6387C" w:rsidRDefault="00165A50" w:rsidP="00904884">
            <w:pPr>
              <w:pStyle w:val="In-tableHeading"/>
              <w:rPr>
                <w:sz w:val="20"/>
                <w:szCs w:val="22"/>
                <w:lang w:val="en-AU"/>
              </w:rPr>
            </w:pPr>
            <w:r w:rsidRPr="00F6387C">
              <w:rPr>
                <w:sz w:val="20"/>
                <w:szCs w:val="22"/>
                <w:lang w:val="en-AU"/>
              </w:rPr>
              <w:t xml:space="preserve">Drug </w:t>
            </w:r>
            <w:r w:rsidR="00821CB9" w:rsidRPr="00F6387C">
              <w:rPr>
                <w:sz w:val="20"/>
                <w:szCs w:val="22"/>
                <w:lang w:val="en-AU"/>
              </w:rPr>
              <w:t>name</w:t>
            </w:r>
          </w:p>
        </w:tc>
        <w:tc>
          <w:tcPr>
            <w:tcW w:w="1050" w:type="pct"/>
            <w:shd w:val="clear" w:color="auto" w:fill="auto"/>
            <w:vAlign w:val="center"/>
          </w:tcPr>
          <w:p w14:paraId="2B3D7D5A" w14:textId="77777777" w:rsidR="00821CB9" w:rsidRPr="00F6387C" w:rsidRDefault="00821CB9" w:rsidP="00904884">
            <w:pPr>
              <w:pStyle w:val="In-tableHeading"/>
              <w:jc w:val="center"/>
              <w:rPr>
                <w:sz w:val="20"/>
                <w:szCs w:val="22"/>
                <w:lang w:val="en-AU"/>
              </w:rPr>
            </w:pPr>
            <w:r w:rsidRPr="00F6387C">
              <w:rPr>
                <w:sz w:val="20"/>
                <w:szCs w:val="22"/>
                <w:lang w:val="en-AU"/>
              </w:rPr>
              <w:t>Comparator</w:t>
            </w:r>
          </w:p>
        </w:tc>
        <w:tc>
          <w:tcPr>
            <w:tcW w:w="984" w:type="pct"/>
            <w:shd w:val="clear" w:color="auto" w:fill="auto"/>
            <w:vAlign w:val="center"/>
          </w:tcPr>
          <w:p w14:paraId="70FEB74A" w14:textId="77777777" w:rsidR="00821CB9" w:rsidRPr="00F6387C" w:rsidRDefault="00821CB9" w:rsidP="00904884">
            <w:pPr>
              <w:pStyle w:val="In-tableHeading"/>
              <w:jc w:val="center"/>
              <w:rPr>
                <w:sz w:val="20"/>
                <w:szCs w:val="22"/>
                <w:lang w:val="en-AU"/>
              </w:rPr>
            </w:pPr>
            <w:r w:rsidRPr="00F6387C">
              <w:rPr>
                <w:sz w:val="20"/>
                <w:szCs w:val="22"/>
                <w:lang w:val="en-AU"/>
              </w:rPr>
              <w:t>Pack quantity</w:t>
            </w:r>
          </w:p>
        </w:tc>
        <w:tc>
          <w:tcPr>
            <w:tcW w:w="1019" w:type="pct"/>
            <w:shd w:val="clear" w:color="auto" w:fill="auto"/>
            <w:vAlign w:val="center"/>
          </w:tcPr>
          <w:p w14:paraId="76CA8AAA" w14:textId="77777777" w:rsidR="00821CB9" w:rsidRPr="00F6387C" w:rsidRDefault="00821CB9" w:rsidP="00904884">
            <w:pPr>
              <w:pStyle w:val="In-tableHeading"/>
              <w:jc w:val="center"/>
              <w:rPr>
                <w:sz w:val="20"/>
                <w:szCs w:val="22"/>
                <w:lang w:val="en-AU"/>
              </w:rPr>
            </w:pPr>
            <w:r w:rsidRPr="00F6387C">
              <w:rPr>
                <w:sz w:val="20"/>
                <w:szCs w:val="22"/>
                <w:lang w:val="en-AU"/>
              </w:rPr>
              <w:t>Maximum quantity (packs)</w:t>
            </w:r>
          </w:p>
        </w:tc>
        <w:tc>
          <w:tcPr>
            <w:tcW w:w="1016" w:type="pct"/>
            <w:shd w:val="clear" w:color="auto" w:fill="auto"/>
            <w:vAlign w:val="center"/>
          </w:tcPr>
          <w:p w14:paraId="53369477" w14:textId="77777777" w:rsidR="00821CB9" w:rsidRPr="00F6387C" w:rsidRDefault="00821CB9" w:rsidP="00904884">
            <w:pPr>
              <w:pStyle w:val="In-tableHeading"/>
              <w:jc w:val="center"/>
              <w:rPr>
                <w:sz w:val="20"/>
                <w:szCs w:val="22"/>
                <w:lang w:val="en-AU"/>
              </w:rPr>
            </w:pPr>
            <w:r w:rsidRPr="00F6387C">
              <w:rPr>
                <w:sz w:val="20"/>
                <w:szCs w:val="22"/>
                <w:lang w:val="en-AU"/>
              </w:rPr>
              <w:t>Proposed Effective AEMP</w:t>
            </w:r>
          </w:p>
        </w:tc>
      </w:tr>
      <w:tr w:rsidR="00821CB9" w:rsidRPr="00F6387C" w14:paraId="1EC5A50A" w14:textId="77777777" w:rsidTr="00540CC4">
        <w:trPr>
          <w:trHeight w:val="226"/>
        </w:trPr>
        <w:tc>
          <w:tcPr>
            <w:tcW w:w="931" w:type="pct"/>
            <w:shd w:val="clear" w:color="auto" w:fill="auto"/>
            <w:vAlign w:val="center"/>
          </w:tcPr>
          <w:p w14:paraId="13E521D4" w14:textId="230128A2" w:rsidR="00821CB9" w:rsidRPr="00F6387C" w:rsidRDefault="003761DD" w:rsidP="00904884">
            <w:pPr>
              <w:pStyle w:val="Tabletext"/>
              <w:keepNext/>
            </w:pPr>
            <w:r w:rsidRPr="00F6387C">
              <w:t>C</w:t>
            </w:r>
            <w:r w:rsidR="00165A50" w:rsidRPr="00F6387C">
              <w:t>ladribine</w:t>
            </w:r>
          </w:p>
        </w:tc>
        <w:tc>
          <w:tcPr>
            <w:tcW w:w="1050" w:type="pct"/>
            <w:shd w:val="clear" w:color="auto" w:fill="auto"/>
            <w:vAlign w:val="center"/>
          </w:tcPr>
          <w:p w14:paraId="584F8D2B" w14:textId="77777777" w:rsidR="00821CB9" w:rsidRPr="00F6387C" w:rsidRDefault="00821CB9" w:rsidP="00904884">
            <w:pPr>
              <w:pStyle w:val="Tabletext"/>
              <w:keepNext/>
              <w:jc w:val="center"/>
            </w:pPr>
            <w:r w:rsidRPr="00F6387C">
              <w:t>fingolimod</w:t>
            </w:r>
          </w:p>
        </w:tc>
        <w:tc>
          <w:tcPr>
            <w:tcW w:w="984" w:type="pct"/>
            <w:shd w:val="clear" w:color="auto" w:fill="auto"/>
            <w:vAlign w:val="center"/>
          </w:tcPr>
          <w:p w14:paraId="7EE78B93" w14:textId="77777777" w:rsidR="00821CB9" w:rsidRPr="00F6387C" w:rsidRDefault="00821CB9" w:rsidP="00904884">
            <w:pPr>
              <w:pStyle w:val="Tabletext"/>
              <w:keepNext/>
              <w:jc w:val="center"/>
            </w:pPr>
            <w:r w:rsidRPr="00F6387C">
              <w:t>1</w:t>
            </w:r>
          </w:p>
        </w:tc>
        <w:tc>
          <w:tcPr>
            <w:tcW w:w="1019" w:type="pct"/>
            <w:shd w:val="clear" w:color="auto" w:fill="auto"/>
            <w:vAlign w:val="center"/>
          </w:tcPr>
          <w:p w14:paraId="13E28842" w14:textId="77777777" w:rsidR="00821CB9" w:rsidRPr="00F6387C" w:rsidRDefault="00821CB9" w:rsidP="00904884">
            <w:pPr>
              <w:pStyle w:val="Tabletext"/>
              <w:keepNext/>
              <w:jc w:val="center"/>
            </w:pPr>
            <w:r w:rsidRPr="00F6387C">
              <w:t>1</w:t>
            </w:r>
          </w:p>
        </w:tc>
        <w:tc>
          <w:tcPr>
            <w:tcW w:w="1016" w:type="pct"/>
            <w:shd w:val="clear" w:color="auto" w:fill="auto"/>
            <w:vAlign w:val="center"/>
          </w:tcPr>
          <w:p w14:paraId="7491F735" w14:textId="555B2073" w:rsidR="00821CB9" w:rsidRPr="00F6387C" w:rsidRDefault="00E56670" w:rsidP="00904884">
            <w:pPr>
              <w:pStyle w:val="Tabletext"/>
              <w:keepNext/>
              <w:jc w:val="center"/>
            </w:pPr>
            <w:r>
              <w:t>$</w:t>
            </w:r>
            <w:r w:rsidR="00632E88" w:rsidRPr="00632E88">
              <w:rPr>
                <w:color w:val="000000"/>
                <w:shd w:val="solid" w:color="000000" w:fill="000000"/>
                <w14:textFill>
                  <w14:solidFill>
                    <w14:srgbClr w14:val="000000">
                      <w14:alpha w14:val="100000"/>
                    </w14:srgbClr>
                  </w14:solidFill>
                </w14:textFill>
              </w:rPr>
              <w:t>|</w:t>
            </w:r>
          </w:p>
        </w:tc>
      </w:tr>
      <w:tr w:rsidR="00165A50" w:rsidRPr="00F6387C" w14:paraId="0502A075" w14:textId="77777777" w:rsidTr="0007227A">
        <w:trPr>
          <w:trHeight w:val="171"/>
        </w:trPr>
        <w:tc>
          <w:tcPr>
            <w:tcW w:w="931" w:type="pct"/>
            <w:shd w:val="clear" w:color="auto" w:fill="auto"/>
          </w:tcPr>
          <w:p w14:paraId="1F5942FB" w14:textId="67610736" w:rsidR="00165A50" w:rsidRPr="00F6387C" w:rsidRDefault="003761DD" w:rsidP="00904884">
            <w:pPr>
              <w:pStyle w:val="Tabletext"/>
              <w:keepNext/>
            </w:pPr>
            <w:r w:rsidRPr="00F6387C">
              <w:t>C</w:t>
            </w:r>
            <w:r w:rsidR="00165A50" w:rsidRPr="00F6387C">
              <w:t>ladribine</w:t>
            </w:r>
          </w:p>
        </w:tc>
        <w:tc>
          <w:tcPr>
            <w:tcW w:w="1050" w:type="pct"/>
            <w:shd w:val="clear" w:color="auto" w:fill="auto"/>
            <w:vAlign w:val="center"/>
          </w:tcPr>
          <w:p w14:paraId="3E6B6290" w14:textId="77777777" w:rsidR="00165A50" w:rsidRPr="00F6387C" w:rsidRDefault="00165A50" w:rsidP="00904884">
            <w:pPr>
              <w:pStyle w:val="Tabletext"/>
              <w:keepNext/>
              <w:jc w:val="center"/>
            </w:pPr>
            <w:r w:rsidRPr="00F6387C">
              <w:t>fingolimod</w:t>
            </w:r>
          </w:p>
        </w:tc>
        <w:tc>
          <w:tcPr>
            <w:tcW w:w="984" w:type="pct"/>
            <w:shd w:val="clear" w:color="auto" w:fill="auto"/>
            <w:vAlign w:val="center"/>
          </w:tcPr>
          <w:p w14:paraId="38B0FDD0" w14:textId="77777777" w:rsidR="00165A50" w:rsidRPr="00F6387C" w:rsidRDefault="00165A50" w:rsidP="00904884">
            <w:pPr>
              <w:pStyle w:val="Tabletext"/>
              <w:keepNext/>
              <w:jc w:val="center"/>
            </w:pPr>
            <w:r w:rsidRPr="00F6387C">
              <w:t>4</w:t>
            </w:r>
          </w:p>
        </w:tc>
        <w:tc>
          <w:tcPr>
            <w:tcW w:w="1019" w:type="pct"/>
            <w:shd w:val="clear" w:color="auto" w:fill="auto"/>
            <w:vAlign w:val="center"/>
          </w:tcPr>
          <w:p w14:paraId="7905E3AF" w14:textId="77777777" w:rsidR="00165A50" w:rsidRPr="00F6387C" w:rsidRDefault="00165A50" w:rsidP="00904884">
            <w:pPr>
              <w:pStyle w:val="Tabletext"/>
              <w:keepNext/>
              <w:jc w:val="center"/>
            </w:pPr>
            <w:r w:rsidRPr="00F6387C">
              <w:t>2</w:t>
            </w:r>
          </w:p>
        </w:tc>
        <w:tc>
          <w:tcPr>
            <w:tcW w:w="1016" w:type="pct"/>
            <w:shd w:val="clear" w:color="auto" w:fill="auto"/>
            <w:vAlign w:val="center"/>
          </w:tcPr>
          <w:p w14:paraId="71FCA995" w14:textId="1AD757FB" w:rsidR="00165A50" w:rsidRPr="00F6387C" w:rsidRDefault="00E56670" w:rsidP="00904884">
            <w:pPr>
              <w:pStyle w:val="Tabletext"/>
              <w:keepNext/>
              <w:jc w:val="center"/>
            </w:pPr>
            <w:r>
              <w:t>$</w:t>
            </w:r>
            <w:r w:rsidR="00632E88" w:rsidRPr="00632E88">
              <w:rPr>
                <w:color w:val="000000"/>
                <w:shd w:val="solid" w:color="000000" w:fill="000000"/>
                <w14:textFill>
                  <w14:solidFill>
                    <w14:srgbClr w14:val="000000">
                      <w14:alpha w14:val="100000"/>
                    </w14:srgbClr>
                  </w14:solidFill>
                </w14:textFill>
              </w:rPr>
              <w:t>|</w:t>
            </w:r>
          </w:p>
        </w:tc>
      </w:tr>
      <w:tr w:rsidR="00165A50" w:rsidRPr="00F6387C" w14:paraId="0E52412D" w14:textId="77777777" w:rsidTr="00904884">
        <w:trPr>
          <w:trHeight w:val="125"/>
        </w:trPr>
        <w:tc>
          <w:tcPr>
            <w:tcW w:w="931" w:type="pct"/>
            <w:shd w:val="clear" w:color="auto" w:fill="auto"/>
          </w:tcPr>
          <w:p w14:paraId="50D26E90" w14:textId="2E5B1527" w:rsidR="00165A50" w:rsidRPr="00F6387C" w:rsidRDefault="003761DD" w:rsidP="00904884">
            <w:pPr>
              <w:pStyle w:val="Tabletext"/>
              <w:keepNext/>
            </w:pPr>
            <w:r w:rsidRPr="00F6387C">
              <w:t>C</w:t>
            </w:r>
            <w:r w:rsidR="00165A50" w:rsidRPr="00F6387C">
              <w:t>ladribine</w:t>
            </w:r>
          </w:p>
        </w:tc>
        <w:tc>
          <w:tcPr>
            <w:tcW w:w="1050" w:type="pct"/>
            <w:shd w:val="clear" w:color="auto" w:fill="auto"/>
            <w:vAlign w:val="center"/>
          </w:tcPr>
          <w:p w14:paraId="33E85DC9" w14:textId="77777777" w:rsidR="00165A50" w:rsidRPr="00F6387C" w:rsidRDefault="00165A50" w:rsidP="00904884">
            <w:pPr>
              <w:pStyle w:val="Tabletext"/>
              <w:keepNext/>
              <w:jc w:val="center"/>
            </w:pPr>
            <w:r w:rsidRPr="00F6387C">
              <w:t>fingolimod</w:t>
            </w:r>
          </w:p>
        </w:tc>
        <w:tc>
          <w:tcPr>
            <w:tcW w:w="984" w:type="pct"/>
            <w:shd w:val="clear" w:color="auto" w:fill="auto"/>
            <w:vAlign w:val="center"/>
          </w:tcPr>
          <w:p w14:paraId="7462A8D4" w14:textId="77777777" w:rsidR="00165A50" w:rsidRPr="00F6387C" w:rsidRDefault="00165A50" w:rsidP="00904884">
            <w:pPr>
              <w:pStyle w:val="Tabletext"/>
              <w:keepNext/>
              <w:jc w:val="center"/>
            </w:pPr>
            <w:r w:rsidRPr="00F6387C">
              <w:t>6</w:t>
            </w:r>
          </w:p>
        </w:tc>
        <w:tc>
          <w:tcPr>
            <w:tcW w:w="1019" w:type="pct"/>
            <w:shd w:val="clear" w:color="auto" w:fill="auto"/>
            <w:vAlign w:val="center"/>
          </w:tcPr>
          <w:p w14:paraId="07F3D1CB" w14:textId="77777777" w:rsidR="00165A50" w:rsidRPr="00F6387C" w:rsidRDefault="00165A50" w:rsidP="00904884">
            <w:pPr>
              <w:pStyle w:val="Tabletext"/>
              <w:keepNext/>
              <w:jc w:val="center"/>
            </w:pPr>
            <w:r w:rsidRPr="00F6387C">
              <w:t>1</w:t>
            </w:r>
          </w:p>
        </w:tc>
        <w:tc>
          <w:tcPr>
            <w:tcW w:w="1016" w:type="pct"/>
            <w:shd w:val="clear" w:color="auto" w:fill="auto"/>
            <w:vAlign w:val="center"/>
          </w:tcPr>
          <w:p w14:paraId="2FC40721" w14:textId="6F8F568B" w:rsidR="00165A50" w:rsidRPr="00F6387C" w:rsidRDefault="00E56670" w:rsidP="00904884">
            <w:pPr>
              <w:pStyle w:val="Tabletext"/>
              <w:keepNext/>
              <w:jc w:val="center"/>
            </w:pPr>
            <w:r>
              <w:t>$</w:t>
            </w:r>
            <w:r w:rsidR="00632E88" w:rsidRPr="00632E88">
              <w:rPr>
                <w:color w:val="000000"/>
                <w:shd w:val="solid" w:color="000000" w:fill="000000"/>
                <w14:textFill>
                  <w14:solidFill>
                    <w14:srgbClr w14:val="000000">
                      <w14:alpha w14:val="100000"/>
                    </w14:srgbClr>
                  </w14:solidFill>
                </w14:textFill>
              </w:rPr>
              <w:t>|</w:t>
            </w:r>
          </w:p>
        </w:tc>
      </w:tr>
    </w:tbl>
    <w:p w14:paraId="049B1A11" w14:textId="6C4D182B" w:rsidR="00821CB9" w:rsidRPr="00F6387C" w:rsidRDefault="00821CB9" w:rsidP="00821CB9">
      <w:pPr>
        <w:pStyle w:val="TableFooter"/>
      </w:pPr>
      <w:r w:rsidRPr="00F6387C">
        <w:t xml:space="preserve">EMP = </w:t>
      </w:r>
      <w:r w:rsidR="009711C9">
        <w:t>E</w:t>
      </w:r>
      <w:r w:rsidRPr="00F6387C">
        <w:t>x-manufacturer price</w:t>
      </w:r>
    </w:p>
    <w:p w14:paraId="4D43B2ED" w14:textId="3CBA43E1" w:rsidR="00821CB9" w:rsidRPr="00F6387C" w:rsidRDefault="00821CB9" w:rsidP="00821CB9">
      <w:pPr>
        <w:pStyle w:val="FooterTableFigure"/>
      </w:pPr>
      <w:r w:rsidRPr="00F6387C">
        <w:t xml:space="preserve">Source: Table 40, p73 of the resubmission and </w:t>
      </w:r>
      <w:proofErr w:type="spellStart"/>
      <w:r w:rsidRPr="00F6387C">
        <w:t>Mavenclad</w:t>
      </w:r>
      <w:proofErr w:type="spellEnd"/>
      <w:r w:rsidRPr="00F6387C">
        <w:t xml:space="preserve"> Cost Min Analysis PBAC Nov 2023 (revised 20230802).xlsm</w:t>
      </w:r>
    </w:p>
    <w:p w14:paraId="4BDD9CC6" w14:textId="26540FE8" w:rsidR="001A7D76" w:rsidRPr="00F6387C" w:rsidRDefault="001A7D76" w:rsidP="006B1CFD">
      <w:pPr>
        <w:pStyle w:val="3-BodyText"/>
      </w:pPr>
      <w:r w:rsidRPr="00F6387C">
        <w:t xml:space="preserve">The revised proposed effective EMP as presented in the pre-PBAC </w:t>
      </w:r>
      <w:r w:rsidR="00AD3A9A" w:rsidRPr="00F6387C">
        <w:t>R</w:t>
      </w:r>
      <w:r w:rsidRPr="00F6387C">
        <w:t>esponse, based on the assumptions in paragraph 6.</w:t>
      </w:r>
      <w:r w:rsidR="00105A34">
        <w:t>50</w:t>
      </w:r>
      <w:r w:rsidRPr="00F6387C">
        <w:t xml:space="preserve"> was </w:t>
      </w:r>
      <w:r w:rsidR="00E56670">
        <w:t>$</w:t>
      </w:r>
      <w:r w:rsidR="00632E88" w:rsidRPr="00D14AB6">
        <w:rPr>
          <w:color w:val="000000"/>
          <w:w w:val="15"/>
          <w:shd w:val="solid" w:color="000000" w:fill="000000"/>
          <w:fitText w:val="-20" w:id="-1031597558"/>
          <w14:textFill>
            <w14:solidFill>
              <w14:srgbClr w14:val="000000">
                <w14:alpha w14:val="100000"/>
              </w14:srgbClr>
            </w14:solidFill>
          </w14:textFill>
        </w:rPr>
        <w:t>|</w:t>
      </w:r>
      <w:r w:rsidR="00E56670" w:rsidRPr="00D14AB6">
        <w:rPr>
          <w:color w:val="000000"/>
          <w:w w:val="15"/>
          <w:shd w:val="solid" w:color="000000" w:fill="000000"/>
          <w:fitText w:val="-20" w:id="-1031597558"/>
          <w14:textFill>
            <w14:solidFill>
              <w14:srgbClr w14:val="000000">
                <w14:alpha w14:val="100000"/>
              </w14:srgbClr>
            </w14:solidFill>
          </w14:textFill>
        </w:rPr>
        <w:t xml:space="preserve"> </w:t>
      </w:r>
      <w:r w:rsidR="00632E88" w:rsidRPr="00D14AB6">
        <w:rPr>
          <w:color w:val="000000"/>
          <w:spacing w:val="-61"/>
          <w:w w:val="15"/>
          <w:shd w:val="solid" w:color="000000" w:fill="000000"/>
          <w:fitText w:val="-20" w:id="-1031597558"/>
          <w14:textFill>
            <w14:solidFill>
              <w14:srgbClr w14:val="000000">
                <w14:alpha w14:val="100000"/>
              </w14:srgbClr>
            </w14:solidFill>
          </w14:textFill>
        </w:rPr>
        <w:t>|</w:t>
      </w:r>
      <w:r w:rsidRPr="00F6387C">
        <w:t xml:space="preserve"> per 10 mg tablet.</w:t>
      </w:r>
    </w:p>
    <w:p w14:paraId="39340324" w14:textId="5FDD67A2" w:rsidR="00821CB9" w:rsidRPr="00F6387C" w:rsidRDefault="00821CB9" w:rsidP="006B1CFD">
      <w:pPr>
        <w:pStyle w:val="3-BodyText"/>
      </w:pPr>
      <w:r w:rsidRPr="00F6387C">
        <w:t xml:space="preserve">In July 2018, the PBAC recommended the listing of cladribine for treatment of RRMS on a cost-minimisation basis against fingolimod based on a claim that two years of cladribine treatment is non-inferior in efficacy to two years of fingolimod treatment (paragraph 6.1, cladribine PSD, July 2018). </w:t>
      </w:r>
      <w:r w:rsidR="004B3F03" w:rsidRPr="00F6387C">
        <w:t>While still requesting non-inferiority between cladribine and fingolimod, the resubmission has requested (a) a re</w:t>
      </w:r>
      <w:r w:rsidR="00CA160F" w:rsidRPr="00F6387C">
        <w:t>-</w:t>
      </w:r>
      <w:r w:rsidR="004B3F03" w:rsidRPr="00F6387C">
        <w:t>specification of the intervention previously accepted by the PBAC (i.e. change from 2 years of cladribine to 2 years of cladribine plus 2 years of no treatment</w:t>
      </w:r>
      <w:r w:rsidR="00CA160F" w:rsidRPr="00F6387C">
        <w:t xml:space="preserve"> </w:t>
      </w:r>
      <w:r w:rsidR="004B3F03" w:rsidRPr="00F6387C">
        <w:t>and change in comparator treatment duration to 4 years of fingolimod; (b) re</w:t>
      </w:r>
      <w:r w:rsidR="00CA160F" w:rsidRPr="00F6387C">
        <w:t>-</w:t>
      </w:r>
      <w:r w:rsidR="004B3F03" w:rsidRPr="00F6387C">
        <w:t>specification of the therapeutic relativities; and (c) re-assessment the cost-effectiveness of cladribine compared to fingolimod on that basis.</w:t>
      </w:r>
    </w:p>
    <w:p w14:paraId="2727BEC8" w14:textId="03B551F1" w:rsidR="00DE1A99" w:rsidRPr="00F6387C" w:rsidRDefault="00DE1A99" w:rsidP="006B1CFD">
      <w:pPr>
        <w:pStyle w:val="3-BodyText"/>
      </w:pPr>
      <w:r w:rsidRPr="00F6387C">
        <w:t xml:space="preserve">Table 15 provides a summary of the key sensitivity analyses. </w:t>
      </w:r>
      <w:r w:rsidR="00F2784B" w:rsidRPr="00F6387C">
        <w:t>Inclusion of third and fourth courses of cladribine in line with the PBS 10% sample data was found to have the most impact on t</w:t>
      </w:r>
      <w:r w:rsidRPr="00F6387C">
        <w:t>he price of cladribine calculated in the CMA.</w:t>
      </w:r>
    </w:p>
    <w:p w14:paraId="1DFCE83D" w14:textId="42149C98" w:rsidR="00DE1A99" w:rsidRPr="00F6387C" w:rsidRDefault="00DE1A99" w:rsidP="00DE1A99">
      <w:pPr>
        <w:pStyle w:val="Caption"/>
      </w:pPr>
      <w:r w:rsidRPr="00F6387C">
        <w:t xml:space="preserve">Table </w:t>
      </w:r>
      <w:fldSimple w:instr=" SEQ Table \* ARABIC " w:fldLock="1">
        <w:r w:rsidR="009C69CB">
          <w:rPr>
            <w:noProof/>
          </w:rPr>
          <w:t>15</w:t>
        </w:r>
      </w:fldSimple>
      <w:r w:rsidRPr="00F6387C">
        <w:t>: CMA sensitivity analysis</w:t>
      </w:r>
    </w:p>
    <w:tbl>
      <w:tblPr>
        <w:tblStyle w:val="TableGrid"/>
        <w:tblW w:w="9067" w:type="dxa"/>
        <w:tblLook w:val="04A0" w:firstRow="1" w:lastRow="0" w:firstColumn="1" w:lastColumn="0" w:noHBand="0" w:noVBand="1"/>
        <w:tblCaption w:val="Table 15: CMA sensitivity analysis"/>
        <w:tblDescription w:val="Table 15: CMA sensitivity analysis"/>
      </w:tblPr>
      <w:tblGrid>
        <w:gridCol w:w="6516"/>
        <w:gridCol w:w="2551"/>
      </w:tblGrid>
      <w:tr w:rsidR="00DE1A99" w:rsidRPr="00F6387C" w14:paraId="34CF8427" w14:textId="77777777" w:rsidTr="006E5735">
        <w:trPr>
          <w:trHeight w:val="300"/>
          <w:tblHeader/>
        </w:trPr>
        <w:tc>
          <w:tcPr>
            <w:tcW w:w="6516" w:type="dxa"/>
            <w:shd w:val="clear" w:color="auto" w:fill="auto"/>
            <w:noWrap/>
            <w:vAlign w:val="center"/>
            <w:hideMark/>
          </w:tcPr>
          <w:p w14:paraId="0A6622DD" w14:textId="048A52B8" w:rsidR="00DE1A99" w:rsidRPr="00F6387C" w:rsidRDefault="00DE1A99" w:rsidP="006E5735">
            <w:pPr>
              <w:pStyle w:val="In-tableHeading"/>
              <w:rPr>
                <w:lang w:val="en-AU"/>
              </w:rPr>
            </w:pPr>
            <w:r w:rsidRPr="00F6387C">
              <w:rPr>
                <w:lang w:val="en-AU"/>
              </w:rPr>
              <w:t>Parameter combination</w:t>
            </w:r>
          </w:p>
        </w:tc>
        <w:tc>
          <w:tcPr>
            <w:tcW w:w="2551" w:type="dxa"/>
            <w:shd w:val="clear" w:color="auto" w:fill="auto"/>
            <w:noWrap/>
            <w:vAlign w:val="center"/>
            <w:hideMark/>
          </w:tcPr>
          <w:p w14:paraId="0B541C54" w14:textId="400842DB" w:rsidR="00DE1A99" w:rsidRPr="00F6387C" w:rsidRDefault="00DE1A99" w:rsidP="006E5735">
            <w:pPr>
              <w:pStyle w:val="In-tableHeading"/>
              <w:jc w:val="center"/>
              <w:rPr>
                <w:lang w:val="en-AU"/>
              </w:rPr>
            </w:pPr>
            <w:r w:rsidRPr="00F6387C">
              <w:rPr>
                <w:lang w:val="en-AU"/>
              </w:rPr>
              <w:t>Cladribine tablets Effective EMP (1 tablet pack)</w:t>
            </w:r>
          </w:p>
        </w:tc>
      </w:tr>
      <w:tr w:rsidR="00DE1A99" w:rsidRPr="00F6387C" w14:paraId="0A1A2FE3" w14:textId="77777777" w:rsidTr="006E5735">
        <w:trPr>
          <w:trHeight w:val="70"/>
        </w:trPr>
        <w:tc>
          <w:tcPr>
            <w:tcW w:w="6516" w:type="dxa"/>
            <w:shd w:val="clear" w:color="auto" w:fill="auto"/>
            <w:noWrap/>
            <w:vAlign w:val="center"/>
            <w:hideMark/>
          </w:tcPr>
          <w:p w14:paraId="180DAA81" w14:textId="77777777" w:rsidR="00DE1A99" w:rsidRPr="00F6387C" w:rsidRDefault="00DE1A99" w:rsidP="006E5735">
            <w:pPr>
              <w:pStyle w:val="Tabletext"/>
              <w:keepNext/>
            </w:pPr>
            <w:r w:rsidRPr="00F6387C">
              <w:t>Base case (proposed)</w:t>
            </w:r>
          </w:p>
        </w:tc>
        <w:tc>
          <w:tcPr>
            <w:tcW w:w="2551" w:type="dxa"/>
            <w:shd w:val="clear" w:color="auto" w:fill="auto"/>
            <w:noWrap/>
            <w:vAlign w:val="center"/>
            <w:hideMark/>
          </w:tcPr>
          <w:p w14:paraId="5F52E4A3" w14:textId="7DA4A56B" w:rsidR="00DE1A99" w:rsidRPr="00F6387C" w:rsidRDefault="00E56670" w:rsidP="006E5735">
            <w:pPr>
              <w:pStyle w:val="Tabletext"/>
              <w:keepNext/>
              <w:jc w:val="center"/>
            </w:pPr>
            <w:r>
              <w:t>$</w:t>
            </w:r>
            <w:r w:rsidR="00632E88" w:rsidRPr="00632E88">
              <w:rPr>
                <w:color w:val="000000"/>
                <w:shd w:val="solid" w:color="000000" w:fill="000000"/>
                <w14:textFill>
                  <w14:solidFill>
                    <w14:srgbClr w14:val="000000">
                      <w14:alpha w14:val="100000"/>
                    </w14:srgbClr>
                  </w14:solidFill>
                </w14:textFill>
              </w:rPr>
              <w:t>|</w:t>
            </w:r>
          </w:p>
        </w:tc>
      </w:tr>
      <w:tr w:rsidR="00DE1A99" w:rsidRPr="00F6387C" w14:paraId="773BCB3D" w14:textId="77777777" w:rsidTr="006E5735">
        <w:trPr>
          <w:trHeight w:val="70"/>
        </w:trPr>
        <w:tc>
          <w:tcPr>
            <w:tcW w:w="6516" w:type="dxa"/>
            <w:shd w:val="clear" w:color="auto" w:fill="auto"/>
            <w:noWrap/>
            <w:vAlign w:val="center"/>
          </w:tcPr>
          <w:p w14:paraId="29ABD5CF" w14:textId="49941D48" w:rsidR="00DE1A99" w:rsidRPr="00F6387C" w:rsidRDefault="00DE1A99" w:rsidP="006E5735">
            <w:pPr>
              <w:pStyle w:val="Tabletext"/>
              <w:keepNext/>
            </w:pPr>
            <w:r w:rsidRPr="00F6387C">
              <w:t xml:space="preserve">Incorporation of additional third and fourth courses of cladribine based on the PBS 10% sample data (patients with at least 3 years follow-up) </w:t>
            </w:r>
            <w:r w:rsidR="00971F0A" w:rsidRPr="00F6387C">
              <w:rPr>
                <w:vertAlign w:val="superscript"/>
              </w:rPr>
              <w:t>a</w:t>
            </w:r>
          </w:p>
        </w:tc>
        <w:tc>
          <w:tcPr>
            <w:tcW w:w="2551" w:type="dxa"/>
            <w:shd w:val="clear" w:color="auto" w:fill="auto"/>
            <w:noWrap/>
            <w:vAlign w:val="center"/>
          </w:tcPr>
          <w:p w14:paraId="40361E78" w14:textId="0F7945B9" w:rsidR="00DE1A99" w:rsidRPr="00F6387C" w:rsidRDefault="00E56670" w:rsidP="006E5735">
            <w:pPr>
              <w:pStyle w:val="Tabletext"/>
              <w:keepNext/>
              <w:jc w:val="center"/>
            </w:pPr>
            <w:r>
              <w:t>$</w:t>
            </w:r>
            <w:r w:rsidR="00632E88" w:rsidRPr="00632E88">
              <w:rPr>
                <w:color w:val="000000"/>
                <w:shd w:val="solid" w:color="000000" w:fill="000000"/>
                <w14:textFill>
                  <w14:solidFill>
                    <w14:srgbClr w14:val="000000">
                      <w14:alpha w14:val="100000"/>
                    </w14:srgbClr>
                  </w14:solidFill>
                </w14:textFill>
              </w:rPr>
              <w:t>|</w:t>
            </w:r>
          </w:p>
        </w:tc>
      </w:tr>
      <w:tr w:rsidR="00DE1A99" w:rsidRPr="00F6387C" w14:paraId="7B5AF446" w14:textId="77777777" w:rsidTr="00B86842">
        <w:trPr>
          <w:trHeight w:val="70"/>
        </w:trPr>
        <w:tc>
          <w:tcPr>
            <w:tcW w:w="6516" w:type="dxa"/>
            <w:tcBorders>
              <w:bottom w:val="single" w:sz="4" w:space="0" w:color="auto"/>
            </w:tcBorders>
            <w:shd w:val="clear" w:color="auto" w:fill="auto"/>
            <w:noWrap/>
            <w:vAlign w:val="center"/>
          </w:tcPr>
          <w:p w14:paraId="30169C7D" w14:textId="77777777" w:rsidR="00DE1A99" w:rsidRPr="00F6387C" w:rsidRDefault="00DE1A99" w:rsidP="006E5735">
            <w:pPr>
              <w:pStyle w:val="Tabletext"/>
              <w:keepNext/>
            </w:pPr>
            <w:r w:rsidRPr="00F6387C">
              <w:t>Exclude ozanimod from the “high efficacy tier calculation</w:t>
            </w:r>
          </w:p>
        </w:tc>
        <w:tc>
          <w:tcPr>
            <w:tcW w:w="2551" w:type="dxa"/>
            <w:tcBorders>
              <w:bottom w:val="single" w:sz="4" w:space="0" w:color="auto"/>
            </w:tcBorders>
            <w:shd w:val="clear" w:color="auto" w:fill="auto"/>
            <w:noWrap/>
            <w:vAlign w:val="center"/>
          </w:tcPr>
          <w:p w14:paraId="6E7E38EE" w14:textId="2459797A" w:rsidR="00DE1A99" w:rsidRPr="00F6387C" w:rsidRDefault="00E56670" w:rsidP="006E5735">
            <w:pPr>
              <w:pStyle w:val="Tabletext"/>
              <w:keepNext/>
              <w:jc w:val="center"/>
            </w:pPr>
            <w:r>
              <w:t>$</w:t>
            </w:r>
            <w:r w:rsidR="00632E88" w:rsidRPr="00632E88">
              <w:rPr>
                <w:color w:val="000000"/>
                <w:shd w:val="solid" w:color="000000" w:fill="000000"/>
                <w14:textFill>
                  <w14:solidFill>
                    <w14:srgbClr w14:val="000000">
                      <w14:alpha w14:val="100000"/>
                    </w14:srgbClr>
                  </w14:solidFill>
                </w14:textFill>
              </w:rPr>
              <w:t>|</w:t>
            </w:r>
          </w:p>
        </w:tc>
      </w:tr>
      <w:tr w:rsidR="00DE1A99" w:rsidRPr="00F6387C" w14:paraId="78343BD3" w14:textId="77777777" w:rsidTr="00B86842">
        <w:trPr>
          <w:trHeight w:val="70"/>
        </w:trPr>
        <w:tc>
          <w:tcPr>
            <w:tcW w:w="6516" w:type="dxa"/>
            <w:tcBorders>
              <w:bottom w:val="single" w:sz="4" w:space="0" w:color="auto"/>
            </w:tcBorders>
            <w:shd w:val="clear" w:color="auto" w:fill="auto"/>
            <w:noWrap/>
            <w:vAlign w:val="center"/>
          </w:tcPr>
          <w:p w14:paraId="6B5A1E55" w14:textId="77777777" w:rsidR="00DE1A99" w:rsidRPr="00F6387C" w:rsidRDefault="00DE1A99" w:rsidP="006E5735">
            <w:pPr>
              <w:pStyle w:val="Tabletext"/>
              <w:keepNext/>
            </w:pPr>
            <w:r w:rsidRPr="00F6387C">
              <w:t>Include ofatumumab in the “high efficacy” tier calculation</w:t>
            </w:r>
          </w:p>
        </w:tc>
        <w:tc>
          <w:tcPr>
            <w:tcW w:w="2551" w:type="dxa"/>
            <w:tcBorders>
              <w:bottom w:val="single" w:sz="4" w:space="0" w:color="auto"/>
            </w:tcBorders>
            <w:shd w:val="clear" w:color="auto" w:fill="auto"/>
            <w:noWrap/>
            <w:vAlign w:val="center"/>
          </w:tcPr>
          <w:p w14:paraId="7B4A9B49" w14:textId="729641FD" w:rsidR="00DE1A99" w:rsidRPr="00F6387C" w:rsidRDefault="00E56670" w:rsidP="006E5735">
            <w:pPr>
              <w:pStyle w:val="Tabletext"/>
              <w:keepNext/>
              <w:jc w:val="center"/>
            </w:pPr>
            <w:r>
              <w:t>$</w:t>
            </w:r>
            <w:r w:rsidR="00632E88" w:rsidRPr="00632E88">
              <w:rPr>
                <w:color w:val="000000"/>
                <w:shd w:val="solid" w:color="000000" w:fill="000000"/>
                <w14:textFill>
                  <w14:solidFill>
                    <w14:srgbClr w14:val="000000">
                      <w14:alpha w14:val="100000"/>
                    </w14:srgbClr>
                  </w14:solidFill>
                </w14:textFill>
              </w:rPr>
              <w:t>|</w:t>
            </w:r>
          </w:p>
        </w:tc>
      </w:tr>
    </w:tbl>
    <w:p w14:paraId="45F5CB88" w14:textId="5C0C511A" w:rsidR="00DE1A99" w:rsidRPr="00F6387C" w:rsidRDefault="00DE1A99" w:rsidP="00DE1A99">
      <w:pPr>
        <w:pStyle w:val="FooterTableFigure"/>
      </w:pPr>
      <w:r w:rsidRPr="00F6387C">
        <w:t xml:space="preserve">EMP = </w:t>
      </w:r>
      <w:r w:rsidR="00C86DC0">
        <w:t>E</w:t>
      </w:r>
      <w:r w:rsidRPr="00F6387C">
        <w:t>x-manufacturer price</w:t>
      </w:r>
    </w:p>
    <w:p w14:paraId="3F922B60" w14:textId="472C44D2" w:rsidR="00DE1A99" w:rsidRPr="00F6387C" w:rsidRDefault="00971F0A" w:rsidP="003761DD">
      <w:pPr>
        <w:pStyle w:val="FooterTableFigure"/>
        <w:tabs>
          <w:tab w:val="left" w:pos="284"/>
        </w:tabs>
        <w:ind w:left="142" w:hanging="142"/>
      </w:pPr>
      <w:r w:rsidRPr="00F6387C">
        <w:rPr>
          <w:vertAlign w:val="superscript"/>
        </w:rPr>
        <w:t>a</w:t>
      </w:r>
      <w:r w:rsidR="00DE1A99" w:rsidRPr="00F6387C">
        <w:tab/>
      </w:r>
      <w:proofErr w:type="gramStart"/>
      <w:r w:rsidR="00DE1A99" w:rsidRPr="00F6387C">
        <w:t>In the PBS 10% sample data,</w:t>
      </w:r>
      <w:proofErr w:type="gramEnd"/>
      <w:r w:rsidR="00DE1A99" w:rsidRPr="00F6387C">
        <w:t xml:space="preserve"> of the 117 patients receiving cladribine who have at least 3 full years of data (i.e., patients whose first PBS script was dispensed in January 2020 or earlier, nine (7.7%) received the third course of therapy, including one (0.9%) receiving the fourth course of therapy.</w:t>
      </w:r>
    </w:p>
    <w:p w14:paraId="3FBE0C3B" w14:textId="59DDE2EC" w:rsidR="00DE1A99" w:rsidRPr="00F6387C" w:rsidRDefault="00DE1A99" w:rsidP="00DE1A99">
      <w:pPr>
        <w:pStyle w:val="FooterTableFigure"/>
      </w:pPr>
      <w:r w:rsidRPr="00F6387C">
        <w:t xml:space="preserve">Source: Table 43, p75 of the resubmission and calculations conducted using </w:t>
      </w:r>
      <w:proofErr w:type="spellStart"/>
      <w:r w:rsidRPr="00F6387C">
        <w:t>Mavenclad</w:t>
      </w:r>
      <w:proofErr w:type="spellEnd"/>
      <w:r w:rsidRPr="00F6387C">
        <w:t xml:space="preserve"> Cost Min Analysis PBAC Nov 2023 (revised 20230802).xlsm</w:t>
      </w:r>
    </w:p>
    <w:p w14:paraId="1B695C24" w14:textId="4264622D" w:rsidR="00821CB9" w:rsidRPr="00F6387C" w:rsidRDefault="00821CB9" w:rsidP="00821CB9">
      <w:pPr>
        <w:pStyle w:val="3-BodyText"/>
      </w:pPr>
      <w:r w:rsidRPr="00F6387C">
        <w:t>Overall, even if non-inferiority over four years w</w:t>
      </w:r>
      <w:r w:rsidR="00424954" w:rsidRPr="00F6387C">
        <w:t>as</w:t>
      </w:r>
      <w:r w:rsidRPr="00F6387C">
        <w:t xml:space="preserve"> accepted, the resubmission's CMA likely overestimated the cladribine cost-minimised price due to:</w:t>
      </w:r>
    </w:p>
    <w:p w14:paraId="187DC243" w14:textId="04B5BB4E" w:rsidR="00D46E6C" w:rsidRPr="00F6387C" w:rsidRDefault="00D46E6C" w:rsidP="00D46E6C">
      <w:pPr>
        <w:pStyle w:val="3-BodyText"/>
        <w:numPr>
          <w:ilvl w:val="2"/>
          <w:numId w:val="18"/>
        </w:numPr>
        <w:ind w:left="1134" w:hanging="283"/>
      </w:pPr>
      <w:r w:rsidRPr="00F6387C">
        <w:t>The exclusion of third and fourth courses of cladribine</w:t>
      </w:r>
      <w:r w:rsidR="00E819C8" w:rsidRPr="00F6387C">
        <w:t xml:space="preserve"> used by Australian patients</w:t>
      </w:r>
      <w:r w:rsidRPr="00F6387C">
        <w:t>, as observed in the PBS 10% sample data.</w:t>
      </w:r>
    </w:p>
    <w:p w14:paraId="34007F4F" w14:textId="79DD6BB7" w:rsidR="00821CB9" w:rsidRPr="00F6387C" w:rsidRDefault="00821CB9" w:rsidP="0098756A">
      <w:pPr>
        <w:pStyle w:val="3-BodyText"/>
        <w:numPr>
          <w:ilvl w:val="2"/>
          <w:numId w:val="18"/>
        </w:numPr>
        <w:ind w:left="1134" w:hanging="283"/>
      </w:pPr>
      <w:r w:rsidRPr="00F6387C">
        <w:t>The inclusion of discontinuations in the PBS 10% switch data</w:t>
      </w:r>
      <w:r w:rsidR="00EB755A" w:rsidRPr="00F6387C">
        <w:t xml:space="preserve">. While the resubmission stated that due to the chronic, progressive nature of RRMS, it was assumed that these patients would initiate another treatment if they discontinued treatment with cladribine or fingolimod, it was not </w:t>
      </w:r>
      <w:r w:rsidR="00D273EE" w:rsidRPr="00F6387C">
        <w:t>explained</w:t>
      </w:r>
      <w:r w:rsidR="00EB755A" w:rsidRPr="00F6387C">
        <w:t xml:space="preserve"> why these patients would not have been classified as “switch outs” in the report of the PBS 10% switch data</w:t>
      </w:r>
      <w:r w:rsidR="00D273EE" w:rsidRPr="00F6387C">
        <w:t xml:space="preserve"> (Attachment 1 of the resubmission</w:t>
      </w:r>
      <w:r w:rsidR="00EB755A" w:rsidRPr="00F6387C">
        <w:t>)</w:t>
      </w:r>
      <w:r w:rsidRPr="00F6387C">
        <w:t>;</w:t>
      </w:r>
    </w:p>
    <w:p w14:paraId="10CA8206" w14:textId="77777777" w:rsidR="00821CB9" w:rsidRPr="00F6387C" w:rsidRDefault="00821CB9" w:rsidP="0098756A">
      <w:pPr>
        <w:pStyle w:val="3-BodyText"/>
        <w:numPr>
          <w:ilvl w:val="2"/>
          <w:numId w:val="18"/>
        </w:numPr>
        <w:ind w:left="1134" w:hanging="283"/>
      </w:pPr>
      <w:r w:rsidRPr="00F6387C">
        <w:t>The inclusion of ozanimod in the high efficacy tier, despite the PBS 10% sample data recording that no patients switched to ozanimod from cladribine or fingolimod; and</w:t>
      </w:r>
    </w:p>
    <w:p w14:paraId="43EAD42E" w14:textId="77777777" w:rsidR="00821CB9" w:rsidRPr="00F6387C" w:rsidRDefault="00821CB9" w:rsidP="0098756A">
      <w:pPr>
        <w:pStyle w:val="3-BodyText"/>
        <w:numPr>
          <w:ilvl w:val="2"/>
          <w:numId w:val="18"/>
        </w:numPr>
        <w:ind w:left="1134" w:hanging="283"/>
      </w:pPr>
      <w:r w:rsidRPr="00F6387C">
        <w:t>The exclusion of the cost of ofatumumab from the high efficacy tier, despite the PBS 10% sample data recording that some patients switched to ofatumumab from cladribine and fingolimod.</w:t>
      </w:r>
    </w:p>
    <w:p w14:paraId="22DAC4CD" w14:textId="2B4353F5" w:rsidR="00821CB9" w:rsidRPr="00F6387C" w:rsidRDefault="00821CB9" w:rsidP="00821CB9">
      <w:pPr>
        <w:pStyle w:val="3-BodyText"/>
        <w:numPr>
          <w:ilvl w:val="0"/>
          <w:numId w:val="0"/>
        </w:numPr>
        <w:ind w:left="720"/>
        <w:rPr>
          <w:iCs/>
        </w:rPr>
      </w:pPr>
      <w:r w:rsidRPr="00F6387C">
        <w:t>While each of these had a relatively small impact, combined they contributed to the uncertainty of the CMA.</w:t>
      </w:r>
      <w:r w:rsidR="00F32223" w:rsidRPr="00F6387C">
        <w:t xml:space="preserve"> </w:t>
      </w:r>
    </w:p>
    <w:p w14:paraId="3DBCA904" w14:textId="67980044" w:rsidR="00821CB9" w:rsidRPr="00F6387C" w:rsidRDefault="00821CB9" w:rsidP="00821CB9">
      <w:pPr>
        <w:pStyle w:val="3-BodyText"/>
      </w:pPr>
      <w:r w:rsidRPr="00F6387C">
        <w:t xml:space="preserve">There was additional uncertainty </w:t>
      </w:r>
      <w:r w:rsidR="00424954" w:rsidRPr="00F6387C">
        <w:t>surrounding</w:t>
      </w:r>
      <w:r w:rsidRPr="00F6387C">
        <w:t xml:space="preserve"> the results of the CMA due to:</w:t>
      </w:r>
    </w:p>
    <w:p w14:paraId="09ACCF4E" w14:textId="77777777" w:rsidR="00821CB9" w:rsidRPr="00F6387C" w:rsidRDefault="00821CB9" w:rsidP="00A338D8">
      <w:pPr>
        <w:pStyle w:val="3-BodyText"/>
        <w:numPr>
          <w:ilvl w:val="2"/>
          <w:numId w:val="18"/>
        </w:numPr>
        <w:ind w:left="993" w:hanging="284"/>
      </w:pPr>
      <w:r w:rsidRPr="00F6387C">
        <w:t>Weighting all of the drug costs evenly within each of the high and low efficacy tiers;</w:t>
      </w:r>
    </w:p>
    <w:p w14:paraId="45999670" w14:textId="77777777" w:rsidR="00821CB9" w:rsidRPr="00F6387C" w:rsidRDefault="00821CB9" w:rsidP="00A338D8">
      <w:pPr>
        <w:pStyle w:val="3-BodyText"/>
        <w:numPr>
          <w:ilvl w:val="2"/>
          <w:numId w:val="18"/>
        </w:numPr>
        <w:ind w:left="993" w:hanging="284"/>
      </w:pPr>
      <w:r w:rsidRPr="00F6387C">
        <w:t>Compliance for cladribine was assumed to be 100% while compliance for fingolimod was assumed to be 85.90%. The fingolimod compliance rate was based on PBS 10% sample data, which did not report this data for cladribine.</w:t>
      </w:r>
    </w:p>
    <w:p w14:paraId="302D1BE2" w14:textId="5C3BA7F9" w:rsidR="00821CB9" w:rsidRPr="00F6387C" w:rsidRDefault="00821CB9" w:rsidP="00A338D8">
      <w:pPr>
        <w:pStyle w:val="3-BodyText"/>
        <w:numPr>
          <w:ilvl w:val="2"/>
          <w:numId w:val="18"/>
        </w:numPr>
        <w:ind w:left="993" w:hanging="284"/>
      </w:pPr>
      <w:r w:rsidRPr="00F6387C">
        <w:t>The PBAC previously considered it unclear if specific doses can be accepted as equi-effective when a large portion of patients are assumed to switch to another DMT before four years of cladribine treatment (paragraph 6.35, cladribine PSD, November 2021). While a relatively low proportion of patients on cladribine were observed to switch treatment in the PBS 10% sample data, the switch rate was higher for fingolimod (and data for fingolimod was also included in the equi-effective dose calculations).</w:t>
      </w:r>
    </w:p>
    <w:p w14:paraId="4D9374BC" w14:textId="7F306DFF" w:rsidR="00821CB9" w:rsidRPr="00F6387C" w:rsidRDefault="00821CB9" w:rsidP="00A338D8">
      <w:pPr>
        <w:pStyle w:val="3-BodyText"/>
        <w:numPr>
          <w:ilvl w:val="2"/>
          <w:numId w:val="18"/>
        </w:numPr>
        <w:ind w:left="993" w:hanging="284"/>
      </w:pPr>
      <w:r w:rsidRPr="00F6387C">
        <w:t xml:space="preserve">Previously, the ESC noted that inclusion of any rate of treatment switching would only be appropriate if non-inferiority is demonstrated (paragraph 6.35, cladribine PSD, November 2021). </w:t>
      </w:r>
    </w:p>
    <w:p w14:paraId="0AE521F7" w14:textId="29B023C3" w:rsidR="008A0349" w:rsidRPr="00F6387C" w:rsidRDefault="008A0349" w:rsidP="00A338D8">
      <w:pPr>
        <w:pStyle w:val="3-BodyText"/>
        <w:numPr>
          <w:ilvl w:val="2"/>
          <w:numId w:val="18"/>
        </w:numPr>
        <w:ind w:left="993" w:hanging="284"/>
      </w:pPr>
      <w:r w:rsidRPr="00F6387C">
        <w:t>No discounting was applied to costs and outcomes in the CMA although the therapeutic claim was based on four years of cladribine treatment.</w:t>
      </w:r>
    </w:p>
    <w:p w14:paraId="2CF21CA6" w14:textId="77777777" w:rsidR="00821CB9" w:rsidRPr="00F6387C" w:rsidRDefault="00821CB9" w:rsidP="00821CB9">
      <w:pPr>
        <w:pStyle w:val="4-SubsectionHeading"/>
      </w:pPr>
      <w:bookmarkStart w:id="66" w:name="_Toc142897475"/>
      <w:bookmarkStart w:id="67" w:name="_Toc145504214"/>
      <w:r w:rsidRPr="00F6387C">
        <w:t>Cladribine cost/patient/course</w:t>
      </w:r>
      <w:bookmarkEnd w:id="66"/>
      <w:bookmarkEnd w:id="67"/>
    </w:p>
    <w:p w14:paraId="5F41E9AA" w14:textId="3BA6FFB1" w:rsidR="00821CB9" w:rsidRPr="00F6387C" w:rsidRDefault="00821CB9" w:rsidP="00821CB9">
      <w:pPr>
        <w:pStyle w:val="ListParagraph"/>
        <w:keepNext/>
        <w:numPr>
          <w:ilvl w:val="1"/>
          <w:numId w:val="1"/>
        </w:numPr>
        <w:spacing w:after="160"/>
        <w:rPr>
          <w:color w:val="000000" w:themeColor="text1"/>
        </w:rPr>
      </w:pPr>
      <w:r w:rsidRPr="00F6387C">
        <w:rPr>
          <w:color w:val="000000" w:themeColor="text1"/>
        </w:rPr>
        <w:t xml:space="preserve">The </w:t>
      </w:r>
      <w:r w:rsidRPr="00F6387C">
        <w:rPr>
          <w:rFonts w:cs="Calibri"/>
          <w:snapToGrid/>
          <w:color w:val="000000" w:themeColor="text1"/>
        </w:rPr>
        <w:t xml:space="preserve">drug cost per patient per course of cladribine is </w:t>
      </w:r>
      <w:r w:rsidR="00E56670">
        <w:rPr>
          <w:rFonts w:cs="Calibri"/>
          <w:snapToGrid/>
          <w:color w:val="000000" w:themeColor="text1"/>
        </w:rPr>
        <w:t>$</w:t>
      </w:r>
      <w:r w:rsidR="00632E88" w:rsidRPr="00E56670">
        <w:rPr>
          <w:rFonts w:cs="Calibri"/>
          <w:snapToGrid/>
          <w:color w:val="000000" w:themeColor="text1"/>
          <w:spacing w:val="6"/>
          <w:w w:val="60"/>
          <w:shd w:val="solid" w:color="000000" w:fill="000000"/>
          <w:fitText w:val="470" w:id="-1031597557"/>
          <w14:textFill>
            <w14:solidFill>
              <w14:schemeClr w14:val="tx1">
                <w14:alpha w14:val="100000"/>
              </w14:schemeClr>
            </w14:solidFill>
          </w14:textFill>
        </w:rPr>
        <w:t>|||</w:t>
      </w:r>
      <w:r w:rsidR="00E56670" w:rsidRPr="00E56670">
        <w:rPr>
          <w:rFonts w:cs="Calibri"/>
          <w:snapToGrid/>
          <w:color w:val="000000" w:themeColor="text1"/>
          <w:spacing w:val="6"/>
          <w:w w:val="60"/>
          <w:shd w:val="solid" w:color="000000" w:fill="000000"/>
          <w:fitText w:val="470" w:id="-1031597557"/>
          <w14:textFill>
            <w14:solidFill>
              <w14:schemeClr w14:val="tx1">
                <w14:alpha w14:val="100000"/>
              </w14:schemeClr>
            </w14:solidFill>
          </w14:textFill>
        </w:rPr>
        <w:t xml:space="preserve"> </w:t>
      </w:r>
      <w:r w:rsidR="00632E88" w:rsidRPr="00E56670">
        <w:rPr>
          <w:rFonts w:cs="Calibri"/>
          <w:snapToGrid/>
          <w:color w:val="000000" w:themeColor="text1"/>
          <w:spacing w:val="6"/>
          <w:w w:val="60"/>
          <w:shd w:val="solid" w:color="000000" w:fill="000000"/>
          <w:fitText w:val="470" w:id="-1031597557"/>
          <w14:textFill>
            <w14:solidFill>
              <w14:schemeClr w14:val="tx1">
                <w14:alpha w14:val="100000"/>
              </w14:schemeClr>
            </w14:solidFill>
          </w14:textFill>
        </w:rPr>
        <w:t>||</w:t>
      </w:r>
      <w:r w:rsidR="00632E88" w:rsidRPr="00E56670">
        <w:rPr>
          <w:rFonts w:cs="Calibri"/>
          <w:snapToGrid/>
          <w:color w:val="000000" w:themeColor="text1"/>
          <w:spacing w:val="4"/>
          <w:w w:val="60"/>
          <w:shd w:val="solid" w:color="000000" w:fill="000000"/>
          <w:fitText w:val="470" w:id="-1031597557"/>
          <w14:textFill>
            <w14:solidFill>
              <w14:schemeClr w14:val="tx1">
                <w14:alpha w14:val="100000"/>
              </w14:schemeClr>
            </w14:solidFill>
          </w14:textFill>
        </w:rPr>
        <w:t>|</w:t>
      </w:r>
      <w:r w:rsidRPr="00F6387C">
        <w:rPr>
          <w:rFonts w:cs="Calibri"/>
          <w:snapToGrid/>
          <w:color w:val="000000" w:themeColor="text1"/>
        </w:rPr>
        <w:t xml:space="preserve"> based on an effective EMP of </w:t>
      </w:r>
      <w:r w:rsidR="00E56670">
        <w:rPr>
          <w:rFonts w:cs="Calibri"/>
          <w:snapToGrid/>
          <w:color w:val="000000" w:themeColor="text1"/>
        </w:rPr>
        <w:t>$</w:t>
      </w:r>
      <w:r w:rsidR="00632E88" w:rsidRPr="00D14AB6">
        <w:rPr>
          <w:rFonts w:cs="Calibri"/>
          <w:snapToGrid/>
          <w:color w:val="000000" w:themeColor="text1"/>
          <w:w w:val="15"/>
          <w:shd w:val="solid" w:color="000000" w:fill="000000"/>
          <w:fitText w:val="-20" w:id="-1031597556"/>
          <w14:textFill>
            <w14:solidFill>
              <w14:schemeClr w14:val="tx1">
                <w14:alpha w14:val="100000"/>
              </w14:schemeClr>
            </w14:solidFill>
          </w14:textFill>
        </w:rPr>
        <w:t>|</w:t>
      </w:r>
      <w:r w:rsidR="00E56670" w:rsidRPr="00D14AB6">
        <w:rPr>
          <w:rFonts w:cs="Calibri"/>
          <w:snapToGrid/>
          <w:color w:val="000000" w:themeColor="text1"/>
          <w:w w:val="15"/>
          <w:shd w:val="solid" w:color="000000" w:fill="000000"/>
          <w:fitText w:val="-20" w:id="-1031597556"/>
          <w14:textFill>
            <w14:solidFill>
              <w14:schemeClr w14:val="tx1">
                <w14:alpha w14:val="100000"/>
              </w14:schemeClr>
            </w14:solidFill>
          </w14:textFill>
        </w:rPr>
        <w:t xml:space="preserve"> </w:t>
      </w:r>
      <w:r w:rsidR="00632E88" w:rsidRPr="00D14AB6">
        <w:rPr>
          <w:rFonts w:cs="Calibri"/>
          <w:snapToGrid/>
          <w:color w:val="000000" w:themeColor="text1"/>
          <w:spacing w:val="-61"/>
          <w:w w:val="15"/>
          <w:shd w:val="solid" w:color="000000" w:fill="000000"/>
          <w:fitText w:val="-20" w:id="-1031597556"/>
          <w14:textFill>
            <w14:solidFill>
              <w14:schemeClr w14:val="tx1">
                <w14:alpha w14:val="100000"/>
              </w14:schemeClr>
            </w14:solidFill>
          </w14:textFill>
        </w:rPr>
        <w:t>|</w:t>
      </w:r>
      <w:r w:rsidRPr="00F6387C">
        <w:rPr>
          <w:rFonts w:cs="Calibri"/>
          <w:snapToGrid/>
          <w:color w:val="000000" w:themeColor="text1"/>
        </w:rPr>
        <w:t xml:space="preserve"> per tablet and a dosage of 28 tablets over two years of treatment. </w:t>
      </w:r>
      <w:r w:rsidRPr="00F6387C">
        <w:rPr>
          <w:color w:val="000000" w:themeColor="text1"/>
        </w:rPr>
        <w:t xml:space="preserve">This compares to </w:t>
      </w:r>
      <w:r w:rsidR="00E56670">
        <w:rPr>
          <w:color w:val="000000" w:themeColor="text1"/>
        </w:rPr>
        <w:t>$</w:t>
      </w:r>
      <w:r w:rsidR="00632E88" w:rsidRPr="00D14AB6">
        <w:rPr>
          <w:color w:val="000000" w:themeColor="text1"/>
          <w:w w:val="15"/>
          <w:shd w:val="solid" w:color="000000" w:fill="000000"/>
          <w:fitText w:val="-20" w:id="-1031597555"/>
          <w14:textFill>
            <w14:solidFill>
              <w14:schemeClr w14:val="tx1">
                <w14:alpha w14:val="100000"/>
              </w14:schemeClr>
            </w14:solidFill>
          </w14:textFill>
        </w:rPr>
        <w:t>|</w:t>
      </w:r>
      <w:r w:rsidR="00E56670" w:rsidRPr="00D14AB6">
        <w:rPr>
          <w:color w:val="000000" w:themeColor="text1"/>
          <w:w w:val="15"/>
          <w:shd w:val="solid" w:color="000000" w:fill="000000"/>
          <w:fitText w:val="-20" w:id="-1031597555"/>
          <w14:textFill>
            <w14:solidFill>
              <w14:schemeClr w14:val="tx1">
                <w14:alpha w14:val="100000"/>
              </w14:schemeClr>
            </w14:solidFill>
          </w14:textFill>
        </w:rPr>
        <w:t xml:space="preserve"> </w:t>
      </w:r>
      <w:r w:rsidR="00632E88" w:rsidRPr="00D14AB6">
        <w:rPr>
          <w:color w:val="000000" w:themeColor="text1"/>
          <w:spacing w:val="-61"/>
          <w:w w:val="15"/>
          <w:shd w:val="solid" w:color="000000" w:fill="000000"/>
          <w:fitText w:val="-20" w:id="-1031597555"/>
          <w14:textFill>
            <w14:solidFill>
              <w14:schemeClr w14:val="tx1">
                <w14:alpha w14:val="100000"/>
              </w14:schemeClr>
            </w14:solidFill>
          </w14:textFill>
        </w:rPr>
        <w:t>|</w:t>
      </w:r>
      <w:r w:rsidRPr="00F6387C">
        <w:rPr>
          <w:color w:val="000000" w:themeColor="text1"/>
        </w:rPr>
        <w:t xml:space="preserve"> for four years of fingolimod based on an effective AEMP of </w:t>
      </w:r>
      <w:r w:rsidR="00E56670">
        <w:rPr>
          <w:color w:val="000000" w:themeColor="text1"/>
        </w:rPr>
        <w:t>$</w:t>
      </w:r>
      <w:r w:rsidR="00632E88" w:rsidRPr="00D14AB6">
        <w:rPr>
          <w:color w:val="000000" w:themeColor="text1"/>
          <w:w w:val="15"/>
          <w:shd w:val="solid" w:color="000000" w:fill="000000"/>
          <w:fitText w:val="-20" w:id="-1031597554"/>
          <w14:textFill>
            <w14:solidFill>
              <w14:schemeClr w14:val="tx1">
                <w14:alpha w14:val="100000"/>
              </w14:schemeClr>
            </w14:solidFill>
          </w14:textFill>
        </w:rPr>
        <w:t>|</w:t>
      </w:r>
      <w:r w:rsidR="00E56670" w:rsidRPr="00D14AB6">
        <w:rPr>
          <w:color w:val="000000" w:themeColor="text1"/>
          <w:w w:val="15"/>
          <w:shd w:val="solid" w:color="000000" w:fill="000000"/>
          <w:fitText w:val="-20" w:id="-1031597554"/>
          <w14:textFill>
            <w14:solidFill>
              <w14:schemeClr w14:val="tx1">
                <w14:alpha w14:val="100000"/>
              </w14:schemeClr>
            </w14:solidFill>
          </w14:textFill>
        </w:rPr>
        <w:t xml:space="preserve"> </w:t>
      </w:r>
      <w:r w:rsidR="00632E88" w:rsidRPr="00D14AB6">
        <w:rPr>
          <w:color w:val="000000" w:themeColor="text1"/>
          <w:spacing w:val="-61"/>
          <w:w w:val="15"/>
          <w:shd w:val="solid" w:color="000000" w:fill="000000"/>
          <w:fitText w:val="-20" w:id="-1031597554"/>
          <w14:textFill>
            <w14:solidFill>
              <w14:schemeClr w14:val="tx1">
                <w14:alpha w14:val="100000"/>
              </w14:schemeClr>
            </w14:solidFill>
          </w14:textFill>
        </w:rPr>
        <w:t>|</w:t>
      </w:r>
      <w:r w:rsidRPr="00F6387C">
        <w:rPr>
          <w:color w:val="000000" w:themeColor="text1"/>
        </w:rPr>
        <w:t xml:space="preserve"> and 627.06 mg dispensed over four years (0.5 mg/day x 365.25 days x 4 years of treatment x 85.90% compliance).</w:t>
      </w:r>
      <w:r w:rsidR="00587000" w:rsidRPr="00F6387C">
        <w:rPr>
          <w:color w:val="000000" w:themeColor="text1"/>
        </w:rPr>
        <w:t xml:space="preserve"> </w:t>
      </w:r>
      <w:r w:rsidR="00587000" w:rsidRPr="00F6387C">
        <w:rPr>
          <w:iCs/>
          <w:color w:val="000000" w:themeColor="text1"/>
        </w:rPr>
        <w:t xml:space="preserve">Applying the updated cladribine price offer in the </w:t>
      </w:r>
      <w:r w:rsidR="001A7D76" w:rsidRPr="00F6387C">
        <w:rPr>
          <w:iCs/>
          <w:color w:val="000000" w:themeColor="text1"/>
        </w:rPr>
        <w:t xml:space="preserve">pre-PBAC </w:t>
      </w:r>
      <w:r w:rsidR="00AD3A9A" w:rsidRPr="00F6387C">
        <w:rPr>
          <w:iCs/>
          <w:color w:val="000000" w:themeColor="text1"/>
        </w:rPr>
        <w:t>R</w:t>
      </w:r>
      <w:r w:rsidR="001A7D76" w:rsidRPr="00F6387C">
        <w:rPr>
          <w:iCs/>
          <w:color w:val="000000" w:themeColor="text1"/>
        </w:rPr>
        <w:t>esponse</w:t>
      </w:r>
      <w:r w:rsidR="00587000" w:rsidRPr="00F6387C">
        <w:rPr>
          <w:iCs/>
          <w:color w:val="000000" w:themeColor="text1"/>
        </w:rPr>
        <w:t xml:space="preserve"> (</w:t>
      </w:r>
      <w:r w:rsidR="00E56670">
        <w:rPr>
          <w:iCs/>
          <w:color w:val="000000" w:themeColor="text1"/>
        </w:rPr>
        <w:t>$</w:t>
      </w:r>
      <w:r w:rsidR="00632E88" w:rsidRPr="00D14AB6">
        <w:rPr>
          <w:iCs/>
          <w:color w:val="000000" w:themeColor="text1"/>
          <w:w w:val="15"/>
          <w:shd w:val="solid" w:color="000000" w:fill="000000"/>
          <w:fitText w:val="-20" w:id="-1031597553"/>
          <w14:textFill>
            <w14:solidFill>
              <w14:schemeClr w14:val="tx1">
                <w14:alpha w14:val="100000"/>
              </w14:schemeClr>
            </w14:solidFill>
          </w14:textFill>
        </w:rPr>
        <w:t>|</w:t>
      </w:r>
      <w:r w:rsidR="00E56670" w:rsidRPr="00D14AB6">
        <w:rPr>
          <w:iCs/>
          <w:color w:val="000000" w:themeColor="text1"/>
          <w:w w:val="15"/>
          <w:shd w:val="solid" w:color="000000" w:fill="000000"/>
          <w:fitText w:val="-20" w:id="-1031597553"/>
          <w14:textFill>
            <w14:solidFill>
              <w14:schemeClr w14:val="tx1">
                <w14:alpha w14:val="100000"/>
              </w14:schemeClr>
            </w14:solidFill>
          </w14:textFill>
        </w:rPr>
        <w:t xml:space="preserve"> </w:t>
      </w:r>
      <w:r w:rsidR="00632E88" w:rsidRPr="00D14AB6">
        <w:rPr>
          <w:iCs/>
          <w:color w:val="000000" w:themeColor="text1"/>
          <w:spacing w:val="-61"/>
          <w:w w:val="15"/>
          <w:shd w:val="solid" w:color="000000" w:fill="000000"/>
          <w:fitText w:val="-20" w:id="-1031597553"/>
          <w14:textFill>
            <w14:solidFill>
              <w14:schemeClr w14:val="tx1">
                <w14:alpha w14:val="100000"/>
              </w14:schemeClr>
            </w14:solidFill>
          </w14:textFill>
        </w:rPr>
        <w:t>|</w:t>
      </w:r>
      <w:r w:rsidR="00587000" w:rsidRPr="00F6387C">
        <w:rPr>
          <w:iCs/>
          <w:color w:val="000000" w:themeColor="text1"/>
        </w:rPr>
        <w:t xml:space="preserve">), the drug cost per patient per course would be </w:t>
      </w:r>
      <w:r w:rsidR="00E56670">
        <w:rPr>
          <w:iCs/>
          <w:color w:val="000000" w:themeColor="text1"/>
        </w:rPr>
        <w:t>$</w:t>
      </w:r>
      <w:r w:rsidR="00632E88" w:rsidRPr="00D14AB6">
        <w:rPr>
          <w:iCs/>
          <w:color w:val="000000" w:themeColor="text1"/>
          <w:w w:val="15"/>
          <w:shd w:val="solid" w:color="000000" w:fill="000000"/>
          <w:fitText w:val="-20" w:id="-1031597552"/>
          <w14:textFill>
            <w14:solidFill>
              <w14:schemeClr w14:val="tx1">
                <w14:alpha w14:val="100000"/>
              </w14:schemeClr>
            </w14:solidFill>
          </w14:textFill>
        </w:rPr>
        <w:t>|</w:t>
      </w:r>
      <w:r w:rsidR="00E56670" w:rsidRPr="00D14AB6">
        <w:rPr>
          <w:iCs/>
          <w:color w:val="000000" w:themeColor="text1"/>
          <w:w w:val="15"/>
          <w:shd w:val="solid" w:color="000000" w:fill="000000"/>
          <w:fitText w:val="-20" w:id="-1031597552"/>
          <w14:textFill>
            <w14:solidFill>
              <w14:schemeClr w14:val="tx1">
                <w14:alpha w14:val="100000"/>
              </w14:schemeClr>
            </w14:solidFill>
          </w14:textFill>
        </w:rPr>
        <w:t xml:space="preserve"> </w:t>
      </w:r>
      <w:r w:rsidR="00632E88" w:rsidRPr="00D14AB6">
        <w:rPr>
          <w:iCs/>
          <w:color w:val="000000" w:themeColor="text1"/>
          <w:spacing w:val="-61"/>
          <w:w w:val="15"/>
          <w:shd w:val="solid" w:color="000000" w:fill="000000"/>
          <w:fitText w:val="-20" w:id="-1031597552"/>
          <w14:textFill>
            <w14:solidFill>
              <w14:schemeClr w14:val="tx1">
                <w14:alpha w14:val="100000"/>
              </w14:schemeClr>
            </w14:solidFill>
          </w14:textFill>
        </w:rPr>
        <w:t>|</w:t>
      </w:r>
      <w:r w:rsidR="00587000" w:rsidRPr="00F6387C">
        <w:rPr>
          <w:iCs/>
          <w:color w:val="000000" w:themeColor="text1"/>
        </w:rPr>
        <w:t>.</w:t>
      </w:r>
    </w:p>
    <w:p w14:paraId="7EAE0508" w14:textId="714D4939" w:rsidR="00821CB9" w:rsidRPr="00F6387C" w:rsidRDefault="00821CB9" w:rsidP="00821CB9">
      <w:pPr>
        <w:pStyle w:val="ListParagraph"/>
        <w:keepNext/>
        <w:numPr>
          <w:ilvl w:val="1"/>
          <w:numId w:val="1"/>
        </w:numPr>
      </w:pPr>
      <w:r w:rsidRPr="00F6387C">
        <w:fldChar w:fldCharType="begin" w:fldLock="1"/>
      </w:r>
      <w:r w:rsidRPr="00F6387C">
        <w:instrText xml:space="preserve"> REF _Ref142828831 \h </w:instrText>
      </w:r>
      <w:r w:rsidR="001812EA" w:rsidRPr="00F6387C">
        <w:instrText xml:space="preserve"> \* MERGEFORMAT </w:instrText>
      </w:r>
      <w:r w:rsidRPr="00F6387C">
        <w:fldChar w:fldCharType="separate"/>
      </w:r>
      <w:r w:rsidR="000D404D" w:rsidRPr="00F6387C">
        <w:t>Table 16</w:t>
      </w:r>
      <w:r w:rsidRPr="00F6387C">
        <w:fldChar w:fldCharType="end"/>
      </w:r>
      <w:r w:rsidRPr="00F6387C">
        <w:t xml:space="preserve"> presents the drug cost</w:t>
      </w:r>
      <w:r w:rsidRPr="00F6387C">
        <w:rPr>
          <w:rFonts w:cstheme="minorHAnsi"/>
          <w:color w:val="0070C0"/>
        </w:rPr>
        <w:t xml:space="preserve"> </w:t>
      </w:r>
      <w:r w:rsidRPr="00F6387C">
        <w:rPr>
          <w:rFonts w:cstheme="minorHAnsi"/>
          <w:color w:val="000000" w:themeColor="text1"/>
        </w:rPr>
        <w:t>per patient for cladribine and fingolimod.</w:t>
      </w:r>
    </w:p>
    <w:p w14:paraId="750401C8" w14:textId="5E1536D0" w:rsidR="00821CB9" w:rsidRPr="00F6387C" w:rsidRDefault="00821CB9" w:rsidP="00821CB9">
      <w:pPr>
        <w:pStyle w:val="TableFigureHeading"/>
        <w:rPr>
          <w:rStyle w:val="CommentReference"/>
          <w:b/>
          <w:iCs/>
          <w:szCs w:val="24"/>
        </w:rPr>
      </w:pPr>
      <w:bookmarkStart w:id="68" w:name="_Ref142828831"/>
      <w:r w:rsidRPr="00F6387C">
        <w:t xml:space="preserve">Table </w:t>
      </w:r>
      <w:fldSimple w:instr=" SEQ Table \* ARABIC " w:fldLock="1">
        <w:r w:rsidR="000D404D" w:rsidRPr="00F6387C">
          <w:t>16</w:t>
        </w:r>
      </w:fldSimple>
      <w:bookmarkEnd w:id="68"/>
      <w:r w:rsidRPr="00F6387C">
        <w:rPr>
          <w:rStyle w:val="CommentReference"/>
          <w:b/>
          <w:szCs w:val="24"/>
        </w:rPr>
        <w:t>: Drug cost per patient for cladribine and fingolimod</w:t>
      </w:r>
      <w:r w:rsidR="00587000" w:rsidRPr="00F6387C">
        <w:rPr>
          <w:rStyle w:val="CommentReference"/>
          <w:b/>
          <w:szCs w:val="24"/>
        </w:rPr>
        <w:t xml:space="preserve"> (</w:t>
      </w:r>
      <w:r w:rsidR="00587000" w:rsidRPr="00F6387C">
        <w:rPr>
          <w:rStyle w:val="CommentReference"/>
          <w:b/>
          <w:iCs/>
          <w:szCs w:val="24"/>
        </w:rPr>
        <w:t>original submission price – not PSCR updated)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6: Drug cost per patient for cladribine and fingolimod (original submission price – not PSCR updated)"/>
        <w:tblDescription w:val="Table 16: Drug cost per patient for cladribine and fingolimod (original submission price – not PSCR updated)"/>
      </w:tblPr>
      <w:tblGrid>
        <w:gridCol w:w="1673"/>
        <w:gridCol w:w="1116"/>
        <w:gridCol w:w="1304"/>
        <w:gridCol w:w="1210"/>
        <w:gridCol w:w="1396"/>
        <w:gridCol w:w="1176"/>
        <w:gridCol w:w="1141"/>
      </w:tblGrid>
      <w:tr w:rsidR="00821CB9" w:rsidRPr="00F6387C" w14:paraId="5B375006" w14:textId="77777777" w:rsidTr="00821CB9">
        <w:trPr>
          <w:trHeight w:val="515"/>
          <w:jc w:val="center"/>
        </w:trPr>
        <w:tc>
          <w:tcPr>
            <w:tcW w:w="928" w:type="pct"/>
            <w:shd w:val="clear" w:color="auto" w:fill="auto"/>
          </w:tcPr>
          <w:p w14:paraId="35C55BDB" w14:textId="77777777" w:rsidR="00821CB9" w:rsidRPr="00F6387C" w:rsidRDefault="00821CB9" w:rsidP="00540CC4">
            <w:pPr>
              <w:keepNext/>
              <w:jc w:val="left"/>
              <w:rPr>
                <w:rFonts w:ascii="Arial Narrow" w:hAnsi="Arial Narrow"/>
                <w:b/>
                <w:sz w:val="20"/>
              </w:rPr>
            </w:pPr>
          </w:p>
        </w:tc>
        <w:tc>
          <w:tcPr>
            <w:tcW w:w="619" w:type="pct"/>
          </w:tcPr>
          <w:p w14:paraId="6F61A052" w14:textId="77777777" w:rsidR="00821CB9" w:rsidRPr="00F6387C" w:rsidRDefault="00821CB9" w:rsidP="00540CC4">
            <w:pPr>
              <w:keepNext/>
              <w:jc w:val="center"/>
              <w:rPr>
                <w:rFonts w:ascii="Arial Narrow" w:hAnsi="Arial Narrow"/>
                <w:b/>
                <w:sz w:val="20"/>
              </w:rPr>
            </w:pPr>
            <w:r w:rsidRPr="00F6387C">
              <w:rPr>
                <w:rFonts w:ascii="Arial Narrow" w:hAnsi="Arial Narrow"/>
                <w:b/>
                <w:sz w:val="20"/>
              </w:rPr>
              <w:t>Cladribine</w:t>
            </w:r>
          </w:p>
          <w:p w14:paraId="0F5059BC" w14:textId="77777777" w:rsidR="00821CB9" w:rsidRPr="00F6387C" w:rsidRDefault="00821CB9" w:rsidP="00540CC4">
            <w:pPr>
              <w:keepNext/>
              <w:jc w:val="center"/>
              <w:rPr>
                <w:rFonts w:ascii="Arial Narrow" w:hAnsi="Arial Narrow"/>
                <w:b/>
                <w:sz w:val="20"/>
              </w:rPr>
            </w:pPr>
            <w:r w:rsidRPr="00F6387C">
              <w:rPr>
                <w:rFonts w:ascii="Arial Narrow" w:hAnsi="Arial Narrow"/>
                <w:b/>
                <w:sz w:val="20"/>
              </w:rPr>
              <w:t>studies</w:t>
            </w:r>
          </w:p>
        </w:tc>
        <w:tc>
          <w:tcPr>
            <w:tcW w:w="723" w:type="pct"/>
            <w:shd w:val="clear" w:color="auto" w:fill="auto"/>
          </w:tcPr>
          <w:p w14:paraId="188F4329" w14:textId="77777777" w:rsidR="00821CB9" w:rsidRPr="00F6387C" w:rsidRDefault="00821CB9" w:rsidP="00540CC4">
            <w:pPr>
              <w:keepNext/>
              <w:jc w:val="center"/>
              <w:rPr>
                <w:rFonts w:ascii="Arial Narrow" w:hAnsi="Arial Narrow"/>
                <w:b/>
                <w:sz w:val="20"/>
              </w:rPr>
            </w:pPr>
            <w:r w:rsidRPr="00F6387C">
              <w:rPr>
                <w:rFonts w:ascii="Arial Narrow" w:hAnsi="Arial Narrow"/>
                <w:b/>
                <w:sz w:val="20"/>
              </w:rPr>
              <w:t>Cladribine</w:t>
            </w:r>
          </w:p>
          <w:p w14:paraId="4B1048C5" w14:textId="77777777" w:rsidR="00821CB9" w:rsidRPr="00F6387C" w:rsidRDefault="00821CB9" w:rsidP="00540CC4">
            <w:pPr>
              <w:keepNext/>
              <w:jc w:val="center"/>
              <w:rPr>
                <w:rFonts w:ascii="Arial Narrow" w:hAnsi="Arial Narrow"/>
                <w:b/>
                <w:sz w:val="20"/>
              </w:rPr>
            </w:pPr>
            <w:r w:rsidRPr="00F6387C">
              <w:rPr>
                <w:rFonts w:ascii="Arial Narrow" w:hAnsi="Arial Narrow"/>
                <w:b/>
                <w:sz w:val="20"/>
              </w:rPr>
              <w:t>model</w:t>
            </w:r>
          </w:p>
        </w:tc>
        <w:tc>
          <w:tcPr>
            <w:tcW w:w="671" w:type="pct"/>
            <w:shd w:val="clear" w:color="auto" w:fill="auto"/>
          </w:tcPr>
          <w:p w14:paraId="4AC49557" w14:textId="77777777" w:rsidR="00821CB9" w:rsidRPr="00F6387C" w:rsidRDefault="00821CB9" w:rsidP="00540CC4">
            <w:pPr>
              <w:keepNext/>
              <w:jc w:val="center"/>
              <w:rPr>
                <w:rFonts w:ascii="Arial Narrow" w:hAnsi="Arial Narrow"/>
                <w:b/>
                <w:sz w:val="20"/>
              </w:rPr>
            </w:pPr>
            <w:r w:rsidRPr="00F6387C">
              <w:rPr>
                <w:rFonts w:ascii="Arial Narrow" w:hAnsi="Arial Narrow"/>
                <w:b/>
                <w:sz w:val="20"/>
              </w:rPr>
              <w:t>Cladribine</w:t>
            </w:r>
          </w:p>
          <w:p w14:paraId="72A21A65" w14:textId="77777777" w:rsidR="00821CB9" w:rsidRPr="00F6387C" w:rsidRDefault="00821CB9" w:rsidP="00540CC4">
            <w:pPr>
              <w:keepNext/>
              <w:jc w:val="center"/>
              <w:rPr>
                <w:rFonts w:ascii="Arial Narrow" w:hAnsi="Arial Narrow"/>
                <w:b/>
                <w:sz w:val="20"/>
              </w:rPr>
            </w:pPr>
            <w:r w:rsidRPr="00F6387C">
              <w:rPr>
                <w:rFonts w:ascii="Arial Narrow" w:hAnsi="Arial Narrow"/>
                <w:b/>
                <w:sz w:val="20"/>
              </w:rPr>
              <w:t>financial estimates</w:t>
            </w:r>
          </w:p>
        </w:tc>
        <w:tc>
          <w:tcPr>
            <w:tcW w:w="774" w:type="pct"/>
            <w:shd w:val="clear" w:color="auto" w:fill="auto"/>
          </w:tcPr>
          <w:p w14:paraId="4FDB9531" w14:textId="77777777" w:rsidR="00821CB9" w:rsidRPr="00F6387C" w:rsidRDefault="00821CB9" w:rsidP="00540CC4">
            <w:pPr>
              <w:keepNext/>
              <w:jc w:val="center"/>
              <w:rPr>
                <w:rFonts w:ascii="Arial Narrow" w:hAnsi="Arial Narrow"/>
                <w:b/>
                <w:sz w:val="20"/>
              </w:rPr>
            </w:pPr>
            <w:r w:rsidRPr="00F6387C">
              <w:rPr>
                <w:rFonts w:ascii="Arial Narrow" w:hAnsi="Arial Narrow"/>
                <w:b/>
                <w:sz w:val="20"/>
              </w:rPr>
              <w:t>Fingolimod</w:t>
            </w:r>
          </w:p>
          <w:p w14:paraId="35F7666C" w14:textId="77777777" w:rsidR="00821CB9" w:rsidRPr="00F6387C" w:rsidRDefault="00821CB9" w:rsidP="00540CC4">
            <w:pPr>
              <w:keepNext/>
              <w:jc w:val="center"/>
              <w:rPr>
                <w:rFonts w:ascii="Arial Narrow" w:hAnsi="Arial Narrow"/>
                <w:b/>
                <w:sz w:val="20"/>
              </w:rPr>
            </w:pPr>
            <w:r w:rsidRPr="00F6387C">
              <w:rPr>
                <w:rFonts w:ascii="Arial Narrow" w:hAnsi="Arial Narrow"/>
                <w:b/>
                <w:sz w:val="20"/>
              </w:rPr>
              <w:t xml:space="preserve">trial dose and </w:t>
            </w:r>
            <w:proofErr w:type="spellStart"/>
            <w:r w:rsidRPr="00F6387C">
              <w:rPr>
                <w:rFonts w:ascii="Arial Narrow" w:hAnsi="Arial Narrow"/>
                <w:b/>
                <w:sz w:val="20"/>
              </w:rPr>
              <w:t>duration</w:t>
            </w:r>
            <w:r w:rsidRPr="00F6387C">
              <w:rPr>
                <w:rFonts w:ascii="Arial Narrow" w:hAnsi="Arial Narrow"/>
                <w:b/>
                <w:sz w:val="20"/>
                <w:vertAlign w:val="superscript"/>
              </w:rPr>
              <w:t>c</w:t>
            </w:r>
            <w:proofErr w:type="spellEnd"/>
          </w:p>
        </w:tc>
        <w:tc>
          <w:tcPr>
            <w:tcW w:w="652" w:type="pct"/>
            <w:shd w:val="clear" w:color="auto" w:fill="auto"/>
          </w:tcPr>
          <w:p w14:paraId="6F210D1B" w14:textId="77777777" w:rsidR="00821CB9" w:rsidRPr="00F6387C" w:rsidRDefault="00821CB9" w:rsidP="00540CC4">
            <w:pPr>
              <w:keepNext/>
              <w:jc w:val="center"/>
              <w:rPr>
                <w:rFonts w:ascii="Arial Narrow" w:hAnsi="Arial Narrow"/>
                <w:b/>
                <w:sz w:val="20"/>
              </w:rPr>
            </w:pPr>
            <w:r w:rsidRPr="00F6387C">
              <w:rPr>
                <w:rFonts w:ascii="Arial Narrow" w:hAnsi="Arial Narrow"/>
                <w:b/>
                <w:sz w:val="20"/>
              </w:rPr>
              <w:t>Fingolimod</w:t>
            </w:r>
          </w:p>
          <w:p w14:paraId="6200B6C6" w14:textId="77777777" w:rsidR="00821CB9" w:rsidRPr="00F6387C" w:rsidRDefault="00821CB9" w:rsidP="00540CC4">
            <w:pPr>
              <w:keepNext/>
              <w:jc w:val="center"/>
              <w:rPr>
                <w:rFonts w:ascii="Arial Narrow" w:hAnsi="Arial Narrow"/>
                <w:b/>
                <w:sz w:val="20"/>
              </w:rPr>
            </w:pPr>
            <w:r w:rsidRPr="00F6387C">
              <w:rPr>
                <w:rFonts w:ascii="Arial Narrow" w:hAnsi="Arial Narrow"/>
                <w:b/>
                <w:sz w:val="20"/>
              </w:rPr>
              <w:t>model</w:t>
            </w:r>
          </w:p>
        </w:tc>
        <w:tc>
          <w:tcPr>
            <w:tcW w:w="633" w:type="pct"/>
          </w:tcPr>
          <w:p w14:paraId="5070AE68" w14:textId="77777777" w:rsidR="00821CB9" w:rsidRPr="00F6387C" w:rsidRDefault="00821CB9" w:rsidP="00540CC4">
            <w:pPr>
              <w:keepNext/>
              <w:jc w:val="center"/>
              <w:rPr>
                <w:rFonts w:ascii="Arial Narrow" w:hAnsi="Arial Narrow"/>
                <w:b/>
                <w:sz w:val="20"/>
              </w:rPr>
            </w:pPr>
            <w:r w:rsidRPr="00F6387C">
              <w:rPr>
                <w:rFonts w:ascii="Arial Narrow" w:hAnsi="Arial Narrow"/>
                <w:b/>
                <w:sz w:val="20"/>
              </w:rPr>
              <w:t>Fingolimod</w:t>
            </w:r>
          </w:p>
          <w:p w14:paraId="0DDFBBE1" w14:textId="77777777" w:rsidR="00821CB9" w:rsidRPr="00F6387C" w:rsidRDefault="00821CB9" w:rsidP="00540CC4">
            <w:pPr>
              <w:keepNext/>
              <w:jc w:val="center"/>
              <w:rPr>
                <w:rFonts w:ascii="Arial Narrow" w:hAnsi="Arial Narrow"/>
                <w:b/>
                <w:sz w:val="20"/>
              </w:rPr>
            </w:pPr>
            <w:r w:rsidRPr="00F6387C">
              <w:rPr>
                <w:rFonts w:ascii="Arial Narrow" w:hAnsi="Arial Narrow"/>
                <w:b/>
                <w:sz w:val="20"/>
              </w:rPr>
              <w:t>financial estimates</w:t>
            </w:r>
          </w:p>
        </w:tc>
      </w:tr>
      <w:tr w:rsidR="00821CB9" w:rsidRPr="00F6387C" w14:paraId="6060C2D0" w14:textId="77777777" w:rsidTr="00540CC4">
        <w:trPr>
          <w:jc w:val="center"/>
        </w:trPr>
        <w:tc>
          <w:tcPr>
            <w:tcW w:w="928" w:type="pct"/>
            <w:shd w:val="clear" w:color="auto" w:fill="auto"/>
          </w:tcPr>
          <w:p w14:paraId="7405D33D" w14:textId="77777777" w:rsidR="00821CB9" w:rsidRPr="00F6387C" w:rsidRDefault="00821CB9" w:rsidP="00540CC4">
            <w:pPr>
              <w:keepNext/>
              <w:jc w:val="left"/>
              <w:rPr>
                <w:rFonts w:ascii="Arial Narrow" w:hAnsi="Arial Narrow"/>
                <w:sz w:val="20"/>
              </w:rPr>
            </w:pPr>
            <w:r w:rsidRPr="00F6387C">
              <w:rPr>
                <w:rFonts w:ascii="Arial Narrow" w:hAnsi="Arial Narrow"/>
                <w:sz w:val="20"/>
              </w:rPr>
              <w:t>Mean dose</w:t>
            </w:r>
          </w:p>
        </w:tc>
        <w:tc>
          <w:tcPr>
            <w:tcW w:w="2013" w:type="pct"/>
            <w:gridSpan w:val="3"/>
            <w:vMerge w:val="restart"/>
          </w:tcPr>
          <w:p w14:paraId="1E85BBEE" w14:textId="77777777" w:rsidR="00821CB9" w:rsidRPr="00F6387C" w:rsidRDefault="00821CB9" w:rsidP="00540CC4">
            <w:pPr>
              <w:keepNext/>
              <w:jc w:val="center"/>
              <w:rPr>
                <w:rFonts w:ascii="Arial Narrow" w:hAnsi="Arial Narrow"/>
                <w:bCs/>
                <w:sz w:val="20"/>
              </w:rPr>
            </w:pPr>
            <w:r w:rsidRPr="00F6387C">
              <w:rPr>
                <w:rFonts w:ascii="Arial Narrow" w:hAnsi="Arial Narrow"/>
                <w:bCs/>
                <w:sz w:val="20"/>
              </w:rPr>
              <w:t xml:space="preserve">280 mg over two years of treatment followed by two years of </w:t>
            </w:r>
            <w:proofErr w:type="spellStart"/>
            <w:r w:rsidRPr="00F6387C">
              <w:rPr>
                <w:rFonts w:ascii="Arial Narrow" w:hAnsi="Arial Narrow"/>
                <w:bCs/>
                <w:sz w:val="20"/>
              </w:rPr>
              <w:t>observation</w:t>
            </w:r>
            <w:r w:rsidRPr="00F6387C">
              <w:rPr>
                <w:rFonts w:ascii="Arial Narrow" w:hAnsi="Arial Narrow"/>
                <w:bCs/>
                <w:sz w:val="20"/>
                <w:vertAlign w:val="superscript"/>
              </w:rPr>
              <w:t>b</w:t>
            </w:r>
            <w:proofErr w:type="spellEnd"/>
          </w:p>
        </w:tc>
        <w:tc>
          <w:tcPr>
            <w:tcW w:w="774" w:type="pct"/>
            <w:shd w:val="clear" w:color="auto" w:fill="auto"/>
          </w:tcPr>
          <w:p w14:paraId="0B875B2D" w14:textId="5E1D95D5" w:rsidR="00821CB9" w:rsidRPr="00F6387C" w:rsidRDefault="00821CB9" w:rsidP="00540CC4">
            <w:pPr>
              <w:keepNext/>
              <w:jc w:val="center"/>
              <w:rPr>
                <w:rFonts w:ascii="Arial Narrow" w:hAnsi="Arial Narrow"/>
                <w:bCs/>
                <w:sz w:val="20"/>
              </w:rPr>
            </w:pPr>
            <w:r w:rsidRPr="00F6387C">
              <w:rPr>
                <w:rFonts w:ascii="Arial Narrow" w:hAnsi="Arial Narrow"/>
                <w:bCs/>
                <w:sz w:val="20"/>
              </w:rPr>
              <w:t>0.5</w:t>
            </w:r>
            <w:r w:rsidR="006F78FA" w:rsidRPr="00F6387C">
              <w:rPr>
                <w:rFonts w:ascii="Arial Narrow" w:hAnsi="Arial Narrow"/>
                <w:bCs/>
                <w:sz w:val="20"/>
              </w:rPr>
              <w:t xml:space="preserve"> </w:t>
            </w:r>
            <w:r w:rsidRPr="00F6387C">
              <w:rPr>
                <w:rFonts w:ascii="Arial Narrow" w:hAnsi="Arial Narrow"/>
                <w:bCs/>
                <w:sz w:val="20"/>
              </w:rPr>
              <w:t>mg/day</w:t>
            </w:r>
          </w:p>
        </w:tc>
        <w:tc>
          <w:tcPr>
            <w:tcW w:w="652" w:type="pct"/>
            <w:shd w:val="clear" w:color="auto" w:fill="auto"/>
          </w:tcPr>
          <w:p w14:paraId="62C18C49" w14:textId="22D47FB3" w:rsidR="00821CB9" w:rsidRPr="00F6387C" w:rsidRDefault="00821CB9" w:rsidP="00540CC4">
            <w:pPr>
              <w:keepNext/>
              <w:jc w:val="center"/>
              <w:rPr>
                <w:rFonts w:ascii="Arial Narrow" w:hAnsi="Arial Narrow"/>
                <w:bCs/>
                <w:sz w:val="20"/>
              </w:rPr>
            </w:pPr>
            <w:r w:rsidRPr="00F6387C">
              <w:rPr>
                <w:rFonts w:ascii="Arial Narrow" w:hAnsi="Arial Narrow"/>
                <w:bCs/>
                <w:sz w:val="20"/>
              </w:rPr>
              <w:t>0.5</w:t>
            </w:r>
            <w:r w:rsidR="006F78FA" w:rsidRPr="00F6387C">
              <w:rPr>
                <w:rFonts w:ascii="Arial Narrow" w:hAnsi="Arial Narrow"/>
                <w:bCs/>
                <w:sz w:val="20"/>
              </w:rPr>
              <w:t xml:space="preserve"> </w:t>
            </w:r>
            <w:r w:rsidRPr="00F6387C">
              <w:rPr>
                <w:rFonts w:ascii="Arial Narrow" w:hAnsi="Arial Narrow"/>
                <w:bCs/>
                <w:sz w:val="20"/>
              </w:rPr>
              <w:t>mg/day</w:t>
            </w:r>
          </w:p>
        </w:tc>
        <w:tc>
          <w:tcPr>
            <w:tcW w:w="633" w:type="pct"/>
          </w:tcPr>
          <w:p w14:paraId="362FBC8A" w14:textId="34AEA4DD" w:rsidR="00821CB9" w:rsidRPr="00F6387C" w:rsidRDefault="00821CB9" w:rsidP="00540CC4">
            <w:pPr>
              <w:keepNext/>
              <w:jc w:val="center"/>
              <w:rPr>
                <w:rFonts w:ascii="Arial Narrow" w:hAnsi="Arial Narrow"/>
                <w:bCs/>
                <w:sz w:val="20"/>
              </w:rPr>
            </w:pPr>
            <w:r w:rsidRPr="00F6387C">
              <w:rPr>
                <w:rFonts w:ascii="Arial Narrow" w:hAnsi="Arial Narrow"/>
                <w:bCs/>
                <w:sz w:val="20"/>
              </w:rPr>
              <w:t>0.5</w:t>
            </w:r>
            <w:r w:rsidR="006F78FA" w:rsidRPr="00F6387C">
              <w:rPr>
                <w:rFonts w:ascii="Arial Narrow" w:hAnsi="Arial Narrow"/>
                <w:bCs/>
                <w:sz w:val="20"/>
              </w:rPr>
              <w:t xml:space="preserve"> </w:t>
            </w:r>
            <w:r w:rsidRPr="00F6387C">
              <w:rPr>
                <w:rFonts w:ascii="Arial Narrow" w:hAnsi="Arial Narrow"/>
                <w:bCs/>
                <w:sz w:val="20"/>
              </w:rPr>
              <w:t>mg/day</w:t>
            </w:r>
          </w:p>
        </w:tc>
      </w:tr>
      <w:tr w:rsidR="00821CB9" w:rsidRPr="00F6387C" w14:paraId="344F2831" w14:textId="77777777" w:rsidTr="00540CC4">
        <w:trPr>
          <w:jc w:val="center"/>
        </w:trPr>
        <w:tc>
          <w:tcPr>
            <w:tcW w:w="928" w:type="pct"/>
            <w:shd w:val="clear" w:color="auto" w:fill="auto"/>
          </w:tcPr>
          <w:p w14:paraId="7B1E86BE" w14:textId="77777777" w:rsidR="00821CB9" w:rsidRPr="00F6387C" w:rsidRDefault="00821CB9" w:rsidP="00540CC4">
            <w:pPr>
              <w:keepNext/>
              <w:jc w:val="left"/>
              <w:rPr>
                <w:rFonts w:ascii="Arial Narrow" w:hAnsi="Arial Narrow"/>
                <w:sz w:val="20"/>
              </w:rPr>
            </w:pPr>
            <w:r w:rsidRPr="00F6387C">
              <w:rPr>
                <w:rFonts w:ascii="Arial Narrow" w:hAnsi="Arial Narrow"/>
                <w:sz w:val="20"/>
              </w:rPr>
              <w:t>Mean duration</w:t>
            </w:r>
          </w:p>
        </w:tc>
        <w:tc>
          <w:tcPr>
            <w:tcW w:w="2013" w:type="pct"/>
            <w:gridSpan w:val="3"/>
            <w:vMerge/>
          </w:tcPr>
          <w:p w14:paraId="5D24176A" w14:textId="77777777" w:rsidR="00821CB9" w:rsidRPr="00F6387C" w:rsidRDefault="00821CB9" w:rsidP="00540CC4">
            <w:pPr>
              <w:keepNext/>
              <w:jc w:val="center"/>
              <w:rPr>
                <w:rFonts w:ascii="Arial Narrow" w:hAnsi="Arial Narrow"/>
                <w:bCs/>
                <w:sz w:val="20"/>
              </w:rPr>
            </w:pPr>
          </w:p>
        </w:tc>
        <w:tc>
          <w:tcPr>
            <w:tcW w:w="774" w:type="pct"/>
            <w:shd w:val="clear" w:color="auto" w:fill="auto"/>
          </w:tcPr>
          <w:p w14:paraId="4CA32908" w14:textId="77777777" w:rsidR="00821CB9" w:rsidRPr="00F6387C" w:rsidRDefault="00821CB9" w:rsidP="00540CC4">
            <w:pPr>
              <w:keepNext/>
              <w:jc w:val="center"/>
              <w:rPr>
                <w:rFonts w:ascii="Arial Narrow" w:hAnsi="Arial Narrow"/>
                <w:bCs/>
                <w:sz w:val="20"/>
              </w:rPr>
            </w:pPr>
            <w:r w:rsidRPr="00F6387C">
              <w:rPr>
                <w:rFonts w:ascii="Arial Narrow" w:hAnsi="Arial Narrow"/>
                <w:bCs/>
                <w:sz w:val="20"/>
              </w:rPr>
              <w:t>24 months</w:t>
            </w:r>
          </w:p>
        </w:tc>
        <w:tc>
          <w:tcPr>
            <w:tcW w:w="652" w:type="pct"/>
            <w:shd w:val="clear" w:color="auto" w:fill="auto"/>
          </w:tcPr>
          <w:p w14:paraId="2A69E47C" w14:textId="77777777" w:rsidR="00821CB9" w:rsidRPr="00F6387C" w:rsidRDefault="00821CB9" w:rsidP="00540CC4">
            <w:pPr>
              <w:keepNext/>
              <w:jc w:val="center"/>
              <w:rPr>
                <w:rFonts w:ascii="Arial Narrow" w:hAnsi="Arial Narrow"/>
                <w:bCs/>
                <w:sz w:val="20"/>
              </w:rPr>
            </w:pPr>
            <w:r w:rsidRPr="00F6387C">
              <w:rPr>
                <w:rFonts w:ascii="Arial Narrow" w:hAnsi="Arial Narrow"/>
                <w:bCs/>
                <w:sz w:val="20"/>
              </w:rPr>
              <w:t>4 years</w:t>
            </w:r>
          </w:p>
        </w:tc>
        <w:tc>
          <w:tcPr>
            <w:tcW w:w="633" w:type="pct"/>
          </w:tcPr>
          <w:p w14:paraId="3B6F34F3" w14:textId="77777777" w:rsidR="00821CB9" w:rsidRPr="00F6387C" w:rsidRDefault="00821CB9" w:rsidP="00540CC4">
            <w:pPr>
              <w:keepNext/>
              <w:jc w:val="center"/>
              <w:rPr>
                <w:rFonts w:ascii="Arial Narrow" w:hAnsi="Arial Narrow"/>
                <w:bCs/>
                <w:sz w:val="20"/>
              </w:rPr>
            </w:pPr>
            <w:r w:rsidRPr="00F6387C">
              <w:rPr>
                <w:rFonts w:ascii="Arial Narrow" w:hAnsi="Arial Narrow"/>
                <w:bCs/>
                <w:sz w:val="20"/>
              </w:rPr>
              <w:t>4 years</w:t>
            </w:r>
          </w:p>
        </w:tc>
      </w:tr>
      <w:tr w:rsidR="00821CB9" w:rsidRPr="00F6387C" w14:paraId="52D11354" w14:textId="77777777" w:rsidTr="00540CC4">
        <w:trPr>
          <w:jc w:val="center"/>
        </w:trPr>
        <w:tc>
          <w:tcPr>
            <w:tcW w:w="928" w:type="pct"/>
            <w:shd w:val="clear" w:color="auto" w:fill="auto"/>
          </w:tcPr>
          <w:p w14:paraId="5BC5B871" w14:textId="77777777" w:rsidR="00821CB9" w:rsidRPr="00F6387C" w:rsidRDefault="00821CB9" w:rsidP="00540CC4">
            <w:pPr>
              <w:keepNext/>
              <w:jc w:val="left"/>
              <w:rPr>
                <w:rFonts w:ascii="Arial Narrow" w:hAnsi="Arial Narrow"/>
                <w:sz w:val="20"/>
              </w:rPr>
            </w:pPr>
            <w:r w:rsidRPr="00F6387C">
              <w:rPr>
                <w:rFonts w:ascii="Arial Narrow" w:hAnsi="Arial Narrow"/>
                <w:sz w:val="20"/>
              </w:rPr>
              <w:t>Cost/patient/</w:t>
            </w:r>
            <w:proofErr w:type="spellStart"/>
            <w:r w:rsidRPr="00F6387C">
              <w:rPr>
                <w:rFonts w:ascii="Arial Narrow" w:hAnsi="Arial Narrow"/>
                <w:sz w:val="20"/>
              </w:rPr>
              <w:t>course</w:t>
            </w:r>
            <w:r w:rsidRPr="00F6387C">
              <w:rPr>
                <w:rFonts w:ascii="Arial Narrow" w:hAnsi="Arial Narrow"/>
                <w:sz w:val="20"/>
                <w:vertAlign w:val="superscript"/>
              </w:rPr>
              <w:t>a</w:t>
            </w:r>
            <w:proofErr w:type="spellEnd"/>
          </w:p>
        </w:tc>
        <w:tc>
          <w:tcPr>
            <w:tcW w:w="2013" w:type="pct"/>
            <w:gridSpan w:val="3"/>
          </w:tcPr>
          <w:p w14:paraId="4B419C52" w14:textId="1E1E01AE" w:rsidR="00821CB9" w:rsidRPr="00F6387C" w:rsidRDefault="00E56670" w:rsidP="00540CC4">
            <w:pPr>
              <w:keepNext/>
              <w:jc w:val="center"/>
              <w:rPr>
                <w:rFonts w:ascii="Arial Narrow" w:hAnsi="Arial Narrow"/>
                <w:sz w:val="20"/>
                <w:szCs w:val="20"/>
              </w:rPr>
            </w:pPr>
            <w:r>
              <w:rPr>
                <w:rFonts w:ascii="Arial Narrow" w:hAnsi="Arial Narrow" w:cs="Calibri"/>
                <w:color w:val="000000" w:themeColor="text1"/>
                <w:sz w:val="20"/>
                <w:szCs w:val="20"/>
              </w:rPr>
              <w:t>$</w:t>
            </w:r>
            <w:r w:rsidR="00632E88" w:rsidRPr="00632E88">
              <w:rPr>
                <w:rFonts w:ascii="Arial Narrow" w:hAnsi="Arial Narrow" w:cs="Calibri"/>
                <w:color w:val="000000" w:themeColor="text1"/>
                <w:sz w:val="20"/>
                <w:szCs w:val="20"/>
                <w:shd w:val="solid" w:color="000000" w:fill="000000"/>
                <w14:textFill>
                  <w14:solidFill>
                    <w14:schemeClr w14:val="tx1">
                      <w14:alpha w14:val="100000"/>
                    </w14:schemeClr>
                  </w14:solidFill>
                </w14:textFill>
              </w:rPr>
              <w:t>|</w:t>
            </w:r>
          </w:p>
        </w:tc>
        <w:tc>
          <w:tcPr>
            <w:tcW w:w="774" w:type="pct"/>
            <w:shd w:val="clear" w:color="auto" w:fill="auto"/>
          </w:tcPr>
          <w:p w14:paraId="2F16C464" w14:textId="77777777" w:rsidR="00821CB9" w:rsidRPr="00F6387C" w:rsidRDefault="00821CB9" w:rsidP="00540CC4">
            <w:pPr>
              <w:keepNext/>
              <w:jc w:val="center"/>
              <w:rPr>
                <w:rFonts w:ascii="Arial Narrow" w:hAnsi="Arial Narrow"/>
                <w:sz w:val="20"/>
                <w:highlight w:val="yellow"/>
              </w:rPr>
            </w:pPr>
            <w:r w:rsidRPr="00F6387C">
              <w:rPr>
                <w:rFonts w:ascii="Arial Narrow" w:hAnsi="Arial Narrow" w:cs="Calibri"/>
                <w:color w:val="000000" w:themeColor="text1"/>
                <w:sz w:val="20"/>
                <w:szCs w:val="20"/>
              </w:rPr>
              <w:t>$21,874.15</w:t>
            </w:r>
          </w:p>
        </w:tc>
        <w:tc>
          <w:tcPr>
            <w:tcW w:w="652" w:type="pct"/>
            <w:shd w:val="clear" w:color="auto" w:fill="auto"/>
          </w:tcPr>
          <w:p w14:paraId="1778F890" w14:textId="77777777" w:rsidR="00821CB9" w:rsidRPr="00F6387C" w:rsidRDefault="00821CB9" w:rsidP="00540CC4">
            <w:pPr>
              <w:pStyle w:val="Tabletext"/>
              <w:jc w:val="center"/>
              <w:rPr>
                <w:highlight w:val="yellow"/>
              </w:rPr>
            </w:pPr>
            <w:r w:rsidRPr="00F6387C">
              <w:rPr>
                <w:szCs w:val="20"/>
              </w:rPr>
              <w:t>$43,557.40</w:t>
            </w:r>
          </w:p>
        </w:tc>
        <w:tc>
          <w:tcPr>
            <w:tcW w:w="633" w:type="pct"/>
          </w:tcPr>
          <w:p w14:paraId="16E463B0" w14:textId="77777777" w:rsidR="00821CB9" w:rsidRPr="00F6387C" w:rsidRDefault="00821CB9" w:rsidP="00540CC4">
            <w:pPr>
              <w:pStyle w:val="Tabletext"/>
              <w:jc w:val="center"/>
              <w:rPr>
                <w:szCs w:val="20"/>
              </w:rPr>
            </w:pPr>
            <w:r w:rsidRPr="00F6387C">
              <w:rPr>
                <w:szCs w:val="20"/>
              </w:rPr>
              <w:t>$43,557.40</w:t>
            </w:r>
          </w:p>
        </w:tc>
      </w:tr>
    </w:tbl>
    <w:p w14:paraId="39DF66CA" w14:textId="77777777" w:rsidR="00821CB9" w:rsidRPr="00F6387C" w:rsidRDefault="00821CB9" w:rsidP="00821CB9">
      <w:pPr>
        <w:pStyle w:val="TableFooter"/>
      </w:pPr>
      <w:r w:rsidRPr="00F6387C">
        <w:t>Source: compiled during the evaluation</w:t>
      </w:r>
    </w:p>
    <w:p w14:paraId="4A773517" w14:textId="336FAB4C" w:rsidR="00821CB9" w:rsidRPr="00F6387C" w:rsidRDefault="00821CB9" w:rsidP="00821CB9">
      <w:pPr>
        <w:pStyle w:val="Tabletext"/>
        <w:tabs>
          <w:tab w:val="left" w:pos="284"/>
        </w:tabs>
        <w:ind w:left="284" w:hanging="284"/>
        <w:jc w:val="both"/>
        <w:rPr>
          <w:sz w:val="18"/>
          <w:szCs w:val="20"/>
        </w:rPr>
      </w:pPr>
      <w:r w:rsidRPr="00F6387C">
        <w:rPr>
          <w:sz w:val="18"/>
          <w:szCs w:val="20"/>
          <w:vertAlign w:val="superscript"/>
        </w:rPr>
        <w:t xml:space="preserve">a </w:t>
      </w:r>
      <w:r w:rsidRPr="00F6387C">
        <w:rPr>
          <w:sz w:val="18"/>
          <w:szCs w:val="20"/>
          <w:vertAlign w:val="superscript"/>
        </w:rPr>
        <w:tab/>
      </w:r>
      <w:r w:rsidRPr="00F6387C">
        <w:rPr>
          <w:sz w:val="18"/>
          <w:szCs w:val="20"/>
        </w:rPr>
        <w:t>Cladribine dose is based on the patient’s body weight. An average body weight of 76.6</w:t>
      </w:r>
      <w:r w:rsidR="006F78FA" w:rsidRPr="00F6387C">
        <w:rPr>
          <w:sz w:val="18"/>
          <w:szCs w:val="20"/>
        </w:rPr>
        <w:t xml:space="preserve"> </w:t>
      </w:r>
      <w:r w:rsidRPr="00F6387C">
        <w:rPr>
          <w:sz w:val="18"/>
          <w:szCs w:val="20"/>
        </w:rPr>
        <w:t>kg was assumed throughout the resubmission, which resulted in a 280</w:t>
      </w:r>
      <w:r w:rsidR="006F78FA" w:rsidRPr="00F6387C">
        <w:rPr>
          <w:sz w:val="18"/>
          <w:szCs w:val="20"/>
        </w:rPr>
        <w:t xml:space="preserve"> </w:t>
      </w:r>
      <w:r w:rsidRPr="00F6387C">
        <w:rPr>
          <w:sz w:val="18"/>
          <w:szCs w:val="20"/>
        </w:rPr>
        <w:t>mg dose of cladribine over two years.</w:t>
      </w:r>
    </w:p>
    <w:p w14:paraId="5A3C87CC" w14:textId="514FC8B5" w:rsidR="00821CB9" w:rsidRPr="00F6387C" w:rsidRDefault="00821CB9" w:rsidP="00821CB9">
      <w:pPr>
        <w:pStyle w:val="Tabletext"/>
        <w:tabs>
          <w:tab w:val="left" w:pos="284"/>
        </w:tabs>
        <w:ind w:left="284" w:hanging="284"/>
        <w:jc w:val="both"/>
        <w:rPr>
          <w:sz w:val="18"/>
          <w:szCs w:val="20"/>
        </w:rPr>
      </w:pPr>
      <w:r w:rsidRPr="00F6387C">
        <w:rPr>
          <w:sz w:val="18"/>
          <w:szCs w:val="20"/>
          <w:vertAlign w:val="superscript"/>
        </w:rPr>
        <w:t>b</w:t>
      </w:r>
      <w:r w:rsidRPr="00F6387C">
        <w:rPr>
          <w:sz w:val="18"/>
          <w:szCs w:val="20"/>
          <w:vertAlign w:val="superscript"/>
        </w:rPr>
        <w:tab/>
      </w:r>
      <w:r w:rsidRPr="00F6387C">
        <w:rPr>
          <w:sz w:val="18"/>
          <w:szCs w:val="20"/>
        </w:rPr>
        <w:t>Cladribine tablets are taken over 4-5 days in Weeks 1 and 5 in each of the first two years of therapy to give a cumulative dose of 3.5</w:t>
      </w:r>
      <w:r w:rsidR="006F78FA" w:rsidRPr="00F6387C">
        <w:rPr>
          <w:sz w:val="18"/>
          <w:szCs w:val="20"/>
        </w:rPr>
        <w:t xml:space="preserve"> </w:t>
      </w:r>
      <w:r w:rsidRPr="00F6387C">
        <w:rPr>
          <w:sz w:val="18"/>
          <w:szCs w:val="20"/>
        </w:rPr>
        <w:t>mg/kg, followed by observation only for two further years.</w:t>
      </w:r>
    </w:p>
    <w:p w14:paraId="5F329225" w14:textId="77777777" w:rsidR="00821CB9" w:rsidRPr="00F6387C" w:rsidRDefault="00821CB9" w:rsidP="00821CB9">
      <w:pPr>
        <w:pStyle w:val="Tabletext"/>
        <w:tabs>
          <w:tab w:val="left" w:pos="284"/>
        </w:tabs>
        <w:ind w:left="284" w:hanging="284"/>
        <w:jc w:val="both"/>
        <w:rPr>
          <w:sz w:val="18"/>
          <w:szCs w:val="20"/>
        </w:rPr>
      </w:pPr>
      <w:r w:rsidRPr="00F6387C">
        <w:rPr>
          <w:sz w:val="18"/>
          <w:szCs w:val="20"/>
          <w:vertAlign w:val="superscript"/>
        </w:rPr>
        <w:t>c</w:t>
      </w:r>
      <w:r w:rsidRPr="00F6387C">
        <w:rPr>
          <w:sz w:val="18"/>
          <w:szCs w:val="20"/>
          <w:vertAlign w:val="superscript"/>
        </w:rPr>
        <w:tab/>
      </w:r>
      <w:r w:rsidRPr="00F6387C">
        <w:rPr>
          <w:sz w:val="18"/>
          <w:szCs w:val="20"/>
        </w:rPr>
        <w:t>Presented for a duration of 2 years, consistent with the stepped CMA.</w:t>
      </w:r>
    </w:p>
    <w:p w14:paraId="321D8B01" w14:textId="7B99F10B" w:rsidR="00821CB9" w:rsidRPr="00F6387C" w:rsidRDefault="00821CB9" w:rsidP="00821CB9">
      <w:pPr>
        <w:pStyle w:val="FooterTableFigure"/>
      </w:pPr>
      <w:r w:rsidRPr="00F6387C">
        <w:t xml:space="preserve">Source: Tables 37, 38 and 39, pp71-72 of the resubmission and </w:t>
      </w:r>
      <w:proofErr w:type="spellStart"/>
      <w:r w:rsidRPr="00F6387C">
        <w:t>Mavenclad</w:t>
      </w:r>
      <w:proofErr w:type="spellEnd"/>
      <w:r w:rsidRPr="00F6387C">
        <w:t xml:space="preserve"> Cost Min Analysis PBAC Nov 2023 (revised 20230802).xlsm</w:t>
      </w:r>
    </w:p>
    <w:p w14:paraId="326A7EFB" w14:textId="07A078FA" w:rsidR="00821CB9" w:rsidRPr="00F6387C" w:rsidRDefault="00821CB9" w:rsidP="00821CB9">
      <w:pPr>
        <w:pStyle w:val="ListParagraph"/>
        <w:keepNext/>
        <w:numPr>
          <w:ilvl w:val="1"/>
          <w:numId w:val="1"/>
        </w:numPr>
        <w:spacing w:after="160"/>
      </w:pPr>
      <w:r w:rsidRPr="00F6387C">
        <w:t xml:space="preserve">The drug cost per patient for both cladribine and fingolimod were lower in the resubmission than in the November 2021 submission, predominantly due to price </w:t>
      </w:r>
      <w:r w:rsidR="00C86DC0">
        <w:t>reductions</w:t>
      </w:r>
      <w:r w:rsidR="00C86DC0" w:rsidRPr="00F6387C">
        <w:t xml:space="preserve"> </w:t>
      </w:r>
      <w:r w:rsidRPr="00F6387C">
        <w:t>for fingolimod due to reference price reductions and a First New Brand (FNB) Statutory Price Reduction (SPR) and a lower proposed price for cladribine.</w:t>
      </w:r>
    </w:p>
    <w:p w14:paraId="15469E7F" w14:textId="1A07C8A8" w:rsidR="00F11725" w:rsidRPr="00F6387C" w:rsidRDefault="00F11725" w:rsidP="0011344E">
      <w:pPr>
        <w:pStyle w:val="ListParagraph"/>
        <w:keepNext/>
        <w:numPr>
          <w:ilvl w:val="1"/>
          <w:numId w:val="1"/>
        </w:numPr>
        <w:spacing w:after="160"/>
      </w:pPr>
      <w:r w:rsidRPr="00F6387C">
        <w:t>As the CMA use</w:t>
      </w:r>
      <w:r w:rsidR="00AD5A0F" w:rsidRPr="00F6387C">
        <w:t>d</w:t>
      </w:r>
      <w:r w:rsidRPr="00F6387C">
        <w:t xml:space="preserve"> AEMP, the impact of </w:t>
      </w:r>
      <w:r w:rsidR="00DD7162" w:rsidRPr="00F6387C">
        <w:t xml:space="preserve">wholesaler and </w:t>
      </w:r>
      <w:r w:rsidRPr="00F6387C">
        <w:t>pharmacy markups were not captured in the CMA.</w:t>
      </w:r>
      <w:r w:rsidR="00DD7162" w:rsidRPr="00F6387C">
        <w:t xml:space="preserve"> While fingolimod would require dispensing every month (12 scripts per year, 48 scripts over the </w:t>
      </w:r>
      <w:r w:rsidR="001812EA" w:rsidRPr="00F6387C">
        <w:t>4-year</w:t>
      </w:r>
      <w:r w:rsidR="00DD7162" w:rsidRPr="00F6387C">
        <w:t xml:space="preserve"> treatment duration), cladribine would require approximately 6 scripts over the </w:t>
      </w:r>
      <w:r w:rsidR="001812EA" w:rsidRPr="00F6387C">
        <w:t>4-year</w:t>
      </w:r>
      <w:r w:rsidR="00DD7162" w:rsidRPr="00F6387C">
        <w:t xml:space="preserve"> treatment duration (assuming an average patient weight of 76.6kg).</w:t>
      </w:r>
    </w:p>
    <w:p w14:paraId="3A961FF3" w14:textId="77777777" w:rsidR="00821CB9" w:rsidRPr="00F6387C" w:rsidRDefault="00821CB9" w:rsidP="00821CB9">
      <w:pPr>
        <w:pStyle w:val="4-SubsectionHeading"/>
      </w:pPr>
      <w:bookmarkStart w:id="69" w:name="_Toc142897476"/>
      <w:bookmarkStart w:id="70" w:name="_Toc145504215"/>
      <w:r w:rsidRPr="00F6387C">
        <w:t>Estimated PBS usage &amp; financial implications</w:t>
      </w:r>
      <w:bookmarkEnd w:id="69"/>
      <w:bookmarkEnd w:id="70"/>
    </w:p>
    <w:p w14:paraId="2C549308" w14:textId="23E7060B" w:rsidR="00821CB9" w:rsidRPr="00F6387C" w:rsidRDefault="00821CB9" w:rsidP="00821CB9">
      <w:pPr>
        <w:pStyle w:val="3-BodyText"/>
      </w:pPr>
      <w:r w:rsidRPr="00F6387C">
        <w:t xml:space="preserve">This resubmission </w:t>
      </w:r>
      <w:r w:rsidR="00AD5A0F" w:rsidRPr="00F6387C">
        <w:t xml:space="preserve">was </w:t>
      </w:r>
      <w:r w:rsidRPr="00F6387C">
        <w:t>not considered by DUSC.</w:t>
      </w:r>
    </w:p>
    <w:p w14:paraId="43996702" w14:textId="1C95A962" w:rsidR="00821CB9" w:rsidRPr="00F6387C" w:rsidRDefault="00821CB9" w:rsidP="00821CB9">
      <w:pPr>
        <w:pStyle w:val="ListParagraph"/>
        <w:numPr>
          <w:ilvl w:val="1"/>
          <w:numId w:val="1"/>
        </w:numPr>
        <w:spacing w:after="160"/>
      </w:pPr>
      <w:r w:rsidRPr="00F6387C">
        <w:fldChar w:fldCharType="begin" w:fldLock="1"/>
      </w:r>
      <w:r w:rsidRPr="00F6387C">
        <w:instrText xml:space="preserve"> REF _Ref142842157 \h </w:instrText>
      </w:r>
      <w:r w:rsidRPr="00F6387C">
        <w:fldChar w:fldCharType="separate"/>
      </w:r>
      <w:r w:rsidR="000D404D" w:rsidRPr="00F6387C">
        <w:t>Table 17</w:t>
      </w:r>
      <w:r w:rsidRPr="00F6387C">
        <w:fldChar w:fldCharType="end"/>
      </w:r>
      <w:r w:rsidRPr="00F6387C">
        <w:t xml:space="preserve"> presents the data sources used in the </w:t>
      </w:r>
      <w:r w:rsidR="00B46A8D" w:rsidRPr="00F6387C">
        <w:t>re</w:t>
      </w:r>
      <w:r w:rsidRPr="00F6387C">
        <w:t xml:space="preserve">submission. </w:t>
      </w:r>
    </w:p>
    <w:p w14:paraId="6F118E0B" w14:textId="2335E137" w:rsidR="00821CB9" w:rsidRPr="00F6387C" w:rsidRDefault="00821CB9" w:rsidP="00904884">
      <w:pPr>
        <w:pStyle w:val="TableFigureHeading"/>
        <w:rPr>
          <w:rStyle w:val="CommentReference"/>
          <w:b/>
          <w:szCs w:val="24"/>
        </w:rPr>
      </w:pPr>
      <w:bookmarkStart w:id="71" w:name="_Ref142842157"/>
      <w:r w:rsidRPr="00F6387C">
        <w:t xml:space="preserve">Table </w:t>
      </w:r>
      <w:fldSimple w:instr=" SEQ Table \* ARABIC " w:fldLock="1">
        <w:r w:rsidR="000D404D" w:rsidRPr="00F6387C">
          <w:t>17</w:t>
        </w:r>
      </w:fldSimple>
      <w:bookmarkEnd w:id="71"/>
      <w:r w:rsidRPr="00F6387C">
        <w:rPr>
          <w:rStyle w:val="CommentReference"/>
          <w:b/>
          <w:szCs w:val="24"/>
        </w:rPr>
        <w:t>: Data sources and parameter values applied in the utilisation and financial estimates</w:t>
      </w:r>
    </w:p>
    <w:tbl>
      <w:tblPr>
        <w:tblStyle w:val="TableGrid"/>
        <w:tblW w:w="9209" w:type="dxa"/>
        <w:tblLayout w:type="fixed"/>
        <w:tblLook w:val="04A0" w:firstRow="1" w:lastRow="0" w:firstColumn="1" w:lastColumn="0" w:noHBand="0" w:noVBand="1"/>
        <w:tblCaption w:val="Table 17: Data sources and parameter values applied in the utilisation and financial estimates"/>
        <w:tblDescription w:val="Table 17: Data sources and parameter values applied in the utilisation and financial estimates"/>
      </w:tblPr>
      <w:tblGrid>
        <w:gridCol w:w="2122"/>
        <w:gridCol w:w="2693"/>
        <w:gridCol w:w="1701"/>
        <w:gridCol w:w="2693"/>
      </w:tblGrid>
      <w:tr w:rsidR="00821CB9" w:rsidRPr="00F6387C" w14:paraId="119A3BD9" w14:textId="77777777" w:rsidTr="00904884">
        <w:trPr>
          <w:cantSplit/>
          <w:tblHeader/>
        </w:trPr>
        <w:tc>
          <w:tcPr>
            <w:tcW w:w="2122" w:type="dxa"/>
            <w:shd w:val="clear" w:color="auto" w:fill="auto"/>
          </w:tcPr>
          <w:p w14:paraId="0F831F6E" w14:textId="77777777" w:rsidR="00821CB9" w:rsidRPr="00F6387C" w:rsidRDefault="00821CB9" w:rsidP="00904884">
            <w:pPr>
              <w:pStyle w:val="In-tableHeading"/>
              <w:rPr>
                <w:lang w:val="en-AU"/>
              </w:rPr>
            </w:pPr>
            <w:r w:rsidRPr="00F6387C">
              <w:rPr>
                <w:lang w:val="en-AU"/>
              </w:rPr>
              <w:t>Parameter</w:t>
            </w:r>
          </w:p>
        </w:tc>
        <w:tc>
          <w:tcPr>
            <w:tcW w:w="2693" w:type="dxa"/>
            <w:shd w:val="clear" w:color="auto" w:fill="auto"/>
          </w:tcPr>
          <w:p w14:paraId="345973F0" w14:textId="77777777" w:rsidR="00821CB9" w:rsidRPr="00F6387C" w:rsidRDefault="00821CB9" w:rsidP="00904884">
            <w:pPr>
              <w:pStyle w:val="In-tableHeading"/>
              <w:jc w:val="center"/>
              <w:rPr>
                <w:lang w:val="en-AU"/>
              </w:rPr>
            </w:pPr>
            <w:r w:rsidRPr="00F6387C">
              <w:rPr>
                <w:lang w:val="en-AU"/>
              </w:rPr>
              <w:t>Input</w:t>
            </w:r>
          </w:p>
        </w:tc>
        <w:tc>
          <w:tcPr>
            <w:tcW w:w="1701" w:type="dxa"/>
            <w:shd w:val="clear" w:color="auto" w:fill="auto"/>
          </w:tcPr>
          <w:p w14:paraId="66C181C5" w14:textId="77777777" w:rsidR="00821CB9" w:rsidRPr="00F6387C" w:rsidRDefault="00821CB9" w:rsidP="00904884">
            <w:pPr>
              <w:pStyle w:val="In-tableHeading"/>
              <w:jc w:val="center"/>
              <w:rPr>
                <w:lang w:val="en-AU"/>
              </w:rPr>
            </w:pPr>
            <w:r w:rsidRPr="00F6387C">
              <w:rPr>
                <w:lang w:val="en-AU"/>
              </w:rPr>
              <w:t>Source</w:t>
            </w:r>
          </w:p>
        </w:tc>
        <w:tc>
          <w:tcPr>
            <w:tcW w:w="2693" w:type="dxa"/>
          </w:tcPr>
          <w:p w14:paraId="289C5CA0" w14:textId="77777777" w:rsidR="00821CB9" w:rsidRPr="00F6387C" w:rsidRDefault="00821CB9" w:rsidP="00904884">
            <w:pPr>
              <w:pStyle w:val="In-tableHeading"/>
              <w:jc w:val="center"/>
              <w:rPr>
                <w:lang w:val="en-AU"/>
              </w:rPr>
            </w:pPr>
            <w:r w:rsidRPr="00F6387C">
              <w:rPr>
                <w:lang w:val="en-AU"/>
              </w:rPr>
              <w:t>Comment</w:t>
            </w:r>
          </w:p>
        </w:tc>
      </w:tr>
      <w:tr w:rsidR="00821CB9" w:rsidRPr="00F6387C" w14:paraId="47593846" w14:textId="77777777" w:rsidTr="00904884">
        <w:trPr>
          <w:cantSplit/>
        </w:trPr>
        <w:tc>
          <w:tcPr>
            <w:tcW w:w="9209" w:type="dxa"/>
            <w:gridSpan w:val="4"/>
          </w:tcPr>
          <w:p w14:paraId="645260D2" w14:textId="2DCE2855" w:rsidR="00821CB9" w:rsidRPr="00F6387C" w:rsidRDefault="00821CB9" w:rsidP="00904884">
            <w:pPr>
              <w:pStyle w:val="In-tableHeading"/>
              <w:rPr>
                <w:lang w:val="en-AU"/>
              </w:rPr>
            </w:pPr>
            <w:r w:rsidRPr="00F6387C">
              <w:rPr>
                <w:lang w:val="en-AU"/>
              </w:rPr>
              <w:t>Market size of cladribine data</w:t>
            </w:r>
          </w:p>
        </w:tc>
      </w:tr>
      <w:tr w:rsidR="00821CB9" w:rsidRPr="00F6387C" w14:paraId="5924E2CB" w14:textId="77777777" w:rsidTr="00904884">
        <w:trPr>
          <w:cantSplit/>
        </w:trPr>
        <w:tc>
          <w:tcPr>
            <w:tcW w:w="2122" w:type="dxa"/>
          </w:tcPr>
          <w:p w14:paraId="44D0A30E" w14:textId="77777777" w:rsidR="00821CB9" w:rsidRPr="00F6387C" w:rsidRDefault="00821CB9" w:rsidP="00904884">
            <w:pPr>
              <w:pStyle w:val="Tabletext"/>
              <w:keepNext/>
            </w:pPr>
            <w:r w:rsidRPr="00F6387C">
              <w:t>Cladribine market growth rate</w:t>
            </w:r>
          </w:p>
        </w:tc>
        <w:tc>
          <w:tcPr>
            <w:tcW w:w="2693" w:type="dxa"/>
          </w:tcPr>
          <w:p w14:paraId="130C30D2" w14:textId="77777777" w:rsidR="00821CB9" w:rsidRPr="00F6387C" w:rsidRDefault="00821CB9" w:rsidP="00904884">
            <w:pPr>
              <w:pStyle w:val="Tabletext"/>
              <w:keepNext/>
            </w:pPr>
            <w:r w:rsidRPr="00F6387C">
              <w:t>2023 - 5.50%</w:t>
            </w:r>
          </w:p>
          <w:p w14:paraId="55B9AEDF" w14:textId="77777777" w:rsidR="00821CB9" w:rsidRPr="00F6387C" w:rsidRDefault="00821CB9" w:rsidP="00904884">
            <w:pPr>
              <w:pStyle w:val="Tabletext"/>
              <w:keepNext/>
            </w:pPr>
            <w:r w:rsidRPr="00F6387C">
              <w:t>2024 - 2.71%</w:t>
            </w:r>
          </w:p>
          <w:p w14:paraId="4F767EE5" w14:textId="77777777" w:rsidR="00821CB9" w:rsidRPr="00F6387C" w:rsidRDefault="00821CB9" w:rsidP="00904884">
            <w:pPr>
              <w:pStyle w:val="Tabletext"/>
              <w:keepNext/>
            </w:pPr>
            <w:r w:rsidRPr="00F6387C">
              <w:t>2025 - 2.23%</w:t>
            </w:r>
          </w:p>
          <w:p w14:paraId="0FEF07E3" w14:textId="77777777" w:rsidR="00821CB9" w:rsidRPr="00F6387C" w:rsidRDefault="00821CB9" w:rsidP="00904884">
            <w:pPr>
              <w:pStyle w:val="Tabletext"/>
              <w:keepNext/>
            </w:pPr>
            <w:r w:rsidRPr="00F6387C">
              <w:t>2026 - 1.89%</w:t>
            </w:r>
          </w:p>
          <w:p w14:paraId="600E4A22" w14:textId="77777777" w:rsidR="00821CB9" w:rsidRPr="00F6387C" w:rsidRDefault="00821CB9" w:rsidP="00904884">
            <w:pPr>
              <w:pStyle w:val="Tabletext"/>
              <w:keepNext/>
            </w:pPr>
            <w:r w:rsidRPr="00F6387C">
              <w:t>2027 - 1.64%</w:t>
            </w:r>
          </w:p>
          <w:p w14:paraId="1F3EDCCF" w14:textId="77777777" w:rsidR="00821CB9" w:rsidRPr="00F6387C" w:rsidRDefault="00821CB9" w:rsidP="00904884">
            <w:pPr>
              <w:pStyle w:val="Tabletext"/>
              <w:keepNext/>
            </w:pPr>
            <w:r w:rsidRPr="00F6387C">
              <w:t>2028 - 1.44%</w:t>
            </w:r>
          </w:p>
          <w:p w14:paraId="49A9BE9A" w14:textId="77777777" w:rsidR="00821CB9" w:rsidRPr="00F6387C" w:rsidRDefault="00821CB9" w:rsidP="00904884">
            <w:pPr>
              <w:pStyle w:val="Tabletext"/>
              <w:keepNext/>
            </w:pPr>
            <w:r w:rsidRPr="00F6387C">
              <w:t>2029 - 1.28%</w:t>
            </w:r>
          </w:p>
        </w:tc>
        <w:tc>
          <w:tcPr>
            <w:tcW w:w="1701" w:type="dxa"/>
          </w:tcPr>
          <w:p w14:paraId="1001E5C7" w14:textId="77777777" w:rsidR="00821CB9" w:rsidRPr="00F6387C" w:rsidRDefault="00821CB9" w:rsidP="00904884">
            <w:pPr>
              <w:pStyle w:val="Tabletext"/>
              <w:keepNext/>
            </w:pPr>
            <w:r w:rsidRPr="00F6387C">
              <w:t>Growth rates were calculated using a logarithmic trend equation based on cladribine PBS services data from 2019 to 2022.</w:t>
            </w:r>
          </w:p>
        </w:tc>
        <w:tc>
          <w:tcPr>
            <w:tcW w:w="2693" w:type="dxa"/>
          </w:tcPr>
          <w:p w14:paraId="33D8AFE0" w14:textId="77777777" w:rsidR="00821CB9" w:rsidRPr="00F6387C" w:rsidRDefault="00821CB9" w:rsidP="00904884">
            <w:pPr>
              <w:pStyle w:val="Tabletext"/>
              <w:keepNext/>
            </w:pPr>
            <w:r w:rsidRPr="00F6387C">
              <w:t>Annual cladribine PBS use changed by +32% in 2020, -6% in 2021 and +6% in 2022. As it appears that cladribine use may not follow a consistent trend, this data may not provide a reliable base to calculate projected annual growth rate to 2029.</w:t>
            </w:r>
          </w:p>
          <w:p w14:paraId="1AE00124" w14:textId="77777777" w:rsidR="00821CB9" w:rsidRPr="00F6387C" w:rsidRDefault="00821CB9" w:rsidP="00904884">
            <w:pPr>
              <w:pStyle w:val="Tabletext"/>
              <w:keepNext/>
            </w:pPr>
          </w:p>
          <w:p w14:paraId="1E98709C" w14:textId="77777777" w:rsidR="00821CB9" w:rsidRPr="00F6387C" w:rsidRDefault="00821CB9" w:rsidP="00904884">
            <w:pPr>
              <w:pStyle w:val="Tabletext"/>
              <w:keepNext/>
            </w:pPr>
            <w:r w:rsidRPr="00F6387C">
              <w:t>In the November 2021 submission a market growth rate of 3% was used, in line with the Deed of Agreement for cladribine. This has been investigated in sensitivity analysis during the evaluation.</w:t>
            </w:r>
          </w:p>
        </w:tc>
      </w:tr>
      <w:tr w:rsidR="00821CB9" w:rsidRPr="00F6387C" w14:paraId="64332CB3" w14:textId="77777777" w:rsidTr="00904884">
        <w:trPr>
          <w:cantSplit/>
        </w:trPr>
        <w:tc>
          <w:tcPr>
            <w:tcW w:w="2122" w:type="dxa"/>
          </w:tcPr>
          <w:p w14:paraId="771D6294" w14:textId="77777777" w:rsidR="00821CB9" w:rsidRPr="00F6387C" w:rsidRDefault="00821CB9" w:rsidP="00904884">
            <w:pPr>
              <w:pStyle w:val="Tabletext"/>
              <w:keepNext/>
            </w:pPr>
            <w:r w:rsidRPr="00F6387C">
              <w:t>Proportion of cladribine units expected to be affected by effective price change (uptake rate in utilisation and cost model)</w:t>
            </w:r>
          </w:p>
        </w:tc>
        <w:tc>
          <w:tcPr>
            <w:tcW w:w="2693" w:type="dxa"/>
          </w:tcPr>
          <w:p w14:paraId="3D5BC9FE" w14:textId="77777777" w:rsidR="00821CB9" w:rsidRPr="00F6387C" w:rsidRDefault="00821CB9" w:rsidP="00904884">
            <w:pPr>
              <w:pStyle w:val="Tabletext"/>
              <w:keepNext/>
            </w:pPr>
            <w:r w:rsidRPr="00F6387C">
              <w:t>2022-2027 – 100%</w:t>
            </w:r>
          </w:p>
        </w:tc>
        <w:tc>
          <w:tcPr>
            <w:tcW w:w="1701" w:type="dxa"/>
          </w:tcPr>
          <w:p w14:paraId="0560E36D" w14:textId="77777777" w:rsidR="00821CB9" w:rsidRPr="00F6387C" w:rsidRDefault="00821CB9" w:rsidP="00904884">
            <w:pPr>
              <w:pStyle w:val="Tabletext"/>
              <w:keepNext/>
            </w:pPr>
            <w:r w:rsidRPr="00F6387C">
              <w:t>The proposed listing would result in an effective price change for all units.</w:t>
            </w:r>
          </w:p>
        </w:tc>
        <w:tc>
          <w:tcPr>
            <w:tcW w:w="2693" w:type="dxa"/>
          </w:tcPr>
          <w:p w14:paraId="71019161" w14:textId="77777777" w:rsidR="00821CB9" w:rsidRPr="00F6387C" w:rsidRDefault="00821CB9" w:rsidP="00904884">
            <w:pPr>
              <w:pStyle w:val="Tabletext"/>
              <w:keepNext/>
            </w:pPr>
            <w:r w:rsidRPr="00F6387C">
              <w:t>Reasonable.</w:t>
            </w:r>
          </w:p>
        </w:tc>
      </w:tr>
      <w:tr w:rsidR="00821CB9" w:rsidRPr="00F6387C" w14:paraId="2DA0D81C" w14:textId="77777777" w:rsidTr="00904884">
        <w:trPr>
          <w:cantSplit/>
        </w:trPr>
        <w:tc>
          <w:tcPr>
            <w:tcW w:w="2122" w:type="dxa"/>
          </w:tcPr>
          <w:p w14:paraId="1A46AF9D" w14:textId="77777777" w:rsidR="00821CB9" w:rsidRPr="00F6387C" w:rsidRDefault="00821CB9" w:rsidP="00540CC4">
            <w:pPr>
              <w:pStyle w:val="Tabletext"/>
            </w:pPr>
            <w:r w:rsidRPr="00F6387C">
              <w:t>Proportion of cladribine patients expected to remain treatment free after 2-year treatment regimen</w:t>
            </w:r>
          </w:p>
        </w:tc>
        <w:tc>
          <w:tcPr>
            <w:tcW w:w="2693" w:type="dxa"/>
          </w:tcPr>
          <w:p w14:paraId="24CBD2AF" w14:textId="77777777" w:rsidR="00821CB9" w:rsidRPr="00F6387C" w:rsidRDefault="00821CB9" w:rsidP="00540CC4">
            <w:pPr>
              <w:pStyle w:val="Tabletext"/>
            </w:pPr>
            <w:r w:rsidRPr="00F6387C">
              <w:t>Year 3 – 100%</w:t>
            </w:r>
          </w:p>
          <w:p w14:paraId="3A5E4357" w14:textId="77777777" w:rsidR="00821CB9" w:rsidRPr="00F6387C" w:rsidRDefault="00821CB9" w:rsidP="00540CC4">
            <w:pPr>
              <w:pStyle w:val="Tabletext"/>
            </w:pPr>
            <w:r w:rsidRPr="00F6387C">
              <w:t>Year 4 – 100%</w:t>
            </w:r>
          </w:p>
        </w:tc>
        <w:tc>
          <w:tcPr>
            <w:tcW w:w="1701" w:type="dxa"/>
          </w:tcPr>
          <w:p w14:paraId="4D4A2A2F" w14:textId="77777777" w:rsidR="00821CB9" w:rsidRPr="00F6387C" w:rsidRDefault="00821CB9" w:rsidP="00540CC4">
            <w:pPr>
              <w:pStyle w:val="Tabletext"/>
            </w:pPr>
            <w:r w:rsidRPr="00F6387C">
              <w:t>PBS 10% Medicare Sample Dataset</w:t>
            </w:r>
          </w:p>
        </w:tc>
        <w:tc>
          <w:tcPr>
            <w:tcW w:w="2693" w:type="dxa"/>
          </w:tcPr>
          <w:p w14:paraId="31413527" w14:textId="77777777" w:rsidR="00821CB9" w:rsidRPr="00F6387C" w:rsidRDefault="00821CB9" w:rsidP="00540CC4">
            <w:pPr>
              <w:pStyle w:val="Tabletext"/>
            </w:pPr>
            <w:r w:rsidRPr="00F6387C">
              <w:t>While the PBS 10% data indicated that no patients receiving cladribine would switch treatments during years 3 and 4, 4-year data was captured for a limited number of patients (29/310 patients initiating treatment) compared to fingolimod (511/978 patients initiating treatment). Consequently, the assumption that all patients on cladribine do not switch treatment in years 3 and 4 may not be robust. However, as this same assumption has been made for both proposed and affected cladribine, it thereby minimises the overall impact.</w:t>
            </w:r>
          </w:p>
        </w:tc>
      </w:tr>
      <w:tr w:rsidR="00821CB9" w:rsidRPr="00F6387C" w14:paraId="3ACD11D9" w14:textId="77777777" w:rsidTr="00904884">
        <w:trPr>
          <w:cantSplit/>
        </w:trPr>
        <w:tc>
          <w:tcPr>
            <w:tcW w:w="9209" w:type="dxa"/>
            <w:gridSpan w:val="4"/>
          </w:tcPr>
          <w:p w14:paraId="305B54B3" w14:textId="1C3613F1" w:rsidR="00821CB9" w:rsidRPr="00F6387C" w:rsidRDefault="00821CB9" w:rsidP="00540CC4">
            <w:pPr>
              <w:pStyle w:val="In-tableHeading"/>
              <w:rPr>
                <w:lang w:val="en-AU"/>
              </w:rPr>
            </w:pPr>
            <w:proofErr w:type="spellStart"/>
            <w:r w:rsidRPr="00F6387C">
              <w:rPr>
                <w:lang w:val="en-AU"/>
              </w:rPr>
              <w:t>Costs</w:t>
            </w:r>
            <w:r w:rsidRPr="00F6387C">
              <w:rPr>
                <w:vertAlign w:val="superscript"/>
                <w:lang w:val="en-AU"/>
              </w:rPr>
              <w:t>a</w:t>
            </w:r>
            <w:proofErr w:type="spellEnd"/>
            <w:r w:rsidRPr="00F6387C">
              <w:rPr>
                <w:vertAlign w:val="superscript"/>
                <w:lang w:val="en-AU"/>
              </w:rPr>
              <w:t xml:space="preserve"> b</w:t>
            </w:r>
          </w:p>
        </w:tc>
      </w:tr>
      <w:tr w:rsidR="00821CB9" w:rsidRPr="00F6387C" w14:paraId="27520884" w14:textId="77777777" w:rsidTr="00904884">
        <w:trPr>
          <w:cantSplit/>
        </w:trPr>
        <w:tc>
          <w:tcPr>
            <w:tcW w:w="2122" w:type="dxa"/>
          </w:tcPr>
          <w:p w14:paraId="68327BDC" w14:textId="281BCC07" w:rsidR="00821CB9" w:rsidRPr="00F6387C" w:rsidRDefault="00821CB9" w:rsidP="00540CC4">
            <w:pPr>
              <w:pStyle w:val="Tabletext"/>
            </w:pPr>
            <w:r w:rsidRPr="00F6387C">
              <w:t>Cladribine, 10</w:t>
            </w:r>
            <w:r w:rsidR="00222D76" w:rsidRPr="00F6387C">
              <w:t xml:space="preserve"> </w:t>
            </w:r>
            <w:r w:rsidRPr="00F6387C">
              <w:t>mg (pack size 1 tablet, maximum quantity 1 pack)</w:t>
            </w:r>
          </w:p>
        </w:tc>
        <w:tc>
          <w:tcPr>
            <w:tcW w:w="2693" w:type="dxa"/>
          </w:tcPr>
          <w:p w14:paraId="73C69271" w14:textId="77777777" w:rsidR="00821CB9" w:rsidRPr="00F6387C" w:rsidRDefault="00821CB9" w:rsidP="00540CC4">
            <w:pPr>
              <w:pStyle w:val="Tabletext"/>
            </w:pPr>
            <w:r w:rsidRPr="00F6387C">
              <w:t>Public AEMP - $3,641.39</w:t>
            </w:r>
          </w:p>
          <w:p w14:paraId="23ECEBFE" w14:textId="77777777" w:rsidR="00821CB9" w:rsidRPr="00F6387C" w:rsidRDefault="00821CB9" w:rsidP="00540CC4">
            <w:pPr>
              <w:pStyle w:val="Tabletext"/>
            </w:pPr>
            <w:r w:rsidRPr="00F6387C">
              <w:t>Public DPMQ - $3,803.52</w:t>
            </w:r>
          </w:p>
          <w:p w14:paraId="53263B53" w14:textId="445D2F13" w:rsidR="00821CB9" w:rsidRPr="00F6387C" w:rsidRDefault="00821CB9" w:rsidP="00540CC4">
            <w:pPr>
              <w:pStyle w:val="Tabletext"/>
            </w:pPr>
            <w:r w:rsidRPr="00F6387C">
              <w:t xml:space="preserve">Current effective AEMP – </w:t>
            </w:r>
            <w:r w:rsidR="00E56670">
              <w:t>$</w:t>
            </w:r>
            <w:r w:rsidR="00632E88" w:rsidRPr="00E56670">
              <w:rPr>
                <w:color w:val="000000"/>
                <w:spacing w:val="53"/>
                <w:shd w:val="solid" w:color="000000" w:fill="000000"/>
                <w:fitText w:val="330" w:id="-1031597568"/>
                <w14:textFill>
                  <w14:solidFill>
                    <w14:srgbClr w14:val="000000">
                      <w14:alpha w14:val="100000"/>
                    </w14:srgbClr>
                  </w14:solidFill>
                </w14:textFill>
              </w:rPr>
              <w:t>|||</w:t>
            </w:r>
            <w:r w:rsidR="00632E88" w:rsidRPr="00E56670">
              <w:rPr>
                <w:color w:val="000000"/>
                <w:spacing w:val="1"/>
                <w:shd w:val="solid" w:color="000000" w:fill="000000"/>
                <w:fitText w:val="330" w:id="-1031597568"/>
                <w14:textFill>
                  <w14:solidFill>
                    <w14:srgbClr w14:val="000000">
                      <w14:alpha w14:val="100000"/>
                    </w14:srgbClr>
                  </w14:solidFill>
                </w14:textFill>
              </w:rPr>
              <w:t>|</w:t>
            </w:r>
          </w:p>
          <w:p w14:paraId="7CBEC700" w14:textId="5036D249" w:rsidR="00821CB9" w:rsidRPr="00F6387C" w:rsidRDefault="00821CB9" w:rsidP="00540CC4">
            <w:pPr>
              <w:pStyle w:val="Tabletext"/>
            </w:pPr>
            <w:r w:rsidRPr="00F6387C">
              <w:t xml:space="preserve">Current effective DPMQ – </w:t>
            </w:r>
            <w:r w:rsidR="00E56670">
              <w:t>$</w:t>
            </w:r>
            <w:r w:rsidR="00632E88" w:rsidRPr="00E56670">
              <w:rPr>
                <w:color w:val="000000"/>
                <w:spacing w:val="53"/>
                <w:shd w:val="solid" w:color="000000" w:fill="000000"/>
                <w:fitText w:val="330" w:id="-1031597567"/>
                <w14:textFill>
                  <w14:solidFill>
                    <w14:srgbClr w14:val="000000">
                      <w14:alpha w14:val="100000"/>
                    </w14:srgbClr>
                  </w14:solidFill>
                </w14:textFill>
              </w:rPr>
              <w:t>|||</w:t>
            </w:r>
            <w:r w:rsidR="00632E88" w:rsidRPr="00E56670">
              <w:rPr>
                <w:color w:val="000000"/>
                <w:spacing w:val="1"/>
                <w:shd w:val="solid" w:color="000000" w:fill="000000"/>
                <w:fitText w:val="330" w:id="-1031597567"/>
                <w14:textFill>
                  <w14:solidFill>
                    <w14:srgbClr w14:val="000000">
                      <w14:alpha w14:val="100000"/>
                    </w14:srgbClr>
                  </w14:solidFill>
                </w14:textFill>
              </w:rPr>
              <w:t>|</w:t>
            </w:r>
          </w:p>
          <w:p w14:paraId="3DE541C3" w14:textId="1D5F98A1" w:rsidR="00821CB9" w:rsidRPr="00F6387C" w:rsidRDefault="00821CB9" w:rsidP="00540CC4">
            <w:pPr>
              <w:pStyle w:val="Tabletext"/>
            </w:pPr>
            <w:r w:rsidRPr="00F6387C">
              <w:t xml:space="preserve">Proposed effective AEMP - </w:t>
            </w:r>
            <w:r w:rsidR="00E56670">
              <w:t>$</w:t>
            </w:r>
            <w:r w:rsidR="00632E88" w:rsidRPr="00E56670">
              <w:rPr>
                <w:color w:val="000000"/>
                <w:spacing w:val="53"/>
                <w:shd w:val="solid" w:color="000000" w:fill="000000"/>
                <w:fitText w:val="330" w:id="-1031597566"/>
                <w14:textFill>
                  <w14:solidFill>
                    <w14:srgbClr w14:val="000000">
                      <w14:alpha w14:val="100000"/>
                    </w14:srgbClr>
                  </w14:solidFill>
                </w14:textFill>
              </w:rPr>
              <w:t>|||</w:t>
            </w:r>
            <w:r w:rsidR="00632E88" w:rsidRPr="00E56670">
              <w:rPr>
                <w:color w:val="000000"/>
                <w:spacing w:val="1"/>
                <w:shd w:val="solid" w:color="000000" w:fill="000000"/>
                <w:fitText w:val="330" w:id="-1031597566"/>
                <w14:textFill>
                  <w14:solidFill>
                    <w14:srgbClr w14:val="000000">
                      <w14:alpha w14:val="100000"/>
                    </w14:srgbClr>
                  </w14:solidFill>
                </w14:textFill>
              </w:rPr>
              <w:t>|</w:t>
            </w:r>
          </w:p>
          <w:p w14:paraId="1F18ABEF" w14:textId="7DB72B88" w:rsidR="00821CB9" w:rsidRPr="00F6387C" w:rsidRDefault="00821CB9" w:rsidP="00540CC4">
            <w:pPr>
              <w:pStyle w:val="Tabletext"/>
            </w:pPr>
            <w:r w:rsidRPr="00F6387C">
              <w:t xml:space="preserve">Proposed effective DPMQ - </w:t>
            </w:r>
            <w:r w:rsidR="00E56670">
              <w:t>$</w:t>
            </w:r>
            <w:r w:rsidR="00632E88" w:rsidRPr="00E56670">
              <w:rPr>
                <w:color w:val="000000"/>
                <w:spacing w:val="53"/>
                <w:shd w:val="solid" w:color="000000" w:fill="000000"/>
                <w:fitText w:val="330" w:id="-1031597565"/>
                <w14:textFill>
                  <w14:solidFill>
                    <w14:srgbClr w14:val="000000">
                      <w14:alpha w14:val="100000"/>
                    </w14:srgbClr>
                  </w14:solidFill>
                </w14:textFill>
              </w:rPr>
              <w:t>|||</w:t>
            </w:r>
            <w:r w:rsidR="00632E88" w:rsidRPr="00E56670">
              <w:rPr>
                <w:color w:val="000000"/>
                <w:spacing w:val="1"/>
                <w:shd w:val="solid" w:color="000000" w:fill="000000"/>
                <w:fitText w:val="330" w:id="-1031597565"/>
                <w14:textFill>
                  <w14:solidFill>
                    <w14:srgbClr w14:val="000000">
                      <w14:alpha w14:val="100000"/>
                    </w14:srgbClr>
                  </w14:solidFill>
                </w14:textFill>
              </w:rPr>
              <w:t>|</w:t>
            </w:r>
          </w:p>
        </w:tc>
        <w:tc>
          <w:tcPr>
            <w:tcW w:w="1701" w:type="dxa"/>
            <w:vMerge w:val="restart"/>
          </w:tcPr>
          <w:p w14:paraId="1088BE5A" w14:textId="77777777" w:rsidR="00821CB9" w:rsidRPr="00F6387C" w:rsidRDefault="00821CB9" w:rsidP="00540CC4">
            <w:pPr>
              <w:pStyle w:val="Tabletext"/>
            </w:pPr>
            <w:r w:rsidRPr="00F6387C">
              <w:t>Requested effective prices from revised CMA.</w:t>
            </w:r>
          </w:p>
          <w:p w14:paraId="68FB43F5" w14:textId="77777777" w:rsidR="00821CB9" w:rsidRPr="00F6387C" w:rsidRDefault="00821CB9" w:rsidP="00540CC4">
            <w:pPr>
              <w:pStyle w:val="Tabletext"/>
            </w:pPr>
            <w:r w:rsidRPr="00F6387C">
              <w:t>Requested effective price, based on CMA price for 1 tablet.</w:t>
            </w:r>
          </w:p>
          <w:p w14:paraId="0A6AEFDD" w14:textId="77777777" w:rsidR="00821CB9" w:rsidRPr="00F6387C" w:rsidRDefault="00821CB9" w:rsidP="00540CC4">
            <w:pPr>
              <w:pStyle w:val="Tabletext"/>
            </w:pPr>
            <w:r w:rsidRPr="00F6387C">
              <w:t>Public prices to remain the same.</w:t>
            </w:r>
          </w:p>
        </w:tc>
        <w:tc>
          <w:tcPr>
            <w:tcW w:w="2693" w:type="dxa"/>
            <w:vMerge w:val="restart"/>
          </w:tcPr>
          <w:p w14:paraId="4380AD4E" w14:textId="77777777" w:rsidR="00821CB9" w:rsidRPr="00F6387C" w:rsidRDefault="00821CB9" w:rsidP="00540CC4">
            <w:pPr>
              <w:pStyle w:val="Tabletext"/>
            </w:pPr>
            <w:r w:rsidRPr="00F6387C">
              <w:t>The financial estimates were updated to include the proposed cladribine AEMP and DPMQ from the revised CMA.</w:t>
            </w:r>
          </w:p>
          <w:p w14:paraId="72242A47" w14:textId="77777777" w:rsidR="00821CB9" w:rsidRPr="00F6387C" w:rsidRDefault="00821CB9" w:rsidP="00540CC4">
            <w:pPr>
              <w:pStyle w:val="Tabletext"/>
            </w:pPr>
            <w:r w:rsidRPr="00F6387C">
              <w:t>Proposed cladribine prices were likely over-estimated</w:t>
            </w:r>
            <w:r w:rsidR="008D2526" w:rsidRPr="00F6387C">
              <w:t>.</w:t>
            </w:r>
            <w:r w:rsidR="00587000" w:rsidRPr="00F6387C">
              <w:t xml:space="preserve"> </w:t>
            </w:r>
          </w:p>
          <w:p w14:paraId="1C149CCE" w14:textId="77777777" w:rsidR="00587000" w:rsidRPr="00F6387C" w:rsidRDefault="00587000" w:rsidP="00540CC4">
            <w:pPr>
              <w:pStyle w:val="Tabletext"/>
            </w:pPr>
          </w:p>
          <w:p w14:paraId="02D66B9A" w14:textId="6F7F2F50" w:rsidR="00587000" w:rsidRPr="00F6387C" w:rsidRDefault="00587000" w:rsidP="00540CC4">
            <w:pPr>
              <w:pStyle w:val="Tabletext"/>
              <w:rPr>
                <w:iCs/>
              </w:rPr>
            </w:pPr>
            <w:r w:rsidRPr="00F6387C">
              <w:rPr>
                <w:iCs/>
              </w:rPr>
              <w:t xml:space="preserve">The PSCR proposed a lower AEMP of </w:t>
            </w:r>
            <w:r w:rsidR="00E56670">
              <w:rPr>
                <w:iCs/>
              </w:rPr>
              <w:t>$</w:t>
            </w:r>
            <w:r w:rsidR="00632E88" w:rsidRPr="00E56670">
              <w:rPr>
                <w:iCs/>
                <w:color w:val="000000"/>
                <w:spacing w:val="53"/>
                <w:shd w:val="solid" w:color="000000" w:fill="000000"/>
                <w:fitText w:val="330" w:id="-1031597564"/>
                <w14:textFill>
                  <w14:solidFill>
                    <w14:srgbClr w14:val="000000">
                      <w14:alpha w14:val="100000"/>
                    </w14:srgbClr>
                  </w14:solidFill>
                </w14:textFill>
              </w:rPr>
              <w:t>|||</w:t>
            </w:r>
            <w:r w:rsidR="00632E88" w:rsidRPr="00E56670">
              <w:rPr>
                <w:iCs/>
                <w:color w:val="000000"/>
                <w:spacing w:val="1"/>
                <w:shd w:val="solid" w:color="000000" w:fill="000000"/>
                <w:fitText w:val="330" w:id="-1031597564"/>
                <w14:textFill>
                  <w14:solidFill>
                    <w14:srgbClr w14:val="000000">
                      <w14:alpha w14:val="100000"/>
                    </w14:srgbClr>
                  </w14:solidFill>
                </w14:textFill>
              </w:rPr>
              <w:t>|</w:t>
            </w:r>
            <w:r w:rsidRPr="00F6387C">
              <w:rPr>
                <w:iCs/>
              </w:rPr>
              <w:t xml:space="preserve"> per tablet to account for use of cladribine in years 3 and 4 in the PBS 10% sample.</w:t>
            </w:r>
          </w:p>
          <w:p w14:paraId="3D009C83" w14:textId="77777777" w:rsidR="001A7D76" w:rsidRPr="00F6387C" w:rsidRDefault="001A7D76" w:rsidP="00540CC4">
            <w:pPr>
              <w:pStyle w:val="Tabletext"/>
              <w:rPr>
                <w:iCs/>
              </w:rPr>
            </w:pPr>
          </w:p>
          <w:p w14:paraId="3A854FC5" w14:textId="27F1ED5A" w:rsidR="001A7D76" w:rsidRPr="00F6387C" w:rsidRDefault="001A7D76" w:rsidP="00540CC4">
            <w:pPr>
              <w:pStyle w:val="Tabletext"/>
              <w:rPr>
                <w:i/>
                <w:iCs/>
              </w:rPr>
            </w:pPr>
            <w:r w:rsidRPr="00F6387C">
              <w:rPr>
                <w:iCs/>
              </w:rPr>
              <w:t xml:space="preserve">The pre-PBAC </w:t>
            </w:r>
            <w:r w:rsidR="00AD3A9A" w:rsidRPr="00F6387C">
              <w:rPr>
                <w:iCs/>
              </w:rPr>
              <w:t>R</w:t>
            </w:r>
            <w:r w:rsidRPr="00F6387C">
              <w:rPr>
                <w:iCs/>
              </w:rPr>
              <w:t>esponse</w:t>
            </w:r>
            <w:r w:rsidR="00DD37B0">
              <w:rPr>
                <w:iCs/>
              </w:rPr>
              <w:t xml:space="preserve"> </w:t>
            </w:r>
            <w:r w:rsidRPr="00F6387C">
              <w:rPr>
                <w:iCs/>
              </w:rPr>
              <w:t xml:space="preserve">proposed a further reduction in the AEMP to </w:t>
            </w:r>
            <w:r w:rsidR="00E56670">
              <w:rPr>
                <w:iCs/>
              </w:rPr>
              <w:t>$</w:t>
            </w:r>
            <w:r w:rsidR="00632E88" w:rsidRPr="00E56670">
              <w:rPr>
                <w:iCs/>
                <w:color w:val="000000"/>
                <w:spacing w:val="53"/>
                <w:shd w:val="solid" w:color="000000" w:fill="000000"/>
                <w:fitText w:val="330" w:id="-1031597563"/>
                <w14:textFill>
                  <w14:solidFill>
                    <w14:srgbClr w14:val="000000">
                      <w14:alpha w14:val="100000"/>
                    </w14:srgbClr>
                  </w14:solidFill>
                </w14:textFill>
              </w:rPr>
              <w:t>|||</w:t>
            </w:r>
            <w:r w:rsidR="00632E88" w:rsidRPr="00E56670">
              <w:rPr>
                <w:iCs/>
                <w:color w:val="000000"/>
                <w:spacing w:val="1"/>
                <w:shd w:val="solid" w:color="000000" w:fill="000000"/>
                <w:fitText w:val="330" w:id="-1031597563"/>
                <w14:textFill>
                  <w14:solidFill>
                    <w14:srgbClr w14:val="000000">
                      <w14:alpha w14:val="100000"/>
                    </w14:srgbClr>
                  </w14:solidFill>
                </w14:textFill>
              </w:rPr>
              <w:t>|</w:t>
            </w:r>
            <w:r w:rsidRPr="00F6387C">
              <w:rPr>
                <w:iCs/>
              </w:rPr>
              <w:t>.</w:t>
            </w:r>
            <w:r w:rsidR="00A7003A" w:rsidRPr="00F6387C">
              <w:rPr>
                <w:iCs/>
              </w:rPr>
              <w:t xml:space="preserve"> The financial estimates below are based on the original submission, unless otherwise noted.</w:t>
            </w:r>
          </w:p>
        </w:tc>
      </w:tr>
      <w:tr w:rsidR="00821CB9" w:rsidRPr="00F6387C" w14:paraId="740BAAAE" w14:textId="77777777" w:rsidTr="00904884">
        <w:trPr>
          <w:cantSplit/>
        </w:trPr>
        <w:tc>
          <w:tcPr>
            <w:tcW w:w="2122" w:type="dxa"/>
          </w:tcPr>
          <w:p w14:paraId="111D8287" w14:textId="2842DCC2" w:rsidR="00821CB9" w:rsidRPr="00F6387C" w:rsidRDefault="00821CB9" w:rsidP="00540CC4">
            <w:pPr>
              <w:pStyle w:val="Tabletext"/>
            </w:pPr>
            <w:r w:rsidRPr="00F6387C">
              <w:t>Cladribine, 10</w:t>
            </w:r>
            <w:r w:rsidR="00222D76" w:rsidRPr="00F6387C">
              <w:t xml:space="preserve"> </w:t>
            </w:r>
            <w:r w:rsidRPr="00F6387C">
              <w:t>mg (pack size 4 tablets, maximum quantity 2 packs, repeats 1)</w:t>
            </w:r>
          </w:p>
        </w:tc>
        <w:tc>
          <w:tcPr>
            <w:tcW w:w="2693" w:type="dxa"/>
          </w:tcPr>
          <w:p w14:paraId="34252EF7" w14:textId="77777777" w:rsidR="00821CB9" w:rsidRPr="00F6387C" w:rsidRDefault="00821CB9" w:rsidP="00540CC4">
            <w:pPr>
              <w:pStyle w:val="Tabletext"/>
            </w:pPr>
            <w:r w:rsidRPr="00F6387C">
              <w:t>Public AEMP - $14,565.56</w:t>
            </w:r>
          </w:p>
          <w:p w14:paraId="11877CDF" w14:textId="77777777" w:rsidR="00821CB9" w:rsidRPr="00F6387C" w:rsidRDefault="00821CB9" w:rsidP="00540CC4">
            <w:pPr>
              <w:pStyle w:val="Tabletext"/>
            </w:pPr>
            <w:r w:rsidRPr="00F6387C">
              <w:t>Public DPMQ - $29,293.25</w:t>
            </w:r>
          </w:p>
          <w:p w14:paraId="15CE20E6" w14:textId="2599CC84" w:rsidR="00821CB9" w:rsidRPr="00F6387C" w:rsidRDefault="00821CB9" w:rsidP="00540CC4">
            <w:pPr>
              <w:pStyle w:val="Tabletext"/>
            </w:pPr>
            <w:r w:rsidRPr="00F6387C">
              <w:t xml:space="preserve">Current effective AEMP – </w:t>
            </w:r>
            <w:r w:rsidR="00E56670">
              <w:t>$</w:t>
            </w:r>
            <w:r w:rsidR="00632E88" w:rsidRPr="00E56670">
              <w:rPr>
                <w:color w:val="000000"/>
                <w:spacing w:val="53"/>
                <w:shd w:val="solid" w:color="000000" w:fill="000000"/>
                <w:fitText w:val="330" w:id="-1031597562"/>
                <w14:textFill>
                  <w14:solidFill>
                    <w14:srgbClr w14:val="000000">
                      <w14:alpha w14:val="100000"/>
                    </w14:srgbClr>
                  </w14:solidFill>
                </w14:textFill>
              </w:rPr>
              <w:t>|||</w:t>
            </w:r>
            <w:r w:rsidR="00632E88" w:rsidRPr="00E56670">
              <w:rPr>
                <w:color w:val="000000"/>
                <w:spacing w:val="1"/>
                <w:shd w:val="solid" w:color="000000" w:fill="000000"/>
                <w:fitText w:val="330" w:id="-1031597562"/>
                <w14:textFill>
                  <w14:solidFill>
                    <w14:srgbClr w14:val="000000">
                      <w14:alpha w14:val="100000"/>
                    </w14:srgbClr>
                  </w14:solidFill>
                </w14:textFill>
              </w:rPr>
              <w:t>|</w:t>
            </w:r>
          </w:p>
          <w:p w14:paraId="1FD0DFA3" w14:textId="1126BEFE" w:rsidR="00821CB9" w:rsidRPr="00F6387C" w:rsidRDefault="00821CB9" w:rsidP="00540CC4">
            <w:pPr>
              <w:pStyle w:val="Tabletext"/>
            </w:pPr>
            <w:r w:rsidRPr="00F6387C">
              <w:t xml:space="preserve">Current effective DPMQ – </w:t>
            </w:r>
            <w:r w:rsidR="00E56670">
              <w:t>$</w:t>
            </w:r>
            <w:r w:rsidR="00632E88" w:rsidRPr="00E56670">
              <w:rPr>
                <w:color w:val="000000"/>
                <w:spacing w:val="53"/>
                <w:shd w:val="solid" w:color="000000" w:fill="000000"/>
                <w:fitText w:val="330" w:id="-1031597561"/>
                <w14:textFill>
                  <w14:solidFill>
                    <w14:srgbClr w14:val="000000">
                      <w14:alpha w14:val="100000"/>
                    </w14:srgbClr>
                  </w14:solidFill>
                </w14:textFill>
              </w:rPr>
              <w:t>|||</w:t>
            </w:r>
            <w:r w:rsidR="00632E88" w:rsidRPr="00E56670">
              <w:rPr>
                <w:color w:val="000000"/>
                <w:spacing w:val="1"/>
                <w:shd w:val="solid" w:color="000000" w:fill="000000"/>
                <w:fitText w:val="330" w:id="-1031597561"/>
                <w14:textFill>
                  <w14:solidFill>
                    <w14:srgbClr w14:val="000000">
                      <w14:alpha w14:val="100000"/>
                    </w14:srgbClr>
                  </w14:solidFill>
                </w14:textFill>
              </w:rPr>
              <w:t>|</w:t>
            </w:r>
          </w:p>
          <w:p w14:paraId="2B204004" w14:textId="5B88020A" w:rsidR="00821CB9" w:rsidRPr="00F6387C" w:rsidRDefault="00821CB9" w:rsidP="00540CC4">
            <w:pPr>
              <w:pStyle w:val="Tabletext"/>
            </w:pPr>
            <w:r w:rsidRPr="00F6387C">
              <w:t xml:space="preserve">Proposed effective AEMP - </w:t>
            </w:r>
            <w:r w:rsidR="00E56670">
              <w:t>$</w:t>
            </w:r>
            <w:r w:rsidR="00632E88" w:rsidRPr="00E56670">
              <w:rPr>
                <w:color w:val="000000"/>
                <w:spacing w:val="53"/>
                <w:shd w:val="solid" w:color="000000" w:fill="000000"/>
                <w:fitText w:val="330" w:id="-1031597560"/>
                <w14:textFill>
                  <w14:solidFill>
                    <w14:srgbClr w14:val="000000">
                      <w14:alpha w14:val="100000"/>
                    </w14:srgbClr>
                  </w14:solidFill>
                </w14:textFill>
              </w:rPr>
              <w:t>|||</w:t>
            </w:r>
            <w:r w:rsidR="00632E88" w:rsidRPr="00E56670">
              <w:rPr>
                <w:color w:val="000000"/>
                <w:spacing w:val="1"/>
                <w:shd w:val="solid" w:color="000000" w:fill="000000"/>
                <w:fitText w:val="330" w:id="-1031597560"/>
                <w14:textFill>
                  <w14:solidFill>
                    <w14:srgbClr w14:val="000000">
                      <w14:alpha w14:val="100000"/>
                    </w14:srgbClr>
                  </w14:solidFill>
                </w14:textFill>
              </w:rPr>
              <w:t>|</w:t>
            </w:r>
          </w:p>
          <w:p w14:paraId="0F449E17" w14:textId="563C15B7" w:rsidR="00821CB9" w:rsidRPr="00F6387C" w:rsidRDefault="00821CB9" w:rsidP="00540CC4">
            <w:pPr>
              <w:pStyle w:val="Tabletext"/>
            </w:pPr>
            <w:r w:rsidRPr="00F6387C">
              <w:t xml:space="preserve">Proposed effective DPMQ - </w:t>
            </w:r>
            <w:r w:rsidR="00E56670">
              <w:t>$</w:t>
            </w:r>
            <w:r w:rsidR="00632E88" w:rsidRPr="00E56670">
              <w:rPr>
                <w:color w:val="000000"/>
                <w:spacing w:val="53"/>
                <w:shd w:val="solid" w:color="000000" w:fill="000000"/>
                <w:fitText w:val="330" w:id="-1031597559"/>
                <w14:textFill>
                  <w14:solidFill>
                    <w14:srgbClr w14:val="000000">
                      <w14:alpha w14:val="100000"/>
                    </w14:srgbClr>
                  </w14:solidFill>
                </w14:textFill>
              </w:rPr>
              <w:t>|||</w:t>
            </w:r>
            <w:r w:rsidR="00632E88" w:rsidRPr="00E56670">
              <w:rPr>
                <w:color w:val="000000"/>
                <w:spacing w:val="1"/>
                <w:shd w:val="solid" w:color="000000" w:fill="000000"/>
                <w:fitText w:val="330" w:id="-1031597559"/>
                <w14:textFill>
                  <w14:solidFill>
                    <w14:srgbClr w14:val="000000">
                      <w14:alpha w14:val="100000"/>
                    </w14:srgbClr>
                  </w14:solidFill>
                </w14:textFill>
              </w:rPr>
              <w:t>|</w:t>
            </w:r>
          </w:p>
        </w:tc>
        <w:tc>
          <w:tcPr>
            <w:tcW w:w="1701" w:type="dxa"/>
            <w:vMerge/>
          </w:tcPr>
          <w:p w14:paraId="56719A84" w14:textId="77777777" w:rsidR="00821CB9" w:rsidRPr="00F6387C" w:rsidRDefault="00821CB9" w:rsidP="00540CC4">
            <w:pPr>
              <w:pStyle w:val="Tabletext"/>
            </w:pPr>
          </w:p>
        </w:tc>
        <w:tc>
          <w:tcPr>
            <w:tcW w:w="2693" w:type="dxa"/>
            <w:vMerge/>
          </w:tcPr>
          <w:p w14:paraId="5F41A2B4" w14:textId="77777777" w:rsidR="00821CB9" w:rsidRPr="00F6387C" w:rsidRDefault="00821CB9" w:rsidP="00540CC4">
            <w:pPr>
              <w:pStyle w:val="Tabletext"/>
            </w:pPr>
          </w:p>
        </w:tc>
      </w:tr>
      <w:tr w:rsidR="00821CB9" w:rsidRPr="00F6387C" w14:paraId="2FC30B1F" w14:textId="77777777" w:rsidTr="00904884">
        <w:trPr>
          <w:cantSplit/>
        </w:trPr>
        <w:tc>
          <w:tcPr>
            <w:tcW w:w="2122" w:type="dxa"/>
          </w:tcPr>
          <w:p w14:paraId="7E9FC680" w14:textId="78BDE68E" w:rsidR="00821CB9" w:rsidRPr="00F6387C" w:rsidRDefault="00821CB9" w:rsidP="00540CC4">
            <w:pPr>
              <w:pStyle w:val="Tabletext"/>
            </w:pPr>
            <w:r w:rsidRPr="00F6387C">
              <w:t>Cladribine, 10</w:t>
            </w:r>
            <w:r w:rsidR="00222D76" w:rsidRPr="00F6387C">
              <w:t xml:space="preserve"> </w:t>
            </w:r>
            <w:r w:rsidRPr="00F6387C">
              <w:t>mg (pack size 6 tablets, maximum quantity 1 pack)</w:t>
            </w:r>
          </w:p>
        </w:tc>
        <w:tc>
          <w:tcPr>
            <w:tcW w:w="2693" w:type="dxa"/>
          </w:tcPr>
          <w:p w14:paraId="528F0EEA" w14:textId="77777777" w:rsidR="00821CB9" w:rsidRPr="00F6387C" w:rsidRDefault="00821CB9" w:rsidP="00540CC4">
            <w:pPr>
              <w:pStyle w:val="Tabletext"/>
            </w:pPr>
            <w:r w:rsidRPr="00F6387C">
              <w:t>Public AEMP - $21,848.34</w:t>
            </w:r>
          </w:p>
          <w:p w14:paraId="553C0EEF" w14:textId="77777777" w:rsidR="00821CB9" w:rsidRPr="00F6387C" w:rsidRDefault="00821CB9" w:rsidP="00540CC4">
            <w:pPr>
              <w:pStyle w:val="Tabletext"/>
            </w:pPr>
            <w:r w:rsidRPr="00F6387C">
              <w:t>Public effective DPMQ - $22,010.47</w:t>
            </w:r>
          </w:p>
          <w:p w14:paraId="7C15BE30" w14:textId="2E420CAC" w:rsidR="00821CB9" w:rsidRPr="00F6387C" w:rsidRDefault="00821CB9" w:rsidP="00540CC4">
            <w:pPr>
              <w:pStyle w:val="Tabletext"/>
            </w:pPr>
            <w:r w:rsidRPr="00F6387C">
              <w:t xml:space="preserve">Current effective AEMP – </w:t>
            </w:r>
            <w:r w:rsidR="00E56670">
              <w:t>$</w:t>
            </w:r>
            <w:r w:rsidR="00632E88" w:rsidRPr="00E56670">
              <w:rPr>
                <w:color w:val="000000"/>
                <w:spacing w:val="53"/>
                <w:shd w:val="solid" w:color="000000" w:fill="000000"/>
                <w:fitText w:val="330" w:id="-1031597558"/>
                <w14:textFill>
                  <w14:solidFill>
                    <w14:srgbClr w14:val="000000">
                      <w14:alpha w14:val="100000"/>
                    </w14:srgbClr>
                  </w14:solidFill>
                </w14:textFill>
              </w:rPr>
              <w:t>|||</w:t>
            </w:r>
            <w:r w:rsidR="00632E88" w:rsidRPr="00E56670">
              <w:rPr>
                <w:color w:val="000000"/>
                <w:spacing w:val="1"/>
                <w:shd w:val="solid" w:color="000000" w:fill="000000"/>
                <w:fitText w:val="330" w:id="-1031597558"/>
                <w14:textFill>
                  <w14:solidFill>
                    <w14:srgbClr w14:val="000000">
                      <w14:alpha w14:val="100000"/>
                    </w14:srgbClr>
                  </w14:solidFill>
                </w14:textFill>
              </w:rPr>
              <w:t>|</w:t>
            </w:r>
          </w:p>
          <w:p w14:paraId="692E2FB2" w14:textId="37ADC678" w:rsidR="00821CB9" w:rsidRPr="00F6387C" w:rsidRDefault="00821CB9" w:rsidP="00540CC4">
            <w:pPr>
              <w:pStyle w:val="Tabletext"/>
            </w:pPr>
            <w:r w:rsidRPr="00F6387C">
              <w:t xml:space="preserve">Current effective DPMQ – </w:t>
            </w:r>
            <w:r w:rsidR="00E56670">
              <w:t>$</w:t>
            </w:r>
            <w:r w:rsidR="00632E88" w:rsidRPr="00E56670">
              <w:rPr>
                <w:color w:val="000000"/>
                <w:spacing w:val="53"/>
                <w:shd w:val="solid" w:color="000000" w:fill="000000"/>
                <w:fitText w:val="330" w:id="-1031597557"/>
                <w14:textFill>
                  <w14:solidFill>
                    <w14:srgbClr w14:val="000000">
                      <w14:alpha w14:val="100000"/>
                    </w14:srgbClr>
                  </w14:solidFill>
                </w14:textFill>
              </w:rPr>
              <w:t>|||</w:t>
            </w:r>
            <w:r w:rsidR="00632E88" w:rsidRPr="00E56670">
              <w:rPr>
                <w:color w:val="000000"/>
                <w:spacing w:val="1"/>
                <w:shd w:val="solid" w:color="000000" w:fill="000000"/>
                <w:fitText w:val="330" w:id="-1031597557"/>
                <w14:textFill>
                  <w14:solidFill>
                    <w14:srgbClr w14:val="000000">
                      <w14:alpha w14:val="100000"/>
                    </w14:srgbClr>
                  </w14:solidFill>
                </w14:textFill>
              </w:rPr>
              <w:t>|</w:t>
            </w:r>
          </w:p>
          <w:p w14:paraId="2BE8AE09" w14:textId="45C6C869" w:rsidR="00821CB9" w:rsidRPr="00F6387C" w:rsidRDefault="00821CB9" w:rsidP="00540CC4">
            <w:pPr>
              <w:pStyle w:val="Tabletext"/>
            </w:pPr>
            <w:r w:rsidRPr="00F6387C">
              <w:t xml:space="preserve">Proposed effective AEMP - </w:t>
            </w:r>
            <w:r w:rsidR="00E56670">
              <w:t>$</w:t>
            </w:r>
            <w:r w:rsidR="00632E88" w:rsidRPr="00E56670">
              <w:rPr>
                <w:color w:val="000000"/>
                <w:spacing w:val="53"/>
                <w:shd w:val="solid" w:color="000000" w:fill="000000"/>
                <w:fitText w:val="330" w:id="-1031597556"/>
                <w14:textFill>
                  <w14:solidFill>
                    <w14:srgbClr w14:val="000000">
                      <w14:alpha w14:val="100000"/>
                    </w14:srgbClr>
                  </w14:solidFill>
                </w14:textFill>
              </w:rPr>
              <w:t>|||</w:t>
            </w:r>
            <w:r w:rsidR="00632E88" w:rsidRPr="00E56670">
              <w:rPr>
                <w:color w:val="000000"/>
                <w:spacing w:val="1"/>
                <w:shd w:val="solid" w:color="000000" w:fill="000000"/>
                <w:fitText w:val="330" w:id="-1031597556"/>
                <w14:textFill>
                  <w14:solidFill>
                    <w14:srgbClr w14:val="000000">
                      <w14:alpha w14:val="100000"/>
                    </w14:srgbClr>
                  </w14:solidFill>
                </w14:textFill>
              </w:rPr>
              <w:t>|</w:t>
            </w:r>
          </w:p>
          <w:p w14:paraId="1869581A" w14:textId="748208D2" w:rsidR="00821CB9" w:rsidRPr="00F6387C" w:rsidRDefault="00821CB9" w:rsidP="00540CC4">
            <w:pPr>
              <w:pStyle w:val="Tabletext"/>
            </w:pPr>
            <w:r w:rsidRPr="00F6387C">
              <w:t xml:space="preserve">Proposed effective DPMQ - </w:t>
            </w:r>
            <w:r w:rsidR="00E56670">
              <w:t>$</w:t>
            </w:r>
            <w:r w:rsidR="00632E88" w:rsidRPr="00E56670">
              <w:rPr>
                <w:color w:val="000000"/>
                <w:spacing w:val="53"/>
                <w:shd w:val="solid" w:color="000000" w:fill="000000"/>
                <w:fitText w:val="330" w:id="-1031597555"/>
                <w14:textFill>
                  <w14:solidFill>
                    <w14:srgbClr w14:val="000000">
                      <w14:alpha w14:val="100000"/>
                    </w14:srgbClr>
                  </w14:solidFill>
                </w14:textFill>
              </w:rPr>
              <w:t>|||</w:t>
            </w:r>
            <w:r w:rsidR="00632E88" w:rsidRPr="00E56670">
              <w:rPr>
                <w:color w:val="000000"/>
                <w:spacing w:val="1"/>
                <w:shd w:val="solid" w:color="000000" w:fill="000000"/>
                <w:fitText w:val="330" w:id="-1031597555"/>
                <w14:textFill>
                  <w14:solidFill>
                    <w14:srgbClr w14:val="000000">
                      <w14:alpha w14:val="100000"/>
                    </w14:srgbClr>
                  </w14:solidFill>
                </w14:textFill>
              </w:rPr>
              <w:t>|</w:t>
            </w:r>
          </w:p>
        </w:tc>
        <w:tc>
          <w:tcPr>
            <w:tcW w:w="1701" w:type="dxa"/>
            <w:vMerge/>
          </w:tcPr>
          <w:p w14:paraId="1C65A634" w14:textId="77777777" w:rsidR="00821CB9" w:rsidRPr="00F6387C" w:rsidRDefault="00821CB9" w:rsidP="00540CC4">
            <w:pPr>
              <w:pStyle w:val="Tabletext"/>
            </w:pPr>
          </w:p>
        </w:tc>
        <w:tc>
          <w:tcPr>
            <w:tcW w:w="2693" w:type="dxa"/>
            <w:vMerge/>
          </w:tcPr>
          <w:p w14:paraId="02A5DAAF" w14:textId="77777777" w:rsidR="00821CB9" w:rsidRPr="00F6387C" w:rsidRDefault="00821CB9" w:rsidP="00540CC4">
            <w:pPr>
              <w:pStyle w:val="Tabletext"/>
            </w:pPr>
          </w:p>
        </w:tc>
      </w:tr>
      <w:tr w:rsidR="00821CB9" w:rsidRPr="00F6387C" w14:paraId="6B5F4B34" w14:textId="77777777" w:rsidTr="00904884">
        <w:trPr>
          <w:cantSplit/>
        </w:trPr>
        <w:tc>
          <w:tcPr>
            <w:tcW w:w="2122" w:type="dxa"/>
          </w:tcPr>
          <w:p w14:paraId="688E69CC" w14:textId="77777777" w:rsidR="00821CB9" w:rsidRPr="00F6387C" w:rsidRDefault="00821CB9" w:rsidP="00540CC4">
            <w:pPr>
              <w:pStyle w:val="Tabletext"/>
            </w:pPr>
            <w:r w:rsidRPr="00F6387C">
              <w:t>Patient co-payment</w:t>
            </w:r>
          </w:p>
        </w:tc>
        <w:tc>
          <w:tcPr>
            <w:tcW w:w="2693" w:type="dxa"/>
          </w:tcPr>
          <w:p w14:paraId="3A7D972B" w14:textId="77777777" w:rsidR="00821CB9" w:rsidRPr="00F6387C" w:rsidRDefault="00821CB9" w:rsidP="00540CC4">
            <w:pPr>
              <w:pStyle w:val="Tabletext"/>
            </w:pPr>
            <w:r w:rsidRPr="00F6387C">
              <w:t>PBS: $21.68</w:t>
            </w:r>
          </w:p>
          <w:p w14:paraId="7F1D2136" w14:textId="77777777" w:rsidR="00821CB9" w:rsidRPr="00F6387C" w:rsidRDefault="00821CB9" w:rsidP="00540CC4">
            <w:pPr>
              <w:pStyle w:val="Tabletext"/>
            </w:pPr>
            <w:r w:rsidRPr="00F6387C">
              <w:t>RPBS: $6.60</w:t>
            </w:r>
          </w:p>
        </w:tc>
        <w:tc>
          <w:tcPr>
            <w:tcW w:w="1701" w:type="dxa"/>
          </w:tcPr>
          <w:p w14:paraId="1B901798" w14:textId="77777777" w:rsidR="00821CB9" w:rsidRPr="00F6387C" w:rsidRDefault="00821CB9" w:rsidP="00540CC4">
            <w:pPr>
              <w:pStyle w:val="Tabletext"/>
            </w:pPr>
            <w:r w:rsidRPr="00F6387C">
              <w:t>PBS statistics for 2022 for the current cladribine items (11603Q, 11604R, 11611D)</w:t>
            </w:r>
          </w:p>
        </w:tc>
        <w:tc>
          <w:tcPr>
            <w:tcW w:w="2693" w:type="dxa"/>
          </w:tcPr>
          <w:p w14:paraId="6C2F3DB5" w14:textId="6BFAF104" w:rsidR="00821CB9" w:rsidRPr="00F6387C" w:rsidRDefault="00821CB9" w:rsidP="00540CC4">
            <w:pPr>
              <w:pStyle w:val="Tabletext"/>
            </w:pPr>
            <w:r w:rsidRPr="00F6387C">
              <w:t xml:space="preserve">The resubmission included a PBS general </w:t>
            </w:r>
            <w:r w:rsidR="00F6387C" w:rsidRPr="00F6387C">
              <w:t>co-payment</w:t>
            </w:r>
            <w:r w:rsidRPr="00F6387C">
              <w:t xml:space="preserve"> of $41.30. This was changed to $30.00 during the evaluation</w:t>
            </w:r>
            <w:r w:rsidRPr="00F6387C">
              <w:rPr>
                <w:iCs/>
              </w:rPr>
              <w:t>.</w:t>
            </w:r>
          </w:p>
        </w:tc>
      </w:tr>
    </w:tbl>
    <w:p w14:paraId="41D503CD" w14:textId="6447D3E7" w:rsidR="00821CB9" w:rsidRPr="00F6387C" w:rsidRDefault="00821CB9" w:rsidP="00821CB9">
      <w:pPr>
        <w:pStyle w:val="TableFooter"/>
      </w:pPr>
      <w:r w:rsidRPr="00F6387C">
        <w:t>AEMP = A</w:t>
      </w:r>
      <w:r w:rsidR="00856FDC">
        <w:t>pproved</w:t>
      </w:r>
      <w:r w:rsidRPr="00F6387C">
        <w:t xml:space="preserve"> ex-manufacturer price; CMA = cost-minimisation approach; DPMQ = dispensed price maximum quantity; PBS = Pharmaceutical Benefits Scheme; RPBS = Repatriation Pharmaceutical Benefits Scheme.</w:t>
      </w:r>
    </w:p>
    <w:p w14:paraId="23FF9755" w14:textId="77777777" w:rsidR="00821CB9" w:rsidRPr="00F6387C" w:rsidRDefault="00821CB9" w:rsidP="00821CB9">
      <w:pPr>
        <w:pStyle w:val="FooterTableFigure"/>
      </w:pPr>
      <w:r w:rsidRPr="00F6387C">
        <w:rPr>
          <w:vertAlign w:val="superscript"/>
        </w:rPr>
        <w:t>a</w:t>
      </w:r>
      <w:r w:rsidRPr="00F6387C">
        <w:t xml:space="preserve"> Published PBS prices effective July 2023.</w:t>
      </w:r>
    </w:p>
    <w:p w14:paraId="1F5D52C6" w14:textId="77777777" w:rsidR="00821CB9" w:rsidRPr="00F6387C" w:rsidRDefault="00821CB9" w:rsidP="00821CB9">
      <w:pPr>
        <w:pStyle w:val="FooterTableFigure"/>
      </w:pPr>
      <w:r w:rsidRPr="00F6387C">
        <w:rPr>
          <w:vertAlign w:val="superscript"/>
        </w:rPr>
        <w:t>b</w:t>
      </w:r>
      <w:r w:rsidRPr="00F6387C">
        <w:t xml:space="preserve"> Effective AEMP from updated CMA (provided by sponsor during evaluation). Effective DPMQ were calculated during the evaluation to align with the updated CMA.</w:t>
      </w:r>
    </w:p>
    <w:p w14:paraId="7BD6D97F" w14:textId="54977169" w:rsidR="00821CB9" w:rsidRPr="00F6387C" w:rsidRDefault="00821CB9" w:rsidP="00821CB9">
      <w:pPr>
        <w:pStyle w:val="FooterTableFigure"/>
      </w:pPr>
      <w:r w:rsidRPr="00F6387C">
        <w:t>Source: Tables 48 and 49, pp79-80 of the resubmission</w:t>
      </w:r>
    </w:p>
    <w:p w14:paraId="7C62D073" w14:textId="77777777" w:rsidR="00821CB9" w:rsidRPr="00F6387C" w:rsidRDefault="00821CB9" w:rsidP="00821CB9">
      <w:pPr>
        <w:pStyle w:val="3-BodyText"/>
      </w:pPr>
      <w:r w:rsidRPr="00F6387C">
        <w:t>The resubmission used a market-share approach to estimate cladribine utilisation. The resubmission reasonably claimed that the proposed effective price change to cladribine is not expected to affect the utilisation of fingolimod or any other DMTs.</w:t>
      </w:r>
    </w:p>
    <w:p w14:paraId="75E3BA98" w14:textId="0647BC62" w:rsidR="00821CB9" w:rsidRPr="00F6387C" w:rsidRDefault="00821CB9" w:rsidP="00821CB9">
      <w:pPr>
        <w:pStyle w:val="3-BodyText"/>
        <w:spacing w:after="160"/>
      </w:pPr>
      <w:r w:rsidRPr="00F6387C">
        <w:t xml:space="preserve">The estimated financial implications to the PBS/RPBS were calculated by subtracting the current net cost of cladribine to the PBS/RPBS from the proposed net cost of cladribine to the PBS/RPBS, as shown in </w:t>
      </w:r>
      <w:r w:rsidRPr="00F6387C">
        <w:fldChar w:fldCharType="begin" w:fldLock="1"/>
      </w:r>
      <w:r w:rsidRPr="00F6387C">
        <w:instrText xml:space="preserve"> REF _Ref142852840 \h </w:instrText>
      </w:r>
      <w:r w:rsidRPr="00F6387C">
        <w:fldChar w:fldCharType="separate"/>
      </w:r>
      <w:r w:rsidR="000D404D" w:rsidRPr="00F6387C">
        <w:t>Table 18</w:t>
      </w:r>
      <w:r w:rsidRPr="00F6387C">
        <w:fldChar w:fldCharType="end"/>
      </w:r>
      <w:r w:rsidRPr="00F6387C">
        <w:t xml:space="preserve">. </w:t>
      </w:r>
    </w:p>
    <w:p w14:paraId="3C7A4BEF" w14:textId="5814D45B" w:rsidR="00821CB9" w:rsidRPr="00F6387C" w:rsidRDefault="00821CB9" w:rsidP="00904884">
      <w:pPr>
        <w:pStyle w:val="Caption"/>
        <w:rPr>
          <w:rStyle w:val="CommentReference"/>
          <w:b/>
          <w:szCs w:val="18"/>
        </w:rPr>
      </w:pPr>
      <w:bookmarkStart w:id="72" w:name="_Ref142852840"/>
      <w:bookmarkStart w:id="73" w:name="_Ref142852832"/>
      <w:r w:rsidRPr="00F6387C">
        <w:t xml:space="preserve">Table </w:t>
      </w:r>
      <w:fldSimple w:instr=" SEQ Table \* ARABIC " w:fldLock="1">
        <w:r w:rsidR="000D404D" w:rsidRPr="00F6387C">
          <w:t>18</w:t>
        </w:r>
      </w:fldSimple>
      <w:bookmarkEnd w:id="72"/>
      <w:r w:rsidRPr="00F6387C">
        <w:rPr>
          <w:rStyle w:val="CommentReference"/>
          <w:b/>
          <w:szCs w:val="18"/>
        </w:rPr>
        <w:t>: Estimated financial implications of cladribine for the PBS/RPBS</w:t>
      </w:r>
      <w:bookmarkEnd w:id="7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Estimated financial implications of cladribine for the PBS/RPBS"/>
        <w:tblDescription w:val="Table 18: Estimated financial implications of cladribine for the PBS/RPBS"/>
      </w:tblPr>
      <w:tblGrid>
        <w:gridCol w:w="2405"/>
        <w:gridCol w:w="1110"/>
        <w:gridCol w:w="1110"/>
        <w:gridCol w:w="1111"/>
        <w:gridCol w:w="1110"/>
        <w:gridCol w:w="1110"/>
        <w:gridCol w:w="1111"/>
      </w:tblGrid>
      <w:tr w:rsidR="00821CB9" w:rsidRPr="00F6387C" w14:paraId="10A7623C" w14:textId="77777777" w:rsidTr="00540CC4">
        <w:trPr>
          <w:tblHeader/>
        </w:trPr>
        <w:tc>
          <w:tcPr>
            <w:tcW w:w="2405" w:type="dxa"/>
            <w:shd w:val="clear" w:color="auto" w:fill="auto"/>
            <w:vAlign w:val="center"/>
          </w:tcPr>
          <w:p w14:paraId="3ABFED43" w14:textId="77777777" w:rsidR="00821CB9" w:rsidRPr="00F6387C" w:rsidRDefault="00821CB9" w:rsidP="00904884">
            <w:pPr>
              <w:pStyle w:val="In-tableHeading"/>
              <w:jc w:val="center"/>
              <w:rPr>
                <w:lang w:val="en-AU"/>
              </w:rPr>
            </w:pPr>
          </w:p>
        </w:tc>
        <w:tc>
          <w:tcPr>
            <w:tcW w:w="1110" w:type="dxa"/>
            <w:shd w:val="clear" w:color="auto" w:fill="auto"/>
          </w:tcPr>
          <w:p w14:paraId="6FFDEA38" w14:textId="77777777" w:rsidR="00821CB9" w:rsidRPr="00F6387C" w:rsidRDefault="00821CB9" w:rsidP="00904884">
            <w:pPr>
              <w:pStyle w:val="In-tableHeading"/>
              <w:jc w:val="center"/>
              <w:rPr>
                <w:lang w:val="en-AU"/>
              </w:rPr>
            </w:pPr>
            <w:r w:rsidRPr="00F6387C">
              <w:rPr>
                <w:lang w:val="en-AU"/>
              </w:rPr>
              <w:t>2024</w:t>
            </w:r>
          </w:p>
        </w:tc>
        <w:tc>
          <w:tcPr>
            <w:tcW w:w="1110" w:type="dxa"/>
            <w:shd w:val="clear" w:color="auto" w:fill="auto"/>
          </w:tcPr>
          <w:p w14:paraId="7B0F6019" w14:textId="77777777" w:rsidR="00821CB9" w:rsidRPr="00F6387C" w:rsidRDefault="00821CB9" w:rsidP="00904884">
            <w:pPr>
              <w:pStyle w:val="In-tableHeading"/>
              <w:jc w:val="center"/>
              <w:rPr>
                <w:lang w:val="en-AU"/>
              </w:rPr>
            </w:pPr>
            <w:r w:rsidRPr="00F6387C">
              <w:rPr>
                <w:lang w:val="en-AU"/>
              </w:rPr>
              <w:t>2025</w:t>
            </w:r>
          </w:p>
        </w:tc>
        <w:tc>
          <w:tcPr>
            <w:tcW w:w="1111" w:type="dxa"/>
            <w:shd w:val="clear" w:color="auto" w:fill="auto"/>
          </w:tcPr>
          <w:p w14:paraId="17E6A5BB" w14:textId="77777777" w:rsidR="00821CB9" w:rsidRPr="00F6387C" w:rsidRDefault="00821CB9" w:rsidP="00904884">
            <w:pPr>
              <w:pStyle w:val="In-tableHeading"/>
              <w:jc w:val="center"/>
              <w:rPr>
                <w:lang w:val="en-AU"/>
              </w:rPr>
            </w:pPr>
            <w:r w:rsidRPr="00F6387C">
              <w:rPr>
                <w:lang w:val="en-AU"/>
              </w:rPr>
              <w:t>2026</w:t>
            </w:r>
          </w:p>
        </w:tc>
        <w:tc>
          <w:tcPr>
            <w:tcW w:w="1110" w:type="dxa"/>
            <w:shd w:val="clear" w:color="auto" w:fill="auto"/>
          </w:tcPr>
          <w:p w14:paraId="0670BA26" w14:textId="77777777" w:rsidR="00821CB9" w:rsidRPr="00F6387C" w:rsidRDefault="00821CB9" w:rsidP="00904884">
            <w:pPr>
              <w:pStyle w:val="In-tableHeading"/>
              <w:jc w:val="center"/>
              <w:rPr>
                <w:lang w:val="en-AU"/>
              </w:rPr>
            </w:pPr>
            <w:r w:rsidRPr="00F6387C">
              <w:rPr>
                <w:lang w:val="en-AU"/>
              </w:rPr>
              <w:t>2027</w:t>
            </w:r>
          </w:p>
        </w:tc>
        <w:tc>
          <w:tcPr>
            <w:tcW w:w="1110" w:type="dxa"/>
            <w:shd w:val="clear" w:color="auto" w:fill="auto"/>
          </w:tcPr>
          <w:p w14:paraId="2DA1F4A9" w14:textId="77777777" w:rsidR="00821CB9" w:rsidRPr="00F6387C" w:rsidRDefault="00821CB9" w:rsidP="00904884">
            <w:pPr>
              <w:pStyle w:val="In-tableHeading"/>
              <w:jc w:val="center"/>
              <w:rPr>
                <w:lang w:val="en-AU"/>
              </w:rPr>
            </w:pPr>
            <w:r w:rsidRPr="00F6387C">
              <w:rPr>
                <w:lang w:val="en-AU"/>
              </w:rPr>
              <w:t>2028</w:t>
            </w:r>
          </w:p>
        </w:tc>
        <w:tc>
          <w:tcPr>
            <w:tcW w:w="1111" w:type="dxa"/>
            <w:shd w:val="clear" w:color="auto" w:fill="auto"/>
          </w:tcPr>
          <w:p w14:paraId="3933BB5B" w14:textId="77777777" w:rsidR="00821CB9" w:rsidRPr="00F6387C" w:rsidRDefault="00821CB9" w:rsidP="00904884">
            <w:pPr>
              <w:pStyle w:val="In-tableHeading"/>
              <w:jc w:val="center"/>
              <w:rPr>
                <w:lang w:val="en-AU"/>
              </w:rPr>
            </w:pPr>
            <w:r w:rsidRPr="00F6387C">
              <w:rPr>
                <w:lang w:val="en-AU"/>
              </w:rPr>
              <w:t>2029</w:t>
            </w:r>
          </w:p>
        </w:tc>
      </w:tr>
      <w:tr w:rsidR="00821CB9" w:rsidRPr="00F6387C" w14:paraId="710FB690" w14:textId="77777777" w:rsidTr="00540CC4">
        <w:trPr>
          <w:tblHeader/>
        </w:trPr>
        <w:tc>
          <w:tcPr>
            <w:tcW w:w="9067" w:type="dxa"/>
            <w:gridSpan w:val="7"/>
            <w:shd w:val="clear" w:color="auto" w:fill="auto"/>
            <w:vAlign w:val="center"/>
          </w:tcPr>
          <w:p w14:paraId="007058EA" w14:textId="77777777" w:rsidR="00821CB9" w:rsidRPr="00F6387C" w:rsidRDefault="00821CB9" w:rsidP="00904884">
            <w:pPr>
              <w:pStyle w:val="In-tableHeading"/>
              <w:rPr>
                <w:lang w:val="en-AU"/>
              </w:rPr>
            </w:pPr>
            <w:r w:rsidRPr="00F6387C">
              <w:rPr>
                <w:lang w:val="en-AU"/>
              </w:rPr>
              <w:t>Estimated net cost to cladribine (proposed)</w:t>
            </w:r>
          </w:p>
        </w:tc>
      </w:tr>
      <w:tr w:rsidR="00821CB9" w:rsidRPr="00F6387C" w14:paraId="55754302" w14:textId="77777777" w:rsidTr="00540CC4">
        <w:tc>
          <w:tcPr>
            <w:tcW w:w="2405" w:type="dxa"/>
            <w:shd w:val="clear" w:color="auto" w:fill="auto"/>
            <w:vAlign w:val="center"/>
          </w:tcPr>
          <w:p w14:paraId="02DB9CF1" w14:textId="77777777" w:rsidR="00821CB9" w:rsidRPr="00F6387C" w:rsidRDefault="00821CB9" w:rsidP="00904884">
            <w:pPr>
              <w:pStyle w:val="Tabletext"/>
              <w:keepNext/>
            </w:pPr>
            <w:r w:rsidRPr="00F6387C">
              <w:t>Total script numbers - cladribine</w:t>
            </w:r>
          </w:p>
        </w:tc>
        <w:tc>
          <w:tcPr>
            <w:tcW w:w="1110" w:type="dxa"/>
            <w:shd w:val="clear" w:color="auto" w:fill="auto"/>
          </w:tcPr>
          <w:p w14:paraId="3E20747C" w14:textId="10039A34" w:rsidR="00821CB9" w:rsidRPr="0088701B" w:rsidRDefault="00632E88" w:rsidP="002A5119">
            <w:pPr>
              <w:pStyle w:val="Tabletext"/>
              <w:keepNext/>
              <w:jc w:val="center"/>
              <w:rPr>
                <w:rFonts w:cs="Arial"/>
                <w:color w:val="000000"/>
                <w:highlight w:val="darkGray"/>
              </w:rPr>
            </w:pPr>
            <w:r>
              <w:t xml:space="preserve"> </w:t>
            </w:r>
            <w:r w:rsidRPr="00632E88">
              <w:rPr>
                <w:rFonts w:hint="eastAsia"/>
                <w:color w:val="000000"/>
                <w:w w:val="15"/>
                <w:shd w:val="solid" w:color="000000" w:fill="000000"/>
                <w:fitText w:val="70" w:id="-1031597554"/>
                <w14:textFill>
                  <w14:solidFill>
                    <w14:srgbClr w14:val="000000">
                      <w14:alpha w14:val="100000"/>
                    </w14:srgbClr>
                  </w14:solidFill>
                </w14:textFill>
              </w:rPr>
              <w:t xml:space="preserve">　</w:t>
            </w:r>
            <w:r w:rsidRPr="00632E88">
              <w:rPr>
                <w:color w:val="000000"/>
                <w:w w:val="15"/>
                <w:shd w:val="solid" w:color="000000" w:fill="000000"/>
                <w:fitText w:val="70" w:id="-1031597554"/>
                <w14:textFill>
                  <w14:solidFill>
                    <w14:srgbClr w14:val="000000">
                      <w14:alpha w14:val="100000"/>
                    </w14:srgbClr>
                  </w14:solidFill>
                </w14:textFill>
              </w:rPr>
              <w:t>|</w:t>
            </w:r>
            <w:r w:rsidRPr="00632E88">
              <w:rPr>
                <w:rFonts w:hint="eastAsia"/>
                <w:color w:val="000000"/>
                <w:spacing w:val="4"/>
                <w:w w:val="15"/>
                <w:shd w:val="solid" w:color="000000" w:fill="000000"/>
                <w:fitText w:val="70" w:id="-1031597554"/>
                <w14:textFill>
                  <w14:solidFill>
                    <w14:srgbClr w14:val="000000">
                      <w14:alpha w14:val="100000"/>
                    </w14:srgbClr>
                  </w14:solidFill>
                </w14:textFill>
              </w:rPr>
              <w:t xml:space="preserve">　</w:t>
            </w:r>
            <w:r w:rsidR="007926AB" w:rsidRPr="007926AB">
              <w:rPr>
                <w:vertAlign w:val="superscript"/>
              </w:rPr>
              <w:t>1</w:t>
            </w:r>
          </w:p>
        </w:tc>
        <w:tc>
          <w:tcPr>
            <w:tcW w:w="1110" w:type="dxa"/>
            <w:shd w:val="clear" w:color="auto" w:fill="auto"/>
          </w:tcPr>
          <w:p w14:paraId="7E2195F5" w14:textId="7DDD058C" w:rsidR="00821CB9" w:rsidRPr="0088701B" w:rsidRDefault="00632E88" w:rsidP="002A5119">
            <w:pPr>
              <w:pStyle w:val="Tabletext"/>
              <w:keepNext/>
              <w:jc w:val="center"/>
              <w:rPr>
                <w:rFonts w:cs="Arial"/>
                <w:color w:val="000000"/>
                <w:highlight w:val="darkGray"/>
              </w:rPr>
            </w:pPr>
            <w:r>
              <w:t xml:space="preserve"> </w:t>
            </w:r>
            <w:r w:rsidRPr="00632E88">
              <w:rPr>
                <w:rFonts w:hint="eastAsia"/>
                <w:color w:val="000000"/>
                <w:w w:val="15"/>
                <w:shd w:val="solid" w:color="000000" w:fill="000000"/>
                <w:fitText w:val="70" w:id="-1031597553"/>
                <w14:textFill>
                  <w14:solidFill>
                    <w14:srgbClr w14:val="000000">
                      <w14:alpha w14:val="100000"/>
                    </w14:srgbClr>
                  </w14:solidFill>
                </w14:textFill>
              </w:rPr>
              <w:t xml:space="preserve">　</w:t>
            </w:r>
            <w:r w:rsidRPr="00632E88">
              <w:rPr>
                <w:color w:val="000000"/>
                <w:w w:val="15"/>
                <w:shd w:val="solid" w:color="000000" w:fill="000000"/>
                <w:fitText w:val="70" w:id="-1031597553"/>
                <w14:textFill>
                  <w14:solidFill>
                    <w14:srgbClr w14:val="000000">
                      <w14:alpha w14:val="100000"/>
                    </w14:srgbClr>
                  </w14:solidFill>
                </w14:textFill>
              </w:rPr>
              <w:t>|</w:t>
            </w:r>
            <w:r w:rsidRPr="00632E88">
              <w:rPr>
                <w:rFonts w:hint="eastAsia"/>
                <w:color w:val="000000"/>
                <w:spacing w:val="4"/>
                <w:w w:val="15"/>
                <w:shd w:val="solid" w:color="000000" w:fill="000000"/>
                <w:fitText w:val="70" w:id="-1031597553"/>
                <w14:textFill>
                  <w14:solidFill>
                    <w14:srgbClr w14:val="000000">
                      <w14:alpha w14:val="100000"/>
                    </w14:srgbClr>
                  </w14:solidFill>
                </w14:textFill>
              </w:rPr>
              <w:t xml:space="preserve">　</w:t>
            </w:r>
            <w:r w:rsidR="007926AB" w:rsidRPr="007926AB">
              <w:rPr>
                <w:vertAlign w:val="superscript"/>
              </w:rPr>
              <w:t>1</w:t>
            </w:r>
          </w:p>
        </w:tc>
        <w:tc>
          <w:tcPr>
            <w:tcW w:w="1111" w:type="dxa"/>
            <w:shd w:val="clear" w:color="auto" w:fill="auto"/>
          </w:tcPr>
          <w:p w14:paraId="6982D1D6" w14:textId="56B4C524" w:rsidR="00821CB9" w:rsidRPr="0088701B" w:rsidRDefault="00632E88" w:rsidP="002A5119">
            <w:pPr>
              <w:pStyle w:val="Tabletext"/>
              <w:keepNext/>
              <w:jc w:val="center"/>
              <w:rPr>
                <w:rFonts w:cs="Arial"/>
                <w:color w:val="000000"/>
                <w:highlight w:val="darkGray"/>
              </w:rPr>
            </w:pPr>
            <w:r>
              <w:t xml:space="preserve"> </w:t>
            </w:r>
            <w:r w:rsidRPr="00632E88">
              <w:rPr>
                <w:rFonts w:hint="eastAsia"/>
                <w:color w:val="000000"/>
                <w:w w:val="15"/>
                <w:shd w:val="solid" w:color="000000" w:fill="000000"/>
                <w:fitText w:val="70" w:id="-1031597552"/>
                <w14:textFill>
                  <w14:solidFill>
                    <w14:srgbClr w14:val="000000">
                      <w14:alpha w14:val="100000"/>
                    </w14:srgbClr>
                  </w14:solidFill>
                </w14:textFill>
              </w:rPr>
              <w:t xml:space="preserve">　</w:t>
            </w:r>
            <w:r w:rsidRPr="00632E88">
              <w:rPr>
                <w:color w:val="000000"/>
                <w:w w:val="15"/>
                <w:shd w:val="solid" w:color="000000" w:fill="000000"/>
                <w:fitText w:val="70" w:id="-1031597552"/>
                <w14:textFill>
                  <w14:solidFill>
                    <w14:srgbClr w14:val="000000">
                      <w14:alpha w14:val="100000"/>
                    </w14:srgbClr>
                  </w14:solidFill>
                </w14:textFill>
              </w:rPr>
              <w:t>|</w:t>
            </w:r>
            <w:r w:rsidRPr="00632E88">
              <w:rPr>
                <w:rFonts w:hint="eastAsia"/>
                <w:color w:val="000000"/>
                <w:spacing w:val="4"/>
                <w:w w:val="15"/>
                <w:shd w:val="solid" w:color="000000" w:fill="000000"/>
                <w:fitText w:val="70" w:id="-1031597552"/>
                <w14:textFill>
                  <w14:solidFill>
                    <w14:srgbClr w14:val="000000">
                      <w14:alpha w14:val="100000"/>
                    </w14:srgbClr>
                  </w14:solidFill>
                </w14:textFill>
              </w:rPr>
              <w:t xml:space="preserve">　</w:t>
            </w:r>
            <w:r w:rsidR="007926AB" w:rsidRPr="007926AB">
              <w:rPr>
                <w:vertAlign w:val="superscript"/>
              </w:rPr>
              <w:t>1</w:t>
            </w:r>
          </w:p>
        </w:tc>
        <w:tc>
          <w:tcPr>
            <w:tcW w:w="1110" w:type="dxa"/>
            <w:shd w:val="clear" w:color="auto" w:fill="auto"/>
          </w:tcPr>
          <w:p w14:paraId="5AB8E611" w14:textId="0FF72A80" w:rsidR="00821CB9" w:rsidRPr="0088701B" w:rsidRDefault="00632E88" w:rsidP="002A5119">
            <w:pPr>
              <w:pStyle w:val="Tabletext"/>
              <w:keepNext/>
              <w:jc w:val="center"/>
              <w:rPr>
                <w:rFonts w:cs="Arial"/>
                <w:color w:val="000000"/>
                <w:highlight w:val="darkGray"/>
              </w:rPr>
            </w:pPr>
            <w:r>
              <w:t xml:space="preserve"> </w:t>
            </w:r>
            <w:r w:rsidRPr="00632E88">
              <w:rPr>
                <w:rFonts w:hint="eastAsia"/>
                <w:color w:val="000000"/>
                <w:w w:val="15"/>
                <w:shd w:val="solid" w:color="000000" w:fill="000000"/>
                <w:fitText w:val="70" w:id="-1031597568"/>
                <w14:textFill>
                  <w14:solidFill>
                    <w14:srgbClr w14:val="000000">
                      <w14:alpha w14:val="100000"/>
                    </w14:srgbClr>
                  </w14:solidFill>
                </w14:textFill>
              </w:rPr>
              <w:t xml:space="preserve">　</w:t>
            </w:r>
            <w:r w:rsidRPr="00632E88">
              <w:rPr>
                <w:color w:val="000000"/>
                <w:w w:val="15"/>
                <w:shd w:val="solid" w:color="000000" w:fill="000000"/>
                <w:fitText w:val="70" w:id="-1031597568"/>
                <w14:textFill>
                  <w14:solidFill>
                    <w14:srgbClr w14:val="000000">
                      <w14:alpha w14:val="100000"/>
                    </w14:srgbClr>
                  </w14:solidFill>
                </w14:textFill>
              </w:rPr>
              <w:t>|</w:t>
            </w:r>
            <w:r w:rsidRPr="00632E88">
              <w:rPr>
                <w:rFonts w:hint="eastAsia"/>
                <w:color w:val="000000"/>
                <w:spacing w:val="4"/>
                <w:w w:val="15"/>
                <w:shd w:val="solid" w:color="000000" w:fill="000000"/>
                <w:fitText w:val="70" w:id="-1031597568"/>
                <w14:textFill>
                  <w14:solidFill>
                    <w14:srgbClr w14:val="000000">
                      <w14:alpha w14:val="100000"/>
                    </w14:srgbClr>
                  </w14:solidFill>
                </w14:textFill>
              </w:rPr>
              <w:t xml:space="preserve">　</w:t>
            </w:r>
            <w:r w:rsidR="007926AB" w:rsidRPr="007926AB">
              <w:rPr>
                <w:vertAlign w:val="superscript"/>
              </w:rPr>
              <w:t>1</w:t>
            </w:r>
          </w:p>
        </w:tc>
        <w:tc>
          <w:tcPr>
            <w:tcW w:w="1110" w:type="dxa"/>
            <w:shd w:val="clear" w:color="auto" w:fill="auto"/>
          </w:tcPr>
          <w:p w14:paraId="025F0687" w14:textId="65C8864E" w:rsidR="00821CB9" w:rsidRPr="0088701B" w:rsidRDefault="00632E88" w:rsidP="002A5119">
            <w:pPr>
              <w:pStyle w:val="Tabletext"/>
              <w:keepNext/>
              <w:jc w:val="center"/>
              <w:rPr>
                <w:rFonts w:cs="Arial"/>
                <w:color w:val="000000"/>
                <w:highlight w:val="darkGray"/>
              </w:rPr>
            </w:pPr>
            <w:r>
              <w:t xml:space="preserve"> </w:t>
            </w:r>
            <w:r w:rsidRPr="00632E88">
              <w:rPr>
                <w:rFonts w:hint="eastAsia"/>
                <w:color w:val="000000"/>
                <w:w w:val="15"/>
                <w:shd w:val="solid" w:color="000000" w:fill="000000"/>
                <w:fitText w:val="70" w:id="-1031597567"/>
                <w14:textFill>
                  <w14:solidFill>
                    <w14:srgbClr w14:val="000000">
                      <w14:alpha w14:val="100000"/>
                    </w14:srgbClr>
                  </w14:solidFill>
                </w14:textFill>
              </w:rPr>
              <w:t xml:space="preserve">　</w:t>
            </w:r>
            <w:r w:rsidRPr="00632E88">
              <w:rPr>
                <w:color w:val="000000"/>
                <w:w w:val="15"/>
                <w:shd w:val="solid" w:color="000000" w:fill="000000"/>
                <w:fitText w:val="70" w:id="-1031597567"/>
                <w14:textFill>
                  <w14:solidFill>
                    <w14:srgbClr w14:val="000000">
                      <w14:alpha w14:val="100000"/>
                    </w14:srgbClr>
                  </w14:solidFill>
                </w14:textFill>
              </w:rPr>
              <w:t>|</w:t>
            </w:r>
            <w:r w:rsidRPr="00632E88">
              <w:rPr>
                <w:rFonts w:hint="eastAsia"/>
                <w:color w:val="000000"/>
                <w:spacing w:val="4"/>
                <w:w w:val="15"/>
                <w:shd w:val="solid" w:color="000000" w:fill="000000"/>
                <w:fitText w:val="70" w:id="-1031597567"/>
                <w14:textFill>
                  <w14:solidFill>
                    <w14:srgbClr w14:val="000000">
                      <w14:alpha w14:val="100000"/>
                    </w14:srgbClr>
                  </w14:solidFill>
                </w14:textFill>
              </w:rPr>
              <w:t xml:space="preserve">　</w:t>
            </w:r>
            <w:r w:rsidR="007926AB" w:rsidRPr="007926AB">
              <w:rPr>
                <w:vertAlign w:val="superscript"/>
              </w:rPr>
              <w:t>1</w:t>
            </w:r>
          </w:p>
        </w:tc>
        <w:tc>
          <w:tcPr>
            <w:tcW w:w="1111" w:type="dxa"/>
            <w:shd w:val="clear" w:color="auto" w:fill="auto"/>
          </w:tcPr>
          <w:p w14:paraId="128A0F2F" w14:textId="2AA7041A" w:rsidR="00821CB9" w:rsidRPr="0088701B" w:rsidRDefault="00632E88" w:rsidP="002A5119">
            <w:pPr>
              <w:pStyle w:val="Tabletext"/>
              <w:keepNext/>
              <w:jc w:val="center"/>
              <w:rPr>
                <w:rFonts w:cs="Arial"/>
                <w:color w:val="000000"/>
                <w:highlight w:val="darkGray"/>
              </w:rPr>
            </w:pPr>
            <w:r>
              <w:t xml:space="preserve"> </w:t>
            </w:r>
            <w:r w:rsidRPr="00632E88">
              <w:rPr>
                <w:rFonts w:hint="eastAsia"/>
                <w:color w:val="000000"/>
                <w:w w:val="15"/>
                <w:shd w:val="solid" w:color="000000" w:fill="000000"/>
                <w:fitText w:val="70" w:id="-1031597566"/>
                <w14:textFill>
                  <w14:solidFill>
                    <w14:srgbClr w14:val="000000">
                      <w14:alpha w14:val="100000"/>
                    </w14:srgbClr>
                  </w14:solidFill>
                </w14:textFill>
              </w:rPr>
              <w:t xml:space="preserve">　</w:t>
            </w:r>
            <w:r w:rsidRPr="00632E88">
              <w:rPr>
                <w:color w:val="000000"/>
                <w:w w:val="15"/>
                <w:shd w:val="solid" w:color="000000" w:fill="000000"/>
                <w:fitText w:val="70" w:id="-1031597566"/>
                <w14:textFill>
                  <w14:solidFill>
                    <w14:srgbClr w14:val="000000">
                      <w14:alpha w14:val="100000"/>
                    </w14:srgbClr>
                  </w14:solidFill>
                </w14:textFill>
              </w:rPr>
              <w:t>|</w:t>
            </w:r>
            <w:r w:rsidRPr="00632E88">
              <w:rPr>
                <w:rFonts w:hint="eastAsia"/>
                <w:color w:val="000000"/>
                <w:spacing w:val="4"/>
                <w:w w:val="15"/>
                <w:shd w:val="solid" w:color="000000" w:fill="000000"/>
                <w:fitText w:val="70" w:id="-1031597566"/>
                <w14:textFill>
                  <w14:solidFill>
                    <w14:srgbClr w14:val="000000">
                      <w14:alpha w14:val="100000"/>
                    </w14:srgbClr>
                  </w14:solidFill>
                </w14:textFill>
              </w:rPr>
              <w:t xml:space="preserve">　</w:t>
            </w:r>
            <w:r w:rsidR="007926AB" w:rsidRPr="007926AB">
              <w:rPr>
                <w:vertAlign w:val="superscript"/>
              </w:rPr>
              <w:t>1</w:t>
            </w:r>
          </w:p>
        </w:tc>
      </w:tr>
      <w:tr w:rsidR="00821CB9" w:rsidRPr="00F6387C" w14:paraId="0BEC6C64" w14:textId="77777777" w:rsidTr="00540CC4">
        <w:tc>
          <w:tcPr>
            <w:tcW w:w="2405" w:type="dxa"/>
            <w:shd w:val="clear" w:color="auto" w:fill="auto"/>
            <w:vAlign w:val="center"/>
          </w:tcPr>
          <w:p w14:paraId="0E9898C5" w14:textId="77777777" w:rsidR="00821CB9" w:rsidRPr="00F6387C" w:rsidRDefault="00821CB9" w:rsidP="00904884">
            <w:pPr>
              <w:pStyle w:val="Tabletext"/>
              <w:keepNext/>
            </w:pPr>
            <w:r w:rsidRPr="00F6387C">
              <w:t>Cost to PBS/RPBS</w:t>
            </w:r>
          </w:p>
        </w:tc>
        <w:tc>
          <w:tcPr>
            <w:tcW w:w="1110" w:type="dxa"/>
            <w:shd w:val="clear" w:color="auto" w:fill="auto"/>
          </w:tcPr>
          <w:p w14:paraId="0F296668" w14:textId="1C4A4CF0" w:rsidR="00821CB9" w:rsidRPr="0088701B" w:rsidRDefault="00632E88" w:rsidP="002A5119">
            <w:pPr>
              <w:pStyle w:val="Tabletext"/>
              <w:keepNext/>
              <w:jc w:val="center"/>
              <w:rPr>
                <w:szCs w:val="20"/>
                <w:highlight w:val="darkGray"/>
              </w:rPr>
            </w:pPr>
            <w:r>
              <w:t xml:space="preserve"> </w:t>
            </w:r>
            <w:r w:rsidRPr="00632E88">
              <w:rPr>
                <w:rFonts w:hint="eastAsia"/>
                <w:color w:val="000000"/>
                <w:w w:val="15"/>
                <w:shd w:val="solid" w:color="000000" w:fill="000000"/>
                <w:fitText w:val="70" w:id="-1031597565"/>
                <w14:textFill>
                  <w14:solidFill>
                    <w14:srgbClr w14:val="000000">
                      <w14:alpha w14:val="100000"/>
                    </w14:srgbClr>
                  </w14:solidFill>
                </w14:textFill>
              </w:rPr>
              <w:t xml:space="preserve">　</w:t>
            </w:r>
            <w:r w:rsidRPr="00632E88">
              <w:rPr>
                <w:color w:val="000000"/>
                <w:w w:val="15"/>
                <w:shd w:val="solid" w:color="000000" w:fill="000000"/>
                <w:fitText w:val="70" w:id="-1031597565"/>
                <w14:textFill>
                  <w14:solidFill>
                    <w14:srgbClr w14:val="000000">
                      <w14:alpha w14:val="100000"/>
                    </w14:srgbClr>
                  </w14:solidFill>
                </w14:textFill>
              </w:rPr>
              <w:t>|</w:t>
            </w:r>
            <w:r w:rsidRPr="00632E88">
              <w:rPr>
                <w:rFonts w:hint="eastAsia"/>
                <w:color w:val="000000"/>
                <w:spacing w:val="4"/>
                <w:w w:val="15"/>
                <w:shd w:val="solid" w:color="000000" w:fill="000000"/>
                <w:fitText w:val="70" w:id="-1031597565"/>
                <w14:textFill>
                  <w14:solidFill>
                    <w14:srgbClr w14:val="000000">
                      <w14:alpha w14:val="100000"/>
                    </w14:srgbClr>
                  </w14:solidFill>
                </w14:textFill>
              </w:rPr>
              <w:t xml:space="preserve">　</w:t>
            </w:r>
            <w:r w:rsidR="002A5119">
              <w:rPr>
                <w:vertAlign w:val="superscript"/>
              </w:rPr>
              <w:t>2</w:t>
            </w:r>
          </w:p>
        </w:tc>
        <w:tc>
          <w:tcPr>
            <w:tcW w:w="1110" w:type="dxa"/>
            <w:shd w:val="clear" w:color="auto" w:fill="auto"/>
          </w:tcPr>
          <w:p w14:paraId="424A5708" w14:textId="19190F58" w:rsidR="00821CB9" w:rsidRPr="0088701B" w:rsidRDefault="00632E88" w:rsidP="002A5119">
            <w:pPr>
              <w:pStyle w:val="Tabletext"/>
              <w:keepNext/>
              <w:jc w:val="center"/>
              <w:rPr>
                <w:szCs w:val="20"/>
                <w:highlight w:val="darkGray"/>
              </w:rPr>
            </w:pPr>
            <w:r>
              <w:t xml:space="preserve"> </w:t>
            </w:r>
            <w:r w:rsidRPr="00632E88">
              <w:rPr>
                <w:rFonts w:hint="eastAsia"/>
                <w:color w:val="000000"/>
                <w:w w:val="15"/>
                <w:shd w:val="solid" w:color="000000" w:fill="000000"/>
                <w:fitText w:val="70" w:id="-1031597564"/>
                <w14:textFill>
                  <w14:solidFill>
                    <w14:srgbClr w14:val="000000">
                      <w14:alpha w14:val="100000"/>
                    </w14:srgbClr>
                  </w14:solidFill>
                </w14:textFill>
              </w:rPr>
              <w:t xml:space="preserve">　</w:t>
            </w:r>
            <w:r w:rsidRPr="00632E88">
              <w:rPr>
                <w:color w:val="000000"/>
                <w:w w:val="15"/>
                <w:shd w:val="solid" w:color="000000" w:fill="000000"/>
                <w:fitText w:val="70" w:id="-1031597564"/>
                <w14:textFill>
                  <w14:solidFill>
                    <w14:srgbClr w14:val="000000">
                      <w14:alpha w14:val="100000"/>
                    </w14:srgbClr>
                  </w14:solidFill>
                </w14:textFill>
              </w:rPr>
              <w:t>|</w:t>
            </w:r>
            <w:r w:rsidRPr="00632E88">
              <w:rPr>
                <w:rFonts w:hint="eastAsia"/>
                <w:color w:val="000000"/>
                <w:spacing w:val="4"/>
                <w:w w:val="15"/>
                <w:shd w:val="solid" w:color="000000" w:fill="000000"/>
                <w:fitText w:val="70" w:id="-1031597564"/>
                <w14:textFill>
                  <w14:solidFill>
                    <w14:srgbClr w14:val="000000">
                      <w14:alpha w14:val="100000"/>
                    </w14:srgbClr>
                  </w14:solidFill>
                </w14:textFill>
              </w:rPr>
              <w:t xml:space="preserve">　</w:t>
            </w:r>
            <w:r w:rsidR="007B7855">
              <w:rPr>
                <w:vertAlign w:val="superscript"/>
              </w:rPr>
              <w:t>3</w:t>
            </w:r>
          </w:p>
        </w:tc>
        <w:tc>
          <w:tcPr>
            <w:tcW w:w="1111" w:type="dxa"/>
            <w:shd w:val="clear" w:color="auto" w:fill="auto"/>
          </w:tcPr>
          <w:p w14:paraId="38F9B10A" w14:textId="4AFFBFE1" w:rsidR="00821CB9" w:rsidRPr="0088701B" w:rsidRDefault="00632E88" w:rsidP="002A5119">
            <w:pPr>
              <w:pStyle w:val="Tabletext"/>
              <w:keepNext/>
              <w:jc w:val="center"/>
              <w:rPr>
                <w:szCs w:val="20"/>
                <w:highlight w:val="darkGray"/>
              </w:rPr>
            </w:pPr>
            <w:r>
              <w:t xml:space="preserve"> </w:t>
            </w:r>
            <w:r w:rsidRPr="00632E88">
              <w:rPr>
                <w:rFonts w:hint="eastAsia"/>
                <w:color w:val="000000"/>
                <w:w w:val="15"/>
                <w:shd w:val="solid" w:color="000000" w:fill="000000"/>
                <w:fitText w:val="70" w:id="-1031597563"/>
                <w14:textFill>
                  <w14:solidFill>
                    <w14:srgbClr w14:val="000000">
                      <w14:alpha w14:val="100000"/>
                    </w14:srgbClr>
                  </w14:solidFill>
                </w14:textFill>
              </w:rPr>
              <w:t xml:space="preserve">　</w:t>
            </w:r>
            <w:r w:rsidRPr="00632E88">
              <w:rPr>
                <w:color w:val="000000"/>
                <w:w w:val="15"/>
                <w:shd w:val="solid" w:color="000000" w:fill="000000"/>
                <w:fitText w:val="70" w:id="-1031597563"/>
                <w14:textFill>
                  <w14:solidFill>
                    <w14:srgbClr w14:val="000000">
                      <w14:alpha w14:val="100000"/>
                    </w14:srgbClr>
                  </w14:solidFill>
                </w14:textFill>
              </w:rPr>
              <w:t>|</w:t>
            </w:r>
            <w:r w:rsidRPr="00632E88">
              <w:rPr>
                <w:rFonts w:hint="eastAsia"/>
                <w:color w:val="000000"/>
                <w:spacing w:val="4"/>
                <w:w w:val="15"/>
                <w:shd w:val="solid" w:color="000000" w:fill="000000"/>
                <w:fitText w:val="70" w:id="-1031597563"/>
                <w14:textFill>
                  <w14:solidFill>
                    <w14:srgbClr w14:val="000000">
                      <w14:alpha w14:val="100000"/>
                    </w14:srgbClr>
                  </w14:solidFill>
                </w14:textFill>
              </w:rPr>
              <w:t xml:space="preserve">　</w:t>
            </w:r>
            <w:r w:rsidR="007B7855">
              <w:rPr>
                <w:vertAlign w:val="superscript"/>
              </w:rPr>
              <w:t>3</w:t>
            </w:r>
          </w:p>
        </w:tc>
        <w:tc>
          <w:tcPr>
            <w:tcW w:w="1110" w:type="dxa"/>
            <w:shd w:val="clear" w:color="auto" w:fill="auto"/>
          </w:tcPr>
          <w:p w14:paraId="5E098C05" w14:textId="75AEDCFC" w:rsidR="00821CB9" w:rsidRPr="0088701B" w:rsidRDefault="00632E88" w:rsidP="002A5119">
            <w:pPr>
              <w:pStyle w:val="Tabletext"/>
              <w:keepNext/>
              <w:jc w:val="center"/>
              <w:rPr>
                <w:szCs w:val="20"/>
                <w:highlight w:val="darkGray"/>
              </w:rPr>
            </w:pPr>
            <w:r>
              <w:t xml:space="preserve"> </w:t>
            </w:r>
            <w:r w:rsidRPr="00632E88">
              <w:rPr>
                <w:rFonts w:hint="eastAsia"/>
                <w:color w:val="000000"/>
                <w:w w:val="15"/>
                <w:shd w:val="solid" w:color="000000" w:fill="000000"/>
                <w:fitText w:val="70" w:id="-1031597562"/>
                <w14:textFill>
                  <w14:solidFill>
                    <w14:srgbClr w14:val="000000">
                      <w14:alpha w14:val="100000"/>
                    </w14:srgbClr>
                  </w14:solidFill>
                </w14:textFill>
              </w:rPr>
              <w:t xml:space="preserve">　</w:t>
            </w:r>
            <w:r w:rsidRPr="00632E88">
              <w:rPr>
                <w:color w:val="000000"/>
                <w:w w:val="15"/>
                <w:shd w:val="solid" w:color="000000" w:fill="000000"/>
                <w:fitText w:val="70" w:id="-1031597562"/>
                <w14:textFill>
                  <w14:solidFill>
                    <w14:srgbClr w14:val="000000">
                      <w14:alpha w14:val="100000"/>
                    </w14:srgbClr>
                  </w14:solidFill>
                </w14:textFill>
              </w:rPr>
              <w:t>|</w:t>
            </w:r>
            <w:r w:rsidRPr="00632E88">
              <w:rPr>
                <w:rFonts w:hint="eastAsia"/>
                <w:color w:val="000000"/>
                <w:spacing w:val="4"/>
                <w:w w:val="15"/>
                <w:shd w:val="solid" w:color="000000" w:fill="000000"/>
                <w:fitText w:val="70" w:id="-1031597562"/>
                <w14:textFill>
                  <w14:solidFill>
                    <w14:srgbClr w14:val="000000">
                      <w14:alpha w14:val="100000"/>
                    </w14:srgbClr>
                  </w14:solidFill>
                </w14:textFill>
              </w:rPr>
              <w:t xml:space="preserve">　</w:t>
            </w:r>
            <w:r w:rsidR="007B7855">
              <w:rPr>
                <w:vertAlign w:val="superscript"/>
              </w:rPr>
              <w:t>3</w:t>
            </w:r>
          </w:p>
        </w:tc>
        <w:tc>
          <w:tcPr>
            <w:tcW w:w="1110" w:type="dxa"/>
            <w:shd w:val="clear" w:color="auto" w:fill="auto"/>
          </w:tcPr>
          <w:p w14:paraId="2F4D8F48" w14:textId="487D484D" w:rsidR="00821CB9" w:rsidRPr="0088701B" w:rsidRDefault="00632E88" w:rsidP="002A5119">
            <w:pPr>
              <w:pStyle w:val="Tabletext"/>
              <w:keepNext/>
              <w:jc w:val="center"/>
              <w:rPr>
                <w:szCs w:val="20"/>
                <w:highlight w:val="darkGray"/>
              </w:rPr>
            </w:pPr>
            <w:r>
              <w:t xml:space="preserve"> </w:t>
            </w:r>
            <w:r w:rsidRPr="00632E88">
              <w:rPr>
                <w:rFonts w:hint="eastAsia"/>
                <w:color w:val="000000"/>
                <w:w w:val="15"/>
                <w:shd w:val="solid" w:color="000000" w:fill="000000"/>
                <w:fitText w:val="70" w:id="-1031597561"/>
                <w14:textFill>
                  <w14:solidFill>
                    <w14:srgbClr w14:val="000000">
                      <w14:alpha w14:val="100000"/>
                    </w14:srgbClr>
                  </w14:solidFill>
                </w14:textFill>
              </w:rPr>
              <w:t xml:space="preserve">　</w:t>
            </w:r>
            <w:r w:rsidRPr="00632E88">
              <w:rPr>
                <w:color w:val="000000"/>
                <w:w w:val="15"/>
                <w:shd w:val="solid" w:color="000000" w:fill="000000"/>
                <w:fitText w:val="70" w:id="-1031597561"/>
                <w14:textFill>
                  <w14:solidFill>
                    <w14:srgbClr w14:val="000000">
                      <w14:alpha w14:val="100000"/>
                    </w14:srgbClr>
                  </w14:solidFill>
                </w14:textFill>
              </w:rPr>
              <w:t>|</w:t>
            </w:r>
            <w:r w:rsidRPr="00632E88">
              <w:rPr>
                <w:rFonts w:hint="eastAsia"/>
                <w:color w:val="000000"/>
                <w:spacing w:val="4"/>
                <w:w w:val="15"/>
                <w:shd w:val="solid" w:color="000000" w:fill="000000"/>
                <w:fitText w:val="70" w:id="-1031597561"/>
                <w14:textFill>
                  <w14:solidFill>
                    <w14:srgbClr w14:val="000000">
                      <w14:alpha w14:val="100000"/>
                    </w14:srgbClr>
                  </w14:solidFill>
                </w14:textFill>
              </w:rPr>
              <w:t xml:space="preserve">　</w:t>
            </w:r>
            <w:r w:rsidR="007B7855">
              <w:rPr>
                <w:vertAlign w:val="superscript"/>
              </w:rPr>
              <w:t>3</w:t>
            </w:r>
          </w:p>
        </w:tc>
        <w:tc>
          <w:tcPr>
            <w:tcW w:w="1111" w:type="dxa"/>
            <w:shd w:val="clear" w:color="auto" w:fill="auto"/>
          </w:tcPr>
          <w:p w14:paraId="4D7E9379" w14:textId="7F6F325A" w:rsidR="00821CB9" w:rsidRPr="0088701B" w:rsidRDefault="00632E88" w:rsidP="002A5119">
            <w:pPr>
              <w:pStyle w:val="Tabletext"/>
              <w:keepNext/>
              <w:jc w:val="center"/>
              <w:rPr>
                <w:szCs w:val="20"/>
                <w:highlight w:val="darkGray"/>
              </w:rPr>
            </w:pPr>
            <w:r>
              <w:t xml:space="preserve"> </w:t>
            </w:r>
            <w:r w:rsidRPr="00632E88">
              <w:rPr>
                <w:rFonts w:hint="eastAsia"/>
                <w:color w:val="000000"/>
                <w:w w:val="15"/>
                <w:shd w:val="solid" w:color="000000" w:fill="000000"/>
                <w:fitText w:val="70" w:id="-1031597560"/>
                <w14:textFill>
                  <w14:solidFill>
                    <w14:srgbClr w14:val="000000">
                      <w14:alpha w14:val="100000"/>
                    </w14:srgbClr>
                  </w14:solidFill>
                </w14:textFill>
              </w:rPr>
              <w:t xml:space="preserve">　</w:t>
            </w:r>
            <w:r w:rsidRPr="00632E88">
              <w:rPr>
                <w:color w:val="000000"/>
                <w:w w:val="15"/>
                <w:shd w:val="solid" w:color="000000" w:fill="000000"/>
                <w:fitText w:val="70" w:id="-1031597560"/>
                <w14:textFill>
                  <w14:solidFill>
                    <w14:srgbClr w14:val="000000">
                      <w14:alpha w14:val="100000"/>
                    </w14:srgbClr>
                  </w14:solidFill>
                </w14:textFill>
              </w:rPr>
              <w:t>|</w:t>
            </w:r>
            <w:r w:rsidRPr="00632E88">
              <w:rPr>
                <w:rFonts w:hint="eastAsia"/>
                <w:color w:val="000000"/>
                <w:spacing w:val="4"/>
                <w:w w:val="15"/>
                <w:shd w:val="solid" w:color="000000" w:fill="000000"/>
                <w:fitText w:val="70" w:id="-1031597560"/>
                <w14:textFill>
                  <w14:solidFill>
                    <w14:srgbClr w14:val="000000">
                      <w14:alpha w14:val="100000"/>
                    </w14:srgbClr>
                  </w14:solidFill>
                </w14:textFill>
              </w:rPr>
              <w:t xml:space="preserve">　</w:t>
            </w:r>
            <w:r w:rsidR="007B7855">
              <w:rPr>
                <w:vertAlign w:val="superscript"/>
              </w:rPr>
              <w:t>3</w:t>
            </w:r>
          </w:p>
        </w:tc>
      </w:tr>
      <w:tr w:rsidR="00821CB9" w:rsidRPr="00F6387C" w14:paraId="1C6FECD9" w14:textId="77777777" w:rsidTr="00540CC4">
        <w:tc>
          <w:tcPr>
            <w:tcW w:w="2405" w:type="dxa"/>
            <w:shd w:val="clear" w:color="auto" w:fill="auto"/>
            <w:vAlign w:val="center"/>
          </w:tcPr>
          <w:p w14:paraId="0806ED3B" w14:textId="77777777" w:rsidR="00821CB9" w:rsidRPr="00F6387C" w:rsidRDefault="00821CB9" w:rsidP="00904884">
            <w:pPr>
              <w:pStyle w:val="Tabletext"/>
              <w:keepNext/>
            </w:pPr>
            <w:r w:rsidRPr="00F6387C">
              <w:t>Patient co-payments</w:t>
            </w:r>
          </w:p>
        </w:tc>
        <w:tc>
          <w:tcPr>
            <w:tcW w:w="1110" w:type="dxa"/>
            <w:shd w:val="clear" w:color="auto" w:fill="auto"/>
          </w:tcPr>
          <w:p w14:paraId="0CC7AD0E" w14:textId="176246E4"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559"/>
                <w14:textFill>
                  <w14:solidFill>
                    <w14:srgbClr w14:val="000000">
                      <w14:alpha w14:val="100000"/>
                    </w14:srgbClr>
                  </w14:solidFill>
                </w14:textFill>
              </w:rPr>
              <w:t xml:space="preserve">　</w:t>
            </w:r>
            <w:r w:rsidRPr="00632E88">
              <w:rPr>
                <w:color w:val="000000"/>
                <w:w w:val="15"/>
                <w:shd w:val="solid" w:color="000000" w:fill="000000"/>
                <w:fitText w:val="70" w:id="-1031597559"/>
                <w14:textFill>
                  <w14:solidFill>
                    <w14:srgbClr w14:val="000000">
                      <w14:alpha w14:val="100000"/>
                    </w14:srgbClr>
                  </w14:solidFill>
                </w14:textFill>
              </w:rPr>
              <w:t>|</w:t>
            </w:r>
            <w:r w:rsidRPr="00632E88">
              <w:rPr>
                <w:rFonts w:hint="eastAsia"/>
                <w:color w:val="000000"/>
                <w:spacing w:val="4"/>
                <w:w w:val="15"/>
                <w:shd w:val="solid" w:color="000000" w:fill="000000"/>
                <w:fitText w:val="70" w:id="-1031597559"/>
                <w14:textFill>
                  <w14:solidFill>
                    <w14:srgbClr w14:val="000000">
                      <w14:alpha w14:val="100000"/>
                    </w14:srgbClr>
                  </w14:solidFill>
                </w14:textFill>
              </w:rPr>
              <w:t xml:space="preserve">　</w:t>
            </w:r>
            <w:r w:rsidR="00FE1C1D">
              <w:rPr>
                <w:vertAlign w:val="superscript"/>
              </w:rPr>
              <w:t>4</w:t>
            </w:r>
          </w:p>
        </w:tc>
        <w:tc>
          <w:tcPr>
            <w:tcW w:w="1110" w:type="dxa"/>
            <w:shd w:val="clear" w:color="auto" w:fill="auto"/>
          </w:tcPr>
          <w:p w14:paraId="6346A389" w14:textId="33AE47BB"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558"/>
                <w14:textFill>
                  <w14:solidFill>
                    <w14:srgbClr w14:val="000000">
                      <w14:alpha w14:val="100000"/>
                    </w14:srgbClr>
                  </w14:solidFill>
                </w14:textFill>
              </w:rPr>
              <w:t xml:space="preserve">　</w:t>
            </w:r>
            <w:r w:rsidRPr="00632E88">
              <w:rPr>
                <w:color w:val="000000"/>
                <w:w w:val="15"/>
                <w:shd w:val="solid" w:color="000000" w:fill="000000"/>
                <w:fitText w:val="70" w:id="-1031597558"/>
                <w14:textFill>
                  <w14:solidFill>
                    <w14:srgbClr w14:val="000000">
                      <w14:alpha w14:val="100000"/>
                    </w14:srgbClr>
                  </w14:solidFill>
                </w14:textFill>
              </w:rPr>
              <w:t>|</w:t>
            </w:r>
            <w:r w:rsidRPr="00632E88">
              <w:rPr>
                <w:rFonts w:hint="eastAsia"/>
                <w:color w:val="000000"/>
                <w:spacing w:val="4"/>
                <w:w w:val="15"/>
                <w:shd w:val="solid" w:color="000000" w:fill="000000"/>
                <w:fitText w:val="70" w:id="-1031597558"/>
                <w14:textFill>
                  <w14:solidFill>
                    <w14:srgbClr w14:val="000000">
                      <w14:alpha w14:val="100000"/>
                    </w14:srgbClr>
                  </w14:solidFill>
                </w14:textFill>
              </w:rPr>
              <w:t xml:space="preserve">　</w:t>
            </w:r>
            <w:r w:rsidR="00FE1C1D">
              <w:rPr>
                <w:vertAlign w:val="superscript"/>
              </w:rPr>
              <w:t>4</w:t>
            </w:r>
          </w:p>
        </w:tc>
        <w:tc>
          <w:tcPr>
            <w:tcW w:w="1111" w:type="dxa"/>
            <w:shd w:val="clear" w:color="auto" w:fill="auto"/>
          </w:tcPr>
          <w:p w14:paraId="27FCBA7A" w14:textId="5C752C4D"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557"/>
                <w14:textFill>
                  <w14:solidFill>
                    <w14:srgbClr w14:val="000000">
                      <w14:alpha w14:val="100000"/>
                    </w14:srgbClr>
                  </w14:solidFill>
                </w14:textFill>
              </w:rPr>
              <w:t xml:space="preserve">　</w:t>
            </w:r>
            <w:r w:rsidRPr="00632E88">
              <w:rPr>
                <w:color w:val="000000"/>
                <w:w w:val="15"/>
                <w:shd w:val="solid" w:color="000000" w:fill="000000"/>
                <w:fitText w:val="70" w:id="-1031597557"/>
                <w14:textFill>
                  <w14:solidFill>
                    <w14:srgbClr w14:val="000000">
                      <w14:alpha w14:val="100000"/>
                    </w14:srgbClr>
                  </w14:solidFill>
                </w14:textFill>
              </w:rPr>
              <w:t>|</w:t>
            </w:r>
            <w:r w:rsidRPr="00632E88">
              <w:rPr>
                <w:rFonts w:hint="eastAsia"/>
                <w:color w:val="000000"/>
                <w:spacing w:val="4"/>
                <w:w w:val="15"/>
                <w:shd w:val="solid" w:color="000000" w:fill="000000"/>
                <w:fitText w:val="70" w:id="-1031597557"/>
                <w14:textFill>
                  <w14:solidFill>
                    <w14:srgbClr w14:val="000000">
                      <w14:alpha w14:val="100000"/>
                    </w14:srgbClr>
                  </w14:solidFill>
                </w14:textFill>
              </w:rPr>
              <w:t xml:space="preserve">　</w:t>
            </w:r>
            <w:r w:rsidR="00FE1C1D">
              <w:rPr>
                <w:vertAlign w:val="superscript"/>
              </w:rPr>
              <w:t>4</w:t>
            </w:r>
          </w:p>
        </w:tc>
        <w:tc>
          <w:tcPr>
            <w:tcW w:w="1110" w:type="dxa"/>
            <w:shd w:val="clear" w:color="auto" w:fill="auto"/>
          </w:tcPr>
          <w:p w14:paraId="258AAFE4" w14:textId="603FDFEB"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556"/>
                <w14:textFill>
                  <w14:solidFill>
                    <w14:srgbClr w14:val="000000">
                      <w14:alpha w14:val="100000"/>
                    </w14:srgbClr>
                  </w14:solidFill>
                </w14:textFill>
              </w:rPr>
              <w:t xml:space="preserve">　</w:t>
            </w:r>
            <w:r w:rsidRPr="00632E88">
              <w:rPr>
                <w:color w:val="000000"/>
                <w:w w:val="15"/>
                <w:shd w:val="solid" w:color="000000" w:fill="000000"/>
                <w:fitText w:val="70" w:id="-1031597556"/>
                <w14:textFill>
                  <w14:solidFill>
                    <w14:srgbClr w14:val="000000">
                      <w14:alpha w14:val="100000"/>
                    </w14:srgbClr>
                  </w14:solidFill>
                </w14:textFill>
              </w:rPr>
              <w:t>|</w:t>
            </w:r>
            <w:r w:rsidRPr="00632E88">
              <w:rPr>
                <w:rFonts w:hint="eastAsia"/>
                <w:color w:val="000000"/>
                <w:spacing w:val="4"/>
                <w:w w:val="15"/>
                <w:shd w:val="solid" w:color="000000" w:fill="000000"/>
                <w:fitText w:val="70" w:id="-1031597556"/>
                <w14:textFill>
                  <w14:solidFill>
                    <w14:srgbClr w14:val="000000">
                      <w14:alpha w14:val="100000"/>
                    </w14:srgbClr>
                  </w14:solidFill>
                </w14:textFill>
              </w:rPr>
              <w:t xml:space="preserve">　</w:t>
            </w:r>
            <w:r w:rsidR="00FE1C1D">
              <w:rPr>
                <w:vertAlign w:val="superscript"/>
              </w:rPr>
              <w:t>4</w:t>
            </w:r>
          </w:p>
        </w:tc>
        <w:tc>
          <w:tcPr>
            <w:tcW w:w="1110" w:type="dxa"/>
            <w:shd w:val="clear" w:color="auto" w:fill="auto"/>
          </w:tcPr>
          <w:p w14:paraId="548A81F0" w14:textId="240731D6"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555"/>
                <w14:textFill>
                  <w14:solidFill>
                    <w14:srgbClr w14:val="000000">
                      <w14:alpha w14:val="100000"/>
                    </w14:srgbClr>
                  </w14:solidFill>
                </w14:textFill>
              </w:rPr>
              <w:t xml:space="preserve">　</w:t>
            </w:r>
            <w:r w:rsidRPr="00632E88">
              <w:rPr>
                <w:color w:val="000000"/>
                <w:w w:val="15"/>
                <w:shd w:val="solid" w:color="000000" w:fill="000000"/>
                <w:fitText w:val="70" w:id="-1031597555"/>
                <w14:textFill>
                  <w14:solidFill>
                    <w14:srgbClr w14:val="000000">
                      <w14:alpha w14:val="100000"/>
                    </w14:srgbClr>
                  </w14:solidFill>
                </w14:textFill>
              </w:rPr>
              <w:t>|</w:t>
            </w:r>
            <w:r w:rsidRPr="00632E88">
              <w:rPr>
                <w:rFonts w:hint="eastAsia"/>
                <w:color w:val="000000"/>
                <w:spacing w:val="4"/>
                <w:w w:val="15"/>
                <w:shd w:val="solid" w:color="000000" w:fill="000000"/>
                <w:fitText w:val="70" w:id="-1031597555"/>
                <w14:textFill>
                  <w14:solidFill>
                    <w14:srgbClr w14:val="000000">
                      <w14:alpha w14:val="100000"/>
                    </w14:srgbClr>
                  </w14:solidFill>
                </w14:textFill>
              </w:rPr>
              <w:t xml:space="preserve">　</w:t>
            </w:r>
            <w:r w:rsidR="00FE1C1D">
              <w:rPr>
                <w:vertAlign w:val="superscript"/>
              </w:rPr>
              <w:t>4</w:t>
            </w:r>
          </w:p>
        </w:tc>
        <w:tc>
          <w:tcPr>
            <w:tcW w:w="1111" w:type="dxa"/>
            <w:shd w:val="clear" w:color="auto" w:fill="auto"/>
          </w:tcPr>
          <w:p w14:paraId="60A7B24C" w14:textId="2B80D754"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554"/>
                <w14:textFill>
                  <w14:solidFill>
                    <w14:srgbClr w14:val="000000">
                      <w14:alpha w14:val="100000"/>
                    </w14:srgbClr>
                  </w14:solidFill>
                </w14:textFill>
              </w:rPr>
              <w:t xml:space="preserve">　</w:t>
            </w:r>
            <w:r w:rsidRPr="00632E88">
              <w:rPr>
                <w:color w:val="000000"/>
                <w:w w:val="15"/>
                <w:shd w:val="solid" w:color="000000" w:fill="000000"/>
                <w:fitText w:val="70" w:id="-1031597554"/>
                <w14:textFill>
                  <w14:solidFill>
                    <w14:srgbClr w14:val="000000">
                      <w14:alpha w14:val="100000"/>
                    </w14:srgbClr>
                  </w14:solidFill>
                </w14:textFill>
              </w:rPr>
              <w:t>|</w:t>
            </w:r>
            <w:r w:rsidRPr="00632E88">
              <w:rPr>
                <w:rFonts w:hint="eastAsia"/>
                <w:color w:val="000000"/>
                <w:spacing w:val="4"/>
                <w:w w:val="15"/>
                <w:shd w:val="solid" w:color="000000" w:fill="000000"/>
                <w:fitText w:val="70" w:id="-1031597554"/>
                <w14:textFill>
                  <w14:solidFill>
                    <w14:srgbClr w14:val="000000">
                      <w14:alpha w14:val="100000"/>
                    </w14:srgbClr>
                  </w14:solidFill>
                </w14:textFill>
              </w:rPr>
              <w:t xml:space="preserve">　</w:t>
            </w:r>
            <w:r w:rsidR="00FE1C1D">
              <w:rPr>
                <w:vertAlign w:val="superscript"/>
              </w:rPr>
              <w:t>4</w:t>
            </w:r>
          </w:p>
        </w:tc>
      </w:tr>
      <w:tr w:rsidR="00821CB9" w:rsidRPr="00F6387C" w14:paraId="79CFFD30" w14:textId="77777777" w:rsidTr="00540CC4">
        <w:tc>
          <w:tcPr>
            <w:tcW w:w="2405" w:type="dxa"/>
            <w:shd w:val="clear" w:color="auto" w:fill="auto"/>
            <w:vAlign w:val="center"/>
          </w:tcPr>
          <w:p w14:paraId="0CDDEF24" w14:textId="77777777" w:rsidR="00821CB9" w:rsidRPr="00F6387C" w:rsidRDefault="00821CB9" w:rsidP="00904884">
            <w:pPr>
              <w:pStyle w:val="Tabletext"/>
              <w:keepNext/>
            </w:pPr>
            <w:r w:rsidRPr="00F6387C">
              <w:rPr>
                <w:sz w:val="19"/>
                <w:szCs w:val="19"/>
              </w:rPr>
              <w:t>Net cost to PBS/RPBS</w:t>
            </w:r>
          </w:p>
        </w:tc>
        <w:tc>
          <w:tcPr>
            <w:tcW w:w="1110" w:type="dxa"/>
            <w:shd w:val="clear" w:color="auto" w:fill="auto"/>
          </w:tcPr>
          <w:p w14:paraId="392BF54C" w14:textId="18A64AB6"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553"/>
                <w14:textFill>
                  <w14:solidFill>
                    <w14:srgbClr w14:val="000000">
                      <w14:alpha w14:val="100000"/>
                    </w14:srgbClr>
                  </w14:solidFill>
                </w14:textFill>
              </w:rPr>
              <w:t xml:space="preserve">　</w:t>
            </w:r>
            <w:r w:rsidRPr="00632E88">
              <w:rPr>
                <w:color w:val="000000"/>
                <w:w w:val="15"/>
                <w:shd w:val="solid" w:color="000000" w:fill="000000"/>
                <w:fitText w:val="70" w:id="-1031597553"/>
                <w14:textFill>
                  <w14:solidFill>
                    <w14:srgbClr w14:val="000000">
                      <w14:alpha w14:val="100000"/>
                    </w14:srgbClr>
                  </w14:solidFill>
                </w14:textFill>
              </w:rPr>
              <w:t>|</w:t>
            </w:r>
            <w:r w:rsidRPr="00632E88">
              <w:rPr>
                <w:rFonts w:hint="eastAsia"/>
                <w:color w:val="000000"/>
                <w:spacing w:val="4"/>
                <w:w w:val="15"/>
                <w:shd w:val="solid" w:color="000000" w:fill="000000"/>
                <w:fitText w:val="70" w:id="-1031597553"/>
                <w14:textFill>
                  <w14:solidFill>
                    <w14:srgbClr w14:val="000000">
                      <w14:alpha w14:val="100000"/>
                    </w14:srgbClr>
                  </w14:solidFill>
                </w14:textFill>
              </w:rPr>
              <w:t xml:space="preserve">　</w:t>
            </w:r>
            <w:r w:rsidR="002A5119">
              <w:rPr>
                <w:vertAlign w:val="superscript"/>
              </w:rPr>
              <w:t>2</w:t>
            </w:r>
          </w:p>
        </w:tc>
        <w:tc>
          <w:tcPr>
            <w:tcW w:w="1110" w:type="dxa"/>
            <w:shd w:val="clear" w:color="auto" w:fill="auto"/>
          </w:tcPr>
          <w:p w14:paraId="666E2772" w14:textId="18645C9F"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552"/>
                <w14:textFill>
                  <w14:solidFill>
                    <w14:srgbClr w14:val="000000">
                      <w14:alpha w14:val="100000"/>
                    </w14:srgbClr>
                  </w14:solidFill>
                </w14:textFill>
              </w:rPr>
              <w:t xml:space="preserve">　</w:t>
            </w:r>
            <w:r w:rsidRPr="00632E88">
              <w:rPr>
                <w:color w:val="000000"/>
                <w:w w:val="15"/>
                <w:shd w:val="solid" w:color="000000" w:fill="000000"/>
                <w:fitText w:val="70" w:id="-1031597552"/>
                <w14:textFill>
                  <w14:solidFill>
                    <w14:srgbClr w14:val="000000">
                      <w14:alpha w14:val="100000"/>
                    </w14:srgbClr>
                  </w14:solidFill>
                </w14:textFill>
              </w:rPr>
              <w:t>|</w:t>
            </w:r>
            <w:r w:rsidRPr="00632E88">
              <w:rPr>
                <w:rFonts w:hint="eastAsia"/>
                <w:color w:val="000000"/>
                <w:spacing w:val="4"/>
                <w:w w:val="15"/>
                <w:shd w:val="solid" w:color="000000" w:fill="000000"/>
                <w:fitText w:val="70" w:id="-1031597552"/>
                <w14:textFill>
                  <w14:solidFill>
                    <w14:srgbClr w14:val="000000">
                      <w14:alpha w14:val="100000"/>
                    </w14:srgbClr>
                  </w14:solidFill>
                </w14:textFill>
              </w:rPr>
              <w:t xml:space="preserve">　</w:t>
            </w:r>
            <w:r w:rsidR="002A5119">
              <w:rPr>
                <w:vertAlign w:val="superscript"/>
              </w:rPr>
              <w:t>2</w:t>
            </w:r>
          </w:p>
        </w:tc>
        <w:tc>
          <w:tcPr>
            <w:tcW w:w="1111" w:type="dxa"/>
            <w:shd w:val="clear" w:color="auto" w:fill="auto"/>
          </w:tcPr>
          <w:p w14:paraId="2AEC1B27" w14:textId="10E3A9F3"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568"/>
                <w14:textFill>
                  <w14:solidFill>
                    <w14:srgbClr w14:val="000000">
                      <w14:alpha w14:val="100000"/>
                    </w14:srgbClr>
                  </w14:solidFill>
                </w14:textFill>
              </w:rPr>
              <w:t xml:space="preserve">　</w:t>
            </w:r>
            <w:r w:rsidRPr="00632E88">
              <w:rPr>
                <w:color w:val="000000"/>
                <w:w w:val="15"/>
                <w:shd w:val="solid" w:color="000000" w:fill="000000"/>
                <w:fitText w:val="70" w:id="-1031597568"/>
                <w14:textFill>
                  <w14:solidFill>
                    <w14:srgbClr w14:val="000000">
                      <w14:alpha w14:val="100000"/>
                    </w14:srgbClr>
                  </w14:solidFill>
                </w14:textFill>
              </w:rPr>
              <w:t>|</w:t>
            </w:r>
            <w:r w:rsidRPr="00632E88">
              <w:rPr>
                <w:rFonts w:hint="eastAsia"/>
                <w:color w:val="000000"/>
                <w:spacing w:val="4"/>
                <w:w w:val="15"/>
                <w:shd w:val="solid" w:color="000000" w:fill="000000"/>
                <w:fitText w:val="70" w:id="-1031597568"/>
                <w14:textFill>
                  <w14:solidFill>
                    <w14:srgbClr w14:val="000000">
                      <w14:alpha w14:val="100000"/>
                    </w14:srgbClr>
                  </w14:solidFill>
                </w14:textFill>
              </w:rPr>
              <w:t xml:space="preserve">　</w:t>
            </w:r>
            <w:r w:rsidR="007B7855">
              <w:rPr>
                <w:vertAlign w:val="superscript"/>
              </w:rPr>
              <w:t>3</w:t>
            </w:r>
          </w:p>
        </w:tc>
        <w:tc>
          <w:tcPr>
            <w:tcW w:w="1110" w:type="dxa"/>
            <w:shd w:val="clear" w:color="auto" w:fill="auto"/>
          </w:tcPr>
          <w:p w14:paraId="3EDA7FBC" w14:textId="6595CA03"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567"/>
                <w14:textFill>
                  <w14:solidFill>
                    <w14:srgbClr w14:val="000000">
                      <w14:alpha w14:val="100000"/>
                    </w14:srgbClr>
                  </w14:solidFill>
                </w14:textFill>
              </w:rPr>
              <w:t xml:space="preserve">　</w:t>
            </w:r>
            <w:r w:rsidRPr="00632E88">
              <w:rPr>
                <w:color w:val="000000"/>
                <w:w w:val="15"/>
                <w:shd w:val="solid" w:color="000000" w:fill="000000"/>
                <w:fitText w:val="70" w:id="-1031597567"/>
                <w14:textFill>
                  <w14:solidFill>
                    <w14:srgbClr w14:val="000000">
                      <w14:alpha w14:val="100000"/>
                    </w14:srgbClr>
                  </w14:solidFill>
                </w14:textFill>
              </w:rPr>
              <w:t>|</w:t>
            </w:r>
            <w:r w:rsidRPr="00632E88">
              <w:rPr>
                <w:rFonts w:hint="eastAsia"/>
                <w:color w:val="000000"/>
                <w:spacing w:val="4"/>
                <w:w w:val="15"/>
                <w:shd w:val="solid" w:color="000000" w:fill="000000"/>
                <w:fitText w:val="70" w:id="-1031597567"/>
                <w14:textFill>
                  <w14:solidFill>
                    <w14:srgbClr w14:val="000000">
                      <w14:alpha w14:val="100000"/>
                    </w14:srgbClr>
                  </w14:solidFill>
                </w14:textFill>
              </w:rPr>
              <w:t xml:space="preserve">　</w:t>
            </w:r>
            <w:r w:rsidR="007B7855">
              <w:rPr>
                <w:vertAlign w:val="superscript"/>
              </w:rPr>
              <w:t>3</w:t>
            </w:r>
          </w:p>
        </w:tc>
        <w:tc>
          <w:tcPr>
            <w:tcW w:w="1110" w:type="dxa"/>
            <w:shd w:val="clear" w:color="auto" w:fill="auto"/>
          </w:tcPr>
          <w:p w14:paraId="5F631D98" w14:textId="006EED15"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566"/>
                <w14:textFill>
                  <w14:solidFill>
                    <w14:srgbClr w14:val="000000">
                      <w14:alpha w14:val="100000"/>
                    </w14:srgbClr>
                  </w14:solidFill>
                </w14:textFill>
              </w:rPr>
              <w:t xml:space="preserve">　</w:t>
            </w:r>
            <w:r w:rsidRPr="00632E88">
              <w:rPr>
                <w:color w:val="000000"/>
                <w:w w:val="15"/>
                <w:shd w:val="solid" w:color="000000" w:fill="000000"/>
                <w:fitText w:val="70" w:id="-1031597566"/>
                <w14:textFill>
                  <w14:solidFill>
                    <w14:srgbClr w14:val="000000">
                      <w14:alpha w14:val="100000"/>
                    </w14:srgbClr>
                  </w14:solidFill>
                </w14:textFill>
              </w:rPr>
              <w:t>|</w:t>
            </w:r>
            <w:r w:rsidRPr="00632E88">
              <w:rPr>
                <w:rFonts w:hint="eastAsia"/>
                <w:color w:val="000000"/>
                <w:spacing w:val="4"/>
                <w:w w:val="15"/>
                <w:shd w:val="solid" w:color="000000" w:fill="000000"/>
                <w:fitText w:val="70" w:id="-1031597566"/>
                <w14:textFill>
                  <w14:solidFill>
                    <w14:srgbClr w14:val="000000">
                      <w14:alpha w14:val="100000"/>
                    </w14:srgbClr>
                  </w14:solidFill>
                </w14:textFill>
              </w:rPr>
              <w:t xml:space="preserve">　</w:t>
            </w:r>
            <w:r w:rsidR="007B7855">
              <w:rPr>
                <w:vertAlign w:val="superscript"/>
              </w:rPr>
              <w:t>3</w:t>
            </w:r>
          </w:p>
        </w:tc>
        <w:tc>
          <w:tcPr>
            <w:tcW w:w="1111" w:type="dxa"/>
            <w:shd w:val="clear" w:color="auto" w:fill="auto"/>
          </w:tcPr>
          <w:p w14:paraId="7873494D" w14:textId="422CB8D8"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565"/>
                <w14:textFill>
                  <w14:solidFill>
                    <w14:srgbClr w14:val="000000">
                      <w14:alpha w14:val="100000"/>
                    </w14:srgbClr>
                  </w14:solidFill>
                </w14:textFill>
              </w:rPr>
              <w:t xml:space="preserve">　</w:t>
            </w:r>
            <w:r w:rsidRPr="00632E88">
              <w:rPr>
                <w:color w:val="000000"/>
                <w:w w:val="15"/>
                <w:shd w:val="solid" w:color="000000" w:fill="000000"/>
                <w:fitText w:val="70" w:id="-1031597565"/>
                <w14:textFill>
                  <w14:solidFill>
                    <w14:srgbClr w14:val="000000">
                      <w14:alpha w14:val="100000"/>
                    </w14:srgbClr>
                  </w14:solidFill>
                </w14:textFill>
              </w:rPr>
              <w:t>|</w:t>
            </w:r>
            <w:r w:rsidRPr="00632E88">
              <w:rPr>
                <w:rFonts w:hint="eastAsia"/>
                <w:color w:val="000000"/>
                <w:spacing w:val="4"/>
                <w:w w:val="15"/>
                <w:shd w:val="solid" w:color="000000" w:fill="000000"/>
                <w:fitText w:val="70" w:id="-1031597565"/>
                <w14:textFill>
                  <w14:solidFill>
                    <w14:srgbClr w14:val="000000">
                      <w14:alpha w14:val="100000"/>
                    </w14:srgbClr>
                  </w14:solidFill>
                </w14:textFill>
              </w:rPr>
              <w:t xml:space="preserve">　</w:t>
            </w:r>
            <w:r w:rsidR="007B7855">
              <w:rPr>
                <w:vertAlign w:val="superscript"/>
              </w:rPr>
              <w:t>3</w:t>
            </w:r>
          </w:p>
        </w:tc>
      </w:tr>
      <w:tr w:rsidR="00821CB9" w:rsidRPr="00F6387C" w14:paraId="66F74A64" w14:textId="77777777" w:rsidTr="00540CC4">
        <w:trPr>
          <w:tblHeader/>
        </w:trPr>
        <w:tc>
          <w:tcPr>
            <w:tcW w:w="9067" w:type="dxa"/>
            <w:gridSpan w:val="7"/>
            <w:shd w:val="clear" w:color="auto" w:fill="auto"/>
            <w:vAlign w:val="center"/>
          </w:tcPr>
          <w:p w14:paraId="3B312222" w14:textId="77777777" w:rsidR="00821CB9" w:rsidRPr="00F6387C" w:rsidRDefault="00821CB9" w:rsidP="00904884">
            <w:pPr>
              <w:pStyle w:val="In-tableHeading"/>
              <w:rPr>
                <w:lang w:val="en-AU"/>
              </w:rPr>
            </w:pPr>
            <w:r w:rsidRPr="00F6387C">
              <w:rPr>
                <w:lang w:val="en-AU"/>
              </w:rPr>
              <w:t>Estimated net cost to cladribine (impact)</w:t>
            </w:r>
          </w:p>
        </w:tc>
      </w:tr>
      <w:tr w:rsidR="00821CB9" w:rsidRPr="00F6387C" w14:paraId="7B2E7C17" w14:textId="77777777" w:rsidTr="00540CC4">
        <w:trPr>
          <w:tblHeader/>
        </w:trPr>
        <w:tc>
          <w:tcPr>
            <w:tcW w:w="2405" w:type="dxa"/>
            <w:shd w:val="clear" w:color="auto" w:fill="auto"/>
            <w:vAlign w:val="center"/>
          </w:tcPr>
          <w:p w14:paraId="37EDC894" w14:textId="77777777" w:rsidR="00821CB9" w:rsidRPr="00F6387C" w:rsidRDefault="00821CB9" w:rsidP="00904884">
            <w:pPr>
              <w:pStyle w:val="Tabletext"/>
              <w:keepNext/>
            </w:pPr>
            <w:r w:rsidRPr="00F6387C">
              <w:t>Total script numbers - cladribine</w:t>
            </w:r>
          </w:p>
        </w:tc>
        <w:tc>
          <w:tcPr>
            <w:tcW w:w="1110" w:type="dxa"/>
            <w:shd w:val="clear" w:color="auto" w:fill="auto"/>
          </w:tcPr>
          <w:p w14:paraId="38349EF9" w14:textId="24F2CF67"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564"/>
                <w14:textFill>
                  <w14:solidFill>
                    <w14:srgbClr w14:val="000000">
                      <w14:alpha w14:val="100000"/>
                    </w14:srgbClr>
                  </w14:solidFill>
                </w14:textFill>
              </w:rPr>
              <w:t xml:space="preserve">　</w:t>
            </w:r>
            <w:r w:rsidRPr="00632E88">
              <w:rPr>
                <w:color w:val="000000"/>
                <w:w w:val="15"/>
                <w:shd w:val="solid" w:color="000000" w:fill="000000"/>
                <w:fitText w:val="70" w:id="-1031597564"/>
                <w14:textFill>
                  <w14:solidFill>
                    <w14:srgbClr w14:val="000000">
                      <w14:alpha w14:val="100000"/>
                    </w14:srgbClr>
                  </w14:solidFill>
                </w14:textFill>
              </w:rPr>
              <w:t>|</w:t>
            </w:r>
            <w:r w:rsidRPr="00632E88">
              <w:rPr>
                <w:rFonts w:hint="eastAsia"/>
                <w:color w:val="000000"/>
                <w:spacing w:val="4"/>
                <w:w w:val="15"/>
                <w:shd w:val="solid" w:color="000000" w:fill="000000"/>
                <w:fitText w:val="70" w:id="-1031597564"/>
                <w14:textFill>
                  <w14:solidFill>
                    <w14:srgbClr w14:val="000000">
                      <w14:alpha w14:val="100000"/>
                    </w14:srgbClr>
                  </w14:solidFill>
                </w14:textFill>
              </w:rPr>
              <w:t xml:space="preserve">　</w:t>
            </w:r>
            <w:r w:rsidR="007926AB" w:rsidRPr="007926AB">
              <w:rPr>
                <w:vertAlign w:val="superscript"/>
              </w:rPr>
              <w:t>1</w:t>
            </w:r>
          </w:p>
        </w:tc>
        <w:tc>
          <w:tcPr>
            <w:tcW w:w="1110" w:type="dxa"/>
            <w:shd w:val="clear" w:color="auto" w:fill="auto"/>
          </w:tcPr>
          <w:p w14:paraId="55C37BB1" w14:textId="6E1F7AF8"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563"/>
                <w14:textFill>
                  <w14:solidFill>
                    <w14:srgbClr w14:val="000000">
                      <w14:alpha w14:val="100000"/>
                    </w14:srgbClr>
                  </w14:solidFill>
                </w14:textFill>
              </w:rPr>
              <w:t xml:space="preserve">　</w:t>
            </w:r>
            <w:r w:rsidRPr="00632E88">
              <w:rPr>
                <w:color w:val="000000"/>
                <w:w w:val="15"/>
                <w:shd w:val="solid" w:color="000000" w:fill="000000"/>
                <w:fitText w:val="70" w:id="-1031597563"/>
                <w14:textFill>
                  <w14:solidFill>
                    <w14:srgbClr w14:val="000000">
                      <w14:alpha w14:val="100000"/>
                    </w14:srgbClr>
                  </w14:solidFill>
                </w14:textFill>
              </w:rPr>
              <w:t>|</w:t>
            </w:r>
            <w:r w:rsidRPr="00632E88">
              <w:rPr>
                <w:rFonts w:hint="eastAsia"/>
                <w:color w:val="000000"/>
                <w:spacing w:val="4"/>
                <w:w w:val="15"/>
                <w:shd w:val="solid" w:color="000000" w:fill="000000"/>
                <w:fitText w:val="70" w:id="-1031597563"/>
                <w14:textFill>
                  <w14:solidFill>
                    <w14:srgbClr w14:val="000000">
                      <w14:alpha w14:val="100000"/>
                    </w14:srgbClr>
                  </w14:solidFill>
                </w14:textFill>
              </w:rPr>
              <w:t xml:space="preserve">　</w:t>
            </w:r>
            <w:r w:rsidR="007926AB" w:rsidRPr="007926AB">
              <w:rPr>
                <w:vertAlign w:val="superscript"/>
              </w:rPr>
              <w:t>1</w:t>
            </w:r>
          </w:p>
        </w:tc>
        <w:tc>
          <w:tcPr>
            <w:tcW w:w="1111" w:type="dxa"/>
            <w:shd w:val="clear" w:color="auto" w:fill="auto"/>
          </w:tcPr>
          <w:p w14:paraId="476D08D8" w14:textId="6E445BA3"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562"/>
                <w14:textFill>
                  <w14:solidFill>
                    <w14:srgbClr w14:val="000000">
                      <w14:alpha w14:val="100000"/>
                    </w14:srgbClr>
                  </w14:solidFill>
                </w14:textFill>
              </w:rPr>
              <w:t xml:space="preserve">　</w:t>
            </w:r>
            <w:r w:rsidRPr="00632E88">
              <w:rPr>
                <w:color w:val="000000"/>
                <w:w w:val="15"/>
                <w:shd w:val="solid" w:color="000000" w:fill="000000"/>
                <w:fitText w:val="70" w:id="-1031597562"/>
                <w14:textFill>
                  <w14:solidFill>
                    <w14:srgbClr w14:val="000000">
                      <w14:alpha w14:val="100000"/>
                    </w14:srgbClr>
                  </w14:solidFill>
                </w14:textFill>
              </w:rPr>
              <w:t>|</w:t>
            </w:r>
            <w:r w:rsidRPr="00632E88">
              <w:rPr>
                <w:rFonts w:hint="eastAsia"/>
                <w:color w:val="000000"/>
                <w:spacing w:val="4"/>
                <w:w w:val="15"/>
                <w:shd w:val="solid" w:color="000000" w:fill="000000"/>
                <w:fitText w:val="70" w:id="-1031597562"/>
                <w14:textFill>
                  <w14:solidFill>
                    <w14:srgbClr w14:val="000000">
                      <w14:alpha w14:val="100000"/>
                    </w14:srgbClr>
                  </w14:solidFill>
                </w14:textFill>
              </w:rPr>
              <w:t xml:space="preserve">　</w:t>
            </w:r>
            <w:r w:rsidR="007926AB" w:rsidRPr="007926AB">
              <w:rPr>
                <w:vertAlign w:val="superscript"/>
              </w:rPr>
              <w:t>1</w:t>
            </w:r>
          </w:p>
        </w:tc>
        <w:tc>
          <w:tcPr>
            <w:tcW w:w="1110" w:type="dxa"/>
            <w:shd w:val="clear" w:color="auto" w:fill="auto"/>
          </w:tcPr>
          <w:p w14:paraId="3CF9349D" w14:textId="44224F3B"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561"/>
                <w14:textFill>
                  <w14:solidFill>
                    <w14:srgbClr w14:val="000000">
                      <w14:alpha w14:val="100000"/>
                    </w14:srgbClr>
                  </w14:solidFill>
                </w14:textFill>
              </w:rPr>
              <w:t xml:space="preserve">　</w:t>
            </w:r>
            <w:r w:rsidRPr="00632E88">
              <w:rPr>
                <w:color w:val="000000"/>
                <w:w w:val="15"/>
                <w:shd w:val="solid" w:color="000000" w:fill="000000"/>
                <w:fitText w:val="70" w:id="-1031597561"/>
                <w14:textFill>
                  <w14:solidFill>
                    <w14:srgbClr w14:val="000000">
                      <w14:alpha w14:val="100000"/>
                    </w14:srgbClr>
                  </w14:solidFill>
                </w14:textFill>
              </w:rPr>
              <w:t>|</w:t>
            </w:r>
            <w:r w:rsidRPr="00632E88">
              <w:rPr>
                <w:rFonts w:hint="eastAsia"/>
                <w:color w:val="000000"/>
                <w:spacing w:val="4"/>
                <w:w w:val="15"/>
                <w:shd w:val="solid" w:color="000000" w:fill="000000"/>
                <w:fitText w:val="70" w:id="-1031597561"/>
                <w14:textFill>
                  <w14:solidFill>
                    <w14:srgbClr w14:val="000000">
                      <w14:alpha w14:val="100000"/>
                    </w14:srgbClr>
                  </w14:solidFill>
                </w14:textFill>
              </w:rPr>
              <w:t xml:space="preserve">　</w:t>
            </w:r>
            <w:r w:rsidR="007926AB" w:rsidRPr="007926AB">
              <w:rPr>
                <w:vertAlign w:val="superscript"/>
              </w:rPr>
              <w:t>1</w:t>
            </w:r>
          </w:p>
        </w:tc>
        <w:tc>
          <w:tcPr>
            <w:tcW w:w="1110" w:type="dxa"/>
            <w:shd w:val="clear" w:color="auto" w:fill="auto"/>
          </w:tcPr>
          <w:p w14:paraId="3F644553" w14:textId="48223994"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560"/>
                <w14:textFill>
                  <w14:solidFill>
                    <w14:srgbClr w14:val="000000">
                      <w14:alpha w14:val="100000"/>
                    </w14:srgbClr>
                  </w14:solidFill>
                </w14:textFill>
              </w:rPr>
              <w:t xml:space="preserve">　</w:t>
            </w:r>
            <w:r w:rsidRPr="00632E88">
              <w:rPr>
                <w:color w:val="000000"/>
                <w:w w:val="15"/>
                <w:shd w:val="solid" w:color="000000" w:fill="000000"/>
                <w:fitText w:val="70" w:id="-1031597560"/>
                <w14:textFill>
                  <w14:solidFill>
                    <w14:srgbClr w14:val="000000">
                      <w14:alpha w14:val="100000"/>
                    </w14:srgbClr>
                  </w14:solidFill>
                </w14:textFill>
              </w:rPr>
              <w:t>|</w:t>
            </w:r>
            <w:r w:rsidRPr="00632E88">
              <w:rPr>
                <w:rFonts w:hint="eastAsia"/>
                <w:color w:val="000000"/>
                <w:spacing w:val="4"/>
                <w:w w:val="15"/>
                <w:shd w:val="solid" w:color="000000" w:fill="000000"/>
                <w:fitText w:val="70" w:id="-1031597560"/>
                <w14:textFill>
                  <w14:solidFill>
                    <w14:srgbClr w14:val="000000">
                      <w14:alpha w14:val="100000"/>
                    </w14:srgbClr>
                  </w14:solidFill>
                </w14:textFill>
              </w:rPr>
              <w:t xml:space="preserve">　</w:t>
            </w:r>
            <w:r w:rsidR="007926AB" w:rsidRPr="007926AB">
              <w:rPr>
                <w:vertAlign w:val="superscript"/>
              </w:rPr>
              <w:t>1</w:t>
            </w:r>
          </w:p>
        </w:tc>
        <w:tc>
          <w:tcPr>
            <w:tcW w:w="1111" w:type="dxa"/>
            <w:shd w:val="clear" w:color="auto" w:fill="auto"/>
          </w:tcPr>
          <w:p w14:paraId="04C45646" w14:textId="6B78C6C3"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559"/>
                <w14:textFill>
                  <w14:solidFill>
                    <w14:srgbClr w14:val="000000">
                      <w14:alpha w14:val="100000"/>
                    </w14:srgbClr>
                  </w14:solidFill>
                </w14:textFill>
              </w:rPr>
              <w:t xml:space="preserve">　</w:t>
            </w:r>
            <w:r w:rsidRPr="00632E88">
              <w:rPr>
                <w:color w:val="000000"/>
                <w:w w:val="15"/>
                <w:shd w:val="solid" w:color="000000" w:fill="000000"/>
                <w:fitText w:val="70" w:id="-1031597559"/>
                <w14:textFill>
                  <w14:solidFill>
                    <w14:srgbClr w14:val="000000">
                      <w14:alpha w14:val="100000"/>
                    </w14:srgbClr>
                  </w14:solidFill>
                </w14:textFill>
              </w:rPr>
              <w:t>|</w:t>
            </w:r>
            <w:r w:rsidRPr="00632E88">
              <w:rPr>
                <w:rFonts w:hint="eastAsia"/>
                <w:color w:val="000000"/>
                <w:spacing w:val="4"/>
                <w:w w:val="15"/>
                <w:shd w:val="solid" w:color="000000" w:fill="000000"/>
                <w:fitText w:val="70" w:id="-1031597559"/>
                <w14:textFill>
                  <w14:solidFill>
                    <w14:srgbClr w14:val="000000">
                      <w14:alpha w14:val="100000"/>
                    </w14:srgbClr>
                  </w14:solidFill>
                </w14:textFill>
              </w:rPr>
              <w:t xml:space="preserve">　</w:t>
            </w:r>
            <w:r w:rsidR="007926AB" w:rsidRPr="007926AB">
              <w:rPr>
                <w:vertAlign w:val="superscript"/>
              </w:rPr>
              <w:t>1</w:t>
            </w:r>
          </w:p>
        </w:tc>
      </w:tr>
      <w:tr w:rsidR="00821CB9" w:rsidRPr="00F6387C" w14:paraId="7DC36FCB" w14:textId="77777777" w:rsidTr="00540CC4">
        <w:trPr>
          <w:tblHeader/>
        </w:trPr>
        <w:tc>
          <w:tcPr>
            <w:tcW w:w="2405" w:type="dxa"/>
            <w:shd w:val="clear" w:color="auto" w:fill="auto"/>
            <w:vAlign w:val="center"/>
          </w:tcPr>
          <w:p w14:paraId="415B7531" w14:textId="77777777" w:rsidR="00821CB9" w:rsidRPr="00F6387C" w:rsidRDefault="00821CB9" w:rsidP="00904884">
            <w:pPr>
              <w:pStyle w:val="Tabletext"/>
              <w:keepNext/>
            </w:pPr>
            <w:r w:rsidRPr="00F6387C">
              <w:t>Cost to PBS/RPBS</w:t>
            </w:r>
          </w:p>
        </w:tc>
        <w:tc>
          <w:tcPr>
            <w:tcW w:w="1110" w:type="dxa"/>
            <w:shd w:val="clear" w:color="auto" w:fill="auto"/>
            <w:vAlign w:val="center"/>
          </w:tcPr>
          <w:p w14:paraId="6CABB5EF" w14:textId="42875573"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12"/>
                <w14:textFill>
                  <w14:solidFill>
                    <w14:srgbClr w14:val="000000">
                      <w14:alpha w14:val="100000"/>
                    </w14:srgbClr>
                  </w14:solidFill>
                </w14:textFill>
              </w:rPr>
              <w:t xml:space="preserve">　</w:t>
            </w:r>
            <w:r w:rsidRPr="00632E88">
              <w:rPr>
                <w:color w:val="000000"/>
                <w:w w:val="15"/>
                <w:shd w:val="solid" w:color="000000" w:fill="000000"/>
                <w:fitText w:val="70" w:id="-1031597312"/>
                <w14:textFill>
                  <w14:solidFill>
                    <w14:srgbClr w14:val="000000">
                      <w14:alpha w14:val="100000"/>
                    </w14:srgbClr>
                  </w14:solidFill>
                </w14:textFill>
              </w:rPr>
              <w:t>|</w:t>
            </w:r>
            <w:r w:rsidRPr="00632E88">
              <w:rPr>
                <w:rFonts w:hint="eastAsia"/>
                <w:color w:val="000000"/>
                <w:spacing w:val="4"/>
                <w:w w:val="15"/>
                <w:shd w:val="solid" w:color="000000" w:fill="000000"/>
                <w:fitText w:val="70" w:id="-1031597312"/>
                <w14:textFill>
                  <w14:solidFill>
                    <w14:srgbClr w14:val="000000">
                      <w14:alpha w14:val="100000"/>
                    </w14:srgbClr>
                  </w14:solidFill>
                </w14:textFill>
              </w:rPr>
              <w:t xml:space="preserve">　</w:t>
            </w:r>
            <w:r w:rsidR="00A6165D">
              <w:rPr>
                <w:vertAlign w:val="superscript"/>
              </w:rPr>
              <w:t>5</w:t>
            </w:r>
          </w:p>
        </w:tc>
        <w:tc>
          <w:tcPr>
            <w:tcW w:w="1110" w:type="dxa"/>
            <w:shd w:val="clear" w:color="auto" w:fill="auto"/>
            <w:vAlign w:val="center"/>
          </w:tcPr>
          <w:p w14:paraId="126F8990" w14:textId="524919B8"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11"/>
                <w14:textFill>
                  <w14:solidFill>
                    <w14:srgbClr w14:val="000000">
                      <w14:alpha w14:val="100000"/>
                    </w14:srgbClr>
                  </w14:solidFill>
                </w14:textFill>
              </w:rPr>
              <w:t xml:space="preserve">　</w:t>
            </w:r>
            <w:r w:rsidRPr="00632E88">
              <w:rPr>
                <w:color w:val="000000"/>
                <w:w w:val="15"/>
                <w:shd w:val="solid" w:color="000000" w:fill="000000"/>
                <w:fitText w:val="70" w:id="-1031597311"/>
                <w14:textFill>
                  <w14:solidFill>
                    <w14:srgbClr w14:val="000000">
                      <w14:alpha w14:val="100000"/>
                    </w14:srgbClr>
                  </w14:solidFill>
                </w14:textFill>
              </w:rPr>
              <w:t>|</w:t>
            </w:r>
            <w:r w:rsidRPr="00632E88">
              <w:rPr>
                <w:rFonts w:hint="eastAsia"/>
                <w:color w:val="000000"/>
                <w:spacing w:val="4"/>
                <w:w w:val="15"/>
                <w:shd w:val="solid" w:color="000000" w:fill="000000"/>
                <w:fitText w:val="70" w:id="-1031597311"/>
                <w14:textFill>
                  <w14:solidFill>
                    <w14:srgbClr w14:val="000000">
                      <w14:alpha w14:val="100000"/>
                    </w14:srgbClr>
                  </w14:solidFill>
                </w14:textFill>
              </w:rPr>
              <w:t xml:space="preserve">　</w:t>
            </w:r>
            <w:r w:rsidR="00A6165D">
              <w:rPr>
                <w:vertAlign w:val="superscript"/>
              </w:rPr>
              <w:t>5</w:t>
            </w:r>
          </w:p>
        </w:tc>
        <w:tc>
          <w:tcPr>
            <w:tcW w:w="1111" w:type="dxa"/>
            <w:shd w:val="clear" w:color="auto" w:fill="auto"/>
            <w:vAlign w:val="center"/>
          </w:tcPr>
          <w:p w14:paraId="5BFD16FA" w14:textId="1C85A74E"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10"/>
                <w14:textFill>
                  <w14:solidFill>
                    <w14:srgbClr w14:val="000000">
                      <w14:alpha w14:val="100000"/>
                    </w14:srgbClr>
                  </w14:solidFill>
                </w14:textFill>
              </w:rPr>
              <w:t xml:space="preserve">　</w:t>
            </w:r>
            <w:r w:rsidRPr="00632E88">
              <w:rPr>
                <w:color w:val="000000"/>
                <w:w w:val="15"/>
                <w:shd w:val="solid" w:color="000000" w:fill="000000"/>
                <w:fitText w:val="70" w:id="-1031597310"/>
                <w14:textFill>
                  <w14:solidFill>
                    <w14:srgbClr w14:val="000000">
                      <w14:alpha w14:val="100000"/>
                    </w14:srgbClr>
                  </w14:solidFill>
                </w14:textFill>
              </w:rPr>
              <w:t>|</w:t>
            </w:r>
            <w:r w:rsidRPr="00632E88">
              <w:rPr>
                <w:rFonts w:hint="eastAsia"/>
                <w:color w:val="000000"/>
                <w:spacing w:val="4"/>
                <w:w w:val="15"/>
                <w:shd w:val="solid" w:color="000000" w:fill="000000"/>
                <w:fitText w:val="70" w:id="-1031597310"/>
                <w14:textFill>
                  <w14:solidFill>
                    <w14:srgbClr w14:val="000000">
                      <w14:alpha w14:val="100000"/>
                    </w14:srgbClr>
                  </w14:solidFill>
                </w14:textFill>
              </w:rPr>
              <w:t xml:space="preserve">　</w:t>
            </w:r>
            <w:r w:rsidR="00A6165D">
              <w:rPr>
                <w:vertAlign w:val="superscript"/>
              </w:rPr>
              <w:t>5</w:t>
            </w:r>
          </w:p>
        </w:tc>
        <w:tc>
          <w:tcPr>
            <w:tcW w:w="1110" w:type="dxa"/>
            <w:shd w:val="clear" w:color="auto" w:fill="auto"/>
            <w:vAlign w:val="center"/>
          </w:tcPr>
          <w:p w14:paraId="17676178" w14:textId="3706CC8E"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9"/>
                <w14:textFill>
                  <w14:solidFill>
                    <w14:srgbClr w14:val="000000">
                      <w14:alpha w14:val="100000"/>
                    </w14:srgbClr>
                  </w14:solidFill>
                </w14:textFill>
              </w:rPr>
              <w:t xml:space="preserve">　</w:t>
            </w:r>
            <w:r w:rsidRPr="00632E88">
              <w:rPr>
                <w:color w:val="000000"/>
                <w:w w:val="15"/>
                <w:shd w:val="solid" w:color="000000" w:fill="000000"/>
                <w:fitText w:val="70" w:id="-1031597309"/>
                <w14:textFill>
                  <w14:solidFill>
                    <w14:srgbClr w14:val="000000">
                      <w14:alpha w14:val="100000"/>
                    </w14:srgbClr>
                  </w14:solidFill>
                </w14:textFill>
              </w:rPr>
              <w:t>|</w:t>
            </w:r>
            <w:r w:rsidRPr="00632E88">
              <w:rPr>
                <w:rFonts w:hint="eastAsia"/>
                <w:color w:val="000000"/>
                <w:spacing w:val="4"/>
                <w:w w:val="15"/>
                <w:shd w:val="solid" w:color="000000" w:fill="000000"/>
                <w:fitText w:val="70" w:id="-1031597309"/>
                <w14:textFill>
                  <w14:solidFill>
                    <w14:srgbClr w14:val="000000">
                      <w14:alpha w14:val="100000"/>
                    </w14:srgbClr>
                  </w14:solidFill>
                </w14:textFill>
              </w:rPr>
              <w:t xml:space="preserve">　</w:t>
            </w:r>
            <w:r w:rsidR="00A6165D">
              <w:rPr>
                <w:vertAlign w:val="superscript"/>
              </w:rPr>
              <w:t>5</w:t>
            </w:r>
          </w:p>
        </w:tc>
        <w:tc>
          <w:tcPr>
            <w:tcW w:w="1110" w:type="dxa"/>
            <w:shd w:val="clear" w:color="auto" w:fill="auto"/>
            <w:vAlign w:val="center"/>
          </w:tcPr>
          <w:p w14:paraId="7412FA9A" w14:textId="0DE229B6"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8"/>
                <w14:textFill>
                  <w14:solidFill>
                    <w14:srgbClr w14:val="000000">
                      <w14:alpha w14:val="100000"/>
                    </w14:srgbClr>
                  </w14:solidFill>
                </w14:textFill>
              </w:rPr>
              <w:t xml:space="preserve">　</w:t>
            </w:r>
            <w:r w:rsidRPr="00632E88">
              <w:rPr>
                <w:color w:val="000000"/>
                <w:w w:val="15"/>
                <w:shd w:val="solid" w:color="000000" w:fill="000000"/>
                <w:fitText w:val="70" w:id="-1031597308"/>
                <w14:textFill>
                  <w14:solidFill>
                    <w14:srgbClr w14:val="000000">
                      <w14:alpha w14:val="100000"/>
                    </w14:srgbClr>
                  </w14:solidFill>
                </w14:textFill>
              </w:rPr>
              <w:t>|</w:t>
            </w:r>
            <w:r w:rsidRPr="00632E88">
              <w:rPr>
                <w:rFonts w:hint="eastAsia"/>
                <w:color w:val="000000"/>
                <w:spacing w:val="4"/>
                <w:w w:val="15"/>
                <w:shd w:val="solid" w:color="000000" w:fill="000000"/>
                <w:fitText w:val="70" w:id="-1031597308"/>
                <w14:textFill>
                  <w14:solidFill>
                    <w14:srgbClr w14:val="000000">
                      <w14:alpha w14:val="100000"/>
                    </w14:srgbClr>
                  </w14:solidFill>
                </w14:textFill>
              </w:rPr>
              <w:t xml:space="preserve">　</w:t>
            </w:r>
            <w:r w:rsidR="00A6165D">
              <w:rPr>
                <w:vertAlign w:val="superscript"/>
              </w:rPr>
              <w:t>5</w:t>
            </w:r>
          </w:p>
        </w:tc>
        <w:tc>
          <w:tcPr>
            <w:tcW w:w="1111" w:type="dxa"/>
            <w:shd w:val="clear" w:color="auto" w:fill="auto"/>
            <w:vAlign w:val="center"/>
          </w:tcPr>
          <w:p w14:paraId="1724E720" w14:textId="09649E07"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7"/>
                <w14:textFill>
                  <w14:solidFill>
                    <w14:srgbClr w14:val="000000">
                      <w14:alpha w14:val="100000"/>
                    </w14:srgbClr>
                  </w14:solidFill>
                </w14:textFill>
              </w:rPr>
              <w:t xml:space="preserve">　</w:t>
            </w:r>
            <w:r w:rsidRPr="00632E88">
              <w:rPr>
                <w:color w:val="000000"/>
                <w:w w:val="15"/>
                <w:shd w:val="solid" w:color="000000" w:fill="000000"/>
                <w:fitText w:val="70" w:id="-1031597307"/>
                <w14:textFill>
                  <w14:solidFill>
                    <w14:srgbClr w14:val="000000">
                      <w14:alpha w14:val="100000"/>
                    </w14:srgbClr>
                  </w14:solidFill>
                </w14:textFill>
              </w:rPr>
              <w:t>|</w:t>
            </w:r>
            <w:r w:rsidRPr="00632E88">
              <w:rPr>
                <w:rFonts w:hint="eastAsia"/>
                <w:color w:val="000000"/>
                <w:spacing w:val="4"/>
                <w:w w:val="15"/>
                <w:shd w:val="solid" w:color="000000" w:fill="000000"/>
                <w:fitText w:val="70" w:id="-1031597307"/>
                <w14:textFill>
                  <w14:solidFill>
                    <w14:srgbClr w14:val="000000">
                      <w14:alpha w14:val="100000"/>
                    </w14:srgbClr>
                  </w14:solidFill>
                </w14:textFill>
              </w:rPr>
              <w:t xml:space="preserve">　</w:t>
            </w:r>
            <w:r w:rsidR="00A6165D">
              <w:rPr>
                <w:vertAlign w:val="superscript"/>
              </w:rPr>
              <w:t>5</w:t>
            </w:r>
          </w:p>
        </w:tc>
      </w:tr>
      <w:tr w:rsidR="00821CB9" w:rsidRPr="00F6387C" w14:paraId="23F763DF" w14:textId="77777777" w:rsidTr="00540CC4">
        <w:trPr>
          <w:tblHeader/>
        </w:trPr>
        <w:tc>
          <w:tcPr>
            <w:tcW w:w="2405" w:type="dxa"/>
            <w:shd w:val="clear" w:color="auto" w:fill="auto"/>
            <w:vAlign w:val="center"/>
          </w:tcPr>
          <w:p w14:paraId="4DA4AF4A" w14:textId="77777777" w:rsidR="00821CB9" w:rsidRPr="00F6387C" w:rsidRDefault="00821CB9" w:rsidP="00904884">
            <w:pPr>
              <w:pStyle w:val="Tabletext"/>
              <w:keepNext/>
            </w:pPr>
            <w:r w:rsidRPr="00F6387C">
              <w:t>Patient co-payments</w:t>
            </w:r>
          </w:p>
        </w:tc>
        <w:tc>
          <w:tcPr>
            <w:tcW w:w="1110" w:type="dxa"/>
            <w:shd w:val="clear" w:color="auto" w:fill="auto"/>
          </w:tcPr>
          <w:p w14:paraId="41E57D21" w14:textId="6FE770AA"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6"/>
                <w14:textFill>
                  <w14:solidFill>
                    <w14:srgbClr w14:val="000000">
                      <w14:alpha w14:val="100000"/>
                    </w14:srgbClr>
                  </w14:solidFill>
                </w14:textFill>
              </w:rPr>
              <w:t xml:space="preserve">　</w:t>
            </w:r>
            <w:r w:rsidRPr="00632E88">
              <w:rPr>
                <w:color w:val="000000"/>
                <w:w w:val="15"/>
                <w:shd w:val="solid" w:color="000000" w:fill="000000"/>
                <w:fitText w:val="70" w:id="-1031597306"/>
                <w14:textFill>
                  <w14:solidFill>
                    <w14:srgbClr w14:val="000000">
                      <w14:alpha w14:val="100000"/>
                    </w14:srgbClr>
                  </w14:solidFill>
                </w14:textFill>
              </w:rPr>
              <w:t>|</w:t>
            </w:r>
            <w:r w:rsidRPr="00632E88">
              <w:rPr>
                <w:rFonts w:hint="eastAsia"/>
                <w:color w:val="000000"/>
                <w:spacing w:val="4"/>
                <w:w w:val="15"/>
                <w:shd w:val="solid" w:color="000000" w:fill="000000"/>
                <w:fitText w:val="70" w:id="-1031597306"/>
                <w14:textFill>
                  <w14:solidFill>
                    <w14:srgbClr w14:val="000000">
                      <w14:alpha w14:val="100000"/>
                    </w14:srgbClr>
                  </w14:solidFill>
                </w14:textFill>
              </w:rPr>
              <w:t xml:space="preserve">　</w:t>
            </w:r>
            <w:r w:rsidR="00FE1C1D">
              <w:rPr>
                <w:vertAlign w:val="superscript"/>
              </w:rPr>
              <w:t>4</w:t>
            </w:r>
          </w:p>
        </w:tc>
        <w:tc>
          <w:tcPr>
            <w:tcW w:w="1110" w:type="dxa"/>
            <w:shd w:val="clear" w:color="auto" w:fill="auto"/>
          </w:tcPr>
          <w:p w14:paraId="1BFE2D43" w14:textId="34815137"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5"/>
                <w14:textFill>
                  <w14:solidFill>
                    <w14:srgbClr w14:val="000000">
                      <w14:alpha w14:val="100000"/>
                    </w14:srgbClr>
                  </w14:solidFill>
                </w14:textFill>
              </w:rPr>
              <w:t xml:space="preserve">　</w:t>
            </w:r>
            <w:r w:rsidRPr="00632E88">
              <w:rPr>
                <w:color w:val="000000"/>
                <w:w w:val="15"/>
                <w:shd w:val="solid" w:color="000000" w:fill="000000"/>
                <w:fitText w:val="70" w:id="-1031597305"/>
                <w14:textFill>
                  <w14:solidFill>
                    <w14:srgbClr w14:val="000000">
                      <w14:alpha w14:val="100000"/>
                    </w14:srgbClr>
                  </w14:solidFill>
                </w14:textFill>
              </w:rPr>
              <w:t>|</w:t>
            </w:r>
            <w:r w:rsidRPr="00632E88">
              <w:rPr>
                <w:rFonts w:hint="eastAsia"/>
                <w:color w:val="000000"/>
                <w:spacing w:val="4"/>
                <w:w w:val="15"/>
                <w:shd w:val="solid" w:color="000000" w:fill="000000"/>
                <w:fitText w:val="70" w:id="-1031597305"/>
                <w14:textFill>
                  <w14:solidFill>
                    <w14:srgbClr w14:val="000000">
                      <w14:alpha w14:val="100000"/>
                    </w14:srgbClr>
                  </w14:solidFill>
                </w14:textFill>
              </w:rPr>
              <w:t xml:space="preserve">　</w:t>
            </w:r>
            <w:r w:rsidR="00FE1C1D">
              <w:rPr>
                <w:vertAlign w:val="superscript"/>
              </w:rPr>
              <w:t>4</w:t>
            </w:r>
          </w:p>
        </w:tc>
        <w:tc>
          <w:tcPr>
            <w:tcW w:w="1111" w:type="dxa"/>
            <w:shd w:val="clear" w:color="auto" w:fill="auto"/>
          </w:tcPr>
          <w:p w14:paraId="011B27C1" w14:textId="51F6C148"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4"/>
                <w14:textFill>
                  <w14:solidFill>
                    <w14:srgbClr w14:val="000000">
                      <w14:alpha w14:val="100000"/>
                    </w14:srgbClr>
                  </w14:solidFill>
                </w14:textFill>
              </w:rPr>
              <w:t xml:space="preserve">　</w:t>
            </w:r>
            <w:r w:rsidRPr="00632E88">
              <w:rPr>
                <w:color w:val="000000"/>
                <w:w w:val="15"/>
                <w:shd w:val="solid" w:color="000000" w:fill="000000"/>
                <w:fitText w:val="70" w:id="-1031597304"/>
                <w14:textFill>
                  <w14:solidFill>
                    <w14:srgbClr w14:val="000000">
                      <w14:alpha w14:val="100000"/>
                    </w14:srgbClr>
                  </w14:solidFill>
                </w14:textFill>
              </w:rPr>
              <w:t>|</w:t>
            </w:r>
            <w:r w:rsidRPr="00632E88">
              <w:rPr>
                <w:rFonts w:hint="eastAsia"/>
                <w:color w:val="000000"/>
                <w:spacing w:val="4"/>
                <w:w w:val="15"/>
                <w:shd w:val="solid" w:color="000000" w:fill="000000"/>
                <w:fitText w:val="70" w:id="-1031597304"/>
                <w14:textFill>
                  <w14:solidFill>
                    <w14:srgbClr w14:val="000000">
                      <w14:alpha w14:val="100000"/>
                    </w14:srgbClr>
                  </w14:solidFill>
                </w14:textFill>
              </w:rPr>
              <w:t xml:space="preserve">　</w:t>
            </w:r>
            <w:r w:rsidR="00FE1C1D">
              <w:rPr>
                <w:vertAlign w:val="superscript"/>
              </w:rPr>
              <w:t>4</w:t>
            </w:r>
          </w:p>
        </w:tc>
        <w:tc>
          <w:tcPr>
            <w:tcW w:w="1110" w:type="dxa"/>
            <w:shd w:val="clear" w:color="auto" w:fill="auto"/>
          </w:tcPr>
          <w:p w14:paraId="09D0C460" w14:textId="400A1A37"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3"/>
                <w14:textFill>
                  <w14:solidFill>
                    <w14:srgbClr w14:val="000000">
                      <w14:alpha w14:val="100000"/>
                    </w14:srgbClr>
                  </w14:solidFill>
                </w14:textFill>
              </w:rPr>
              <w:t xml:space="preserve">　</w:t>
            </w:r>
            <w:r w:rsidRPr="00632E88">
              <w:rPr>
                <w:color w:val="000000"/>
                <w:w w:val="15"/>
                <w:shd w:val="solid" w:color="000000" w:fill="000000"/>
                <w:fitText w:val="70" w:id="-1031597303"/>
                <w14:textFill>
                  <w14:solidFill>
                    <w14:srgbClr w14:val="000000">
                      <w14:alpha w14:val="100000"/>
                    </w14:srgbClr>
                  </w14:solidFill>
                </w14:textFill>
              </w:rPr>
              <w:t>|</w:t>
            </w:r>
            <w:r w:rsidRPr="00632E88">
              <w:rPr>
                <w:rFonts w:hint="eastAsia"/>
                <w:color w:val="000000"/>
                <w:spacing w:val="4"/>
                <w:w w:val="15"/>
                <w:shd w:val="solid" w:color="000000" w:fill="000000"/>
                <w:fitText w:val="70" w:id="-1031597303"/>
                <w14:textFill>
                  <w14:solidFill>
                    <w14:srgbClr w14:val="000000">
                      <w14:alpha w14:val="100000"/>
                    </w14:srgbClr>
                  </w14:solidFill>
                </w14:textFill>
              </w:rPr>
              <w:t xml:space="preserve">　</w:t>
            </w:r>
            <w:r w:rsidR="00FE1C1D">
              <w:rPr>
                <w:vertAlign w:val="superscript"/>
              </w:rPr>
              <w:t>4</w:t>
            </w:r>
          </w:p>
        </w:tc>
        <w:tc>
          <w:tcPr>
            <w:tcW w:w="1110" w:type="dxa"/>
            <w:shd w:val="clear" w:color="auto" w:fill="auto"/>
          </w:tcPr>
          <w:p w14:paraId="290A3F44" w14:textId="59201066"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2"/>
                <w14:textFill>
                  <w14:solidFill>
                    <w14:srgbClr w14:val="000000">
                      <w14:alpha w14:val="100000"/>
                    </w14:srgbClr>
                  </w14:solidFill>
                </w14:textFill>
              </w:rPr>
              <w:t xml:space="preserve">　</w:t>
            </w:r>
            <w:r w:rsidRPr="00632E88">
              <w:rPr>
                <w:color w:val="000000"/>
                <w:w w:val="15"/>
                <w:shd w:val="solid" w:color="000000" w:fill="000000"/>
                <w:fitText w:val="70" w:id="-1031597302"/>
                <w14:textFill>
                  <w14:solidFill>
                    <w14:srgbClr w14:val="000000">
                      <w14:alpha w14:val="100000"/>
                    </w14:srgbClr>
                  </w14:solidFill>
                </w14:textFill>
              </w:rPr>
              <w:t>|</w:t>
            </w:r>
            <w:r w:rsidRPr="00632E88">
              <w:rPr>
                <w:rFonts w:hint="eastAsia"/>
                <w:color w:val="000000"/>
                <w:spacing w:val="4"/>
                <w:w w:val="15"/>
                <w:shd w:val="solid" w:color="000000" w:fill="000000"/>
                <w:fitText w:val="70" w:id="-1031597302"/>
                <w14:textFill>
                  <w14:solidFill>
                    <w14:srgbClr w14:val="000000">
                      <w14:alpha w14:val="100000"/>
                    </w14:srgbClr>
                  </w14:solidFill>
                </w14:textFill>
              </w:rPr>
              <w:t xml:space="preserve">　</w:t>
            </w:r>
            <w:r w:rsidR="00FE1C1D">
              <w:rPr>
                <w:vertAlign w:val="superscript"/>
              </w:rPr>
              <w:t>4</w:t>
            </w:r>
          </w:p>
        </w:tc>
        <w:tc>
          <w:tcPr>
            <w:tcW w:w="1111" w:type="dxa"/>
            <w:shd w:val="clear" w:color="auto" w:fill="auto"/>
          </w:tcPr>
          <w:p w14:paraId="0929CF03" w14:textId="7C57B3F5"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1"/>
                <w14:textFill>
                  <w14:solidFill>
                    <w14:srgbClr w14:val="000000">
                      <w14:alpha w14:val="100000"/>
                    </w14:srgbClr>
                  </w14:solidFill>
                </w14:textFill>
              </w:rPr>
              <w:t xml:space="preserve">　</w:t>
            </w:r>
            <w:r w:rsidRPr="00632E88">
              <w:rPr>
                <w:color w:val="000000"/>
                <w:w w:val="15"/>
                <w:shd w:val="solid" w:color="000000" w:fill="000000"/>
                <w:fitText w:val="70" w:id="-1031597301"/>
                <w14:textFill>
                  <w14:solidFill>
                    <w14:srgbClr w14:val="000000">
                      <w14:alpha w14:val="100000"/>
                    </w14:srgbClr>
                  </w14:solidFill>
                </w14:textFill>
              </w:rPr>
              <w:t>|</w:t>
            </w:r>
            <w:r w:rsidRPr="00632E88">
              <w:rPr>
                <w:rFonts w:hint="eastAsia"/>
                <w:color w:val="000000"/>
                <w:spacing w:val="4"/>
                <w:w w:val="15"/>
                <w:shd w:val="solid" w:color="000000" w:fill="000000"/>
                <w:fitText w:val="70" w:id="-1031597301"/>
                <w14:textFill>
                  <w14:solidFill>
                    <w14:srgbClr w14:val="000000">
                      <w14:alpha w14:val="100000"/>
                    </w14:srgbClr>
                  </w14:solidFill>
                </w14:textFill>
              </w:rPr>
              <w:t xml:space="preserve">　</w:t>
            </w:r>
            <w:r w:rsidR="00FE1C1D">
              <w:rPr>
                <w:vertAlign w:val="superscript"/>
              </w:rPr>
              <w:t>4</w:t>
            </w:r>
          </w:p>
        </w:tc>
      </w:tr>
      <w:tr w:rsidR="00821CB9" w:rsidRPr="00F6387C" w14:paraId="2FFA4F79" w14:textId="77777777" w:rsidTr="00540CC4">
        <w:trPr>
          <w:tblHeader/>
        </w:trPr>
        <w:tc>
          <w:tcPr>
            <w:tcW w:w="2405" w:type="dxa"/>
            <w:shd w:val="clear" w:color="auto" w:fill="auto"/>
            <w:vAlign w:val="center"/>
          </w:tcPr>
          <w:p w14:paraId="64BF1F90" w14:textId="77777777" w:rsidR="00821CB9" w:rsidRPr="00F6387C" w:rsidRDefault="00821CB9" w:rsidP="00904884">
            <w:pPr>
              <w:pStyle w:val="Tabletext"/>
              <w:keepNext/>
            </w:pPr>
            <w:r w:rsidRPr="00F6387C">
              <w:t>Net cost to PBS/RPBS</w:t>
            </w:r>
          </w:p>
        </w:tc>
        <w:tc>
          <w:tcPr>
            <w:tcW w:w="1110" w:type="dxa"/>
            <w:shd w:val="clear" w:color="auto" w:fill="auto"/>
            <w:vAlign w:val="center"/>
          </w:tcPr>
          <w:p w14:paraId="132ACCB1" w14:textId="78E47424"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0"/>
                <w14:textFill>
                  <w14:solidFill>
                    <w14:srgbClr w14:val="000000">
                      <w14:alpha w14:val="100000"/>
                    </w14:srgbClr>
                  </w14:solidFill>
                </w14:textFill>
              </w:rPr>
              <w:t xml:space="preserve">　</w:t>
            </w:r>
            <w:r w:rsidRPr="00632E88">
              <w:rPr>
                <w:color w:val="000000"/>
                <w:w w:val="15"/>
                <w:shd w:val="solid" w:color="000000" w:fill="000000"/>
                <w:fitText w:val="70" w:id="-1031597300"/>
                <w14:textFill>
                  <w14:solidFill>
                    <w14:srgbClr w14:val="000000">
                      <w14:alpha w14:val="100000"/>
                    </w14:srgbClr>
                  </w14:solidFill>
                </w14:textFill>
              </w:rPr>
              <w:t>|</w:t>
            </w:r>
            <w:r w:rsidRPr="00632E88">
              <w:rPr>
                <w:rFonts w:hint="eastAsia"/>
                <w:color w:val="000000"/>
                <w:spacing w:val="4"/>
                <w:w w:val="15"/>
                <w:shd w:val="solid" w:color="000000" w:fill="000000"/>
                <w:fitText w:val="70" w:id="-1031597300"/>
                <w14:textFill>
                  <w14:solidFill>
                    <w14:srgbClr w14:val="000000">
                      <w14:alpha w14:val="100000"/>
                    </w14:srgbClr>
                  </w14:solidFill>
                </w14:textFill>
              </w:rPr>
              <w:t xml:space="preserve">　</w:t>
            </w:r>
            <w:r w:rsidR="00A6165D">
              <w:rPr>
                <w:vertAlign w:val="superscript"/>
              </w:rPr>
              <w:t>5</w:t>
            </w:r>
          </w:p>
        </w:tc>
        <w:tc>
          <w:tcPr>
            <w:tcW w:w="1110" w:type="dxa"/>
            <w:shd w:val="clear" w:color="auto" w:fill="auto"/>
            <w:vAlign w:val="center"/>
          </w:tcPr>
          <w:p w14:paraId="6BFB5759" w14:textId="49BBA27E"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299"/>
                <w14:textFill>
                  <w14:solidFill>
                    <w14:srgbClr w14:val="000000">
                      <w14:alpha w14:val="100000"/>
                    </w14:srgbClr>
                  </w14:solidFill>
                </w14:textFill>
              </w:rPr>
              <w:t xml:space="preserve">　</w:t>
            </w:r>
            <w:r w:rsidRPr="00632E88">
              <w:rPr>
                <w:color w:val="000000"/>
                <w:w w:val="15"/>
                <w:shd w:val="solid" w:color="000000" w:fill="000000"/>
                <w:fitText w:val="70" w:id="-1031597299"/>
                <w14:textFill>
                  <w14:solidFill>
                    <w14:srgbClr w14:val="000000">
                      <w14:alpha w14:val="100000"/>
                    </w14:srgbClr>
                  </w14:solidFill>
                </w14:textFill>
              </w:rPr>
              <w:t>|</w:t>
            </w:r>
            <w:r w:rsidRPr="00632E88">
              <w:rPr>
                <w:rFonts w:hint="eastAsia"/>
                <w:color w:val="000000"/>
                <w:spacing w:val="4"/>
                <w:w w:val="15"/>
                <w:shd w:val="solid" w:color="000000" w:fill="000000"/>
                <w:fitText w:val="70" w:id="-1031597299"/>
                <w14:textFill>
                  <w14:solidFill>
                    <w14:srgbClr w14:val="000000">
                      <w14:alpha w14:val="100000"/>
                    </w14:srgbClr>
                  </w14:solidFill>
                </w14:textFill>
              </w:rPr>
              <w:t xml:space="preserve">　</w:t>
            </w:r>
            <w:r w:rsidR="00A6165D">
              <w:rPr>
                <w:vertAlign w:val="superscript"/>
              </w:rPr>
              <w:t>5</w:t>
            </w:r>
          </w:p>
        </w:tc>
        <w:tc>
          <w:tcPr>
            <w:tcW w:w="1111" w:type="dxa"/>
            <w:shd w:val="clear" w:color="auto" w:fill="auto"/>
            <w:vAlign w:val="center"/>
          </w:tcPr>
          <w:p w14:paraId="2452E240" w14:textId="7B7B0DA6"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298"/>
                <w14:textFill>
                  <w14:solidFill>
                    <w14:srgbClr w14:val="000000">
                      <w14:alpha w14:val="100000"/>
                    </w14:srgbClr>
                  </w14:solidFill>
                </w14:textFill>
              </w:rPr>
              <w:t xml:space="preserve">　</w:t>
            </w:r>
            <w:r w:rsidRPr="00632E88">
              <w:rPr>
                <w:color w:val="000000"/>
                <w:w w:val="15"/>
                <w:shd w:val="solid" w:color="000000" w:fill="000000"/>
                <w:fitText w:val="70" w:id="-1031597298"/>
                <w14:textFill>
                  <w14:solidFill>
                    <w14:srgbClr w14:val="000000">
                      <w14:alpha w14:val="100000"/>
                    </w14:srgbClr>
                  </w14:solidFill>
                </w14:textFill>
              </w:rPr>
              <w:t>|</w:t>
            </w:r>
            <w:r w:rsidRPr="00632E88">
              <w:rPr>
                <w:rFonts w:hint="eastAsia"/>
                <w:color w:val="000000"/>
                <w:spacing w:val="4"/>
                <w:w w:val="15"/>
                <w:shd w:val="solid" w:color="000000" w:fill="000000"/>
                <w:fitText w:val="70" w:id="-1031597298"/>
                <w14:textFill>
                  <w14:solidFill>
                    <w14:srgbClr w14:val="000000">
                      <w14:alpha w14:val="100000"/>
                    </w14:srgbClr>
                  </w14:solidFill>
                </w14:textFill>
              </w:rPr>
              <w:t xml:space="preserve">　</w:t>
            </w:r>
            <w:r w:rsidR="00A6165D">
              <w:rPr>
                <w:vertAlign w:val="superscript"/>
              </w:rPr>
              <w:t>5</w:t>
            </w:r>
          </w:p>
        </w:tc>
        <w:tc>
          <w:tcPr>
            <w:tcW w:w="1110" w:type="dxa"/>
            <w:shd w:val="clear" w:color="auto" w:fill="auto"/>
            <w:vAlign w:val="center"/>
          </w:tcPr>
          <w:p w14:paraId="1ABE80E7" w14:textId="35654539"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297"/>
                <w14:textFill>
                  <w14:solidFill>
                    <w14:srgbClr w14:val="000000">
                      <w14:alpha w14:val="100000"/>
                    </w14:srgbClr>
                  </w14:solidFill>
                </w14:textFill>
              </w:rPr>
              <w:t xml:space="preserve">　</w:t>
            </w:r>
            <w:r w:rsidRPr="00632E88">
              <w:rPr>
                <w:color w:val="000000"/>
                <w:w w:val="15"/>
                <w:shd w:val="solid" w:color="000000" w:fill="000000"/>
                <w:fitText w:val="70" w:id="-1031597297"/>
                <w14:textFill>
                  <w14:solidFill>
                    <w14:srgbClr w14:val="000000">
                      <w14:alpha w14:val="100000"/>
                    </w14:srgbClr>
                  </w14:solidFill>
                </w14:textFill>
              </w:rPr>
              <w:t>|</w:t>
            </w:r>
            <w:r w:rsidRPr="00632E88">
              <w:rPr>
                <w:rFonts w:hint="eastAsia"/>
                <w:color w:val="000000"/>
                <w:spacing w:val="4"/>
                <w:w w:val="15"/>
                <w:shd w:val="solid" w:color="000000" w:fill="000000"/>
                <w:fitText w:val="70" w:id="-1031597297"/>
                <w14:textFill>
                  <w14:solidFill>
                    <w14:srgbClr w14:val="000000">
                      <w14:alpha w14:val="100000"/>
                    </w14:srgbClr>
                  </w14:solidFill>
                </w14:textFill>
              </w:rPr>
              <w:t xml:space="preserve">　</w:t>
            </w:r>
            <w:r w:rsidR="00A6165D">
              <w:rPr>
                <w:vertAlign w:val="superscript"/>
              </w:rPr>
              <w:t>5</w:t>
            </w:r>
          </w:p>
        </w:tc>
        <w:tc>
          <w:tcPr>
            <w:tcW w:w="1110" w:type="dxa"/>
            <w:shd w:val="clear" w:color="auto" w:fill="auto"/>
            <w:vAlign w:val="center"/>
          </w:tcPr>
          <w:p w14:paraId="1963D49E" w14:textId="55334B6D"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296"/>
                <w14:textFill>
                  <w14:solidFill>
                    <w14:srgbClr w14:val="000000">
                      <w14:alpha w14:val="100000"/>
                    </w14:srgbClr>
                  </w14:solidFill>
                </w14:textFill>
              </w:rPr>
              <w:t xml:space="preserve">　</w:t>
            </w:r>
            <w:r w:rsidRPr="00632E88">
              <w:rPr>
                <w:color w:val="000000"/>
                <w:w w:val="15"/>
                <w:shd w:val="solid" w:color="000000" w:fill="000000"/>
                <w:fitText w:val="70" w:id="-1031597296"/>
                <w14:textFill>
                  <w14:solidFill>
                    <w14:srgbClr w14:val="000000">
                      <w14:alpha w14:val="100000"/>
                    </w14:srgbClr>
                  </w14:solidFill>
                </w14:textFill>
              </w:rPr>
              <w:t>|</w:t>
            </w:r>
            <w:r w:rsidRPr="00632E88">
              <w:rPr>
                <w:rFonts w:hint="eastAsia"/>
                <w:color w:val="000000"/>
                <w:spacing w:val="4"/>
                <w:w w:val="15"/>
                <w:shd w:val="solid" w:color="000000" w:fill="000000"/>
                <w:fitText w:val="70" w:id="-1031597296"/>
                <w14:textFill>
                  <w14:solidFill>
                    <w14:srgbClr w14:val="000000">
                      <w14:alpha w14:val="100000"/>
                    </w14:srgbClr>
                  </w14:solidFill>
                </w14:textFill>
              </w:rPr>
              <w:t xml:space="preserve">　</w:t>
            </w:r>
            <w:r w:rsidR="00A6165D">
              <w:rPr>
                <w:vertAlign w:val="superscript"/>
              </w:rPr>
              <w:t>5</w:t>
            </w:r>
          </w:p>
        </w:tc>
        <w:tc>
          <w:tcPr>
            <w:tcW w:w="1111" w:type="dxa"/>
            <w:shd w:val="clear" w:color="auto" w:fill="auto"/>
            <w:vAlign w:val="center"/>
          </w:tcPr>
          <w:p w14:paraId="25E07BCE" w14:textId="2D203E73" w:rsidR="00821CB9"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12"/>
                <w14:textFill>
                  <w14:solidFill>
                    <w14:srgbClr w14:val="000000">
                      <w14:alpha w14:val="100000"/>
                    </w14:srgbClr>
                  </w14:solidFill>
                </w14:textFill>
              </w:rPr>
              <w:t xml:space="preserve">　</w:t>
            </w:r>
            <w:r w:rsidRPr="00632E88">
              <w:rPr>
                <w:color w:val="000000"/>
                <w:w w:val="15"/>
                <w:shd w:val="solid" w:color="000000" w:fill="000000"/>
                <w:fitText w:val="70" w:id="-1031597312"/>
                <w14:textFill>
                  <w14:solidFill>
                    <w14:srgbClr w14:val="000000">
                      <w14:alpha w14:val="100000"/>
                    </w14:srgbClr>
                  </w14:solidFill>
                </w14:textFill>
              </w:rPr>
              <w:t>|</w:t>
            </w:r>
            <w:r w:rsidRPr="00632E88">
              <w:rPr>
                <w:rFonts w:hint="eastAsia"/>
                <w:color w:val="000000"/>
                <w:spacing w:val="4"/>
                <w:w w:val="15"/>
                <w:shd w:val="solid" w:color="000000" w:fill="000000"/>
                <w:fitText w:val="70" w:id="-1031597312"/>
                <w14:textFill>
                  <w14:solidFill>
                    <w14:srgbClr w14:val="000000">
                      <w14:alpha w14:val="100000"/>
                    </w14:srgbClr>
                  </w14:solidFill>
                </w14:textFill>
              </w:rPr>
              <w:t xml:space="preserve">　</w:t>
            </w:r>
            <w:r w:rsidR="00A6165D">
              <w:rPr>
                <w:vertAlign w:val="superscript"/>
              </w:rPr>
              <w:t>5</w:t>
            </w:r>
          </w:p>
        </w:tc>
      </w:tr>
      <w:tr w:rsidR="00821CB9" w:rsidRPr="00F6387C" w14:paraId="78361205" w14:textId="77777777" w:rsidTr="00540CC4">
        <w:trPr>
          <w:tblHeader/>
        </w:trPr>
        <w:tc>
          <w:tcPr>
            <w:tcW w:w="9067" w:type="dxa"/>
            <w:gridSpan w:val="7"/>
            <w:shd w:val="clear" w:color="auto" w:fill="auto"/>
            <w:vAlign w:val="center"/>
          </w:tcPr>
          <w:p w14:paraId="30C7B34B" w14:textId="3400AB3B" w:rsidR="00821CB9" w:rsidRPr="00F6387C" w:rsidRDefault="00821CB9" w:rsidP="00904884">
            <w:pPr>
              <w:pStyle w:val="In-tableHeading"/>
              <w:rPr>
                <w:lang w:val="en-AU"/>
              </w:rPr>
            </w:pPr>
            <w:r w:rsidRPr="00F6387C">
              <w:rPr>
                <w:lang w:val="en-AU"/>
              </w:rPr>
              <w:t>Estimated financial impactions of proposed cladribine listing for the PBS/RPBS</w:t>
            </w:r>
            <w:r w:rsidR="00587000" w:rsidRPr="00F6387C">
              <w:rPr>
                <w:lang w:val="en-AU"/>
              </w:rPr>
              <w:t xml:space="preserve"> (submission)</w:t>
            </w:r>
          </w:p>
        </w:tc>
      </w:tr>
      <w:tr w:rsidR="00821CB9" w:rsidRPr="00F6387C" w14:paraId="79C47AF6" w14:textId="77777777" w:rsidTr="00540CC4">
        <w:tc>
          <w:tcPr>
            <w:tcW w:w="2405" w:type="dxa"/>
            <w:shd w:val="clear" w:color="auto" w:fill="auto"/>
            <w:vAlign w:val="center"/>
          </w:tcPr>
          <w:p w14:paraId="4D5E387C" w14:textId="77777777" w:rsidR="00821CB9" w:rsidRPr="00F6387C" w:rsidRDefault="00821CB9" w:rsidP="00904884">
            <w:pPr>
              <w:pStyle w:val="Tabletext"/>
              <w:keepNext/>
            </w:pPr>
            <w:r w:rsidRPr="00F6387C">
              <w:t xml:space="preserve">Cost of cladribine (proposed) </w:t>
            </w:r>
          </w:p>
        </w:tc>
        <w:tc>
          <w:tcPr>
            <w:tcW w:w="1110" w:type="dxa"/>
            <w:shd w:val="clear" w:color="auto" w:fill="auto"/>
          </w:tcPr>
          <w:p w14:paraId="32A9D1D4" w14:textId="3C3B43D1" w:rsidR="00821CB9" w:rsidRPr="0088701B" w:rsidRDefault="00632E88" w:rsidP="002A5119">
            <w:pPr>
              <w:pStyle w:val="Tabletext"/>
              <w:keepNext/>
              <w:jc w:val="center"/>
              <w:rPr>
                <w:szCs w:val="20"/>
                <w:highlight w:val="darkGray"/>
              </w:rPr>
            </w:pPr>
            <w:r>
              <w:t xml:space="preserve"> </w:t>
            </w:r>
            <w:r w:rsidRPr="00632E88">
              <w:rPr>
                <w:rFonts w:hint="eastAsia"/>
                <w:color w:val="000000"/>
                <w:w w:val="15"/>
                <w:shd w:val="solid" w:color="000000" w:fill="000000"/>
                <w:fitText w:val="70" w:id="-1031597311"/>
                <w14:textFill>
                  <w14:solidFill>
                    <w14:srgbClr w14:val="000000">
                      <w14:alpha w14:val="100000"/>
                    </w14:srgbClr>
                  </w14:solidFill>
                </w14:textFill>
              </w:rPr>
              <w:t xml:space="preserve">　</w:t>
            </w:r>
            <w:r w:rsidRPr="00632E88">
              <w:rPr>
                <w:color w:val="000000"/>
                <w:w w:val="15"/>
                <w:shd w:val="solid" w:color="000000" w:fill="000000"/>
                <w:fitText w:val="70" w:id="-1031597311"/>
                <w14:textFill>
                  <w14:solidFill>
                    <w14:srgbClr w14:val="000000">
                      <w14:alpha w14:val="100000"/>
                    </w14:srgbClr>
                  </w14:solidFill>
                </w14:textFill>
              </w:rPr>
              <w:t>|</w:t>
            </w:r>
            <w:r w:rsidRPr="00632E88">
              <w:rPr>
                <w:rFonts w:hint="eastAsia"/>
                <w:color w:val="000000"/>
                <w:spacing w:val="4"/>
                <w:w w:val="15"/>
                <w:shd w:val="solid" w:color="000000" w:fill="000000"/>
                <w:fitText w:val="70" w:id="-1031597311"/>
                <w14:textFill>
                  <w14:solidFill>
                    <w14:srgbClr w14:val="000000">
                      <w14:alpha w14:val="100000"/>
                    </w14:srgbClr>
                  </w14:solidFill>
                </w14:textFill>
              </w:rPr>
              <w:t xml:space="preserve">　</w:t>
            </w:r>
            <w:r w:rsidR="002A5119">
              <w:rPr>
                <w:vertAlign w:val="superscript"/>
              </w:rPr>
              <w:t>2</w:t>
            </w:r>
          </w:p>
        </w:tc>
        <w:tc>
          <w:tcPr>
            <w:tcW w:w="1110" w:type="dxa"/>
            <w:shd w:val="clear" w:color="auto" w:fill="auto"/>
          </w:tcPr>
          <w:p w14:paraId="37E37142" w14:textId="5EA9DFC9" w:rsidR="00821CB9" w:rsidRPr="0088701B" w:rsidRDefault="00632E88" w:rsidP="002A5119">
            <w:pPr>
              <w:pStyle w:val="Tabletext"/>
              <w:keepNext/>
              <w:jc w:val="center"/>
              <w:rPr>
                <w:szCs w:val="20"/>
                <w:highlight w:val="darkGray"/>
              </w:rPr>
            </w:pPr>
            <w:r>
              <w:t xml:space="preserve"> </w:t>
            </w:r>
            <w:r w:rsidRPr="00632E88">
              <w:rPr>
                <w:rFonts w:hint="eastAsia"/>
                <w:color w:val="000000"/>
                <w:w w:val="15"/>
                <w:shd w:val="solid" w:color="000000" w:fill="000000"/>
                <w:fitText w:val="70" w:id="-1031597310"/>
                <w14:textFill>
                  <w14:solidFill>
                    <w14:srgbClr w14:val="000000">
                      <w14:alpha w14:val="100000"/>
                    </w14:srgbClr>
                  </w14:solidFill>
                </w14:textFill>
              </w:rPr>
              <w:t xml:space="preserve">　</w:t>
            </w:r>
            <w:r w:rsidRPr="00632E88">
              <w:rPr>
                <w:color w:val="000000"/>
                <w:w w:val="15"/>
                <w:shd w:val="solid" w:color="000000" w:fill="000000"/>
                <w:fitText w:val="70" w:id="-1031597310"/>
                <w14:textFill>
                  <w14:solidFill>
                    <w14:srgbClr w14:val="000000">
                      <w14:alpha w14:val="100000"/>
                    </w14:srgbClr>
                  </w14:solidFill>
                </w14:textFill>
              </w:rPr>
              <w:t>|</w:t>
            </w:r>
            <w:r w:rsidRPr="00632E88">
              <w:rPr>
                <w:rFonts w:hint="eastAsia"/>
                <w:color w:val="000000"/>
                <w:spacing w:val="4"/>
                <w:w w:val="15"/>
                <w:shd w:val="solid" w:color="000000" w:fill="000000"/>
                <w:fitText w:val="70" w:id="-1031597310"/>
                <w14:textFill>
                  <w14:solidFill>
                    <w14:srgbClr w14:val="000000">
                      <w14:alpha w14:val="100000"/>
                    </w14:srgbClr>
                  </w14:solidFill>
                </w14:textFill>
              </w:rPr>
              <w:t xml:space="preserve">　</w:t>
            </w:r>
            <w:r w:rsidR="002A5119">
              <w:rPr>
                <w:vertAlign w:val="superscript"/>
              </w:rPr>
              <w:t>2</w:t>
            </w:r>
          </w:p>
        </w:tc>
        <w:tc>
          <w:tcPr>
            <w:tcW w:w="1111" w:type="dxa"/>
            <w:shd w:val="clear" w:color="auto" w:fill="auto"/>
          </w:tcPr>
          <w:p w14:paraId="2B7CB025" w14:textId="2FA2A7FD" w:rsidR="00821CB9" w:rsidRPr="0088701B" w:rsidRDefault="00632E88" w:rsidP="002A5119">
            <w:pPr>
              <w:pStyle w:val="Tabletext"/>
              <w:keepNext/>
              <w:jc w:val="center"/>
              <w:rPr>
                <w:szCs w:val="20"/>
                <w:highlight w:val="darkGray"/>
              </w:rPr>
            </w:pPr>
            <w:r>
              <w:t xml:space="preserve"> </w:t>
            </w:r>
            <w:r w:rsidRPr="00632E88">
              <w:rPr>
                <w:rFonts w:hint="eastAsia"/>
                <w:color w:val="000000"/>
                <w:w w:val="15"/>
                <w:shd w:val="solid" w:color="000000" w:fill="000000"/>
                <w:fitText w:val="70" w:id="-1031597309"/>
                <w14:textFill>
                  <w14:solidFill>
                    <w14:srgbClr w14:val="000000">
                      <w14:alpha w14:val="100000"/>
                    </w14:srgbClr>
                  </w14:solidFill>
                </w14:textFill>
              </w:rPr>
              <w:t xml:space="preserve">　</w:t>
            </w:r>
            <w:r w:rsidRPr="00632E88">
              <w:rPr>
                <w:color w:val="000000"/>
                <w:w w:val="15"/>
                <w:shd w:val="solid" w:color="000000" w:fill="000000"/>
                <w:fitText w:val="70" w:id="-1031597309"/>
                <w14:textFill>
                  <w14:solidFill>
                    <w14:srgbClr w14:val="000000">
                      <w14:alpha w14:val="100000"/>
                    </w14:srgbClr>
                  </w14:solidFill>
                </w14:textFill>
              </w:rPr>
              <w:t>|</w:t>
            </w:r>
            <w:r w:rsidRPr="00632E88">
              <w:rPr>
                <w:rFonts w:hint="eastAsia"/>
                <w:color w:val="000000"/>
                <w:spacing w:val="4"/>
                <w:w w:val="15"/>
                <w:shd w:val="solid" w:color="000000" w:fill="000000"/>
                <w:fitText w:val="70" w:id="-1031597309"/>
                <w14:textFill>
                  <w14:solidFill>
                    <w14:srgbClr w14:val="000000">
                      <w14:alpha w14:val="100000"/>
                    </w14:srgbClr>
                  </w14:solidFill>
                </w14:textFill>
              </w:rPr>
              <w:t xml:space="preserve">　</w:t>
            </w:r>
            <w:r w:rsidR="007B7855">
              <w:rPr>
                <w:vertAlign w:val="superscript"/>
              </w:rPr>
              <w:t>3</w:t>
            </w:r>
          </w:p>
        </w:tc>
        <w:tc>
          <w:tcPr>
            <w:tcW w:w="1110" w:type="dxa"/>
            <w:shd w:val="clear" w:color="auto" w:fill="auto"/>
          </w:tcPr>
          <w:p w14:paraId="697E33A3" w14:textId="3FAFA14D" w:rsidR="00821CB9" w:rsidRPr="0088701B" w:rsidRDefault="00632E88" w:rsidP="002A5119">
            <w:pPr>
              <w:pStyle w:val="Tabletext"/>
              <w:keepNext/>
              <w:jc w:val="center"/>
              <w:rPr>
                <w:szCs w:val="20"/>
                <w:highlight w:val="darkGray"/>
              </w:rPr>
            </w:pPr>
            <w:r>
              <w:t xml:space="preserve"> </w:t>
            </w:r>
            <w:r w:rsidRPr="00632E88">
              <w:rPr>
                <w:rFonts w:hint="eastAsia"/>
                <w:color w:val="000000"/>
                <w:w w:val="15"/>
                <w:shd w:val="solid" w:color="000000" w:fill="000000"/>
                <w:fitText w:val="70" w:id="-1031597308"/>
                <w14:textFill>
                  <w14:solidFill>
                    <w14:srgbClr w14:val="000000">
                      <w14:alpha w14:val="100000"/>
                    </w14:srgbClr>
                  </w14:solidFill>
                </w14:textFill>
              </w:rPr>
              <w:t xml:space="preserve">　</w:t>
            </w:r>
            <w:r w:rsidRPr="00632E88">
              <w:rPr>
                <w:color w:val="000000"/>
                <w:w w:val="15"/>
                <w:shd w:val="solid" w:color="000000" w:fill="000000"/>
                <w:fitText w:val="70" w:id="-1031597308"/>
                <w14:textFill>
                  <w14:solidFill>
                    <w14:srgbClr w14:val="000000">
                      <w14:alpha w14:val="100000"/>
                    </w14:srgbClr>
                  </w14:solidFill>
                </w14:textFill>
              </w:rPr>
              <w:t>|</w:t>
            </w:r>
            <w:r w:rsidRPr="00632E88">
              <w:rPr>
                <w:rFonts w:hint="eastAsia"/>
                <w:color w:val="000000"/>
                <w:spacing w:val="4"/>
                <w:w w:val="15"/>
                <w:shd w:val="solid" w:color="000000" w:fill="000000"/>
                <w:fitText w:val="70" w:id="-1031597308"/>
                <w14:textFill>
                  <w14:solidFill>
                    <w14:srgbClr w14:val="000000">
                      <w14:alpha w14:val="100000"/>
                    </w14:srgbClr>
                  </w14:solidFill>
                </w14:textFill>
              </w:rPr>
              <w:t xml:space="preserve">　</w:t>
            </w:r>
            <w:r w:rsidR="007B7855">
              <w:rPr>
                <w:vertAlign w:val="superscript"/>
              </w:rPr>
              <w:t>3</w:t>
            </w:r>
          </w:p>
        </w:tc>
        <w:tc>
          <w:tcPr>
            <w:tcW w:w="1110" w:type="dxa"/>
            <w:shd w:val="clear" w:color="auto" w:fill="auto"/>
          </w:tcPr>
          <w:p w14:paraId="298FD6E6" w14:textId="350F18EF" w:rsidR="00821CB9" w:rsidRPr="0088701B" w:rsidRDefault="00632E88" w:rsidP="002A5119">
            <w:pPr>
              <w:pStyle w:val="Tabletext"/>
              <w:keepNext/>
              <w:jc w:val="center"/>
              <w:rPr>
                <w:szCs w:val="20"/>
                <w:highlight w:val="darkGray"/>
              </w:rPr>
            </w:pPr>
            <w:r>
              <w:t xml:space="preserve"> </w:t>
            </w:r>
            <w:r w:rsidRPr="00632E88">
              <w:rPr>
                <w:rFonts w:hint="eastAsia"/>
                <w:color w:val="000000"/>
                <w:w w:val="15"/>
                <w:shd w:val="solid" w:color="000000" w:fill="000000"/>
                <w:fitText w:val="70" w:id="-1031597307"/>
                <w14:textFill>
                  <w14:solidFill>
                    <w14:srgbClr w14:val="000000">
                      <w14:alpha w14:val="100000"/>
                    </w14:srgbClr>
                  </w14:solidFill>
                </w14:textFill>
              </w:rPr>
              <w:t xml:space="preserve">　</w:t>
            </w:r>
            <w:r w:rsidRPr="00632E88">
              <w:rPr>
                <w:color w:val="000000"/>
                <w:w w:val="15"/>
                <w:shd w:val="solid" w:color="000000" w:fill="000000"/>
                <w:fitText w:val="70" w:id="-1031597307"/>
                <w14:textFill>
                  <w14:solidFill>
                    <w14:srgbClr w14:val="000000">
                      <w14:alpha w14:val="100000"/>
                    </w14:srgbClr>
                  </w14:solidFill>
                </w14:textFill>
              </w:rPr>
              <w:t>|</w:t>
            </w:r>
            <w:r w:rsidRPr="00632E88">
              <w:rPr>
                <w:rFonts w:hint="eastAsia"/>
                <w:color w:val="000000"/>
                <w:spacing w:val="4"/>
                <w:w w:val="15"/>
                <w:shd w:val="solid" w:color="000000" w:fill="000000"/>
                <w:fitText w:val="70" w:id="-1031597307"/>
                <w14:textFill>
                  <w14:solidFill>
                    <w14:srgbClr w14:val="000000">
                      <w14:alpha w14:val="100000"/>
                    </w14:srgbClr>
                  </w14:solidFill>
                </w14:textFill>
              </w:rPr>
              <w:t xml:space="preserve">　</w:t>
            </w:r>
            <w:r w:rsidR="007B7855">
              <w:rPr>
                <w:vertAlign w:val="superscript"/>
              </w:rPr>
              <w:t>3</w:t>
            </w:r>
          </w:p>
        </w:tc>
        <w:tc>
          <w:tcPr>
            <w:tcW w:w="1111" w:type="dxa"/>
            <w:shd w:val="clear" w:color="auto" w:fill="auto"/>
          </w:tcPr>
          <w:p w14:paraId="0E33F180" w14:textId="27606D30" w:rsidR="00821CB9" w:rsidRPr="0088701B" w:rsidRDefault="00632E88" w:rsidP="002A5119">
            <w:pPr>
              <w:pStyle w:val="Tabletext"/>
              <w:keepNext/>
              <w:jc w:val="center"/>
              <w:rPr>
                <w:szCs w:val="20"/>
                <w:highlight w:val="darkGray"/>
              </w:rPr>
            </w:pPr>
            <w:r>
              <w:t xml:space="preserve"> </w:t>
            </w:r>
            <w:r w:rsidRPr="00632E88">
              <w:rPr>
                <w:rFonts w:hint="eastAsia"/>
                <w:color w:val="000000"/>
                <w:w w:val="15"/>
                <w:shd w:val="solid" w:color="000000" w:fill="000000"/>
                <w:fitText w:val="70" w:id="-1031597306"/>
                <w14:textFill>
                  <w14:solidFill>
                    <w14:srgbClr w14:val="000000">
                      <w14:alpha w14:val="100000"/>
                    </w14:srgbClr>
                  </w14:solidFill>
                </w14:textFill>
              </w:rPr>
              <w:t xml:space="preserve">　</w:t>
            </w:r>
            <w:r w:rsidRPr="00632E88">
              <w:rPr>
                <w:color w:val="000000"/>
                <w:w w:val="15"/>
                <w:shd w:val="solid" w:color="000000" w:fill="000000"/>
                <w:fitText w:val="70" w:id="-1031597306"/>
                <w14:textFill>
                  <w14:solidFill>
                    <w14:srgbClr w14:val="000000">
                      <w14:alpha w14:val="100000"/>
                    </w14:srgbClr>
                  </w14:solidFill>
                </w14:textFill>
              </w:rPr>
              <w:t>|</w:t>
            </w:r>
            <w:r w:rsidRPr="00632E88">
              <w:rPr>
                <w:rFonts w:hint="eastAsia"/>
                <w:color w:val="000000"/>
                <w:spacing w:val="4"/>
                <w:w w:val="15"/>
                <w:shd w:val="solid" w:color="000000" w:fill="000000"/>
                <w:fitText w:val="70" w:id="-1031597306"/>
                <w14:textFill>
                  <w14:solidFill>
                    <w14:srgbClr w14:val="000000">
                      <w14:alpha w14:val="100000"/>
                    </w14:srgbClr>
                  </w14:solidFill>
                </w14:textFill>
              </w:rPr>
              <w:t xml:space="preserve">　</w:t>
            </w:r>
            <w:r w:rsidR="007B7855">
              <w:rPr>
                <w:vertAlign w:val="superscript"/>
              </w:rPr>
              <w:t>3</w:t>
            </w:r>
          </w:p>
        </w:tc>
      </w:tr>
      <w:tr w:rsidR="00821CB9" w:rsidRPr="00F6387C" w14:paraId="3E3CE5E5" w14:textId="77777777" w:rsidTr="00540CC4">
        <w:tc>
          <w:tcPr>
            <w:tcW w:w="2405" w:type="dxa"/>
            <w:shd w:val="clear" w:color="auto" w:fill="auto"/>
            <w:vAlign w:val="center"/>
          </w:tcPr>
          <w:p w14:paraId="01AE29CE" w14:textId="77777777" w:rsidR="00821CB9" w:rsidRPr="00F6387C" w:rsidRDefault="00821CB9" w:rsidP="00904884">
            <w:pPr>
              <w:pStyle w:val="Tabletext"/>
              <w:keepNext/>
            </w:pPr>
            <w:r w:rsidRPr="00F6387C">
              <w:t>Cost of cladribine (impacted)</w:t>
            </w:r>
          </w:p>
        </w:tc>
        <w:tc>
          <w:tcPr>
            <w:tcW w:w="1110" w:type="dxa"/>
            <w:shd w:val="clear" w:color="auto" w:fill="auto"/>
            <w:vAlign w:val="center"/>
          </w:tcPr>
          <w:p w14:paraId="11866FD2" w14:textId="63444E54" w:rsidR="00821CB9" w:rsidRPr="0088701B" w:rsidRDefault="00632E88" w:rsidP="002A5119">
            <w:pPr>
              <w:pStyle w:val="Tabletext"/>
              <w:keepNext/>
              <w:jc w:val="center"/>
              <w:rPr>
                <w:rFonts w:cs="Arial"/>
                <w:highlight w:val="darkGray"/>
              </w:rPr>
            </w:pPr>
            <w:r>
              <w:rPr>
                <w:szCs w:val="20"/>
              </w:rPr>
              <w:t xml:space="preserve"> </w:t>
            </w:r>
            <w:r w:rsidRPr="00632E88">
              <w:rPr>
                <w:rFonts w:hint="eastAsia"/>
                <w:color w:val="000000"/>
                <w:w w:val="15"/>
                <w:szCs w:val="20"/>
                <w:shd w:val="solid" w:color="000000" w:fill="000000"/>
                <w:fitText w:val="70" w:id="-1031597305"/>
                <w14:textFill>
                  <w14:solidFill>
                    <w14:srgbClr w14:val="000000">
                      <w14:alpha w14:val="100000"/>
                    </w14:srgbClr>
                  </w14:solidFill>
                </w14:textFill>
              </w:rPr>
              <w:t xml:space="preserve">　</w:t>
            </w:r>
            <w:r w:rsidRPr="00632E88">
              <w:rPr>
                <w:color w:val="000000"/>
                <w:w w:val="15"/>
                <w:szCs w:val="20"/>
                <w:shd w:val="solid" w:color="000000" w:fill="000000"/>
                <w:fitText w:val="70" w:id="-1031597305"/>
                <w14:textFill>
                  <w14:solidFill>
                    <w14:srgbClr w14:val="000000">
                      <w14:alpha w14:val="100000"/>
                    </w14:srgbClr>
                  </w14:solidFill>
                </w14:textFill>
              </w:rPr>
              <w:t>|</w:t>
            </w:r>
            <w:r w:rsidRPr="00632E88">
              <w:rPr>
                <w:rFonts w:hint="eastAsia"/>
                <w:color w:val="000000"/>
                <w:spacing w:val="4"/>
                <w:w w:val="15"/>
                <w:szCs w:val="20"/>
                <w:shd w:val="solid" w:color="000000" w:fill="000000"/>
                <w:fitText w:val="70" w:id="-1031597305"/>
                <w14:textFill>
                  <w14:solidFill>
                    <w14:srgbClr w14:val="000000">
                      <w14:alpha w14:val="100000"/>
                    </w14:srgbClr>
                  </w14:solidFill>
                </w14:textFill>
              </w:rPr>
              <w:t xml:space="preserve">　</w:t>
            </w:r>
            <w:r w:rsidR="00FE1C1D">
              <w:rPr>
                <w:vertAlign w:val="superscript"/>
              </w:rPr>
              <w:t>4</w:t>
            </w:r>
          </w:p>
        </w:tc>
        <w:tc>
          <w:tcPr>
            <w:tcW w:w="1110" w:type="dxa"/>
            <w:shd w:val="clear" w:color="auto" w:fill="auto"/>
            <w:vAlign w:val="center"/>
          </w:tcPr>
          <w:p w14:paraId="6D7C96AB" w14:textId="17BE511C" w:rsidR="00821CB9" w:rsidRPr="0088701B" w:rsidRDefault="00632E88" w:rsidP="002A5119">
            <w:pPr>
              <w:pStyle w:val="Tabletext"/>
              <w:keepNext/>
              <w:jc w:val="center"/>
              <w:rPr>
                <w:rFonts w:cs="Arial"/>
                <w:highlight w:val="darkGray"/>
              </w:rPr>
            </w:pPr>
            <w:r>
              <w:rPr>
                <w:szCs w:val="20"/>
              </w:rPr>
              <w:t xml:space="preserve"> </w:t>
            </w:r>
            <w:r w:rsidRPr="00632E88">
              <w:rPr>
                <w:rFonts w:hint="eastAsia"/>
                <w:color w:val="000000"/>
                <w:w w:val="15"/>
                <w:szCs w:val="20"/>
                <w:shd w:val="solid" w:color="000000" w:fill="000000"/>
                <w:fitText w:val="70" w:id="-1031597304"/>
                <w14:textFill>
                  <w14:solidFill>
                    <w14:srgbClr w14:val="000000">
                      <w14:alpha w14:val="100000"/>
                    </w14:srgbClr>
                  </w14:solidFill>
                </w14:textFill>
              </w:rPr>
              <w:t xml:space="preserve">　</w:t>
            </w:r>
            <w:r w:rsidRPr="00632E88">
              <w:rPr>
                <w:color w:val="000000"/>
                <w:w w:val="15"/>
                <w:szCs w:val="20"/>
                <w:shd w:val="solid" w:color="000000" w:fill="000000"/>
                <w:fitText w:val="70" w:id="-1031597304"/>
                <w14:textFill>
                  <w14:solidFill>
                    <w14:srgbClr w14:val="000000">
                      <w14:alpha w14:val="100000"/>
                    </w14:srgbClr>
                  </w14:solidFill>
                </w14:textFill>
              </w:rPr>
              <w:t>|</w:t>
            </w:r>
            <w:r w:rsidRPr="00632E88">
              <w:rPr>
                <w:rFonts w:hint="eastAsia"/>
                <w:color w:val="000000"/>
                <w:spacing w:val="4"/>
                <w:w w:val="15"/>
                <w:szCs w:val="20"/>
                <w:shd w:val="solid" w:color="000000" w:fill="000000"/>
                <w:fitText w:val="70" w:id="-1031597304"/>
                <w14:textFill>
                  <w14:solidFill>
                    <w14:srgbClr w14:val="000000">
                      <w14:alpha w14:val="100000"/>
                    </w14:srgbClr>
                  </w14:solidFill>
                </w14:textFill>
              </w:rPr>
              <w:t xml:space="preserve">　</w:t>
            </w:r>
            <w:r w:rsidR="00FE1C1D">
              <w:rPr>
                <w:vertAlign w:val="superscript"/>
              </w:rPr>
              <w:t>4</w:t>
            </w:r>
          </w:p>
        </w:tc>
        <w:tc>
          <w:tcPr>
            <w:tcW w:w="1111" w:type="dxa"/>
            <w:shd w:val="clear" w:color="auto" w:fill="auto"/>
            <w:vAlign w:val="center"/>
          </w:tcPr>
          <w:p w14:paraId="5FAD049F" w14:textId="0E2D53DA" w:rsidR="00821CB9" w:rsidRPr="0088701B" w:rsidRDefault="00632E88" w:rsidP="002A5119">
            <w:pPr>
              <w:pStyle w:val="Tabletext"/>
              <w:keepNext/>
              <w:jc w:val="center"/>
              <w:rPr>
                <w:rFonts w:cs="Arial"/>
                <w:highlight w:val="darkGray"/>
              </w:rPr>
            </w:pPr>
            <w:r>
              <w:rPr>
                <w:szCs w:val="20"/>
              </w:rPr>
              <w:t xml:space="preserve"> </w:t>
            </w:r>
            <w:r w:rsidRPr="00632E88">
              <w:rPr>
                <w:rFonts w:hint="eastAsia"/>
                <w:color w:val="000000"/>
                <w:w w:val="15"/>
                <w:szCs w:val="20"/>
                <w:shd w:val="solid" w:color="000000" w:fill="000000"/>
                <w:fitText w:val="70" w:id="-1031597303"/>
                <w14:textFill>
                  <w14:solidFill>
                    <w14:srgbClr w14:val="000000">
                      <w14:alpha w14:val="100000"/>
                    </w14:srgbClr>
                  </w14:solidFill>
                </w14:textFill>
              </w:rPr>
              <w:t xml:space="preserve">　</w:t>
            </w:r>
            <w:r w:rsidRPr="00632E88">
              <w:rPr>
                <w:color w:val="000000"/>
                <w:w w:val="15"/>
                <w:szCs w:val="20"/>
                <w:shd w:val="solid" w:color="000000" w:fill="000000"/>
                <w:fitText w:val="70" w:id="-1031597303"/>
                <w14:textFill>
                  <w14:solidFill>
                    <w14:srgbClr w14:val="000000">
                      <w14:alpha w14:val="100000"/>
                    </w14:srgbClr>
                  </w14:solidFill>
                </w14:textFill>
              </w:rPr>
              <w:t>|</w:t>
            </w:r>
            <w:r w:rsidRPr="00632E88">
              <w:rPr>
                <w:rFonts w:hint="eastAsia"/>
                <w:color w:val="000000"/>
                <w:spacing w:val="4"/>
                <w:w w:val="15"/>
                <w:szCs w:val="20"/>
                <w:shd w:val="solid" w:color="000000" w:fill="000000"/>
                <w:fitText w:val="70" w:id="-1031597303"/>
                <w14:textFill>
                  <w14:solidFill>
                    <w14:srgbClr w14:val="000000">
                      <w14:alpha w14:val="100000"/>
                    </w14:srgbClr>
                  </w14:solidFill>
                </w14:textFill>
              </w:rPr>
              <w:t xml:space="preserve">　</w:t>
            </w:r>
            <w:r w:rsidR="00FE1C1D">
              <w:rPr>
                <w:vertAlign w:val="superscript"/>
              </w:rPr>
              <w:t>4</w:t>
            </w:r>
          </w:p>
        </w:tc>
        <w:tc>
          <w:tcPr>
            <w:tcW w:w="1110" w:type="dxa"/>
            <w:shd w:val="clear" w:color="auto" w:fill="auto"/>
            <w:vAlign w:val="center"/>
          </w:tcPr>
          <w:p w14:paraId="0B973430" w14:textId="72E82169" w:rsidR="00821CB9" w:rsidRPr="0088701B" w:rsidRDefault="00632E88" w:rsidP="002A5119">
            <w:pPr>
              <w:pStyle w:val="Tabletext"/>
              <w:keepNext/>
              <w:jc w:val="center"/>
              <w:rPr>
                <w:rFonts w:cs="Arial"/>
                <w:highlight w:val="darkGray"/>
              </w:rPr>
            </w:pPr>
            <w:r>
              <w:rPr>
                <w:szCs w:val="20"/>
              </w:rPr>
              <w:t xml:space="preserve"> </w:t>
            </w:r>
            <w:r w:rsidRPr="00632E88">
              <w:rPr>
                <w:rFonts w:hint="eastAsia"/>
                <w:color w:val="000000"/>
                <w:w w:val="15"/>
                <w:szCs w:val="20"/>
                <w:shd w:val="solid" w:color="000000" w:fill="000000"/>
                <w:fitText w:val="70" w:id="-1031597302"/>
                <w14:textFill>
                  <w14:solidFill>
                    <w14:srgbClr w14:val="000000">
                      <w14:alpha w14:val="100000"/>
                    </w14:srgbClr>
                  </w14:solidFill>
                </w14:textFill>
              </w:rPr>
              <w:t xml:space="preserve">　</w:t>
            </w:r>
            <w:r w:rsidRPr="00632E88">
              <w:rPr>
                <w:color w:val="000000"/>
                <w:w w:val="15"/>
                <w:szCs w:val="20"/>
                <w:shd w:val="solid" w:color="000000" w:fill="000000"/>
                <w:fitText w:val="70" w:id="-1031597302"/>
                <w14:textFill>
                  <w14:solidFill>
                    <w14:srgbClr w14:val="000000">
                      <w14:alpha w14:val="100000"/>
                    </w14:srgbClr>
                  </w14:solidFill>
                </w14:textFill>
              </w:rPr>
              <w:t>|</w:t>
            </w:r>
            <w:r w:rsidRPr="00632E88">
              <w:rPr>
                <w:rFonts w:hint="eastAsia"/>
                <w:color w:val="000000"/>
                <w:spacing w:val="4"/>
                <w:w w:val="15"/>
                <w:szCs w:val="20"/>
                <w:shd w:val="solid" w:color="000000" w:fill="000000"/>
                <w:fitText w:val="70" w:id="-1031597302"/>
                <w14:textFill>
                  <w14:solidFill>
                    <w14:srgbClr w14:val="000000">
                      <w14:alpha w14:val="100000"/>
                    </w14:srgbClr>
                  </w14:solidFill>
                </w14:textFill>
              </w:rPr>
              <w:t xml:space="preserve">　</w:t>
            </w:r>
            <w:r w:rsidR="00FE1C1D">
              <w:rPr>
                <w:vertAlign w:val="superscript"/>
              </w:rPr>
              <w:t>4</w:t>
            </w:r>
          </w:p>
        </w:tc>
        <w:tc>
          <w:tcPr>
            <w:tcW w:w="1110" w:type="dxa"/>
            <w:shd w:val="clear" w:color="auto" w:fill="auto"/>
            <w:vAlign w:val="center"/>
          </w:tcPr>
          <w:p w14:paraId="42B9C28B" w14:textId="667715CB" w:rsidR="00821CB9" w:rsidRPr="0088701B" w:rsidRDefault="00632E88" w:rsidP="002A5119">
            <w:pPr>
              <w:pStyle w:val="Tabletext"/>
              <w:keepNext/>
              <w:jc w:val="center"/>
              <w:rPr>
                <w:rFonts w:cs="Arial"/>
                <w:highlight w:val="darkGray"/>
              </w:rPr>
            </w:pPr>
            <w:r>
              <w:rPr>
                <w:szCs w:val="20"/>
              </w:rPr>
              <w:t xml:space="preserve"> </w:t>
            </w:r>
            <w:r w:rsidRPr="00632E88">
              <w:rPr>
                <w:rFonts w:hint="eastAsia"/>
                <w:color w:val="000000"/>
                <w:w w:val="15"/>
                <w:szCs w:val="20"/>
                <w:shd w:val="solid" w:color="000000" w:fill="000000"/>
                <w:fitText w:val="70" w:id="-1031597301"/>
                <w14:textFill>
                  <w14:solidFill>
                    <w14:srgbClr w14:val="000000">
                      <w14:alpha w14:val="100000"/>
                    </w14:srgbClr>
                  </w14:solidFill>
                </w14:textFill>
              </w:rPr>
              <w:t xml:space="preserve">　</w:t>
            </w:r>
            <w:r w:rsidRPr="00632E88">
              <w:rPr>
                <w:color w:val="000000"/>
                <w:w w:val="15"/>
                <w:szCs w:val="20"/>
                <w:shd w:val="solid" w:color="000000" w:fill="000000"/>
                <w:fitText w:val="70" w:id="-1031597301"/>
                <w14:textFill>
                  <w14:solidFill>
                    <w14:srgbClr w14:val="000000">
                      <w14:alpha w14:val="100000"/>
                    </w14:srgbClr>
                  </w14:solidFill>
                </w14:textFill>
              </w:rPr>
              <w:t>|</w:t>
            </w:r>
            <w:r w:rsidRPr="00632E88">
              <w:rPr>
                <w:rFonts w:hint="eastAsia"/>
                <w:color w:val="000000"/>
                <w:spacing w:val="4"/>
                <w:w w:val="15"/>
                <w:szCs w:val="20"/>
                <w:shd w:val="solid" w:color="000000" w:fill="000000"/>
                <w:fitText w:val="70" w:id="-1031597301"/>
                <w14:textFill>
                  <w14:solidFill>
                    <w14:srgbClr w14:val="000000">
                      <w14:alpha w14:val="100000"/>
                    </w14:srgbClr>
                  </w14:solidFill>
                </w14:textFill>
              </w:rPr>
              <w:t xml:space="preserve">　</w:t>
            </w:r>
            <w:r w:rsidR="00FE1C1D">
              <w:rPr>
                <w:vertAlign w:val="superscript"/>
              </w:rPr>
              <w:t>4</w:t>
            </w:r>
          </w:p>
        </w:tc>
        <w:tc>
          <w:tcPr>
            <w:tcW w:w="1111" w:type="dxa"/>
            <w:shd w:val="clear" w:color="auto" w:fill="auto"/>
            <w:vAlign w:val="center"/>
          </w:tcPr>
          <w:p w14:paraId="6B6935AC" w14:textId="06178E45" w:rsidR="00821CB9" w:rsidRPr="0088701B" w:rsidRDefault="00632E88" w:rsidP="002A5119">
            <w:pPr>
              <w:pStyle w:val="Tabletext"/>
              <w:keepNext/>
              <w:jc w:val="center"/>
              <w:rPr>
                <w:rFonts w:cs="Arial"/>
                <w:highlight w:val="darkGray"/>
              </w:rPr>
            </w:pPr>
            <w:r>
              <w:rPr>
                <w:szCs w:val="20"/>
              </w:rPr>
              <w:t xml:space="preserve"> </w:t>
            </w:r>
            <w:r w:rsidRPr="00632E88">
              <w:rPr>
                <w:rFonts w:hint="eastAsia"/>
                <w:color w:val="000000"/>
                <w:w w:val="15"/>
                <w:szCs w:val="20"/>
                <w:shd w:val="solid" w:color="000000" w:fill="000000"/>
                <w:fitText w:val="70" w:id="-1031597300"/>
                <w14:textFill>
                  <w14:solidFill>
                    <w14:srgbClr w14:val="000000">
                      <w14:alpha w14:val="100000"/>
                    </w14:srgbClr>
                  </w14:solidFill>
                </w14:textFill>
              </w:rPr>
              <w:t xml:space="preserve">　</w:t>
            </w:r>
            <w:r w:rsidRPr="00632E88">
              <w:rPr>
                <w:color w:val="000000"/>
                <w:w w:val="15"/>
                <w:szCs w:val="20"/>
                <w:shd w:val="solid" w:color="000000" w:fill="000000"/>
                <w:fitText w:val="70" w:id="-1031597300"/>
                <w14:textFill>
                  <w14:solidFill>
                    <w14:srgbClr w14:val="000000">
                      <w14:alpha w14:val="100000"/>
                    </w14:srgbClr>
                  </w14:solidFill>
                </w14:textFill>
              </w:rPr>
              <w:t>|</w:t>
            </w:r>
            <w:r w:rsidRPr="00632E88">
              <w:rPr>
                <w:rFonts w:hint="eastAsia"/>
                <w:color w:val="000000"/>
                <w:spacing w:val="4"/>
                <w:w w:val="15"/>
                <w:szCs w:val="20"/>
                <w:shd w:val="solid" w:color="000000" w:fill="000000"/>
                <w:fitText w:val="70" w:id="-1031597300"/>
                <w14:textFill>
                  <w14:solidFill>
                    <w14:srgbClr w14:val="000000">
                      <w14:alpha w14:val="100000"/>
                    </w14:srgbClr>
                  </w14:solidFill>
                </w14:textFill>
              </w:rPr>
              <w:t xml:space="preserve">　</w:t>
            </w:r>
            <w:r w:rsidR="00FE1C1D">
              <w:rPr>
                <w:vertAlign w:val="superscript"/>
              </w:rPr>
              <w:t>4</w:t>
            </w:r>
          </w:p>
        </w:tc>
      </w:tr>
      <w:tr w:rsidR="00821CB9" w:rsidRPr="00F6387C" w14:paraId="5FE13FB9" w14:textId="77777777" w:rsidTr="00540CC4">
        <w:tc>
          <w:tcPr>
            <w:tcW w:w="2405" w:type="dxa"/>
            <w:shd w:val="clear" w:color="auto" w:fill="auto"/>
            <w:vAlign w:val="center"/>
          </w:tcPr>
          <w:p w14:paraId="414C56F0" w14:textId="77777777" w:rsidR="00821CB9" w:rsidRPr="00F6387C" w:rsidRDefault="00821CB9" w:rsidP="00904884">
            <w:pPr>
              <w:pStyle w:val="Tabletext"/>
              <w:keepNext/>
            </w:pPr>
            <w:r w:rsidRPr="00F6387C">
              <w:rPr>
                <w:sz w:val="19"/>
                <w:szCs w:val="19"/>
              </w:rPr>
              <w:t>Net cost to PBS/RPBS</w:t>
            </w:r>
          </w:p>
        </w:tc>
        <w:tc>
          <w:tcPr>
            <w:tcW w:w="1110" w:type="dxa"/>
            <w:shd w:val="clear" w:color="auto" w:fill="auto"/>
          </w:tcPr>
          <w:p w14:paraId="28AFF960" w14:textId="440A8F45"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299"/>
                <w14:textFill>
                  <w14:solidFill>
                    <w14:srgbClr w14:val="000000">
                      <w14:alpha w14:val="100000"/>
                    </w14:srgbClr>
                  </w14:solidFill>
                </w14:textFill>
              </w:rPr>
              <w:t xml:space="preserve">　</w:t>
            </w:r>
            <w:r w:rsidRPr="00632E88">
              <w:rPr>
                <w:color w:val="000000"/>
                <w:w w:val="15"/>
                <w:shd w:val="solid" w:color="000000" w:fill="000000"/>
                <w:fitText w:val="70" w:id="-1031597299"/>
                <w14:textFill>
                  <w14:solidFill>
                    <w14:srgbClr w14:val="000000">
                      <w14:alpha w14:val="100000"/>
                    </w14:srgbClr>
                  </w14:solidFill>
                </w14:textFill>
              </w:rPr>
              <w:t>|</w:t>
            </w:r>
            <w:r w:rsidRPr="00632E88">
              <w:rPr>
                <w:rFonts w:hint="eastAsia"/>
                <w:color w:val="000000"/>
                <w:spacing w:val="4"/>
                <w:w w:val="15"/>
                <w:shd w:val="solid" w:color="000000" w:fill="000000"/>
                <w:fitText w:val="70" w:id="-1031597299"/>
                <w14:textFill>
                  <w14:solidFill>
                    <w14:srgbClr w14:val="000000">
                      <w14:alpha w14:val="100000"/>
                    </w14:srgbClr>
                  </w14:solidFill>
                </w14:textFill>
              </w:rPr>
              <w:t xml:space="preserve">　</w:t>
            </w:r>
            <w:r w:rsidR="0007481B">
              <w:rPr>
                <w:vertAlign w:val="superscript"/>
              </w:rPr>
              <w:t>6</w:t>
            </w:r>
          </w:p>
        </w:tc>
        <w:tc>
          <w:tcPr>
            <w:tcW w:w="1110" w:type="dxa"/>
            <w:shd w:val="clear" w:color="auto" w:fill="auto"/>
          </w:tcPr>
          <w:p w14:paraId="01FE9698" w14:textId="417B589E"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298"/>
                <w14:textFill>
                  <w14:solidFill>
                    <w14:srgbClr w14:val="000000">
                      <w14:alpha w14:val="100000"/>
                    </w14:srgbClr>
                  </w14:solidFill>
                </w14:textFill>
              </w:rPr>
              <w:t xml:space="preserve">　</w:t>
            </w:r>
            <w:r w:rsidRPr="00632E88">
              <w:rPr>
                <w:color w:val="000000"/>
                <w:w w:val="15"/>
                <w:shd w:val="solid" w:color="000000" w:fill="000000"/>
                <w:fitText w:val="70" w:id="-1031597298"/>
                <w14:textFill>
                  <w14:solidFill>
                    <w14:srgbClr w14:val="000000">
                      <w14:alpha w14:val="100000"/>
                    </w14:srgbClr>
                  </w14:solidFill>
                </w14:textFill>
              </w:rPr>
              <w:t>|</w:t>
            </w:r>
            <w:r w:rsidRPr="00632E88">
              <w:rPr>
                <w:rFonts w:hint="eastAsia"/>
                <w:color w:val="000000"/>
                <w:spacing w:val="4"/>
                <w:w w:val="15"/>
                <w:shd w:val="solid" w:color="000000" w:fill="000000"/>
                <w:fitText w:val="70" w:id="-1031597298"/>
                <w14:textFill>
                  <w14:solidFill>
                    <w14:srgbClr w14:val="000000">
                      <w14:alpha w14:val="100000"/>
                    </w14:srgbClr>
                  </w14:solidFill>
                </w14:textFill>
              </w:rPr>
              <w:t xml:space="preserve">　</w:t>
            </w:r>
            <w:r w:rsidR="0007481B">
              <w:rPr>
                <w:vertAlign w:val="superscript"/>
              </w:rPr>
              <w:t>6</w:t>
            </w:r>
          </w:p>
        </w:tc>
        <w:tc>
          <w:tcPr>
            <w:tcW w:w="1111" w:type="dxa"/>
            <w:shd w:val="clear" w:color="auto" w:fill="auto"/>
          </w:tcPr>
          <w:p w14:paraId="1EE3F9F8" w14:textId="338AFADE"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297"/>
                <w14:textFill>
                  <w14:solidFill>
                    <w14:srgbClr w14:val="000000">
                      <w14:alpha w14:val="100000"/>
                    </w14:srgbClr>
                  </w14:solidFill>
                </w14:textFill>
              </w:rPr>
              <w:t xml:space="preserve">　</w:t>
            </w:r>
            <w:r w:rsidRPr="00632E88">
              <w:rPr>
                <w:color w:val="000000"/>
                <w:w w:val="15"/>
                <w:shd w:val="solid" w:color="000000" w:fill="000000"/>
                <w:fitText w:val="70" w:id="-1031597297"/>
                <w14:textFill>
                  <w14:solidFill>
                    <w14:srgbClr w14:val="000000">
                      <w14:alpha w14:val="100000"/>
                    </w14:srgbClr>
                  </w14:solidFill>
                </w14:textFill>
              </w:rPr>
              <w:t>|</w:t>
            </w:r>
            <w:r w:rsidRPr="00632E88">
              <w:rPr>
                <w:rFonts w:hint="eastAsia"/>
                <w:color w:val="000000"/>
                <w:spacing w:val="4"/>
                <w:w w:val="15"/>
                <w:shd w:val="solid" w:color="000000" w:fill="000000"/>
                <w:fitText w:val="70" w:id="-1031597297"/>
                <w14:textFill>
                  <w14:solidFill>
                    <w14:srgbClr w14:val="000000">
                      <w14:alpha w14:val="100000"/>
                    </w14:srgbClr>
                  </w14:solidFill>
                </w14:textFill>
              </w:rPr>
              <w:t xml:space="preserve">　</w:t>
            </w:r>
            <w:r w:rsidR="0007481B">
              <w:rPr>
                <w:vertAlign w:val="superscript"/>
              </w:rPr>
              <w:t>6</w:t>
            </w:r>
          </w:p>
        </w:tc>
        <w:tc>
          <w:tcPr>
            <w:tcW w:w="1110" w:type="dxa"/>
            <w:shd w:val="clear" w:color="auto" w:fill="auto"/>
          </w:tcPr>
          <w:p w14:paraId="2AF97424" w14:textId="24419E01"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296"/>
                <w14:textFill>
                  <w14:solidFill>
                    <w14:srgbClr w14:val="000000">
                      <w14:alpha w14:val="100000"/>
                    </w14:srgbClr>
                  </w14:solidFill>
                </w14:textFill>
              </w:rPr>
              <w:t xml:space="preserve">　</w:t>
            </w:r>
            <w:r w:rsidRPr="00632E88">
              <w:rPr>
                <w:color w:val="000000"/>
                <w:w w:val="15"/>
                <w:shd w:val="solid" w:color="000000" w:fill="000000"/>
                <w:fitText w:val="70" w:id="-1031597296"/>
                <w14:textFill>
                  <w14:solidFill>
                    <w14:srgbClr w14:val="000000">
                      <w14:alpha w14:val="100000"/>
                    </w14:srgbClr>
                  </w14:solidFill>
                </w14:textFill>
              </w:rPr>
              <w:t>|</w:t>
            </w:r>
            <w:r w:rsidRPr="00632E88">
              <w:rPr>
                <w:rFonts w:hint="eastAsia"/>
                <w:color w:val="000000"/>
                <w:spacing w:val="4"/>
                <w:w w:val="15"/>
                <w:shd w:val="solid" w:color="000000" w:fill="000000"/>
                <w:fitText w:val="70" w:id="-1031597296"/>
                <w14:textFill>
                  <w14:solidFill>
                    <w14:srgbClr w14:val="000000">
                      <w14:alpha w14:val="100000"/>
                    </w14:srgbClr>
                  </w14:solidFill>
                </w14:textFill>
              </w:rPr>
              <w:t xml:space="preserve">　</w:t>
            </w:r>
            <w:r w:rsidR="0007481B">
              <w:rPr>
                <w:vertAlign w:val="superscript"/>
              </w:rPr>
              <w:t>6</w:t>
            </w:r>
          </w:p>
        </w:tc>
        <w:tc>
          <w:tcPr>
            <w:tcW w:w="1110" w:type="dxa"/>
            <w:shd w:val="clear" w:color="auto" w:fill="auto"/>
          </w:tcPr>
          <w:p w14:paraId="3EE959C7" w14:textId="41C42BBC"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312"/>
                <w14:textFill>
                  <w14:solidFill>
                    <w14:srgbClr w14:val="000000">
                      <w14:alpha w14:val="100000"/>
                    </w14:srgbClr>
                  </w14:solidFill>
                </w14:textFill>
              </w:rPr>
              <w:t xml:space="preserve">　</w:t>
            </w:r>
            <w:r w:rsidRPr="00632E88">
              <w:rPr>
                <w:color w:val="000000"/>
                <w:w w:val="15"/>
                <w:shd w:val="solid" w:color="000000" w:fill="000000"/>
                <w:fitText w:val="70" w:id="-1031597312"/>
                <w14:textFill>
                  <w14:solidFill>
                    <w14:srgbClr w14:val="000000">
                      <w14:alpha w14:val="100000"/>
                    </w14:srgbClr>
                  </w14:solidFill>
                </w14:textFill>
              </w:rPr>
              <w:t>|</w:t>
            </w:r>
            <w:r w:rsidRPr="00632E88">
              <w:rPr>
                <w:rFonts w:hint="eastAsia"/>
                <w:color w:val="000000"/>
                <w:spacing w:val="4"/>
                <w:w w:val="15"/>
                <w:shd w:val="solid" w:color="000000" w:fill="000000"/>
                <w:fitText w:val="70" w:id="-1031597312"/>
                <w14:textFill>
                  <w14:solidFill>
                    <w14:srgbClr w14:val="000000">
                      <w14:alpha w14:val="100000"/>
                    </w14:srgbClr>
                  </w14:solidFill>
                </w14:textFill>
              </w:rPr>
              <w:t xml:space="preserve">　</w:t>
            </w:r>
            <w:r w:rsidR="0007481B">
              <w:rPr>
                <w:vertAlign w:val="superscript"/>
              </w:rPr>
              <w:t>6</w:t>
            </w:r>
          </w:p>
        </w:tc>
        <w:tc>
          <w:tcPr>
            <w:tcW w:w="1111" w:type="dxa"/>
            <w:shd w:val="clear" w:color="auto" w:fill="auto"/>
          </w:tcPr>
          <w:p w14:paraId="1925F2D3" w14:textId="7C8DFBE8" w:rsidR="00821CB9" w:rsidRPr="0088701B" w:rsidRDefault="00632E88" w:rsidP="002A5119">
            <w:pPr>
              <w:pStyle w:val="Tabletext"/>
              <w:keepNext/>
              <w:jc w:val="center"/>
              <w:rPr>
                <w:rFonts w:cs="Arial"/>
                <w:highlight w:val="darkGray"/>
              </w:rPr>
            </w:pPr>
            <w:r>
              <w:t xml:space="preserve"> </w:t>
            </w:r>
            <w:r w:rsidRPr="00632E88">
              <w:rPr>
                <w:rFonts w:hint="eastAsia"/>
                <w:color w:val="000000"/>
                <w:w w:val="15"/>
                <w:shd w:val="solid" w:color="000000" w:fill="000000"/>
                <w:fitText w:val="70" w:id="-1031597311"/>
                <w14:textFill>
                  <w14:solidFill>
                    <w14:srgbClr w14:val="000000">
                      <w14:alpha w14:val="100000"/>
                    </w14:srgbClr>
                  </w14:solidFill>
                </w14:textFill>
              </w:rPr>
              <w:t xml:space="preserve">　</w:t>
            </w:r>
            <w:r w:rsidRPr="00632E88">
              <w:rPr>
                <w:color w:val="000000"/>
                <w:w w:val="15"/>
                <w:shd w:val="solid" w:color="000000" w:fill="000000"/>
                <w:fitText w:val="70" w:id="-1031597311"/>
                <w14:textFill>
                  <w14:solidFill>
                    <w14:srgbClr w14:val="000000">
                      <w14:alpha w14:val="100000"/>
                    </w14:srgbClr>
                  </w14:solidFill>
                </w14:textFill>
              </w:rPr>
              <w:t>|</w:t>
            </w:r>
            <w:r w:rsidRPr="00632E88">
              <w:rPr>
                <w:rFonts w:hint="eastAsia"/>
                <w:color w:val="000000"/>
                <w:spacing w:val="4"/>
                <w:w w:val="15"/>
                <w:shd w:val="solid" w:color="000000" w:fill="000000"/>
                <w:fitText w:val="70" w:id="-1031597311"/>
                <w14:textFill>
                  <w14:solidFill>
                    <w14:srgbClr w14:val="000000">
                      <w14:alpha w14:val="100000"/>
                    </w14:srgbClr>
                  </w14:solidFill>
                </w14:textFill>
              </w:rPr>
              <w:t xml:space="preserve">　</w:t>
            </w:r>
            <w:r w:rsidR="0007481B">
              <w:rPr>
                <w:vertAlign w:val="superscript"/>
              </w:rPr>
              <w:t>6</w:t>
            </w:r>
          </w:p>
        </w:tc>
      </w:tr>
      <w:tr w:rsidR="00587000" w:rsidRPr="00F6387C" w14:paraId="1016C507" w14:textId="77777777" w:rsidTr="00587000">
        <w:tc>
          <w:tcPr>
            <w:tcW w:w="9067" w:type="dxa"/>
            <w:gridSpan w:val="7"/>
            <w:shd w:val="clear" w:color="auto" w:fill="auto"/>
            <w:vAlign w:val="center"/>
          </w:tcPr>
          <w:p w14:paraId="174368C3" w14:textId="6506A0F8" w:rsidR="00587000" w:rsidRPr="00F6387C" w:rsidRDefault="00587000" w:rsidP="00904884">
            <w:pPr>
              <w:pStyle w:val="Tabletext"/>
              <w:keepNext/>
              <w:rPr>
                <w:b/>
                <w:bCs/>
              </w:rPr>
            </w:pPr>
            <w:r w:rsidRPr="00F6387C">
              <w:rPr>
                <w:b/>
                <w:bCs/>
              </w:rPr>
              <w:t>Estimated financial impactions of proposed cladribine listing for the PBS/RPBS (PSCR updated)</w:t>
            </w:r>
          </w:p>
        </w:tc>
      </w:tr>
      <w:tr w:rsidR="006E05DA" w:rsidRPr="00F6387C" w14:paraId="00EBFD56" w14:textId="77777777" w:rsidTr="00540CC4">
        <w:tc>
          <w:tcPr>
            <w:tcW w:w="2405" w:type="dxa"/>
            <w:shd w:val="clear" w:color="auto" w:fill="auto"/>
            <w:vAlign w:val="center"/>
          </w:tcPr>
          <w:p w14:paraId="5AD21A2C" w14:textId="675B6FA0" w:rsidR="006E05DA" w:rsidRPr="00F6387C" w:rsidRDefault="006E05DA" w:rsidP="00904884">
            <w:pPr>
              <w:pStyle w:val="Tabletext"/>
              <w:keepNext/>
              <w:rPr>
                <w:sz w:val="19"/>
                <w:szCs w:val="19"/>
              </w:rPr>
            </w:pPr>
            <w:r w:rsidRPr="00F6387C">
              <w:t xml:space="preserve">Cost of cladribine (proposed) </w:t>
            </w:r>
          </w:p>
        </w:tc>
        <w:tc>
          <w:tcPr>
            <w:tcW w:w="1110" w:type="dxa"/>
            <w:shd w:val="clear" w:color="auto" w:fill="auto"/>
          </w:tcPr>
          <w:p w14:paraId="4942E672" w14:textId="1BA2008C" w:rsidR="006E05DA"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10"/>
                <w14:textFill>
                  <w14:solidFill>
                    <w14:srgbClr w14:val="000000">
                      <w14:alpha w14:val="100000"/>
                    </w14:srgbClr>
                  </w14:solidFill>
                </w14:textFill>
              </w:rPr>
              <w:t xml:space="preserve">　</w:t>
            </w:r>
            <w:r w:rsidRPr="00632E88">
              <w:rPr>
                <w:color w:val="000000"/>
                <w:w w:val="15"/>
                <w:shd w:val="solid" w:color="000000" w:fill="000000"/>
                <w:fitText w:val="70" w:id="-1031597310"/>
                <w14:textFill>
                  <w14:solidFill>
                    <w14:srgbClr w14:val="000000">
                      <w14:alpha w14:val="100000"/>
                    </w14:srgbClr>
                  </w14:solidFill>
                </w14:textFill>
              </w:rPr>
              <w:t>|</w:t>
            </w:r>
            <w:r w:rsidRPr="00632E88">
              <w:rPr>
                <w:rFonts w:hint="eastAsia"/>
                <w:color w:val="000000"/>
                <w:spacing w:val="4"/>
                <w:w w:val="15"/>
                <w:shd w:val="solid" w:color="000000" w:fill="000000"/>
                <w:fitText w:val="70" w:id="-1031597310"/>
                <w14:textFill>
                  <w14:solidFill>
                    <w14:srgbClr w14:val="000000">
                      <w14:alpha w14:val="100000"/>
                    </w14:srgbClr>
                  </w14:solidFill>
                </w14:textFill>
              </w:rPr>
              <w:t xml:space="preserve">　</w:t>
            </w:r>
            <w:r w:rsidR="002A5119">
              <w:rPr>
                <w:vertAlign w:val="superscript"/>
              </w:rPr>
              <w:t>2</w:t>
            </w:r>
          </w:p>
        </w:tc>
        <w:tc>
          <w:tcPr>
            <w:tcW w:w="1110" w:type="dxa"/>
            <w:shd w:val="clear" w:color="auto" w:fill="auto"/>
          </w:tcPr>
          <w:p w14:paraId="268F82CD" w14:textId="46D5BA02" w:rsidR="006E05DA"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9"/>
                <w14:textFill>
                  <w14:solidFill>
                    <w14:srgbClr w14:val="000000">
                      <w14:alpha w14:val="100000"/>
                    </w14:srgbClr>
                  </w14:solidFill>
                </w14:textFill>
              </w:rPr>
              <w:t xml:space="preserve">　</w:t>
            </w:r>
            <w:r w:rsidRPr="00632E88">
              <w:rPr>
                <w:color w:val="000000"/>
                <w:w w:val="15"/>
                <w:shd w:val="solid" w:color="000000" w:fill="000000"/>
                <w:fitText w:val="70" w:id="-1031597309"/>
                <w14:textFill>
                  <w14:solidFill>
                    <w14:srgbClr w14:val="000000">
                      <w14:alpha w14:val="100000"/>
                    </w14:srgbClr>
                  </w14:solidFill>
                </w14:textFill>
              </w:rPr>
              <w:t>|</w:t>
            </w:r>
            <w:r w:rsidRPr="00632E88">
              <w:rPr>
                <w:rFonts w:hint="eastAsia"/>
                <w:color w:val="000000"/>
                <w:spacing w:val="4"/>
                <w:w w:val="15"/>
                <w:shd w:val="solid" w:color="000000" w:fill="000000"/>
                <w:fitText w:val="70" w:id="-1031597309"/>
                <w14:textFill>
                  <w14:solidFill>
                    <w14:srgbClr w14:val="000000">
                      <w14:alpha w14:val="100000"/>
                    </w14:srgbClr>
                  </w14:solidFill>
                </w14:textFill>
              </w:rPr>
              <w:t xml:space="preserve">　</w:t>
            </w:r>
            <w:r w:rsidR="002A5119">
              <w:rPr>
                <w:vertAlign w:val="superscript"/>
              </w:rPr>
              <w:t>2</w:t>
            </w:r>
          </w:p>
        </w:tc>
        <w:tc>
          <w:tcPr>
            <w:tcW w:w="1111" w:type="dxa"/>
            <w:shd w:val="clear" w:color="auto" w:fill="auto"/>
          </w:tcPr>
          <w:p w14:paraId="6A99AEB6" w14:textId="1694786D" w:rsidR="006E05DA"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8"/>
                <w14:textFill>
                  <w14:solidFill>
                    <w14:srgbClr w14:val="000000">
                      <w14:alpha w14:val="100000"/>
                    </w14:srgbClr>
                  </w14:solidFill>
                </w14:textFill>
              </w:rPr>
              <w:t xml:space="preserve">　</w:t>
            </w:r>
            <w:r w:rsidRPr="00632E88">
              <w:rPr>
                <w:color w:val="000000"/>
                <w:w w:val="15"/>
                <w:shd w:val="solid" w:color="000000" w:fill="000000"/>
                <w:fitText w:val="70" w:id="-1031597308"/>
                <w14:textFill>
                  <w14:solidFill>
                    <w14:srgbClr w14:val="000000">
                      <w14:alpha w14:val="100000"/>
                    </w14:srgbClr>
                  </w14:solidFill>
                </w14:textFill>
              </w:rPr>
              <w:t>|</w:t>
            </w:r>
            <w:r w:rsidRPr="00632E88">
              <w:rPr>
                <w:rFonts w:hint="eastAsia"/>
                <w:color w:val="000000"/>
                <w:spacing w:val="4"/>
                <w:w w:val="15"/>
                <w:shd w:val="solid" w:color="000000" w:fill="000000"/>
                <w:fitText w:val="70" w:id="-1031597308"/>
                <w14:textFill>
                  <w14:solidFill>
                    <w14:srgbClr w14:val="000000">
                      <w14:alpha w14:val="100000"/>
                    </w14:srgbClr>
                  </w14:solidFill>
                </w14:textFill>
              </w:rPr>
              <w:t xml:space="preserve">　</w:t>
            </w:r>
            <w:r w:rsidR="002A5119">
              <w:rPr>
                <w:vertAlign w:val="superscript"/>
              </w:rPr>
              <w:t>2</w:t>
            </w:r>
          </w:p>
        </w:tc>
        <w:tc>
          <w:tcPr>
            <w:tcW w:w="1110" w:type="dxa"/>
            <w:shd w:val="clear" w:color="auto" w:fill="auto"/>
          </w:tcPr>
          <w:p w14:paraId="24D07DD2" w14:textId="1905A736" w:rsidR="006E05DA"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7"/>
                <w14:textFill>
                  <w14:solidFill>
                    <w14:srgbClr w14:val="000000">
                      <w14:alpha w14:val="100000"/>
                    </w14:srgbClr>
                  </w14:solidFill>
                </w14:textFill>
              </w:rPr>
              <w:t xml:space="preserve">　</w:t>
            </w:r>
            <w:r w:rsidRPr="00632E88">
              <w:rPr>
                <w:color w:val="000000"/>
                <w:w w:val="15"/>
                <w:shd w:val="solid" w:color="000000" w:fill="000000"/>
                <w:fitText w:val="70" w:id="-1031597307"/>
                <w14:textFill>
                  <w14:solidFill>
                    <w14:srgbClr w14:val="000000">
                      <w14:alpha w14:val="100000"/>
                    </w14:srgbClr>
                  </w14:solidFill>
                </w14:textFill>
              </w:rPr>
              <w:t>|</w:t>
            </w:r>
            <w:r w:rsidRPr="00632E88">
              <w:rPr>
                <w:rFonts w:hint="eastAsia"/>
                <w:color w:val="000000"/>
                <w:spacing w:val="4"/>
                <w:w w:val="15"/>
                <w:shd w:val="solid" w:color="000000" w:fill="000000"/>
                <w:fitText w:val="70" w:id="-1031597307"/>
                <w14:textFill>
                  <w14:solidFill>
                    <w14:srgbClr w14:val="000000">
                      <w14:alpha w14:val="100000"/>
                    </w14:srgbClr>
                  </w14:solidFill>
                </w14:textFill>
              </w:rPr>
              <w:t xml:space="preserve">　</w:t>
            </w:r>
            <w:r w:rsidR="002A5119">
              <w:rPr>
                <w:vertAlign w:val="superscript"/>
              </w:rPr>
              <w:t>2</w:t>
            </w:r>
          </w:p>
        </w:tc>
        <w:tc>
          <w:tcPr>
            <w:tcW w:w="1110" w:type="dxa"/>
            <w:shd w:val="clear" w:color="auto" w:fill="auto"/>
          </w:tcPr>
          <w:p w14:paraId="6D77A4DF" w14:textId="3CC25FD7" w:rsidR="006E05DA"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6"/>
                <w14:textFill>
                  <w14:solidFill>
                    <w14:srgbClr w14:val="000000">
                      <w14:alpha w14:val="100000"/>
                    </w14:srgbClr>
                  </w14:solidFill>
                </w14:textFill>
              </w:rPr>
              <w:t xml:space="preserve">　</w:t>
            </w:r>
            <w:r w:rsidRPr="00632E88">
              <w:rPr>
                <w:color w:val="000000"/>
                <w:w w:val="15"/>
                <w:shd w:val="solid" w:color="000000" w:fill="000000"/>
                <w:fitText w:val="70" w:id="-1031597306"/>
                <w14:textFill>
                  <w14:solidFill>
                    <w14:srgbClr w14:val="000000">
                      <w14:alpha w14:val="100000"/>
                    </w14:srgbClr>
                  </w14:solidFill>
                </w14:textFill>
              </w:rPr>
              <w:t>|</w:t>
            </w:r>
            <w:r w:rsidRPr="00632E88">
              <w:rPr>
                <w:rFonts w:hint="eastAsia"/>
                <w:color w:val="000000"/>
                <w:spacing w:val="4"/>
                <w:w w:val="15"/>
                <w:shd w:val="solid" w:color="000000" w:fill="000000"/>
                <w:fitText w:val="70" w:id="-1031597306"/>
                <w14:textFill>
                  <w14:solidFill>
                    <w14:srgbClr w14:val="000000">
                      <w14:alpha w14:val="100000"/>
                    </w14:srgbClr>
                  </w14:solidFill>
                </w14:textFill>
              </w:rPr>
              <w:t xml:space="preserve">　</w:t>
            </w:r>
            <w:r w:rsidR="002A5119">
              <w:rPr>
                <w:vertAlign w:val="superscript"/>
              </w:rPr>
              <w:t>2</w:t>
            </w:r>
          </w:p>
        </w:tc>
        <w:tc>
          <w:tcPr>
            <w:tcW w:w="1111" w:type="dxa"/>
            <w:shd w:val="clear" w:color="auto" w:fill="auto"/>
          </w:tcPr>
          <w:p w14:paraId="21FCF912" w14:textId="7329BC7D" w:rsidR="006E05DA"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5"/>
                <w14:textFill>
                  <w14:solidFill>
                    <w14:srgbClr w14:val="000000">
                      <w14:alpha w14:val="100000"/>
                    </w14:srgbClr>
                  </w14:solidFill>
                </w14:textFill>
              </w:rPr>
              <w:t xml:space="preserve">　</w:t>
            </w:r>
            <w:r w:rsidRPr="00632E88">
              <w:rPr>
                <w:color w:val="000000"/>
                <w:w w:val="15"/>
                <w:shd w:val="solid" w:color="000000" w:fill="000000"/>
                <w:fitText w:val="70" w:id="-1031597305"/>
                <w14:textFill>
                  <w14:solidFill>
                    <w14:srgbClr w14:val="000000">
                      <w14:alpha w14:val="100000"/>
                    </w14:srgbClr>
                  </w14:solidFill>
                </w14:textFill>
              </w:rPr>
              <w:t>|</w:t>
            </w:r>
            <w:r w:rsidRPr="00632E88">
              <w:rPr>
                <w:rFonts w:hint="eastAsia"/>
                <w:color w:val="000000"/>
                <w:spacing w:val="4"/>
                <w:w w:val="15"/>
                <w:shd w:val="solid" w:color="000000" w:fill="000000"/>
                <w:fitText w:val="70" w:id="-1031597305"/>
                <w14:textFill>
                  <w14:solidFill>
                    <w14:srgbClr w14:val="000000">
                      <w14:alpha w14:val="100000"/>
                    </w14:srgbClr>
                  </w14:solidFill>
                </w14:textFill>
              </w:rPr>
              <w:t xml:space="preserve">　</w:t>
            </w:r>
            <w:r w:rsidR="002A5119">
              <w:rPr>
                <w:vertAlign w:val="superscript"/>
              </w:rPr>
              <w:t>2</w:t>
            </w:r>
          </w:p>
        </w:tc>
      </w:tr>
      <w:tr w:rsidR="00751518" w:rsidRPr="00F6387C" w14:paraId="2CDFCC04" w14:textId="77777777" w:rsidTr="00AC6C43">
        <w:tc>
          <w:tcPr>
            <w:tcW w:w="2405" w:type="dxa"/>
            <w:shd w:val="clear" w:color="auto" w:fill="auto"/>
            <w:vAlign w:val="center"/>
          </w:tcPr>
          <w:p w14:paraId="164D5B5E" w14:textId="39D64144" w:rsidR="00751518" w:rsidRPr="00F6387C" w:rsidRDefault="00751518" w:rsidP="00904884">
            <w:pPr>
              <w:pStyle w:val="Tabletext"/>
              <w:keepNext/>
              <w:rPr>
                <w:sz w:val="19"/>
                <w:szCs w:val="19"/>
              </w:rPr>
            </w:pPr>
            <w:r w:rsidRPr="00F6387C">
              <w:t>Cost of cladribine (impacted)</w:t>
            </w:r>
          </w:p>
        </w:tc>
        <w:tc>
          <w:tcPr>
            <w:tcW w:w="1110" w:type="dxa"/>
            <w:shd w:val="clear" w:color="auto" w:fill="auto"/>
            <w:vAlign w:val="center"/>
          </w:tcPr>
          <w:p w14:paraId="30B6D1F5" w14:textId="68800C6D" w:rsidR="00751518" w:rsidRPr="0088701B" w:rsidRDefault="00632E88" w:rsidP="002A5119">
            <w:pPr>
              <w:pStyle w:val="Tabletext"/>
              <w:keepNext/>
              <w:jc w:val="center"/>
              <w:rPr>
                <w:highlight w:val="darkGray"/>
              </w:rPr>
            </w:pPr>
            <w:r>
              <w:rPr>
                <w:szCs w:val="20"/>
              </w:rPr>
              <w:t xml:space="preserve"> </w:t>
            </w:r>
            <w:r w:rsidRPr="00632E88">
              <w:rPr>
                <w:rFonts w:hint="eastAsia"/>
                <w:color w:val="000000"/>
                <w:w w:val="15"/>
                <w:szCs w:val="20"/>
                <w:shd w:val="solid" w:color="000000" w:fill="000000"/>
                <w:fitText w:val="70" w:id="-1031597304"/>
                <w14:textFill>
                  <w14:solidFill>
                    <w14:srgbClr w14:val="000000">
                      <w14:alpha w14:val="100000"/>
                    </w14:srgbClr>
                  </w14:solidFill>
                </w14:textFill>
              </w:rPr>
              <w:t xml:space="preserve">　</w:t>
            </w:r>
            <w:r w:rsidRPr="00632E88">
              <w:rPr>
                <w:color w:val="000000"/>
                <w:w w:val="15"/>
                <w:szCs w:val="20"/>
                <w:shd w:val="solid" w:color="000000" w:fill="000000"/>
                <w:fitText w:val="70" w:id="-1031597304"/>
                <w14:textFill>
                  <w14:solidFill>
                    <w14:srgbClr w14:val="000000">
                      <w14:alpha w14:val="100000"/>
                    </w14:srgbClr>
                  </w14:solidFill>
                </w14:textFill>
              </w:rPr>
              <w:t>|</w:t>
            </w:r>
            <w:r w:rsidRPr="00632E88">
              <w:rPr>
                <w:rFonts w:hint="eastAsia"/>
                <w:color w:val="000000"/>
                <w:spacing w:val="4"/>
                <w:w w:val="15"/>
                <w:szCs w:val="20"/>
                <w:shd w:val="solid" w:color="000000" w:fill="000000"/>
                <w:fitText w:val="70" w:id="-1031597304"/>
                <w14:textFill>
                  <w14:solidFill>
                    <w14:srgbClr w14:val="000000">
                      <w14:alpha w14:val="100000"/>
                    </w14:srgbClr>
                  </w14:solidFill>
                </w14:textFill>
              </w:rPr>
              <w:t xml:space="preserve">　</w:t>
            </w:r>
            <w:r w:rsidR="00FE1C1D">
              <w:rPr>
                <w:vertAlign w:val="superscript"/>
              </w:rPr>
              <w:t>4</w:t>
            </w:r>
          </w:p>
        </w:tc>
        <w:tc>
          <w:tcPr>
            <w:tcW w:w="1110" w:type="dxa"/>
            <w:shd w:val="clear" w:color="auto" w:fill="auto"/>
            <w:vAlign w:val="center"/>
          </w:tcPr>
          <w:p w14:paraId="70A16F4E" w14:textId="7813EE9A" w:rsidR="00751518" w:rsidRPr="0088701B" w:rsidRDefault="00632E88" w:rsidP="002A5119">
            <w:pPr>
              <w:pStyle w:val="Tabletext"/>
              <w:keepNext/>
              <w:jc w:val="center"/>
              <w:rPr>
                <w:highlight w:val="darkGray"/>
              </w:rPr>
            </w:pPr>
            <w:r>
              <w:rPr>
                <w:szCs w:val="20"/>
              </w:rPr>
              <w:t xml:space="preserve"> </w:t>
            </w:r>
            <w:r w:rsidRPr="00632E88">
              <w:rPr>
                <w:rFonts w:hint="eastAsia"/>
                <w:color w:val="000000"/>
                <w:w w:val="15"/>
                <w:szCs w:val="20"/>
                <w:shd w:val="solid" w:color="000000" w:fill="000000"/>
                <w:fitText w:val="70" w:id="-1031597303"/>
                <w14:textFill>
                  <w14:solidFill>
                    <w14:srgbClr w14:val="000000">
                      <w14:alpha w14:val="100000"/>
                    </w14:srgbClr>
                  </w14:solidFill>
                </w14:textFill>
              </w:rPr>
              <w:t xml:space="preserve">　</w:t>
            </w:r>
            <w:r w:rsidRPr="00632E88">
              <w:rPr>
                <w:color w:val="000000"/>
                <w:w w:val="15"/>
                <w:szCs w:val="20"/>
                <w:shd w:val="solid" w:color="000000" w:fill="000000"/>
                <w:fitText w:val="70" w:id="-1031597303"/>
                <w14:textFill>
                  <w14:solidFill>
                    <w14:srgbClr w14:val="000000">
                      <w14:alpha w14:val="100000"/>
                    </w14:srgbClr>
                  </w14:solidFill>
                </w14:textFill>
              </w:rPr>
              <w:t>|</w:t>
            </w:r>
            <w:r w:rsidRPr="00632E88">
              <w:rPr>
                <w:rFonts w:hint="eastAsia"/>
                <w:color w:val="000000"/>
                <w:spacing w:val="4"/>
                <w:w w:val="15"/>
                <w:szCs w:val="20"/>
                <w:shd w:val="solid" w:color="000000" w:fill="000000"/>
                <w:fitText w:val="70" w:id="-1031597303"/>
                <w14:textFill>
                  <w14:solidFill>
                    <w14:srgbClr w14:val="000000">
                      <w14:alpha w14:val="100000"/>
                    </w14:srgbClr>
                  </w14:solidFill>
                </w14:textFill>
              </w:rPr>
              <w:t xml:space="preserve">　</w:t>
            </w:r>
            <w:r w:rsidR="00FE1C1D">
              <w:rPr>
                <w:vertAlign w:val="superscript"/>
              </w:rPr>
              <w:t>4</w:t>
            </w:r>
          </w:p>
        </w:tc>
        <w:tc>
          <w:tcPr>
            <w:tcW w:w="1111" w:type="dxa"/>
            <w:shd w:val="clear" w:color="auto" w:fill="auto"/>
            <w:vAlign w:val="center"/>
          </w:tcPr>
          <w:p w14:paraId="7C37F23A" w14:textId="76CA3E27" w:rsidR="00751518" w:rsidRPr="0088701B" w:rsidRDefault="00632E88" w:rsidP="002A5119">
            <w:pPr>
              <w:pStyle w:val="Tabletext"/>
              <w:keepNext/>
              <w:jc w:val="center"/>
              <w:rPr>
                <w:highlight w:val="darkGray"/>
              </w:rPr>
            </w:pPr>
            <w:r>
              <w:rPr>
                <w:szCs w:val="20"/>
              </w:rPr>
              <w:t xml:space="preserve"> </w:t>
            </w:r>
            <w:r w:rsidRPr="00632E88">
              <w:rPr>
                <w:rFonts w:hint="eastAsia"/>
                <w:color w:val="000000"/>
                <w:w w:val="15"/>
                <w:szCs w:val="20"/>
                <w:shd w:val="solid" w:color="000000" w:fill="000000"/>
                <w:fitText w:val="70" w:id="-1031597302"/>
                <w14:textFill>
                  <w14:solidFill>
                    <w14:srgbClr w14:val="000000">
                      <w14:alpha w14:val="100000"/>
                    </w14:srgbClr>
                  </w14:solidFill>
                </w14:textFill>
              </w:rPr>
              <w:t xml:space="preserve">　</w:t>
            </w:r>
            <w:r w:rsidRPr="00632E88">
              <w:rPr>
                <w:color w:val="000000"/>
                <w:w w:val="15"/>
                <w:szCs w:val="20"/>
                <w:shd w:val="solid" w:color="000000" w:fill="000000"/>
                <w:fitText w:val="70" w:id="-1031597302"/>
                <w14:textFill>
                  <w14:solidFill>
                    <w14:srgbClr w14:val="000000">
                      <w14:alpha w14:val="100000"/>
                    </w14:srgbClr>
                  </w14:solidFill>
                </w14:textFill>
              </w:rPr>
              <w:t>|</w:t>
            </w:r>
            <w:r w:rsidRPr="00632E88">
              <w:rPr>
                <w:rFonts w:hint="eastAsia"/>
                <w:color w:val="000000"/>
                <w:spacing w:val="4"/>
                <w:w w:val="15"/>
                <w:szCs w:val="20"/>
                <w:shd w:val="solid" w:color="000000" w:fill="000000"/>
                <w:fitText w:val="70" w:id="-1031597302"/>
                <w14:textFill>
                  <w14:solidFill>
                    <w14:srgbClr w14:val="000000">
                      <w14:alpha w14:val="100000"/>
                    </w14:srgbClr>
                  </w14:solidFill>
                </w14:textFill>
              </w:rPr>
              <w:t xml:space="preserve">　</w:t>
            </w:r>
            <w:r w:rsidR="00FE1C1D">
              <w:rPr>
                <w:vertAlign w:val="superscript"/>
              </w:rPr>
              <w:t>4</w:t>
            </w:r>
          </w:p>
        </w:tc>
        <w:tc>
          <w:tcPr>
            <w:tcW w:w="1110" w:type="dxa"/>
            <w:shd w:val="clear" w:color="auto" w:fill="auto"/>
            <w:vAlign w:val="center"/>
          </w:tcPr>
          <w:p w14:paraId="095494AF" w14:textId="067EF3F3" w:rsidR="00751518" w:rsidRPr="0088701B" w:rsidRDefault="00632E88" w:rsidP="002A5119">
            <w:pPr>
              <w:pStyle w:val="Tabletext"/>
              <w:keepNext/>
              <w:jc w:val="center"/>
              <w:rPr>
                <w:highlight w:val="darkGray"/>
              </w:rPr>
            </w:pPr>
            <w:r>
              <w:rPr>
                <w:szCs w:val="20"/>
              </w:rPr>
              <w:t xml:space="preserve"> </w:t>
            </w:r>
            <w:r w:rsidRPr="00632E88">
              <w:rPr>
                <w:rFonts w:hint="eastAsia"/>
                <w:color w:val="000000"/>
                <w:w w:val="15"/>
                <w:szCs w:val="20"/>
                <w:shd w:val="solid" w:color="000000" w:fill="000000"/>
                <w:fitText w:val="70" w:id="-1031597301"/>
                <w14:textFill>
                  <w14:solidFill>
                    <w14:srgbClr w14:val="000000">
                      <w14:alpha w14:val="100000"/>
                    </w14:srgbClr>
                  </w14:solidFill>
                </w14:textFill>
              </w:rPr>
              <w:t xml:space="preserve">　</w:t>
            </w:r>
            <w:r w:rsidRPr="00632E88">
              <w:rPr>
                <w:color w:val="000000"/>
                <w:w w:val="15"/>
                <w:szCs w:val="20"/>
                <w:shd w:val="solid" w:color="000000" w:fill="000000"/>
                <w:fitText w:val="70" w:id="-1031597301"/>
                <w14:textFill>
                  <w14:solidFill>
                    <w14:srgbClr w14:val="000000">
                      <w14:alpha w14:val="100000"/>
                    </w14:srgbClr>
                  </w14:solidFill>
                </w14:textFill>
              </w:rPr>
              <w:t>|</w:t>
            </w:r>
            <w:r w:rsidRPr="00632E88">
              <w:rPr>
                <w:rFonts w:hint="eastAsia"/>
                <w:color w:val="000000"/>
                <w:spacing w:val="4"/>
                <w:w w:val="15"/>
                <w:szCs w:val="20"/>
                <w:shd w:val="solid" w:color="000000" w:fill="000000"/>
                <w:fitText w:val="70" w:id="-1031597301"/>
                <w14:textFill>
                  <w14:solidFill>
                    <w14:srgbClr w14:val="000000">
                      <w14:alpha w14:val="100000"/>
                    </w14:srgbClr>
                  </w14:solidFill>
                </w14:textFill>
              </w:rPr>
              <w:t xml:space="preserve">　</w:t>
            </w:r>
            <w:r w:rsidR="00FE1C1D">
              <w:rPr>
                <w:vertAlign w:val="superscript"/>
              </w:rPr>
              <w:t>4</w:t>
            </w:r>
          </w:p>
        </w:tc>
        <w:tc>
          <w:tcPr>
            <w:tcW w:w="1110" w:type="dxa"/>
            <w:shd w:val="clear" w:color="auto" w:fill="auto"/>
            <w:vAlign w:val="center"/>
          </w:tcPr>
          <w:p w14:paraId="0CD8A990" w14:textId="06CDB178" w:rsidR="00751518" w:rsidRPr="0088701B" w:rsidRDefault="00632E88" w:rsidP="002A5119">
            <w:pPr>
              <w:pStyle w:val="Tabletext"/>
              <w:keepNext/>
              <w:jc w:val="center"/>
              <w:rPr>
                <w:highlight w:val="darkGray"/>
              </w:rPr>
            </w:pPr>
            <w:r>
              <w:rPr>
                <w:szCs w:val="20"/>
              </w:rPr>
              <w:t xml:space="preserve"> </w:t>
            </w:r>
            <w:r w:rsidRPr="00632E88">
              <w:rPr>
                <w:rFonts w:hint="eastAsia"/>
                <w:color w:val="000000"/>
                <w:w w:val="15"/>
                <w:szCs w:val="20"/>
                <w:shd w:val="solid" w:color="000000" w:fill="000000"/>
                <w:fitText w:val="70" w:id="-1031597300"/>
                <w14:textFill>
                  <w14:solidFill>
                    <w14:srgbClr w14:val="000000">
                      <w14:alpha w14:val="100000"/>
                    </w14:srgbClr>
                  </w14:solidFill>
                </w14:textFill>
              </w:rPr>
              <w:t xml:space="preserve">　</w:t>
            </w:r>
            <w:r w:rsidRPr="00632E88">
              <w:rPr>
                <w:color w:val="000000"/>
                <w:w w:val="15"/>
                <w:szCs w:val="20"/>
                <w:shd w:val="solid" w:color="000000" w:fill="000000"/>
                <w:fitText w:val="70" w:id="-1031597300"/>
                <w14:textFill>
                  <w14:solidFill>
                    <w14:srgbClr w14:val="000000">
                      <w14:alpha w14:val="100000"/>
                    </w14:srgbClr>
                  </w14:solidFill>
                </w14:textFill>
              </w:rPr>
              <w:t>|</w:t>
            </w:r>
            <w:r w:rsidRPr="00632E88">
              <w:rPr>
                <w:rFonts w:hint="eastAsia"/>
                <w:color w:val="000000"/>
                <w:spacing w:val="4"/>
                <w:w w:val="15"/>
                <w:szCs w:val="20"/>
                <w:shd w:val="solid" w:color="000000" w:fill="000000"/>
                <w:fitText w:val="70" w:id="-1031597300"/>
                <w14:textFill>
                  <w14:solidFill>
                    <w14:srgbClr w14:val="000000">
                      <w14:alpha w14:val="100000"/>
                    </w14:srgbClr>
                  </w14:solidFill>
                </w14:textFill>
              </w:rPr>
              <w:t xml:space="preserve">　</w:t>
            </w:r>
            <w:r w:rsidR="00FE1C1D">
              <w:rPr>
                <w:vertAlign w:val="superscript"/>
              </w:rPr>
              <w:t>4</w:t>
            </w:r>
          </w:p>
        </w:tc>
        <w:tc>
          <w:tcPr>
            <w:tcW w:w="1111" w:type="dxa"/>
            <w:shd w:val="clear" w:color="auto" w:fill="auto"/>
            <w:vAlign w:val="center"/>
          </w:tcPr>
          <w:p w14:paraId="6EED9E53" w14:textId="6A6B7049" w:rsidR="00751518" w:rsidRPr="0088701B" w:rsidRDefault="00632E88" w:rsidP="002A5119">
            <w:pPr>
              <w:pStyle w:val="Tabletext"/>
              <w:keepNext/>
              <w:jc w:val="center"/>
              <w:rPr>
                <w:highlight w:val="darkGray"/>
              </w:rPr>
            </w:pPr>
            <w:r>
              <w:rPr>
                <w:szCs w:val="20"/>
              </w:rPr>
              <w:t xml:space="preserve"> </w:t>
            </w:r>
            <w:r w:rsidRPr="00632E88">
              <w:rPr>
                <w:rFonts w:hint="eastAsia"/>
                <w:color w:val="000000"/>
                <w:w w:val="15"/>
                <w:szCs w:val="20"/>
                <w:shd w:val="solid" w:color="000000" w:fill="000000"/>
                <w:fitText w:val="70" w:id="-1031597299"/>
                <w14:textFill>
                  <w14:solidFill>
                    <w14:srgbClr w14:val="000000">
                      <w14:alpha w14:val="100000"/>
                    </w14:srgbClr>
                  </w14:solidFill>
                </w14:textFill>
              </w:rPr>
              <w:t xml:space="preserve">　</w:t>
            </w:r>
            <w:r w:rsidRPr="00632E88">
              <w:rPr>
                <w:color w:val="000000"/>
                <w:w w:val="15"/>
                <w:szCs w:val="20"/>
                <w:shd w:val="solid" w:color="000000" w:fill="000000"/>
                <w:fitText w:val="70" w:id="-1031597299"/>
                <w14:textFill>
                  <w14:solidFill>
                    <w14:srgbClr w14:val="000000">
                      <w14:alpha w14:val="100000"/>
                    </w14:srgbClr>
                  </w14:solidFill>
                </w14:textFill>
              </w:rPr>
              <w:t>|</w:t>
            </w:r>
            <w:r w:rsidRPr="00632E88">
              <w:rPr>
                <w:rFonts w:hint="eastAsia"/>
                <w:color w:val="000000"/>
                <w:spacing w:val="4"/>
                <w:w w:val="15"/>
                <w:szCs w:val="20"/>
                <w:shd w:val="solid" w:color="000000" w:fill="000000"/>
                <w:fitText w:val="70" w:id="-1031597299"/>
                <w14:textFill>
                  <w14:solidFill>
                    <w14:srgbClr w14:val="000000">
                      <w14:alpha w14:val="100000"/>
                    </w14:srgbClr>
                  </w14:solidFill>
                </w14:textFill>
              </w:rPr>
              <w:t xml:space="preserve">　</w:t>
            </w:r>
            <w:r w:rsidR="00FE1C1D">
              <w:rPr>
                <w:vertAlign w:val="superscript"/>
              </w:rPr>
              <w:t>4</w:t>
            </w:r>
          </w:p>
        </w:tc>
      </w:tr>
      <w:tr w:rsidR="006E05DA" w:rsidRPr="00F6387C" w14:paraId="3C8E7043" w14:textId="77777777" w:rsidTr="00540CC4">
        <w:tc>
          <w:tcPr>
            <w:tcW w:w="2405" w:type="dxa"/>
            <w:shd w:val="clear" w:color="auto" w:fill="auto"/>
            <w:vAlign w:val="center"/>
          </w:tcPr>
          <w:p w14:paraId="374C287A" w14:textId="6B929602" w:rsidR="006E05DA" w:rsidRPr="00F6387C" w:rsidRDefault="006E05DA" w:rsidP="00904884">
            <w:pPr>
              <w:pStyle w:val="Tabletext"/>
              <w:keepNext/>
              <w:rPr>
                <w:sz w:val="19"/>
                <w:szCs w:val="19"/>
              </w:rPr>
            </w:pPr>
            <w:r w:rsidRPr="00F6387C">
              <w:rPr>
                <w:sz w:val="19"/>
                <w:szCs w:val="19"/>
              </w:rPr>
              <w:t>Net cost to PBS/RPBS</w:t>
            </w:r>
          </w:p>
        </w:tc>
        <w:tc>
          <w:tcPr>
            <w:tcW w:w="1110" w:type="dxa"/>
            <w:shd w:val="clear" w:color="auto" w:fill="auto"/>
          </w:tcPr>
          <w:p w14:paraId="7FB9B34C" w14:textId="1C6CAD6A" w:rsidR="006E05DA"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298"/>
                <w14:textFill>
                  <w14:solidFill>
                    <w14:srgbClr w14:val="000000">
                      <w14:alpha w14:val="100000"/>
                    </w14:srgbClr>
                  </w14:solidFill>
                </w14:textFill>
              </w:rPr>
              <w:t xml:space="preserve">　</w:t>
            </w:r>
            <w:r w:rsidRPr="00632E88">
              <w:rPr>
                <w:color w:val="000000"/>
                <w:w w:val="15"/>
                <w:shd w:val="solid" w:color="000000" w:fill="000000"/>
                <w:fitText w:val="70" w:id="-1031597298"/>
                <w14:textFill>
                  <w14:solidFill>
                    <w14:srgbClr w14:val="000000">
                      <w14:alpha w14:val="100000"/>
                    </w14:srgbClr>
                  </w14:solidFill>
                </w14:textFill>
              </w:rPr>
              <w:t>|</w:t>
            </w:r>
            <w:r w:rsidRPr="00632E88">
              <w:rPr>
                <w:rFonts w:hint="eastAsia"/>
                <w:color w:val="000000"/>
                <w:spacing w:val="4"/>
                <w:w w:val="15"/>
                <w:shd w:val="solid" w:color="000000" w:fill="000000"/>
                <w:fitText w:val="70" w:id="-1031597298"/>
                <w14:textFill>
                  <w14:solidFill>
                    <w14:srgbClr w14:val="000000">
                      <w14:alpha w14:val="100000"/>
                    </w14:srgbClr>
                  </w14:solidFill>
                </w14:textFill>
              </w:rPr>
              <w:t xml:space="preserve">　</w:t>
            </w:r>
            <w:r w:rsidR="0007481B">
              <w:rPr>
                <w:vertAlign w:val="superscript"/>
              </w:rPr>
              <w:t>7</w:t>
            </w:r>
          </w:p>
        </w:tc>
        <w:tc>
          <w:tcPr>
            <w:tcW w:w="1110" w:type="dxa"/>
            <w:shd w:val="clear" w:color="auto" w:fill="auto"/>
          </w:tcPr>
          <w:p w14:paraId="122068CB" w14:textId="2701B1C6" w:rsidR="006E05DA"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297"/>
                <w14:textFill>
                  <w14:solidFill>
                    <w14:srgbClr w14:val="000000">
                      <w14:alpha w14:val="100000"/>
                    </w14:srgbClr>
                  </w14:solidFill>
                </w14:textFill>
              </w:rPr>
              <w:t xml:space="preserve">　</w:t>
            </w:r>
            <w:r w:rsidRPr="00632E88">
              <w:rPr>
                <w:color w:val="000000"/>
                <w:w w:val="15"/>
                <w:shd w:val="solid" w:color="000000" w:fill="000000"/>
                <w:fitText w:val="70" w:id="-1031597297"/>
                <w14:textFill>
                  <w14:solidFill>
                    <w14:srgbClr w14:val="000000">
                      <w14:alpha w14:val="100000"/>
                    </w14:srgbClr>
                  </w14:solidFill>
                </w14:textFill>
              </w:rPr>
              <w:t>|</w:t>
            </w:r>
            <w:r w:rsidRPr="00632E88">
              <w:rPr>
                <w:rFonts w:hint="eastAsia"/>
                <w:color w:val="000000"/>
                <w:spacing w:val="4"/>
                <w:w w:val="15"/>
                <w:shd w:val="solid" w:color="000000" w:fill="000000"/>
                <w:fitText w:val="70" w:id="-1031597297"/>
                <w14:textFill>
                  <w14:solidFill>
                    <w14:srgbClr w14:val="000000">
                      <w14:alpha w14:val="100000"/>
                    </w14:srgbClr>
                  </w14:solidFill>
                </w14:textFill>
              </w:rPr>
              <w:t xml:space="preserve">　</w:t>
            </w:r>
            <w:r w:rsidR="0007481B">
              <w:rPr>
                <w:vertAlign w:val="superscript"/>
              </w:rPr>
              <w:t>7</w:t>
            </w:r>
          </w:p>
        </w:tc>
        <w:tc>
          <w:tcPr>
            <w:tcW w:w="1111" w:type="dxa"/>
            <w:shd w:val="clear" w:color="auto" w:fill="auto"/>
          </w:tcPr>
          <w:p w14:paraId="0060E2BB" w14:textId="22A190B6" w:rsidR="006E05DA"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296"/>
                <w14:textFill>
                  <w14:solidFill>
                    <w14:srgbClr w14:val="000000">
                      <w14:alpha w14:val="100000"/>
                    </w14:srgbClr>
                  </w14:solidFill>
                </w14:textFill>
              </w:rPr>
              <w:t xml:space="preserve">　</w:t>
            </w:r>
            <w:r w:rsidRPr="00632E88">
              <w:rPr>
                <w:color w:val="000000"/>
                <w:w w:val="15"/>
                <w:shd w:val="solid" w:color="000000" w:fill="000000"/>
                <w:fitText w:val="70" w:id="-1031597296"/>
                <w14:textFill>
                  <w14:solidFill>
                    <w14:srgbClr w14:val="000000">
                      <w14:alpha w14:val="100000"/>
                    </w14:srgbClr>
                  </w14:solidFill>
                </w14:textFill>
              </w:rPr>
              <w:t>|</w:t>
            </w:r>
            <w:r w:rsidRPr="00632E88">
              <w:rPr>
                <w:rFonts w:hint="eastAsia"/>
                <w:color w:val="000000"/>
                <w:spacing w:val="4"/>
                <w:w w:val="15"/>
                <w:shd w:val="solid" w:color="000000" w:fill="000000"/>
                <w:fitText w:val="70" w:id="-1031597296"/>
                <w14:textFill>
                  <w14:solidFill>
                    <w14:srgbClr w14:val="000000">
                      <w14:alpha w14:val="100000"/>
                    </w14:srgbClr>
                  </w14:solidFill>
                </w14:textFill>
              </w:rPr>
              <w:t xml:space="preserve">　</w:t>
            </w:r>
            <w:r w:rsidR="0007481B">
              <w:rPr>
                <w:vertAlign w:val="superscript"/>
              </w:rPr>
              <w:t>7</w:t>
            </w:r>
          </w:p>
        </w:tc>
        <w:tc>
          <w:tcPr>
            <w:tcW w:w="1110" w:type="dxa"/>
            <w:shd w:val="clear" w:color="auto" w:fill="auto"/>
          </w:tcPr>
          <w:p w14:paraId="1FE6CF24" w14:textId="6EB71E80" w:rsidR="006E05DA"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12"/>
                <w14:textFill>
                  <w14:solidFill>
                    <w14:srgbClr w14:val="000000">
                      <w14:alpha w14:val="100000"/>
                    </w14:srgbClr>
                  </w14:solidFill>
                </w14:textFill>
              </w:rPr>
              <w:t xml:space="preserve">　</w:t>
            </w:r>
            <w:r w:rsidRPr="00632E88">
              <w:rPr>
                <w:color w:val="000000"/>
                <w:w w:val="15"/>
                <w:shd w:val="solid" w:color="000000" w:fill="000000"/>
                <w:fitText w:val="70" w:id="-1031597312"/>
                <w14:textFill>
                  <w14:solidFill>
                    <w14:srgbClr w14:val="000000">
                      <w14:alpha w14:val="100000"/>
                    </w14:srgbClr>
                  </w14:solidFill>
                </w14:textFill>
              </w:rPr>
              <w:t>|</w:t>
            </w:r>
            <w:r w:rsidRPr="00632E88">
              <w:rPr>
                <w:rFonts w:hint="eastAsia"/>
                <w:color w:val="000000"/>
                <w:spacing w:val="4"/>
                <w:w w:val="15"/>
                <w:shd w:val="solid" w:color="000000" w:fill="000000"/>
                <w:fitText w:val="70" w:id="-1031597312"/>
                <w14:textFill>
                  <w14:solidFill>
                    <w14:srgbClr w14:val="000000">
                      <w14:alpha w14:val="100000"/>
                    </w14:srgbClr>
                  </w14:solidFill>
                </w14:textFill>
              </w:rPr>
              <w:t xml:space="preserve">　</w:t>
            </w:r>
            <w:r w:rsidR="0007481B">
              <w:rPr>
                <w:vertAlign w:val="superscript"/>
              </w:rPr>
              <w:t>7</w:t>
            </w:r>
          </w:p>
        </w:tc>
        <w:tc>
          <w:tcPr>
            <w:tcW w:w="1110" w:type="dxa"/>
            <w:shd w:val="clear" w:color="auto" w:fill="auto"/>
          </w:tcPr>
          <w:p w14:paraId="74A55C30" w14:textId="57BBF022" w:rsidR="006E05DA"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11"/>
                <w14:textFill>
                  <w14:solidFill>
                    <w14:srgbClr w14:val="000000">
                      <w14:alpha w14:val="100000"/>
                    </w14:srgbClr>
                  </w14:solidFill>
                </w14:textFill>
              </w:rPr>
              <w:t xml:space="preserve">　</w:t>
            </w:r>
            <w:r w:rsidRPr="00632E88">
              <w:rPr>
                <w:color w:val="000000"/>
                <w:w w:val="15"/>
                <w:shd w:val="solid" w:color="000000" w:fill="000000"/>
                <w:fitText w:val="70" w:id="-1031597311"/>
                <w14:textFill>
                  <w14:solidFill>
                    <w14:srgbClr w14:val="000000">
                      <w14:alpha w14:val="100000"/>
                    </w14:srgbClr>
                  </w14:solidFill>
                </w14:textFill>
              </w:rPr>
              <w:t>|</w:t>
            </w:r>
            <w:r w:rsidRPr="00632E88">
              <w:rPr>
                <w:rFonts w:hint="eastAsia"/>
                <w:color w:val="000000"/>
                <w:spacing w:val="4"/>
                <w:w w:val="15"/>
                <w:shd w:val="solid" w:color="000000" w:fill="000000"/>
                <w:fitText w:val="70" w:id="-1031597311"/>
                <w14:textFill>
                  <w14:solidFill>
                    <w14:srgbClr w14:val="000000">
                      <w14:alpha w14:val="100000"/>
                    </w14:srgbClr>
                  </w14:solidFill>
                </w14:textFill>
              </w:rPr>
              <w:t xml:space="preserve">　</w:t>
            </w:r>
            <w:r w:rsidR="0007481B">
              <w:rPr>
                <w:vertAlign w:val="superscript"/>
              </w:rPr>
              <w:t>7</w:t>
            </w:r>
          </w:p>
        </w:tc>
        <w:tc>
          <w:tcPr>
            <w:tcW w:w="1111" w:type="dxa"/>
            <w:shd w:val="clear" w:color="auto" w:fill="auto"/>
          </w:tcPr>
          <w:p w14:paraId="06CE89F0" w14:textId="5955D33D" w:rsidR="006E05DA"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10"/>
                <w14:textFill>
                  <w14:solidFill>
                    <w14:srgbClr w14:val="000000">
                      <w14:alpha w14:val="100000"/>
                    </w14:srgbClr>
                  </w14:solidFill>
                </w14:textFill>
              </w:rPr>
              <w:t xml:space="preserve">　</w:t>
            </w:r>
            <w:r w:rsidRPr="00632E88">
              <w:rPr>
                <w:color w:val="000000"/>
                <w:w w:val="15"/>
                <w:shd w:val="solid" w:color="000000" w:fill="000000"/>
                <w:fitText w:val="70" w:id="-1031597310"/>
                <w14:textFill>
                  <w14:solidFill>
                    <w14:srgbClr w14:val="000000">
                      <w14:alpha w14:val="100000"/>
                    </w14:srgbClr>
                  </w14:solidFill>
                </w14:textFill>
              </w:rPr>
              <w:t>|</w:t>
            </w:r>
            <w:r w:rsidRPr="00632E88">
              <w:rPr>
                <w:rFonts w:hint="eastAsia"/>
                <w:color w:val="000000"/>
                <w:spacing w:val="4"/>
                <w:w w:val="15"/>
                <w:shd w:val="solid" w:color="000000" w:fill="000000"/>
                <w:fitText w:val="70" w:id="-1031597310"/>
                <w14:textFill>
                  <w14:solidFill>
                    <w14:srgbClr w14:val="000000">
                      <w14:alpha w14:val="100000"/>
                    </w14:srgbClr>
                  </w14:solidFill>
                </w14:textFill>
              </w:rPr>
              <w:t xml:space="preserve">　</w:t>
            </w:r>
            <w:r w:rsidR="0007481B">
              <w:rPr>
                <w:vertAlign w:val="superscript"/>
              </w:rPr>
              <w:t>7</w:t>
            </w:r>
          </w:p>
        </w:tc>
      </w:tr>
      <w:tr w:rsidR="00434567" w:rsidRPr="00F6387C" w14:paraId="1C9653A8" w14:textId="77777777" w:rsidTr="00B3226F">
        <w:trPr>
          <w:tblHeader/>
        </w:trPr>
        <w:tc>
          <w:tcPr>
            <w:tcW w:w="9067" w:type="dxa"/>
            <w:gridSpan w:val="7"/>
            <w:shd w:val="clear" w:color="auto" w:fill="auto"/>
            <w:vAlign w:val="center"/>
          </w:tcPr>
          <w:p w14:paraId="70A8F39A" w14:textId="07B944D2" w:rsidR="00434567" w:rsidRPr="00F6387C" w:rsidRDefault="00434567" w:rsidP="00434567">
            <w:pPr>
              <w:pStyle w:val="In-tableHeading"/>
              <w:rPr>
                <w:lang w:val="en-AU"/>
              </w:rPr>
            </w:pPr>
            <w:r w:rsidRPr="00F6387C">
              <w:rPr>
                <w:lang w:val="en-AU"/>
              </w:rPr>
              <w:t>Sensitivity analyses for the financial estimates (original submission price)</w:t>
            </w:r>
          </w:p>
        </w:tc>
      </w:tr>
      <w:tr w:rsidR="00434567" w:rsidRPr="00F6387C" w14:paraId="013D416C" w14:textId="77777777" w:rsidTr="00E04AB9">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DD0EFD1" w14:textId="77777777" w:rsidR="00434567" w:rsidRPr="00F6387C" w:rsidRDefault="00434567" w:rsidP="00434567">
            <w:pPr>
              <w:pStyle w:val="Tabletext"/>
              <w:keepNext/>
              <w:rPr>
                <w:sz w:val="19"/>
                <w:szCs w:val="19"/>
              </w:rPr>
            </w:pPr>
            <w:r w:rsidRPr="00F6387C">
              <w:rPr>
                <w:sz w:val="19"/>
                <w:szCs w:val="19"/>
              </w:rPr>
              <w:t>Cladribine market growth rate (base case: 5.5% to 1.3%)</w:t>
            </w:r>
          </w:p>
          <w:p w14:paraId="338D1BD7" w14:textId="77777777" w:rsidR="00434567" w:rsidRPr="00F6387C" w:rsidRDefault="00434567" w:rsidP="00434567">
            <w:pPr>
              <w:pStyle w:val="Tabletext"/>
              <w:keepNext/>
              <w:numPr>
                <w:ilvl w:val="0"/>
                <w:numId w:val="14"/>
              </w:numPr>
              <w:rPr>
                <w:sz w:val="19"/>
                <w:szCs w:val="19"/>
              </w:rPr>
            </w:pPr>
            <w:r w:rsidRPr="00F6387C">
              <w:rPr>
                <w:sz w:val="19"/>
                <w:szCs w:val="19"/>
              </w:rPr>
              <w:t>3% per year</w:t>
            </w:r>
            <w:r w:rsidRPr="00F6387C">
              <w:rPr>
                <w:sz w:val="19"/>
                <w:szCs w:val="19"/>
                <w:vertAlign w:val="superscript"/>
              </w:rPr>
              <w:t>a</w:t>
            </w:r>
          </w:p>
          <w:p w14:paraId="4771C4B2" w14:textId="77777777" w:rsidR="00434567" w:rsidRPr="00F6387C" w:rsidRDefault="00434567" w:rsidP="00434567">
            <w:pPr>
              <w:pStyle w:val="Tabletext"/>
              <w:keepNext/>
              <w:numPr>
                <w:ilvl w:val="0"/>
                <w:numId w:val="14"/>
              </w:numPr>
              <w:rPr>
                <w:sz w:val="19"/>
                <w:szCs w:val="19"/>
              </w:rPr>
            </w:pPr>
            <w:r w:rsidRPr="00F6387C">
              <w:rPr>
                <w:sz w:val="19"/>
                <w:szCs w:val="19"/>
              </w:rPr>
              <w:t>5% per year</w:t>
            </w: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4A312828" w14:textId="734BCDA3" w:rsidR="00434567"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9"/>
                <w14:textFill>
                  <w14:solidFill>
                    <w14:srgbClr w14:val="000000">
                      <w14:alpha w14:val="100000"/>
                    </w14:srgbClr>
                  </w14:solidFill>
                </w14:textFill>
              </w:rPr>
              <w:t xml:space="preserve">　</w:t>
            </w:r>
            <w:r w:rsidRPr="00632E88">
              <w:rPr>
                <w:color w:val="000000"/>
                <w:w w:val="15"/>
                <w:shd w:val="solid" w:color="000000" w:fill="000000"/>
                <w:fitText w:val="70" w:id="-1031597309"/>
                <w14:textFill>
                  <w14:solidFill>
                    <w14:srgbClr w14:val="000000">
                      <w14:alpha w14:val="100000"/>
                    </w14:srgbClr>
                  </w14:solidFill>
                </w14:textFill>
              </w:rPr>
              <w:t>|</w:t>
            </w:r>
            <w:r w:rsidRPr="00632E88">
              <w:rPr>
                <w:rFonts w:hint="eastAsia"/>
                <w:color w:val="000000"/>
                <w:spacing w:val="4"/>
                <w:w w:val="15"/>
                <w:shd w:val="solid" w:color="000000" w:fill="000000"/>
                <w:fitText w:val="70" w:id="-1031597309"/>
                <w14:textFill>
                  <w14:solidFill>
                    <w14:srgbClr w14:val="000000">
                      <w14:alpha w14:val="100000"/>
                    </w14:srgbClr>
                  </w14:solidFill>
                </w14:textFill>
              </w:rPr>
              <w:t xml:space="preserve">　</w:t>
            </w:r>
            <w:r w:rsidR="0007481B">
              <w:rPr>
                <w:vertAlign w:val="superscript"/>
              </w:rPr>
              <w:t>6</w:t>
            </w:r>
            <w:r>
              <w:t xml:space="preserve"> </w:t>
            </w:r>
            <w:r w:rsidRPr="00632E88">
              <w:rPr>
                <w:color w:val="000000"/>
                <w:spacing w:val="74"/>
                <w:shd w:val="solid" w:color="000000" w:fill="000000"/>
                <w:fitText w:val="160" w:id="-1031597308"/>
                <w14:textFill>
                  <w14:solidFill>
                    <w14:srgbClr w14:val="000000">
                      <w14:alpha w14:val="100000"/>
                    </w14:srgbClr>
                  </w14:solidFill>
                </w14:textFill>
              </w:rPr>
              <w:t>|</w:t>
            </w:r>
            <w:r w:rsidRPr="00632E88">
              <w:rPr>
                <w:color w:val="000000"/>
                <w:spacing w:val="1"/>
                <w:shd w:val="solid" w:color="000000" w:fill="000000"/>
                <w:fitText w:val="160" w:id="-1031597308"/>
                <w14:textFill>
                  <w14:solidFill>
                    <w14:srgbClr w14:val="000000">
                      <w14:alpha w14:val="100000"/>
                    </w14:srgbClr>
                  </w14:solidFill>
                </w14:textFill>
              </w:rPr>
              <w:t>|</w:t>
            </w:r>
            <w:r w:rsidR="0007481B">
              <w:rPr>
                <w:vertAlign w:val="superscript"/>
              </w:rPr>
              <w:t>6</w:t>
            </w: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13C902D7" w14:textId="3C722AD8" w:rsidR="00434567"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7"/>
                <w14:textFill>
                  <w14:solidFill>
                    <w14:srgbClr w14:val="000000">
                      <w14:alpha w14:val="100000"/>
                    </w14:srgbClr>
                  </w14:solidFill>
                </w14:textFill>
              </w:rPr>
              <w:t xml:space="preserve">　</w:t>
            </w:r>
            <w:r w:rsidRPr="00632E88">
              <w:rPr>
                <w:color w:val="000000"/>
                <w:w w:val="15"/>
                <w:shd w:val="solid" w:color="000000" w:fill="000000"/>
                <w:fitText w:val="70" w:id="-1031597307"/>
                <w14:textFill>
                  <w14:solidFill>
                    <w14:srgbClr w14:val="000000">
                      <w14:alpha w14:val="100000"/>
                    </w14:srgbClr>
                  </w14:solidFill>
                </w14:textFill>
              </w:rPr>
              <w:t>|</w:t>
            </w:r>
            <w:r w:rsidRPr="00632E88">
              <w:rPr>
                <w:rFonts w:hint="eastAsia"/>
                <w:color w:val="000000"/>
                <w:spacing w:val="4"/>
                <w:w w:val="15"/>
                <w:shd w:val="solid" w:color="000000" w:fill="000000"/>
                <w:fitText w:val="70" w:id="-1031597307"/>
                <w14:textFill>
                  <w14:solidFill>
                    <w14:srgbClr w14:val="000000">
                      <w14:alpha w14:val="100000"/>
                    </w14:srgbClr>
                  </w14:solidFill>
                </w14:textFill>
              </w:rPr>
              <w:t xml:space="preserve">　</w:t>
            </w:r>
            <w:r w:rsidR="0007481B">
              <w:rPr>
                <w:vertAlign w:val="superscript"/>
              </w:rPr>
              <w:t>6</w:t>
            </w:r>
            <w:r>
              <w:t xml:space="preserve"> </w:t>
            </w:r>
            <w:r w:rsidRPr="00632E88">
              <w:rPr>
                <w:color w:val="000000"/>
                <w:spacing w:val="74"/>
                <w:shd w:val="solid" w:color="000000" w:fill="000000"/>
                <w:fitText w:val="160" w:id="-1031597306"/>
                <w14:textFill>
                  <w14:solidFill>
                    <w14:srgbClr w14:val="000000">
                      <w14:alpha w14:val="100000"/>
                    </w14:srgbClr>
                  </w14:solidFill>
                </w14:textFill>
              </w:rPr>
              <w:t>|</w:t>
            </w:r>
            <w:r w:rsidRPr="00632E88">
              <w:rPr>
                <w:color w:val="000000"/>
                <w:spacing w:val="1"/>
                <w:shd w:val="solid" w:color="000000" w:fill="000000"/>
                <w:fitText w:val="160" w:id="-1031597306"/>
                <w14:textFill>
                  <w14:solidFill>
                    <w14:srgbClr w14:val="000000">
                      <w14:alpha w14:val="100000"/>
                    </w14:srgbClr>
                  </w14:solidFill>
                </w14:textFill>
              </w:rPr>
              <w:t>|</w:t>
            </w:r>
            <w:r w:rsidR="0007481B">
              <w:rPr>
                <w:vertAlign w:val="superscript"/>
              </w:rPr>
              <w:t>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E75FB20" w14:textId="3813C863" w:rsidR="00434567"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5"/>
                <w14:textFill>
                  <w14:solidFill>
                    <w14:srgbClr w14:val="000000">
                      <w14:alpha w14:val="100000"/>
                    </w14:srgbClr>
                  </w14:solidFill>
                </w14:textFill>
              </w:rPr>
              <w:t xml:space="preserve">　</w:t>
            </w:r>
            <w:r w:rsidRPr="00632E88">
              <w:rPr>
                <w:color w:val="000000"/>
                <w:w w:val="15"/>
                <w:shd w:val="solid" w:color="000000" w:fill="000000"/>
                <w:fitText w:val="70" w:id="-1031597305"/>
                <w14:textFill>
                  <w14:solidFill>
                    <w14:srgbClr w14:val="000000">
                      <w14:alpha w14:val="100000"/>
                    </w14:srgbClr>
                  </w14:solidFill>
                </w14:textFill>
              </w:rPr>
              <w:t>|</w:t>
            </w:r>
            <w:r w:rsidRPr="00632E88">
              <w:rPr>
                <w:rFonts w:hint="eastAsia"/>
                <w:color w:val="000000"/>
                <w:spacing w:val="4"/>
                <w:w w:val="15"/>
                <w:shd w:val="solid" w:color="000000" w:fill="000000"/>
                <w:fitText w:val="70" w:id="-1031597305"/>
                <w14:textFill>
                  <w14:solidFill>
                    <w14:srgbClr w14:val="000000">
                      <w14:alpha w14:val="100000"/>
                    </w14:srgbClr>
                  </w14:solidFill>
                </w14:textFill>
              </w:rPr>
              <w:t xml:space="preserve">　</w:t>
            </w:r>
            <w:r w:rsidR="0007481B">
              <w:rPr>
                <w:vertAlign w:val="superscript"/>
              </w:rPr>
              <w:t>6</w:t>
            </w:r>
            <w:r>
              <w:t xml:space="preserve"> </w:t>
            </w:r>
            <w:r w:rsidRPr="00632E88">
              <w:rPr>
                <w:color w:val="000000"/>
                <w:spacing w:val="74"/>
                <w:shd w:val="solid" w:color="000000" w:fill="000000"/>
                <w:fitText w:val="160" w:id="-1031597304"/>
                <w14:textFill>
                  <w14:solidFill>
                    <w14:srgbClr w14:val="000000">
                      <w14:alpha w14:val="100000"/>
                    </w14:srgbClr>
                  </w14:solidFill>
                </w14:textFill>
              </w:rPr>
              <w:t>|</w:t>
            </w:r>
            <w:r w:rsidRPr="00632E88">
              <w:rPr>
                <w:color w:val="000000"/>
                <w:spacing w:val="1"/>
                <w:shd w:val="solid" w:color="000000" w:fill="000000"/>
                <w:fitText w:val="160" w:id="-1031597304"/>
                <w14:textFill>
                  <w14:solidFill>
                    <w14:srgbClr w14:val="000000">
                      <w14:alpha w14:val="100000"/>
                    </w14:srgbClr>
                  </w14:solidFill>
                </w14:textFill>
              </w:rPr>
              <w:t>|</w:t>
            </w:r>
            <w:r w:rsidR="0007481B">
              <w:rPr>
                <w:vertAlign w:val="superscript"/>
              </w:rPr>
              <w:t>6</w:t>
            </w: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09ED5506" w14:textId="7D3D94DD" w:rsidR="00434567"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3"/>
                <w14:textFill>
                  <w14:solidFill>
                    <w14:srgbClr w14:val="000000">
                      <w14:alpha w14:val="100000"/>
                    </w14:srgbClr>
                  </w14:solidFill>
                </w14:textFill>
              </w:rPr>
              <w:t xml:space="preserve">　</w:t>
            </w:r>
            <w:r w:rsidRPr="00632E88">
              <w:rPr>
                <w:color w:val="000000"/>
                <w:w w:val="15"/>
                <w:shd w:val="solid" w:color="000000" w:fill="000000"/>
                <w:fitText w:val="70" w:id="-1031597303"/>
                <w14:textFill>
                  <w14:solidFill>
                    <w14:srgbClr w14:val="000000">
                      <w14:alpha w14:val="100000"/>
                    </w14:srgbClr>
                  </w14:solidFill>
                </w14:textFill>
              </w:rPr>
              <w:t>|</w:t>
            </w:r>
            <w:r w:rsidRPr="00632E88">
              <w:rPr>
                <w:rFonts w:hint="eastAsia"/>
                <w:color w:val="000000"/>
                <w:spacing w:val="4"/>
                <w:w w:val="15"/>
                <w:shd w:val="solid" w:color="000000" w:fill="000000"/>
                <w:fitText w:val="70" w:id="-1031597303"/>
                <w14:textFill>
                  <w14:solidFill>
                    <w14:srgbClr w14:val="000000">
                      <w14:alpha w14:val="100000"/>
                    </w14:srgbClr>
                  </w14:solidFill>
                </w14:textFill>
              </w:rPr>
              <w:t xml:space="preserve">　</w:t>
            </w:r>
            <w:r w:rsidR="0007481B">
              <w:rPr>
                <w:vertAlign w:val="superscript"/>
              </w:rPr>
              <w:t>6</w:t>
            </w:r>
            <w:r>
              <w:t xml:space="preserve"> </w:t>
            </w:r>
            <w:r w:rsidRPr="00632E88">
              <w:rPr>
                <w:color w:val="000000"/>
                <w:spacing w:val="74"/>
                <w:shd w:val="solid" w:color="000000" w:fill="000000"/>
                <w:fitText w:val="160" w:id="-1031597302"/>
                <w14:textFill>
                  <w14:solidFill>
                    <w14:srgbClr w14:val="000000">
                      <w14:alpha w14:val="100000"/>
                    </w14:srgbClr>
                  </w14:solidFill>
                </w14:textFill>
              </w:rPr>
              <w:t>|</w:t>
            </w:r>
            <w:r w:rsidRPr="00632E88">
              <w:rPr>
                <w:color w:val="000000"/>
                <w:spacing w:val="1"/>
                <w:shd w:val="solid" w:color="000000" w:fill="000000"/>
                <w:fitText w:val="160" w:id="-1031597302"/>
                <w14:textFill>
                  <w14:solidFill>
                    <w14:srgbClr w14:val="000000">
                      <w14:alpha w14:val="100000"/>
                    </w14:srgbClr>
                  </w14:solidFill>
                </w14:textFill>
              </w:rPr>
              <w:t>|</w:t>
            </w:r>
            <w:r w:rsidR="0007481B">
              <w:rPr>
                <w:vertAlign w:val="superscript"/>
              </w:rPr>
              <w:t>6</w:t>
            </w: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7F66C44E" w14:textId="0AFBE546" w:rsidR="00434567"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301"/>
                <w14:textFill>
                  <w14:solidFill>
                    <w14:srgbClr w14:val="000000">
                      <w14:alpha w14:val="100000"/>
                    </w14:srgbClr>
                  </w14:solidFill>
                </w14:textFill>
              </w:rPr>
              <w:t xml:space="preserve">　</w:t>
            </w:r>
            <w:r w:rsidRPr="00632E88">
              <w:rPr>
                <w:color w:val="000000"/>
                <w:w w:val="15"/>
                <w:shd w:val="solid" w:color="000000" w:fill="000000"/>
                <w:fitText w:val="70" w:id="-1031597301"/>
                <w14:textFill>
                  <w14:solidFill>
                    <w14:srgbClr w14:val="000000">
                      <w14:alpha w14:val="100000"/>
                    </w14:srgbClr>
                  </w14:solidFill>
                </w14:textFill>
              </w:rPr>
              <w:t>|</w:t>
            </w:r>
            <w:r w:rsidRPr="00632E88">
              <w:rPr>
                <w:rFonts w:hint="eastAsia"/>
                <w:color w:val="000000"/>
                <w:spacing w:val="4"/>
                <w:w w:val="15"/>
                <w:shd w:val="solid" w:color="000000" w:fill="000000"/>
                <w:fitText w:val="70" w:id="-1031597301"/>
                <w14:textFill>
                  <w14:solidFill>
                    <w14:srgbClr w14:val="000000">
                      <w14:alpha w14:val="100000"/>
                    </w14:srgbClr>
                  </w14:solidFill>
                </w14:textFill>
              </w:rPr>
              <w:t xml:space="preserve">　</w:t>
            </w:r>
            <w:r w:rsidR="0007481B">
              <w:rPr>
                <w:vertAlign w:val="superscript"/>
              </w:rPr>
              <w:t>6</w:t>
            </w:r>
            <w:r>
              <w:t xml:space="preserve"> </w:t>
            </w:r>
            <w:r w:rsidRPr="00632E88">
              <w:rPr>
                <w:color w:val="000000"/>
                <w:spacing w:val="74"/>
                <w:shd w:val="solid" w:color="000000" w:fill="000000"/>
                <w:fitText w:val="160" w:id="-1031597300"/>
                <w14:textFill>
                  <w14:solidFill>
                    <w14:srgbClr w14:val="000000">
                      <w14:alpha w14:val="100000"/>
                    </w14:srgbClr>
                  </w14:solidFill>
                </w14:textFill>
              </w:rPr>
              <w:t>|</w:t>
            </w:r>
            <w:r w:rsidRPr="00632E88">
              <w:rPr>
                <w:color w:val="000000"/>
                <w:spacing w:val="1"/>
                <w:shd w:val="solid" w:color="000000" w:fill="000000"/>
                <w:fitText w:val="160" w:id="-1031597300"/>
                <w14:textFill>
                  <w14:solidFill>
                    <w14:srgbClr w14:val="000000">
                      <w14:alpha w14:val="100000"/>
                    </w14:srgbClr>
                  </w14:solidFill>
                </w14:textFill>
              </w:rPr>
              <w:t>|</w:t>
            </w:r>
            <w:r w:rsidR="0007481B">
              <w:rPr>
                <w:vertAlign w:val="superscript"/>
              </w:rPr>
              <w:t>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4CE75C" w14:textId="5421FFD8" w:rsidR="00434567" w:rsidRPr="0088701B" w:rsidRDefault="00632E88" w:rsidP="002A5119">
            <w:pPr>
              <w:pStyle w:val="Tabletext"/>
              <w:keepNext/>
              <w:jc w:val="center"/>
              <w:rPr>
                <w:highlight w:val="darkGray"/>
              </w:rPr>
            </w:pPr>
            <w:r>
              <w:t xml:space="preserve"> </w:t>
            </w:r>
            <w:r w:rsidRPr="00632E88">
              <w:rPr>
                <w:rFonts w:hint="eastAsia"/>
                <w:color w:val="000000"/>
                <w:w w:val="15"/>
                <w:shd w:val="solid" w:color="000000" w:fill="000000"/>
                <w:fitText w:val="70" w:id="-1031597299"/>
                <w14:textFill>
                  <w14:solidFill>
                    <w14:srgbClr w14:val="000000">
                      <w14:alpha w14:val="100000"/>
                    </w14:srgbClr>
                  </w14:solidFill>
                </w14:textFill>
              </w:rPr>
              <w:t xml:space="preserve">　</w:t>
            </w:r>
            <w:r w:rsidRPr="00632E88">
              <w:rPr>
                <w:color w:val="000000"/>
                <w:w w:val="15"/>
                <w:shd w:val="solid" w:color="000000" w:fill="000000"/>
                <w:fitText w:val="70" w:id="-1031597299"/>
                <w14:textFill>
                  <w14:solidFill>
                    <w14:srgbClr w14:val="000000">
                      <w14:alpha w14:val="100000"/>
                    </w14:srgbClr>
                  </w14:solidFill>
                </w14:textFill>
              </w:rPr>
              <w:t>|</w:t>
            </w:r>
            <w:r w:rsidRPr="00632E88">
              <w:rPr>
                <w:rFonts w:hint="eastAsia"/>
                <w:color w:val="000000"/>
                <w:spacing w:val="4"/>
                <w:w w:val="15"/>
                <w:shd w:val="solid" w:color="000000" w:fill="000000"/>
                <w:fitText w:val="70" w:id="-1031597299"/>
                <w14:textFill>
                  <w14:solidFill>
                    <w14:srgbClr w14:val="000000">
                      <w14:alpha w14:val="100000"/>
                    </w14:srgbClr>
                  </w14:solidFill>
                </w14:textFill>
              </w:rPr>
              <w:t xml:space="preserve">　</w:t>
            </w:r>
            <w:r w:rsidR="0007481B">
              <w:rPr>
                <w:vertAlign w:val="superscript"/>
              </w:rPr>
              <w:t>6</w:t>
            </w:r>
            <w:r>
              <w:t xml:space="preserve"> </w:t>
            </w:r>
            <w:r w:rsidRPr="00632E88">
              <w:rPr>
                <w:color w:val="000000"/>
                <w:spacing w:val="74"/>
                <w:shd w:val="solid" w:color="000000" w:fill="000000"/>
                <w:fitText w:val="160" w:id="-1031597298"/>
                <w14:textFill>
                  <w14:solidFill>
                    <w14:srgbClr w14:val="000000">
                      <w14:alpha w14:val="100000"/>
                    </w14:srgbClr>
                  </w14:solidFill>
                </w14:textFill>
              </w:rPr>
              <w:t>|</w:t>
            </w:r>
            <w:r w:rsidRPr="00632E88">
              <w:rPr>
                <w:color w:val="000000"/>
                <w:spacing w:val="1"/>
                <w:shd w:val="solid" w:color="000000" w:fill="000000"/>
                <w:fitText w:val="160" w:id="-1031597298"/>
                <w14:textFill>
                  <w14:solidFill>
                    <w14:srgbClr w14:val="000000">
                      <w14:alpha w14:val="100000"/>
                    </w14:srgbClr>
                  </w14:solidFill>
                </w14:textFill>
              </w:rPr>
              <w:t>|</w:t>
            </w:r>
            <w:r w:rsidR="0007481B">
              <w:rPr>
                <w:vertAlign w:val="superscript"/>
              </w:rPr>
              <w:t>6</w:t>
            </w:r>
          </w:p>
        </w:tc>
      </w:tr>
    </w:tbl>
    <w:p w14:paraId="5F568973" w14:textId="77777777" w:rsidR="00821CB9" w:rsidRPr="00F6387C" w:rsidRDefault="00821CB9" w:rsidP="00821CB9">
      <w:pPr>
        <w:pStyle w:val="TableFooter"/>
        <w:rPr>
          <w:sz w:val="20"/>
        </w:rPr>
      </w:pPr>
      <w:r w:rsidRPr="00F6387C">
        <w:t>PBS = Pharmaceutical Benefits Scheme; RPBS = Repatriation Pharmaceutical Benefits Scheme.</w:t>
      </w:r>
    </w:p>
    <w:p w14:paraId="4ABA80D8" w14:textId="77777777" w:rsidR="007976D6" w:rsidRPr="009A6D58" w:rsidRDefault="007976D6" w:rsidP="007976D6">
      <w:pPr>
        <w:rPr>
          <w:rFonts w:ascii="Arial Narrow" w:hAnsi="Arial Narrow"/>
          <w:i/>
          <w:sz w:val="18"/>
          <w:szCs w:val="18"/>
        </w:rPr>
      </w:pPr>
      <w:bookmarkStart w:id="74" w:name="_Hlk156389105"/>
      <w:bookmarkStart w:id="75" w:name="_Hlk156394879"/>
      <w:bookmarkStart w:id="76" w:name="_Hlk156391188"/>
      <w:bookmarkStart w:id="77" w:name="_Hlk156389661"/>
      <w:bookmarkStart w:id="78" w:name="_Hlk156390451"/>
      <w:r w:rsidRPr="009A6D58">
        <w:rPr>
          <w:rFonts w:ascii="Arial Narrow" w:hAnsi="Arial Narrow"/>
          <w:i/>
          <w:sz w:val="18"/>
          <w:szCs w:val="18"/>
        </w:rPr>
        <w:t xml:space="preserve">The redacted values correspond to the following ranges: </w:t>
      </w:r>
    </w:p>
    <w:bookmarkEnd w:id="74"/>
    <w:p w14:paraId="6FEDC7AA" w14:textId="5B2855CC" w:rsidR="007976D6" w:rsidRPr="009A6D58" w:rsidRDefault="007976D6" w:rsidP="008F4F9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8F4F9D" w:rsidRPr="008F4F9D">
        <w:rPr>
          <w:rFonts w:ascii="Arial Narrow" w:hAnsi="Arial Narrow"/>
          <w:i/>
          <w:sz w:val="18"/>
          <w:szCs w:val="18"/>
        </w:rPr>
        <w:t>500 to &lt; 5,000</w:t>
      </w:r>
    </w:p>
    <w:p w14:paraId="1011C5DD" w14:textId="1719DFB5" w:rsidR="007976D6" w:rsidRPr="009A6D58" w:rsidRDefault="007976D6" w:rsidP="007976D6">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7B7855" w:rsidRPr="002A5119">
        <w:rPr>
          <w:rFonts w:ascii="Arial Narrow" w:hAnsi="Arial Narrow"/>
          <w:i/>
          <w:sz w:val="18"/>
          <w:szCs w:val="18"/>
        </w:rPr>
        <w:t>30 million to &lt; $40 million</w:t>
      </w:r>
    </w:p>
    <w:p w14:paraId="14E06191" w14:textId="77D5E0E3" w:rsidR="007976D6" w:rsidRDefault="007976D6" w:rsidP="007976D6">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7B7855">
        <w:rPr>
          <w:rFonts w:ascii="Arial Narrow" w:hAnsi="Arial Narrow"/>
          <w:i/>
          <w:sz w:val="18"/>
          <w:szCs w:val="18"/>
        </w:rPr>
        <w:t>4</w:t>
      </w:r>
      <w:r w:rsidR="007B7855" w:rsidRPr="002A5119">
        <w:rPr>
          <w:rFonts w:ascii="Arial Narrow" w:hAnsi="Arial Narrow"/>
          <w:i/>
          <w:sz w:val="18"/>
          <w:szCs w:val="18"/>
        </w:rPr>
        <w:t>0 million to &lt; $</w:t>
      </w:r>
      <w:r w:rsidR="007B7855">
        <w:rPr>
          <w:rFonts w:ascii="Arial Narrow" w:hAnsi="Arial Narrow"/>
          <w:i/>
          <w:sz w:val="18"/>
          <w:szCs w:val="18"/>
        </w:rPr>
        <w:t>5</w:t>
      </w:r>
      <w:r w:rsidR="007B7855" w:rsidRPr="002A5119">
        <w:rPr>
          <w:rFonts w:ascii="Arial Narrow" w:hAnsi="Arial Narrow"/>
          <w:i/>
          <w:sz w:val="18"/>
          <w:szCs w:val="18"/>
        </w:rPr>
        <w:t>0 million</w:t>
      </w:r>
    </w:p>
    <w:bookmarkEnd w:id="75"/>
    <w:p w14:paraId="7F0BA694" w14:textId="76C35685" w:rsidR="007976D6" w:rsidRDefault="007976D6" w:rsidP="007976D6">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FE1C1D">
        <w:rPr>
          <w:rFonts w:ascii="Arial Narrow" w:hAnsi="Arial Narrow"/>
          <w:i/>
          <w:sz w:val="18"/>
          <w:szCs w:val="18"/>
        </w:rPr>
        <w:t>net cost saving</w:t>
      </w:r>
    </w:p>
    <w:bookmarkEnd w:id="76"/>
    <w:p w14:paraId="7D0270BA" w14:textId="376041AF" w:rsidR="007976D6" w:rsidRDefault="007976D6" w:rsidP="007976D6">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A6165D">
        <w:rPr>
          <w:rFonts w:ascii="Arial Narrow" w:hAnsi="Arial Narrow"/>
          <w:i/>
          <w:sz w:val="18"/>
          <w:szCs w:val="18"/>
        </w:rPr>
        <w:t>2</w:t>
      </w:r>
      <w:r w:rsidR="00A6165D" w:rsidRPr="002A5119">
        <w:rPr>
          <w:rFonts w:ascii="Arial Narrow" w:hAnsi="Arial Narrow"/>
          <w:i/>
          <w:sz w:val="18"/>
          <w:szCs w:val="18"/>
        </w:rPr>
        <w:t>0 million to &lt; $</w:t>
      </w:r>
      <w:r w:rsidR="00A6165D">
        <w:rPr>
          <w:rFonts w:ascii="Arial Narrow" w:hAnsi="Arial Narrow"/>
          <w:i/>
          <w:sz w:val="18"/>
          <w:szCs w:val="18"/>
        </w:rPr>
        <w:t>3</w:t>
      </w:r>
      <w:r w:rsidR="00A6165D" w:rsidRPr="002A5119">
        <w:rPr>
          <w:rFonts w:ascii="Arial Narrow" w:hAnsi="Arial Narrow"/>
          <w:i/>
          <w:sz w:val="18"/>
          <w:szCs w:val="18"/>
        </w:rPr>
        <w:t>0 million</w:t>
      </w:r>
    </w:p>
    <w:bookmarkEnd w:id="77"/>
    <w:p w14:paraId="61AB7E3D" w14:textId="6495966A" w:rsidR="007976D6" w:rsidRDefault="007976D6" w:rsidP="007976D6">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07481B" w:rsidRPr="0007481B">
        <w:rPr>
          <w:rFonts w:ascii="Arial Narrow" w:hAnsi="Arial Narrow"/>
          <w:i/>
          <w:sz w:val="18"/>
          <w:szCs w:val="18"/>
        </w:rPr>
        <w:t>$10 million to &lt; $20 million</w:t>
      </w:r>
    </w:p>
    <w:p w14:paraId="385983CA" w14:textId="009AED9B" w:rsidR="0007481B" w:rsidRDefault="0007481B" w:rsidP="007976D6">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07481B">
        <w:rPr>
          <w:rFonts w:ascii="Arial Narrow" w:hAnsi="Arial Narrow"/>
          <w:i/>
          <w:sz w:val="18"/>
          <w:szCs w:val="18"/>
        </w:rPr>
        <w:t>$</w:t>
      </w:r>
      <w:r>
        <w:rPr>
          <w:rFonts w:ascii="Arial Narrow" w:hAnsi="Arial Narrow"/>
          <w:i/>
          <w:sz w:val="18"/>
          <w:szCs w:val="18"/>
        </w:rPr>
        <w:t>0</w:t>
      </w:r>
      <w:r w:rsidRPr="0007481B">
        <w:rPr>
          <w:rFonts w:ascii="Arial Narrow" w:hAnsi="Arial Narrow"/>
          <w:i/>
          <w:sz w:val="18"/>
          <w:szCs w:val="18"/>
        </w:rPr>
        <w:t xml:space="preserve"> to &lt; $</w:t>
      </w:r>
      <w:r>
        <w:rPr>
          <w:rFonts w:ascii="Arial Narrow" w:hAnsi="Arial Narrow"/>
          <w:i/>
          <w:sz w:val="18"/>
          <w:szCs w:val="18"/>
        </w:rPr>
        <w:t>1</w:t>
      </w:r>
      <w:r w:rsidRPr="0007481B">
        <w:rPr>
          <w:rFonts w:ascii="Arial Narrow" w:hAnsi="Arial Narrow"/>
          <w:i/>
          <w:sz w:val="18"/>
          <w:szCs w:val="18"/>
        </w:rPr>
        <w:t>0 million</w:t>
      </w:r>
    </w:p>
    <w:bookmarkEnd w:id="78"/>
    <w:p w14:paraId="71300E59" w14:textId="2BE43F71" w:rsidR="00821CB9" w:rsidRPr="00E56670" w:rsidRDefault="00821CB9" w:rsidP="00E56670">
      <w:pPr>
        <w:pStyle w:val="TableFooter"/>
        <w:spacing w:after="120"/>
        <w:rPr>
          <w:iCs/>
        </w:rPr>
      </w:pPr>
      <w:r w:rsidRPr="00F6387C">
        <w:t>Source: Tables 52, 54 and 55, pp82-86 of the resubmission and worksheet 5. Impact – net, Cladribine_UCM-Release-3-Workbook-v1081 PBAC November 20233</w:t>
      </w:r>
      <w:r w:rsidR="006E05DA" w:rsidRPr="00F6387C">
        <w:t xml:space="preserve">. PSCR updated estimates compiled by the Secretariat using revised AEMPs/DPMQs of </w:t>
      </w:r>
      <w:r w:rsidR="00E56670">
        <w:t>$</w:t>
      </w:r>
      <w:r w:rsidR="00632E88" w:rsidRPr="00E56670">
        <w:rPr>
          <w:color w:val="000000"/>
          <w:spacing w:val="76"/>
          <w:shd w:val="solid" w:color="000000" w:fill="000000"/>
          <w:fitText w:val="270" w:id="-1031597297"/>
          <w14:textFill>
            <w14:solidFill>
              <w14:srgbClr w14:val="000000">
                <w14:alpha w14:val="100000"/>
              </w14:srgbClr>
            </w14:solidFill>
          </w14:textFill>
        </w:rPr>
        <w:t>|</w:t>
      </w:r>
      <w:r w:rsidR="00E56670" w:rsidRPr="00E56670">
        <w:rPr>
          <w:color w:val="000000"/>
          <w:spacing w:val="76"/>
          <w:shd w:val="solid" w:color="000000" w:fill="000000"/>
          <w:fitText w:val="270" w:id="-1031597297"/>
          <w14:textFill>
            <w14:solidFill>
              <w14:srgbClr w14:val="000000">
                <w14:alpha w14:val="100000"/>
              </w14:srgbClr>
            </w14:solidFill>
          </w14:textFill>
        </w:rPr>
        <w:t xml:space="preserve"> </w:t>
      </w:r>
      <w:r w:rsidR="00632E88" w:rsidRPr="00E56670">
        <w:rPr>
          <w:color w:val="000000"/>
          <w:spacing w:val="1"/>
          <w:shd w:val="solid" w:color="000000" w:fill="000000"/>
          <w:fitText w:val="270" w:id="-1031597297"/>
          <w14:textFill>
            <w14:solidFill>
              <w14:srgbClr w14:val="000000">
                <w14:alpha w14:val="100000"/>
              </w14:srgbClr>
            </w14:solidFill>
          </w14:textFill>
        </w:rPr>
        <w:t>|</w:t>
      </w:r>
      <w:r w:rsidR="006E05DA" w:rsidRPr="00F6387C">
        <w:t>/</w:t>
      </w:r>
      <w:r w:rsidR="00E56670">
        <w:t>$</w:t>
      </w:r>
      <w:r w:rsidR="00632E88" w:rsidRPr="00E56670">
        <w:rPr>
          <w:color w:val="000000"/>
          <w:spacing w:val="81"/>
          <w:shd w:val="solid" w:color="000000" w:fill="000000"/>
          <w:fitText w:val="280" w:id="-1031597296"/>
          <w14:textFill>
            <w14:solidFill>
              <w14:srgbClr w14:val="000000">
                <w14:alpha w14:val="100000"/>
              </w14:srgbClr>
            </w14:solidFill>
          </w14:textFill>
        </w:rPr>
        <w:t>|</w:t>
      </w:r>
      <w:r w:rsidR="00E56670" w:rsidRPr="00E56670">
        <w:rPr>
          <w:color w:val="000000"/>
          <w:spacing w:val="81"/>
          <w:shd w:val="solid" w:color="000000" w:fill="000000"/>
          <w:fitText w:val="280" w:id="-1031597296"/>
          <w14:textFill>
            <w14:solidFill>
              <w14:srgbClr w14:val="000000">
                <w14:alpha w14:val="100000"/>
              </w14:srgbClr>
            </w14:solidFill>
          </w14:textFill>
        </w:rPr>
        <w:t xml:space="preserve"> </w:t>
      </w:r>
      <w:proofErr w:type="gramStart"/>
      <w:r w:rsidR="00632E88" w:rsidRPr="00E56670">
        <w:rPr>
          <w:color w:val="000000"/>
          <w:spacing w:val="1"/>
          <w:shd w:val="solid" w:color="000000" w:fill="000000"/>
          <w:fitText w:val="280" w:id="-1031597296"/>
          <w14:textFill>
            <w14:solidFill>
              <w14:srgbClr w14:val="000000">
                <w14:alpha w14:val="100000"/>
              </w14:srgbClr>
            </w14:solidFill>
          </w14:textFill>
        </w:rPr>
        <w:t>|</w:t>
      </w:r>
      <w:r w:rsidR="006E05DA" w:rsidRPr="00F6387C">
        <w:t>(</w:t>
      </w:r>
      <w:proofErr w:type="gramEnd"/>
      <w:r w:rsidR="006E05DA" w:rsidRPr="00F6387C">
        <w:t xml:space="preserve">1 pack), </w:t>
      </w:r>
      <w:r w:rsidR="00E56670">
        <w:t>$</w:t>
      </w:r>
      <w:r w:rsidR="00632E88" w:rsidRPr="00E56670">
        <w:rPr>
          <w:iCs/>
          <w:color w:val="000000"/>
          <w:spacing w:val="76"/>
          <w:shd w:val="solid" w:color="000000" w:fill="000000"/>
          <w:fitText w:val="270" w:id="-1031597312"/>
          <w14:textFill>
            <w14:solidFill>
              <w14:srgbClr w14:val="000000">
                <w14:alpha w14:val="100000"/>
              </w14:srgbClr>
            </w14:solidFill>
          </w14:textFill>
        </w:rPr>
        <w:t>|</w:t>
      </w:r>
      <w:r w:rsidR="00E56670" w:rsidRPr="00E56670">
        <w:rPr>
          <w:iCs/>
          <w:color w:val="000000"/>
          <w:spacing w:val="76"/>
          <w:shd w:val="solid" w:color="000000" w:fill="000000"/>
          <w:fitText w:val="270" w:id="-1031597312"/>
          <w14:textFill>
            <w14:solidFill>
              <w14:srgbClr w14:val="000000">
                <w14:alpha w14:val="100000"/>
              </w14:srgbClr>
            </w14:solidFill>
          </w14:textFill>
        </w:rPr>
        <w:t xml:space="preserve"> </w:t>
      </w:r>
      <w:r w:rsidR="00632E88" w:rsidRPr="00E56670">
        <w:rPr>
          <w:iCs/>
          <w:color w:val="000000"/>
          <w:spacing w:val="1"/>
          <w:shd w:val="solid" w:color="000000" w:fill="000000"/>
          <w:fitText w:val="270" w:id="-1031597312"/>
          <w14:textFill>
            <w14:solidFill>
              <w14:srgbClr w14:val="000000">
                <w14:alpha w14:val="100000"/>
              </w14:srgbClr>
            </w14:solidFill>
          </w14:textFill>
        </w:rPr>
        <w:t>|</w:t>
      </w:r>
      <w:r w:rsidR="006E05DA" w:rsidRPr="00F6387C">
        <w:rPr>
          <w:iCs/>
        </w:rPr>
        <w:t>/</w:t>
      </w:r>
      <w:r w:rsidR="00E56670">
        <w:rPr>
          <w:iCs/>
        </w:rPr>
        <w:t>$</w:t>
      </w:r>
      <w:r w:rsidR="00632E88" w:rsidRPr="00E56670">
        <w:rPr>
          <w:iCs/>
          <w:color w:val="000000"/>
          <w:spacing w:val="81"/>
          <w:shd w:val="solid" w:color="000000" w:fill="000000"/>
          <w:fitText w:val="280" w:id="-1031597311"/>
          <w14:textFill>
            <w14:solidFill>
              <w14:srgbClr w14:val="000000">
                <w14:alpha w14:val="100000"/>
              </w14:srgbClr>
            </w14:solidFill>
          </w14:textFill>
        </w:rPr>
        <w:t>|</w:t>
      </w:r>
      <w:r w:rsidR="00E56670" w:rsidRPr="00E56670">
        <w:rPr>
          <w:iCs/>
          <w:color w:val="000000"/>
          <w:spacing w:val="81"/>
          <w:shd w:val="solid" w:color="000000" w:fill="000000"/>
          <w:fitText w:val="280" w:id="-1031597311"/>
          <w14:textFill>
            <w14:solidFill>
              <w14:srgbClr w14:val="000000">
                <w14:alpha w14:val="100000"/>
              </w14:srgbClr>
            </w14:solidFill>
          </w14:textFill>
        </w:rPr>
        <w:t xml:space="preserve"> </w:t>
      </w:r>
      <w:r w:rsidR="00632E88" w:rsidRPr="00E56670">
        <w:rPr>
          <w:iCs/>
          <w:color w:val="000000"/>
          <w:spacing w:val="1"/>
          <w:shd w:val="solid" w:color="000000" w:fill="000000"/>
          <w:fitText w:val="280" w:id="-1031597311"/>
          <w14:textFill>
            <w14:solidFill>
              <w14:srgbClr w14:val="000000">
                <w14:alpha w14:val="100000"/>
              </w14:srgbClr>
            </w14:solidFill>
          </w14:textFill>
        </w:rPr>
        <w:t>|</w:t>
      </w:r>
      <w:r w:rsidR="006E05DA" w:rsidRPr="00F6387C">
        <w:rPr>
          <w:iCs/>
        </w:rPr>
        <w:t xml:space="preserve">(4 pack, max qty 2) and </w:t>
      </w:r>
      <w:r w:rsidR="00E56670">
        <w:rPr>
          <w:iCs/>
        </w:rPr>
        <w:t>$</w:t>
      </w:r>
      <w:r w:rsidR="00632E88" w:rsidRPr="00E56670">
        <w:rPr>
          <w:iCs/>
          <w:color w:val="000000"/>
          <w:spacing w:val="81"/>
          <w:shd w:val="solid" w:color="000000" w:fill="000000"/>
          <w:fitText w:val="280" w:id="-1031597310"/>
          <w14:textFill>
            <w14:solidFill>
              <w14:srgbClr w14:val="000000">
                <w14:alpha w14:val="100000"/>
              </w14:srgbClr>
            </w14:solidFill>
          </w14:textFill>
        </w:rPr>
        <w:t>|</w:t>
      </w:r>
      <w:r w:rsidR="00E56670" w:rsidRPr="00E56670">
        <w:rPr>
          <w:iCs/>
          <w:color w:val="000000"/>
          <w:spacing w:val="81"/>
          <w:shd w:val="solid" w:color="000000" w:fill="000000"/>
          <w:fitText w:val="280" w:id="-1031597310"/>
          <w14:textFill>
            <w14:solidFill>
              <w14:srgbClr w14:val="000000">
                <w14:alpha w14:val="100000"/>
              </w14:srgbClr>
            </w14:solidFill>
          </w14:textFill>
        </w:rPr>
        <w:t xml:space="preserve"> </w:t>
      </w:r>
      <w:r w:rsidR="00632E88" w:rsidRPr="00E56670">
        <w:rPr>
          <w:iCs/>
          <w:color w:val="000000"/>
          <w:spacing w:val="1"/>
          <w:shd w:val="solid" w:color="000000" w:fill="000000"/>
          <w:fitText w:val="280" w:id="-1031597310"/>
          <w14:textFill>
            <w14:solidFill>
              <w14:srgbClr w14:val="000000">
                <w14:alpha w14:val="100000"/>
              </w14:srgbClr>
            </w14:solidFill>
          </w14:textFill>
        </w:rPr>
        <w:t>|</w:t>
      </w:r>
      <w:r w:rsidR="006E05DA" w:rsidRPr="00F6387C">
        <w:rPr>
          <w:iCs/>
        </w:rPr>
        <w:t>/</w:t>
      </w:r>
      <w:r w:rsidR="00E56670">
        <w:rPr>
          <w:iCs/>
        </w:rPr>
        <w:t>$</w:t>
      </w:r>
      <w:r w:rsidR="00632E88" w:rsidRPr="00E56670">
        <w:rPr>
          <w:iCs/>
          <w:color w:val="000000"/>
          <w:spacing w:val="76"/>
          <w:shd w:val="solid" w:color="000000" w:fill="000000"/>
          <w:fitText w:val="270" w:id="-1031597309"/>
          <w14:textFill>
            <w14:solidFill>
              <w14:srgbClr w14:val="000000">
                <w14:alpha w14:val="100000"/>
              </w14:srgbClr>
            </w14:solidFill>
          </w14:textFill>
        </w:rPr>
        <w:t>|</w:t>
      </w:r>
      <w:r w:rsidR="00E56670" w:rsidRPr="00E56670">
        <w:rPr>
          <w:iCs/>
          <w:color w:val="000000"/>
          <w:spacing w:val="76"/>
          <w:shd w:val="solid" w:color="000000" w:fill="000000"/>
          <w:fitText w:val="270" w:id="-1031597309"/>
          <w14:textFill>
            <w14:solidFill>
              <w14:srgbClr w14:val="000000">
                <w14:alpha w14:val="100000"/>
              </w14:srgbClr>
            </w14:solidFill>
          </w14:textFill>
        </w:rPr>
        <w:t xml:space="preserve"> </w:t>
      </w:r>
      <w:r w:rsidR="00632E88" w:rsidRPr="00E56670">
        <w:rPr>
          <w:iCs/>
          <w:color w:val="000000"/>
          <w:spacing w:val="1"/>
          <w:shd w:val="solid" w:color="000000" w:fill="000000"/>
          <w:fitText w:val="270" w:id="-1031597309"/>
          <w14:textFill>
            <w14:solidFill>
              <w14:srgbClr w14:val="000000">
                <w14:alpha w14:val="100000"/>
              </w14:srgbClr>
            </w14:solidFill>
          </w14:textFill>
        </w:rPr>
        <w:t>|</w:t>
      </w:r>
      <w:r w:rsidR="006E05DA" w:rsidRPr="00F6387C">
        <w:rPr>
          <w:iCs/>
        </w:rPr>
        <w:t>(6 pack).</w:t>
      </w:r>
    </w:p>
    <w:p w14:paraId="5BA36710" w14:textId="482D43AB" w:rsidR="00821CB9" w:rsidRPr="00F6387C" w:rsidRDefault="00821CB9" w:rsidP="00821CB9">
      <w:pPr>
        <w:pStyle w:val="3-BodyText"/>
      </w:pPr>
      <w:r w:rsidRPr="00F6387C">
        <w:t xml:space="preserve">The resubmission estimated that there would be no change in net processing </w:t>
      </w:r>
      <w:r w:rsidR="00E956BE">
        <w:t xml:space="preserve">costs </w:t>
      </w:r>
      <w:r w:rsidRPr="00F6387C">
        <w:t xml:space="preserve">for </w:t>
      </w:r>
      <w:r w:rsidR="00E956BE">
        <w:t xml:space="preserve">Services Australia </w:t>
      </w:r>
      <w:r w:rsidRPr="00F6387C">
        <w:t>and no net changes to MBS items. This was reasonable as no change in scripts was expected. This was also consistent with the CMA base case in which no cost offsets due to healthcare resource use were included.</w:t>
      </w:r>
    </w:p>
    <w:p w14:paraId="26B5BF09" w14:textId="51163682" w:rsidR="00821CB9" w:rsidRPr="00F6387C" w:rsidRDefault="00821CB9" w:rsidP="00821CB9">
      <w:pPr>
        <w:pStyle w:val="3-BodyText"/>
      </w:pPr>
      <w:r w:rsidRPr="00F6387C">
        <w:t xml:space="preserve">The total cost to the PBS/RPBS of listing cladribine was estimated </w:t>
      </w:r>
      <w:r w:rsidR="00856FDC">
        <w:t xml:space="preserve">in the resubmission </w:t>
      </w:r>
      <w:r w:rsidRPr="00F6387C">
        <w:t xml:space="preserve">to be </w:t>
      </w:r>
      <w:r w:rsidR="00875C26" w:rsidRPr="00875C26">
        <w:t>$10 million to &lt; $20 million</w:t>
      </w:r>
      <w:r w:rsidR="00875C26" w:rsidRPr="00875C26" w:rsidDel="00875C26">
        <w:t xml:space="preserve"> </w:t>
      </w:r>
      <w:r w:rsidRPr="00F6387C">
        <w:t>in Year 6, and a total of $</w:t>
      </w:r>
      <w:r w:rsidR="0002705F" w:rsidRPr="0002705F">
        <w:t>70 million to &lt; $80 million</w:t>
      </w:r>
      <w:r w:rsidRPr="00F6387C">
        <w:t xml:space="preserve"> in the first 6 years of listing</w:t>
      </w:r>
      <w:r w:rsidR="006E05DA" w:rsidRPr="00F6387C">
        <w:rPr>
          <w:color w:val="3366FF"/>
        </w:rPr>
        <w:t xml:space="preserve">. </w:t>
      </w:r>
      <w:r w:rsidR="006E05DA" w:rsidRPr="00F6387C">
        <w:rPr>
          <w:iCs/>
          <w:color w:val="000000" w:themeColor="text1"/>
        </w:rPr>
        <w:t xml:space="preserve">At the revised PSCR price (AEMP </w:t>
      </w:r>
      <w:r w:rsidR="00E56670">
        <w:rPr>
          <w:iCs/>
          <w:color w:val="000000" w:themeColor="text1"/>
        </w:rPr>
        <w:t>$</w:t>
      </w:r>
      <w:r w:rsidR="00632E88" w:rsidRPr="00D14AB6">
        <w:rPr>
          <w:iCs/>
          <w:color w:val="000000" w:themeColor="text1"/>
          <w:w w:val="15"/>
          <w:shd w:val="solid" w:color="000000" w:fill="000000"/>
          <w:fitText w:val="-20" w:id="-1031597308"/>
          <w14:textFill>
            <w14:solidFill>
              <w14:schemeClr w14:val="tx1">
                <w14:alpha w14:val="100000"/>
              </w14:schemeClr>
            </w14:solidFill>
          </w14:textFill>
        </w:rPr>
        <w:t>|</w:t>
      </w:r>
      <w:r w:rsidR="00E56670" w:rsidRPr="00D14AB6">
        <w:rPr>
          <w:iCs/>
          <w:color w:val="000000" w:themeColor="text1"/>
          <w:w w:val="15"/>
          <w:shd w:val="solid" w:color="000000" w:fill="000000"/>
          <w:fitText w:val="-20" w:id="-1031597308"/>
          <w14:textFill>
            <w14:solidFill>
              <w14:schemeClr w14:val="tx1">
                <w14:alpha w14:val="100000"/>
              </w14:schemeClr>
            </w14:solidFill>
          </w14:textFill>
        </w:rPr>
        <w:t xml:space="preserve"> </w:t>
      </w:r>
      <w:r w:rsidR="00632E88" w:rsidRPr="00D14AB6">
        <w:rPr>
          <w:iCs/>
          <w:color w:val="000000" w:themeColor="text1"/>
          <w:spacing w:val="-61"/>
          <w:w w:val="15"/>
          <w:shd w:val="solid" w:color="000000" w:fill="000000"/>
          <w:fitText w:val="-20" w:id="-1031597308"/>
          <w14:textFill>
            <w14:solidFill>
              <w14:schemeClr w14:val="tx1">
                <w14:alpha w14:val="100000"/>
              </w14:schemeClr>
            </w14:solidFill>
          </w14:textFill>
        </w:rPr>
        <w:t>|</w:t>
      </w:r>
      <w:r w:rsidR="006E05DA" w:rsidRPr="00F6387C">
        <w:rPr>
          <w:iCs/>
          <w:color w:val="000000" w:themeColor="text1"/>
        </w:rPr>
        <w:t xml:space="preserve">), the total cost of listing to the PBS/RPBS of listing cladribine was estimated to be </w:t>
      </w:r>
      <w:r w:rsidR="0002705F" w:rsidRPr="00875C26">
        <w:t>$0 million to &lt; $</w:t>
      </w:r>
      <w:r w:rsidR="009E67A3">
        <w:t>1</w:t>
      </w:r>
      <w:r w:rsidR="0002705F" w:rsidRPr="00875C26">
        <w:t>0 million</w:t>
      </w:r>
      <w:r w:rsidR="0002705F" w:rsidRPr="00F6387C" w:rsidDel="0002705F">
        <w:rPr>
          <w:iCs/>
          <w:color w:val="000000" w:themeColor="text1"/>
        </w:rPr>
        <w:t xml:space="preserve"> </w:t>
      </w:r>
      <w:r w:rsidR="006E05DA" w:rsidRPr="00F6387C">
        <w:rPr>
          <w:iCs/>
          <w:color w:val="000000" w:themeColor="text1"/>
        </w:rPr>
        <w:t xml:space="preserve">in Year 6, and a total of </w:t>
      </w:r>
      <w:r w:rsidR="00A206EE" w:rsidRPr="00A206EE">
        <w:rPr>
          <w:iCs/>
          <w:color w:val="000000" w:themeColor="text1"/>
        </w:rPr>
        <w:t>$50 million to &lt; $60 million</w:t>
      </w:r>
      <w:r w:rsidR="00A206EE">
        <w:rPr>
          <w:iCs/>
          <w:color w:val="000000" w:themeColor="text1"/>
        </w:rPr>
        <w:t xml:space="preserve"> </w:t>
      </w:r>
      <w:r w:rsidR="006E05DA" w:rsidRPr="00F6387C">
        <w:rPr>
          <w:iCs/>
          <w:color w:val="000000" w:themeColor="text1"/>
        </w:rPr>
        <w:t>in the first 6 years of listing.</w:t>
      </w:r>
      <w:r w:rsidR="00856FDC">
        <w:rPr>
          <w:iCs/>
          <w:color w:val="000000" w:themeColor="text1"/>
        </w:rPr>
        <w:t xml:space="preserve"> The price for cladribine was reduced further in the pre-PBAC response but revised financial estimates were not provided.</w:t>
      </w:r>
    </w:p>
    <w:p w14:paraId="256E772A" w14:textId="7F1AA1D1" w:rsidR="00821CB9" w:rsidRPr="00F6387C" w:rsidRDefault="00821CB9" w:rsidP="00AD4C54">
      <w:pPr>
        <w:pStyle w:val="3-BodyText"/>
      </w:pPr>
      <w:r w:rsidRPr="00F6387C">
        <w:t xml:space="preserve">For the November 2017 submission that sought PBS listing of cladribine on a cost-minimisation basis compared to fingolimod over a </w:t>
      </w:r>
      <w:r w:rsidR="00961EAE" w:rsidRPr="00F6387C">
        <w:t>4-year</w:t>
      </w:r>
      <w:r w:rsidRPr="00F6387C">
        <w:t xml:space="preserve"> treatment duration, the PBAC noted that the financial analysis estimated a significant net cost to the PBS, “which undermines the first principles of a cost minimisation analysis” (paragraph 7.1, cladribine PSD, November 2017). </w:t>
      </w:r>
      <w:r w:rsidR="008F0C68" w:rsidRPr="00F6387C">
        <w:t>While t</w:t>
      </w:r>
      <w:r w:rsidRPr="00F6387C">
        <w:t>his issue may remain a concern in the resubmission</w:t>
      </w:r>
      <w:r w:rsidR="008F0C68" w:rsidRPr="00F6387C">
        <w:t>, the resubmission s</w:t>
      </w:r>
      <w:r w:rsidR="00AD4C54" w:rsidRPr="00F6387C">
        <w:t>ought</w:t>
      </w:r>
      <w:r w:rsidR="008F0C68" w:rsidRPr="00F6387C">
        <w:t xml:space="preserve"> to establish that cladribine has been undervalued </w:t>
      </w:r>
      <w:r w:rsidR="00AD4C54" w:rsidRPr="00F6387C">
        <w:t xml:space="preserve">and </w:t>
      </w:r>
      <w:r w:rsidR="006343EF" w:rsidRPr="00F6387C">
        <w:t xml:space="preserve">that </w:t>
      </w:r>
      <w:r w:rsidR="00AD4C54" w:rsidRPr="00F6387C">
        <w:t>the cost-effectiveness of cladribine should be based on a higher price than at present</w:t>
      </w:r>
      <w:r w:rsidRPr="00F6387C">
        <w:t>.</w:t>
      </w:r>
      <w:r w:rsidR="000F0760" w:rsidRPr="00F6387C">
        <w:t xml:space="preserve"> </w:t>
      </w:r>
      <w:r w:rsidR="000F0760" w:rsidRPr="00F6387C">
        <w:rPr>
          <w:iCs/>
        </w:rPr>
        <w:t xml:space="preserve">The PSCR </w:t>
      </w:r>
      <w:r w:rsidR="008E350C" w:rsidRPr="00F6387C">
        <w:rPr>
          <w:iCs/>
        </w:rPr>
        <w:t xml:space="preserve">and pre-PBAC Response </w:t>
      </w:r>
      <w:r w:rsidR="000F0760" w:rsidRPr="00F6387C">
        <w:rPr>
          <w:iCs/>
        </w:rPr>
        <w:t>further argued that compared to the other DMTs it replaces, cladribine has in fact been cost saving for the PBS/RPBS because in years 3 and 4, there is no drug cost associated with treatment</w:t>
      </w:r>
      <w:r w:rsidR="004E1754" w:rsidRPr="00F6387C">
        <w:rPr>
          <w:iCs/>
        </w:rPr>
        <w:t xml:space="preserve"> (although ESC noted there was evidence of off label prescribing in this period)</w:t>
      </w:r>
      <w:r w:rsidR="000F0760" w:rsidRPr="00F6387C">
        <w:rPr>
          <w:iCs/>
        </w:rPr>
        <w:t xml:space="preserve">, whereas the other DMTs require ongoing administration and continue to accrue costs and even after the requested price increase, remains cost saving to the PBS/RPBS. </w:t>
      </w:r>
    </w:p>
    <w:p w14:paraId="19DE5742" w14:textId="77777777" w:rsidR="00821CB9" w:rsidRPr="00F6387C" w:rsidRDefault="00821CB9" w:rsidP="00821CB9">
      <w:pPr>
        <w:pStyle w:val="3-BodyText"/>
      </w:pPr>
      <w:r w:rsidRPr="00F6387C">
        <w:t>While the resubmission estimated that the proposed change in price of cladribine would result in a net cost to the PBS/RPBS:</w:t>
      </w:r>
    </w:p>
    <w:p w14:paraId="01C64005" w14:textId="77777777" w:rsidR="00821CB9" w:rsidRPr="00F6387C" w:rsidRDefault="00821CB9" w:rsidP="00297DCD">
      <w:pPr>
        <w:pStyle w:val="3-BodyText"/>
        <w:numPr>
          <w:ilvl w:val="2"/>
          <w:numId w:val="18"/>
        </w:numPr>
        <w:ind w:left="993" w:hanging="284"/>
      </w:pPr>
      <w:bookmarkStart w:id="79" w:name="_Hlk142853941"/>
      <w:r w:rsidRPr="00F6387C">
        <w:t xml:space="preserve">The resubmission claimed that the current effective price of cladribine tablets does not account for patients not needing active treatment in years 3 and 4, and therefore the net costs for the proposed change should not be considered as an incremental cost to the PBS/RPBS, but rather as savings foregone as a result of recognising the efficacy in years 3 and 4 of cladribine therapy. </w:t>
      </w:r>
    </w:p>
    <w:bookmarkEnd w:id="79"/>
    <w:p w14:paraId="2D92A668" w14:textId="77777777" w:rsidR="00821CB9" w:rsidRPr="00F6387C" w:rsidRDefault="00821CB9" w:rsidP="00297DCD">
      <w:pPr>
        <w:pStyle w:val="3-BodyText"/>
        <w:numPr>
          <w:ilvl w:val="2"/>
          <w:numId w:val="18"/>
        </w:numPr>
        <w:ind w:left="993" w:hanging="284"/>
      </w:pPr>
      <w:r w:rsidRPr="00F6387C">
        <w:t>The resubmission noted that the proposed effective price of cladribine tablets was derived from cost-minimisation to the current price of fingolimod and that the fingolimod price has recently decreased and may now be lower than other high-efficacy DMTs. The resubmission claimed that cost-minimisation of cladribine to the current price of fingolimod offsets the financial impact from the revised equi-effective doses of cladribine tablets to an extent, and the listing of cladribine tablets should be considered cost-saving in comparison to the other high-efficacy DMTs (other than fingolimod) that it replaces.</w:t>
      </w:r>
    </w:p>
    <w:p w14:paraId="20A9ABBC" w14:textId="45C9CEF7" w:rsidR="00821CB9" w:rsidRPr="00F6387C" w:rsidRDefault="00821CB9" w:rsidP="00821CB9">
      <w:pPr>
        <w:pStyle w:val="3-BodyText"/>
      </w:pPr>
      <w:r w:rsidRPr="00F6387C">
        <w:t xml:space="preserve">While the use of cladribine may potentially be cost saving at the current price, it is unlikely to remain cost saving at the proposed increased price. If the sponsor wished for the above issues to be accounted for in the proposed price of cladribine tablets, then it would have been appropriate to include them in the economic analysis, with the impact on the proposed cladribine price included in the financial estimates. However, as the resubmission did not include </w:t>
      </w:r>
      <w:r w:rsidR="00856FDC">
        <w:t>these</w:t>
      </w:r>
      <w:r w:rsidRPr="00F6387C">
        <w:t xml:space="preserve"> calculations, any impact of these issues remains unquantified.</w:t>
      </w:r>
    </w:p>
    <w:p w14:paraId="6015A395" w14:textId="2EDB6A4E" w:rsidR="00576972" w:rsidRPr="00F6387C" w:rsidRDefault="00576972" w:rsidP="00606FBA">
      <w:pPr>
        <w:pStyle w:val="4-SubsectionHeading"/>
      </w:pPr>
      <w:bookmarkStart w:id="80" w:name="_Toc22897649"/>
      <w:bookmarkStart w:id="81" w:name="_Toc145504217"/>
      <w:r w:rsidRPr="00F6387C">
        <w:t>Financial Management – Risk Sharing Arrangements</w:t>
      </w:r>
      <w:bookmarkEnd w:id="80"/>
      <w:bookmarkEnd w:id="81"/>
    </w:p>
    <w:p w14:paraId="05775270" w14:textId="0AC5EB0A" w:rsidR="00EC5277" w:rsidRPr="00F6387C" w:rsidRDefault="00EC5277" w:rsidP="00EC5277">
      <w:pPr>
        <w:pStyle w:val="3-BodyText"/>
      </w:pPr>
      <w:r w:rsidRPr="00F6387C">
        <w:t xml:space="preserve">The resubmission did not present any information relating to </w:t>
      </w:r>
      <w:r w:rsidR="00E956BE">
        <w:t>R</w:t>
      </w:r>
      <w:r w:rsidR="00E956BE" w:rsidRPr="00F6387C">
        <w:t>isk</w:t>
      </w:r>
      <w:r w:rsidR="00E956BE">
        <w:t xml:space="preserve"> S</w:t>
      </w:r>
      <w:r w:rsidRPr="00F6387C">
        <w:t xml:space="preserve">haring </w:t>
      </w:r>
      <w:r w:rsidR="00E956BE">
        <w:t>A</w:t>
      </w:r>
      <w:r w:rsidR="00E956BE" w:rsidRPr="00F6387C">
        <w:t>rrangements</w:t>
      </w:r>
      <w:r w:rsidRPr="00F6387C">
        <w:t>.</w:t>
      </w:r>
    </w:p>
    <w:p w14:paraId="0416CC6F" w14:textId="37C82A7E" w:rsidR="00131EDB" w:rsidRPr="00F6387C" w:rsidRDefault="00131EDB" w:rsidP="00131EDB">
      <w:pPr>
        <w:pStyle w:val="3-BodyText"/>
      </w:pPr>
      <w:r w:rsidRPr="00F6387C">
        <w:t xml:space="preserve"> The resubmission reported that some patients captured in the PBS 10% data sample received additional cladribine treatment beyond the recommended dose. i.e., third and fourth doses. </w:t>
      </w:r>
      <w:r w:rsidRPr="00F6387C">
        <w:rPr>
          <w:iCs/>
        </w:rPr>
        <w:t>The evaluation and the ESC</w:t>
      </w:r>
      <w:r w:rsidRPr="00F6387C">
        <w:t xml:space="preserve"> considered that it may be appropriate to address the uncertainty associated with the use of additional (off label) cladribine doses through a </w:t>
      </w:r>
      <w:r w:rsidR="00E956BE">
        <w:t>R</w:t>
      </w:r>
      <w:r w:rsidR="00E956BE" w:rsidRPr="00F6387C">
        <w:t>isk</w:t>
      </w:r>
      <w:r w:rsidR="00E956BE">
        <w:t xml:space="preserve"> S</w:t>
      </w:r>
      <w:r w:rsidRPr="00F6387C">
        <w:t xml:space="preserve">haring </w:t>
      </w:r>
      <w:r w:rsidR="00E956BE">
        <w:t>A</w:t>
      </w:r>
      <w:r w:rsidR="00E956BE" w:rsidRPr="00F6387C">
        <w:t>rrangement</w:t>
      </w:r>
      <w:r w:rsidRPr="00F6387C">
        <w:t>.</w:t>
      </w:r>
    </w:p>
    <w:p w14:paraId="6F6F1A47" w14:textId="14BF27D9" w:rsidR="00803AE9" w:rsidRPr="00F6387C" w:rsidRDefault="00803AE9" w:rsidP="00B86842">
      <w:pPr>
        <w:ind w:firstLine="709"/>
      </w:pPr>
      <w:r w:rsidRPr="00F6387C">
        <w:rPr>
          <w:rFonts w:asciiTheme="minorHAnsi" w:hAnsiTheme="minorHAnsi"/>
          <w:i/>
        </w:rPr>
        <w:t>For more detail on PBAC’s view, see section 7 PBAC outcome.</w:t>
      </w:r>
    </w:p>
    <w:p w14:paraId="0E37385C" w14:textId="77777777" w:rsidR="00803AE9" w:rsidRPr="00F6387C" w:rsidRDefault="00803AE9" w:rsidP="0066025B">
      <w:pPr>
        <w:keepNext/>
        <w:numPr>
          <w:ilvl w:val="0"/>
          <w:numId w:val="1"/>
        </w:numPr>
        <w:spacing w:before="240" w:after="120"/>
        <w:jc w:val="left"/>
        <w:outlineLvl w:val="0"/>
        <w:rPr>
          <w:rFonts w:asciiTheme="minorHAnsi" w:hAnsiTheme="minorHAnsi"/>
          <w:b/>
          <w:snapToGrid w:val="0"/>
          <w:sz w:val="32"/>
          <w:szCs w:val="32"/>
        </w:rPr>
      </w:pPr>
      <w:bookmarkStart w:id="82" w:name="_Hlk76381249"/>
      <w:bookmarkStart w:id="83" w:name="_Hlk76377955"/>
      <w:r w:rsidRPr="00F6387C">
        <w:rPr>
          <w:rFonts w:asciiTheme="minorHAnsi" w:hAnsiTheme="minorHAnsi"/>
          <w:b/>
          <w:snapToGrid w:val="0"/>
          <w:sz w:val="32"/>
          <w:szCs w:val="32"/>
        </w:rPr>
        <w:t>PBAC Outcome</w:t>
      </w:r>
    </w:p>
    <w:p w14:paraId="6C71DF10" w14:textId="561B8114" w:rsidR="00AF7336" w:rsidRPr="00093EAF" w:rsidRDefault="00AF7336" w:rsidP="00093EAF">
      <w:pPr>
        <w:widowControl w:val="0"/>
        <w:numPr>
          <w:ilvl w:val="1"/>
          <w:numId w:val="1"/>
        </w:numPr>
        <w:spacing w:after="120"/>
        <w:rPr>
          <w:rFonts w:asciiTheme="minorHAnsi" w:hAnsiTheme="minorHAnsi"/>
          <w:snapToGrid w:val="0"/>
          <w:lang w:eastAsia="en-US"/>
        </w:rPr>
      </w:pPr>
      <w:bookmarkStart w:id="84" w:name="_Hlk111543188"/>
      <w:r w:rsidRPr="00F6387C">
        <w:rPr>
          <w:rFonts w:asciiTheme="minorHAnsi" w:hAnsiTheme="minorHAnsi"/>
        </w:rPr>
        <w:t xml:space="preserve">The PBAC did not recommend amending the existing equi-effective doses of cladribine and fingolimod for the treatment of relapsing-remitting multiple sclerosis (RRMS), on the basis that the evidence presented did not satisfactorily establish that </w:t>
      </w:r>
      <w:r w:rsidR="00237465" w:rsidRPr="00F6387C">
        <w:rPr>
          <w:rFonts w:asciiTheme="minorHAnsi" w:hAnsiTheme="minorHAnsi"/>
        </w:rPr>
        <w:t>two</w:t>
      </w:r>
      <w:r w:rsidRPr="00F6387C">
        <w:rPr>
          <w:rFonts w:asciiTheme="minorHAnsi" w:hAnsiTheme="minorHAnsi"/>
        </w:rPr>
        <w:t xml:space="preserve"> years of treatment with cladribine </w:t>
      </w:r>
      <w:bookmarkEnd w:id="84"/>
      <w:r w:rsidR="005F4A43" w:rsidRPr="00F6387C">
        <w:rPr>
          <w:rFonts w:asciiTheme="minorHAnsi" w:hAnsiTheme="minorHAnsi"/>
        </w:rPr>
        <w:t xml:space="preserve">(plus </w:t>
      </w:r>
      <w:r w:rsidR="00237465" w:rsidRPr="00093EAF">
        <w:rPr>
          <w:rFonts w:asciiTheme="minorHAnsi" w:hAnsiTheme="minorHAnsi"/>
        </w:rPr>
        <w:t>two</w:t>
      </w:r>
      <w:r w:rsidR="005F4A43" w:rsidRPr="00093EAF">
        <w:rPr>
          <w:rFonts w:asciiTheme="minorHAnsi" w:hAnsiTheme="minorHAnsi"/>
        </w:rPr>
        <w:t xml:space="preserve"> years of no treatment) </w:t>
      </w:r>
      <w:r w:rsidRPr="00093EAF">
        <w:rPr>
          <w:rFonts w:asciiTheme="minorHAnsi" w:hAnsiTheme="minorHAnsi"/>
        </w:rPr>
        <w:t xml:space="preserve">is non-inferior to </w:t>
      </w:r>
      <w:r w:rsidR="00237465" w:rsidRPr="00093EAF">
        <w:rPr>
          <w:rFonts w:asciiTheme="minorHAnsi" w:hAnsiTheme="minorHAnsi"/>
        </w:rPr>
        <w:t>four</w:t>
      </w:r>
      <w:r w:rsidRPr="00093EAF">
        <w:rPr>
          <w:rFonts w:asciiTheme="minorHAnsi" w:hAnsiTheme="minorHAnsi"/>
        </w:rPr>
        <w:t xml:space="preserve"> years of treatment with fingolimod.</w:t>
      </w:r>
      <w:r w:rsidR="001858D9" w:rsidRPr="00093EAF">
        <w:rPr>
          <w:rFonts w:asciiTheme="minorHAnsi" w:hAnsiTheme="minorHAnsi"/>
        </w:rPr>
        <w:t xml:space="preserve"> The PBAC considered the </w:t>
      </w:r>
      <w:r w:rsidR="00025FD5" w:rsidRPr="00093EAF">
        <w:rPr>
          <w:rFonts w:asciiTheme="minorHAnsi" w:hAnsiTheme="minorHAnsi"/>
        </w:rPr>
        <w:t xml:space="preserve">key </w:t>
      </w:r>
      <w:r w:rsidR="001858D9" w:rsidRPr="00093EAF">
        <w:rPr>
          <w:rFonts w:asciiTheme="minorHAnsi" w:hAnsiTheme="minorHAnsi"/>
        </w:rPr>
        <w:t xml:space="preserve">clinical evidence, </w:t>
      </w:r>
      <w:r w:rsidR="00093EAF" w:rsidRPr="00093EAF">
        <w:rPr>
          <w:rFonts w:asciiTheme="minorHAnsi" w:hAnsiTheme="minorHAnsi"/>
        </w:rPr>
        <w:t xml:space="preserve">a propensity score matched analysis of the </w:t>
      </w:r>
      <w:proofErr w:type="spellStart"/>
      <w:r w:rsidR="00093EAF" w:rsidRPr="00093EAF">
        <w:rPr>
          <w:rFonts w:asciiTheme="minorHAnsi" w:hAnsiTheme="minorHAnsi"/>
        </w:rPr>
        <w:t>MSBase</w:t>
      </w:r>
      <w:proofErr w:type="spellEnd"/>
      <w:r w:rsidR="00093EAF" w:rsidRPr="00093EAF">
        <w:rPr>
          <w:rFonts w:asciiTheme="minorHAnsi" w:hAnsiTheme="minorHAnsi"/>
        </w:rPr>
        <w:t xml:space="preserve"> registry data (GLIMPSE), </w:t>
      </w:r>
      <w:r w:rsidR="003B69EA" w:rsidRPr="00093EAF">
        <w:rPr>
          <w:rFonts w:asciiTheme="minorHAnsi" w:hAnsiTheme="minorHAnsi"/>
        </w:rPr>
        <w:t>was not reliable for the purposes of establishing non-inferiority</w:t>
      </w:r>
      <w:r w:rsidR="005F4A43" w:rsidRPr="00093EAF">
        <w:rPr>
          <w:rFonts w:asciiTheme="minorHAnsi" w:hAnsiTheme="minorHAnsi"/>
        </w:rPr>
        <w:t xml:space="preserve"> </w:t>
      </w:r>
      <w:r w:rsidR="00093EAF">
        <w:rPr>
          <w:rFonts w:asciiTheme="minorHAnsi" w:hAnsiTheme="minorHAnsi"/>
        </w:rPr>
        <w:t xml:space="preserve">over four years </w:t>
      </w:r>
      <w:r w:rsidR="005F4A43" w:rsidRPr="00093EAF">
        <w:rPr>
          <w:rFonts w:asciiTheme="minorHAnsi" w:hAnsiTheme="minorHAnsi"/>
        </w:rPr>
        <w:t>given</w:t>
      </w:r>
      <w:r w:rsidR="00093EAF" w:rsidRPr="00093EAF">
        <w:rPr>
          <w:rFonts w:asciiTheme="minorHAnsi" w:hAnsiTheme="minorHAnsi"/>
        </w:rPr>
        <w:t xml:space="preserve"> the potential for confounding and</w:t>
      </w:r>
      <w:r w:rsidR="005F4A43" w:rsidRPr="00093EAF">
        <w:rPr>
          <w:rFonts w:asciiTheme="minorHAnsi" w:hAnsiTheme="minorHAnsi"/>
        </w:rPr>
        <w:t xml:space="preserve"> the</w:t>
      </w:r>
      <w:r w:rsidR="00093EAF" w:rsidRPr="00093EAF">
        <w:rPr>
          <w:rFonts w:asciiTheme="minorHAnsi" w:hAnsiTheme="minorHAnsi"/>
        </w:rPr>
        <w:t xml:space="preserve"> small</w:t>
      </w:r>
      <w:r w:rsidR="005F4A43" w:rsidRPr="00093EAF">
        <w:rPr>
          <w:rFonts w:asciiTheme="minorHAnsi" w:hAnsiTheme="minorHAnsi"/>
        </w:rPr>
        <w:t xml:space="preserve"> number of patients on treatment for</w:t>
      </w:r>
      <w:r w:rsidR="00093EAF" w:rsidRPr="00093EAF">
        <w:rPr>
          <w:rFonts w:asciiTheme="minorHAnsi" w:hAnsiTheme="minorHAnsi"/>
        </w:rPr>
        <w:t xml:space="preserve"> four year</w:t>
      </w:r>
      <w:r w:rsidR="00093EAF">
        <w:rPr>
          <w:rFonts w:asciiTheme="minorHAnsi" w:hAnsiTheme="minorHAnsi"/>
        </w:rPr>
        <w:t>s</w:t>
      </w:r>
      <w:r w:rsidR="003B69EA" w:rsidRPr="00093EAF">
        <w:rPr>
          <w:rFonts w:asciiTheme="minorHAnsi" w:hAnsiTheme="minorHAnsi"/>
        </w:rPr>
        <w:t>.</w:t>
      </w:r>
      <w:r w:rsidR="005F4A43" w:rsidRPr="00093EAF">
        <w:rPr>
          <w:rFonts w:asciiTheme="minorHAnsi" w:hAnsiTheme="minorHAnsi"/>
        </w:rPr>
        <w:t xml:space="preserve"> </w:t>
      </w:r>
    </w:p>
    <w:p w14:paraId="68DCFFEA" w14:textId="2765FCEE" w:rsidR="001858D9" w:rsidRPr="00F6387C" w:rsidRDefault="001858D9" w:rsidP="001858D9">
      <w:pPr>
        <w:widowControl w:val="0"/>
        <w:numPr>
          <w:ilvl w:val="1"/>
          <w:numId w:val="1"/>
        </w:numPr>
        <w:spacing w:after="120"/>
        <w:rPr>
          <w:rFonts w:asciiTheme="minorHAnsi" w:hAnsiTheme="minorHAnsi"/>
        </w:rPr>
      </w:pPr>
      <w:r w:rsidRPr="00093EAF">
        <w:rPr>
          <w:rFonts w:asciiTheme="minorHAnsi" w:hAnsiTheme="minorHAnsi"/>
        </w:rPr>
        <w:t>The PBAC considered the nominated</w:t>
      </w:r>
      <w:r w:rsidRPr="00F6387C">
        <w:rPr>
          <w:rFonts w:asciiTheme="minorHAnsi" w:hAnsiTheme="minorHAnsi"/>
        </w:rPr>
        <w:t xml:space="preserve"> comparator of fingolimod was reasonable, consistent with its view when it recommended cladribine at its March 2018 meeting. However, the PBAC also considered the other</w:t>
      </w:r>
      <w:r w:rsidR="00C83E57">
        <w:rPr>
          <w:rFonts w:asciiTheme="minorHAnsi" w:hAnsiTheme="minorHAnsi"/>
        </w:rPr>
        <w:t xml:space="preserve"> disease modifying therapies</w:t>
      </w:r>
      <w:r w:rsidRPr="00F6387C">
        <w:rPr>
          <w:rFonts w:asciiTheme="minorHAnsi" w:hAnsiTheme="minorHAnsi"/>
        </w:rPr>
        <w:t xml:space="preserve"> </w:t>
      </w:r>
      <w:r w:rsidR="00C83E57">
        <w:rPr>
          <w:rFonts w:asciiTheme="minorHAnsi" w:hAnsiTheme="minorHAnsi"/>
        </w:rPr>
        <w:t>(</w:t>
      </w:r>
      <w:r w:rsidRPr="00F6387C">
        <w:rPr>
          <w:rFonts w:asciiTheme="minorHAnsi" w:hAnsiTheme="minorHAnsi"/>
        </w:rPr>
        <w:t>DMTs</w:t>
      </w:r>
      <w:r w:rsidR="00C83E57">
        <w:rPr>
          <w:rFonts w:asciiTheme="minorHAnsi" w:hAnsiTheme="minorHAnsi"/>
        </w:rPr>
        <w:t>)</w:t>
      </w:r>
      <w:r w:rsidRPr="00F6387C">
        <w:rPr>
          <w:rFonts w:asciiTheme="minorHAnsi" w:hAnsiTheme="minorHAnsi"/>
        </w:rPr>
        <w:t xml:space="preserve"> in the higher efficacy tier for RRMS including natalizumab, alemtuzumab, ocrelizumab, ozanimod and ofatumumab were </w:t>
      </w:r>
      <w:r w:rsidR="001A3CF1">
        <w:rPr>
          <w:rFonts w:asciiTheme="minorHAnsi" w:hAnsiTheme="minorHAnsi"/>
        </w:rPr>
        <w:t xml:space="preserve">relevant </w:t>
      </w:r>
      <w:r w:rsidR="00C27096" w:rsidRPr="00F6387C">
        <w:rPr>
          <w:rFonts w:asciiTheme="minorHAnsi" w:hAnsiTheme="minorHAnsi"/>
        </w:rPr>
        <w:t>alternative therapies.</w:t>
      </w:r>
      <w:r w:rsidR="001A3CF1">
        <w:rPr>
          <w:rFonts w:asciiTheme="minorHAnsi" w:hAnsiTheme="minorHAnsi"/>
        </w:rPr>
        <w:t xml:space="preserve"> The PBAC noted only evidence versus fingolimod was presented in the resubmission.</w:t>
      </w:r>
    </w:p>
    <w:p w14:paraId="23A6C199" w14:textId="637E24B3" w:rsidR="00D22DAC" w:rsidRPr="00F6387C" w:rsidRDefault="00D22DAC" w:rsidP="001858D9">
      <w:pPr>
        <w:widowControl w:val="0"/>
        <w:numPr>
          <w:ilvl w:val="1"/>
          <w:numId w:val="1"/>
        </w:numPr>
        <w:spacing w:after="120"/>
        <w:rPr>
          <w:rFonts w:asciiTheme="minorHAnsi" w:hAnsiTheme="minorHAnsi"/>
        </w:rPr>
      </w:pPr>
      <w:r w:rsidRPr="00F6387C">
        <w:rPr>
          <w:rFonts w:asciiTheme="minorHAnsi" w:hAnsiTheme="minorHAnsi"/>
        </w:rPr>
        <w:t xml:space="preserve">The PBAC recalled </w:t>
      </w:r>
      <w:r w:rsidR="001A3CF1">
        <w:rPr>
          <w:rFonts w:asciiTheme="minorHAnsi" w:hAnsiTheme="minorHAnsi"/>
        </w:rPr>
        <w:t xml:space="preserve">cladribine was recommended for listing on the basis </w:t>
      </w:r>
      <w:r w:rsidRPr="00F6387C">
        <w:rPr>
          <w:rFonts w:asciiTheme="minorHAnsi" w:hAnsiTheme="minorHAnsi"/>
        </w:rPr>
        <w:t xml:space="preserve">that cladribine and fingolimod were non-inferior over </w:t>
      </w:r>
      <w:r w:rsidR="002912F3" w:rsidRPr="00F6387C">
        <w:rPr>
          <w:rFonts w:asciiTheme="minorHAnsi" w:hAnsiTheme="minorHAnsi"/>
        </w:rPr>
        <w:t>two</w:t>
      </w:r>
      <w:r w:rsidRPr="00F6387C">
        <w:rPr>
          <w:rFonts w:asciiTheme="minorHAnsi" w:hAnsiTheme="minorHAnsi"/>
        </w:rPr>
        <w:t xml:space="preserve"> years, based on a comparison of the randomised phases of the CLARITY (cladribine) and FREEDOMS (fingolimod) </w:t>
      </w:r>
      <w:r w:rsidR="001A3CF1">
        <w:rPr>
          <w:rFonts w:asciiTheme="minorHAnsi" w:hAnsiTheme="minorHAnsi"/>
        </w:rPr>
        <w:t>trials,</w:t>
      </w:r>
      <w:r w:rsidR="001A3CF1" w:rsidRPr="00F6387C">
        <w:rPr>
          <w:rFonts w:asciiTheme="minorHAnsi" w:hAnsiTheme="minorHAnsi"/>
        </w:rPr>
        <w:t xml:space="preserve"> </w:t>
      </w:r>
      <w:r w:rsidRPr="00F6387C">
        <w:rPr>
          <w:rFonts w:asciiTheme="minorHAnsi" w:hAnsiTheme="minorHAnsi"/>
        </w:rPr>
        <w:t>and that it had not recommended amending the existing equi-effective doses following consider</w:t>
      </w:r>
      <w:r w:rsidR="006E3F3F" w:rsidRPr="00F6387C">
        <w:rPr>
          <w:rFonts w:asciiTheme="minorHAnsi" w:hAnsiTheme="minorHAnsi"/>
        </w:rPr>
        <w:t>ation of a submission</w:t>
      </w:r>
      <w:r w:rsidRPr="00F6387C">
        <w:rPr>
          <w:rFonts w:asciiTheme="minorHAnsi" w:hAnsiTheme="minorHAnsi"/>
        </w:rPr>
        <w:t xml:space="preserve"> at its November 2021 meeting.</w:t>
      </w:r>
    </w:p>
    <w:p w14:paraId="73EF2C9A" w14:textId="2E95BF6F" w:rsidR="008C6325" w:rsidRPr="00F6387C" w:rsidRDefault="004220AE" w:rsidP="008C6325">
      <w:pPr>
        <w:widowControl w:val="0"/>
        <w:numPr>
          <w:ilvl w:val="1"/>
          <w:numId w:val="1"/>
        </w:numPr>
        <w:spacing w:after="120"/>
      </w:pPr>
      <w:r w:rsidRPr="00F6387C">
        <w:rPr>
          <w:rFonts w:asciiTheme="minorHAnsi" w:hAnsiTheme="minorHAnsi"/>
        </w:rPr>
        <w:t>The PBAC noted that th</w:t>
      </w:r>
      <w:r w:rsidR="008C6325">
        <w:rPr>
          <w:rFonts w:asciiTheme="minorHAnsi" w:hAnsiTheme="minorHAnsi"/>
        </w:rPr>
        <w:t>e</w:t>
      </w:r>
      <w:r w:rsidR="00D22DAC" w:rsidRPr="00F6387C">
        <w:rPr>
          <w:rFonts w:asciiTheme="minorHAnsi" w:hAnsiTheme="minorHAnsi"/>
        </w:rPr>
        <w:t xml:space="preserve"> resubmission provided new clinical evidence from the </w:t>
      </w:r>
      <w:proofErr w:type="spellStart"/>
      <w:r w:rsidR="00D22DAC" w:rsidRPr="00F6387C">
        <w:rPr>
          <w:rFonts w:asciiTheme="minorHAnsi" w:hAnsiTheme="minorHAnsi"/>
        </w:rPr>
        <w:t>MSBase</w:t>
      </w:r>
      <w:proofErr w:type="spellEnd"/>
      <w:r w:rsidR="00D22DAC" w:rsidRPr="00F6387C">
        <w:rPr>
          <w:rFonts w:asciiTheme="minorHAnsi" w:hAnsiTheme="minorHAnsi"/>
        </w:rPr>
        <w:t xml:space="preserve"> registry (GLIMPSE)</w:t>
      </w:r>
      <w:r w:rsidR="002912F3" w:rsidRPr="00F6387C">
        <w:rPr>
          <w:rFonts w:asciiTheme="minorHAnsi" w:hAnsiTheme="minorHAnsi"/>
        </w:rPr>
        <w:t xml:space="preserve">, </w:t>
      </w:r>
      <w:r w:rsidR="008C6325">
        <w:rPr>
          <w:rFonts w:asciiTheme="minorHAnsi" w:hAnsiTheme="minorHAnsi"/>
        </w:rPr>
        <w:t>including</w:t>
      </w:r>
      <w:r w:rsidR="008C6325" w:rsidRPr="00F6387C">
        <w:rPr>
          <w:rFonts w:asciiTheme="minorHAnsi" w:hAnsiTheme="minorHAnsi"/>
        </w:rPr>
        <w:t xml:space="preserve"> </w:t>
      </w:r>
      <w:r w:rsidR="00401986" w:rsidRPr="00F6387C">
        <w:rPr>
          <w:rFonts w:asciiTheme="minorHAnsi" w:hAnsiTheme="minorHAnsi"/>
        </w:rPr>
        <w:t>a</w:t>
      </w:r>
      <w:r w:rsidR="00D22DAC" w:rsidRPr="00F6387C">
        <w:rPr>
          <w:rFonts w:asciiTheme="minorHAnsi" w:hAnsiTheme="minorHAnsi"/>
        </w:rPr>
        <w:t xml:space="preserve"> propensity score matched analysis of this data, </w:t>
      </w:r>
      <w:r w:rsidR="00401986" w:rsidRPr="00F6387C">
        <w:rPr>
          <w:rFonts w:asciiTheme="minorHAnsi" w:hAnsiTheme="minorHAnsi"/>
        </w:rPr>
        <w:t xml:space="preserve">as well as </w:t>
      </w:r>
      <w:r w:rsidR="00B26D33" w:rsidRPr="00F6387C">
        <w:rPr>
          <w:rFonts w:asciiTheme="minorHAnsi" w:hAnsiTheme="minorHAnsi"/>
        </w:rPr>
        <w:t xml:space="preserve">data from </w:t>
      </w:r>
      <w:r w:rsidR="008C6325" w:rsidRPr="00F6387C">
        <w:t>two retrospective database studies that investigated patients who received cladribine (</w:t>
      </w:r>
      <w:proofErr w:type="spellStart"/>
      <w:r w:rsidR="008C6325" w:rsidRPr="00F6387C">
        <w:t>Magalashvili</w:t>
      </w:r>
      <w:proofErr w:type="spellEnd"/>
      <w:r w:rsidR="008C6325" w:rsidRPr="00F6387C">
        <w:t xml:space="preserve"> 2022; CLARENCE)</w:t>
      </w:r>
      <w:r w:rsidR="00D22DAC" w:rsidRPr="00F6387C">
        <w:rPr>
          <w:rFonts w:asciiTheme="minorHAnsi" w:hAnsiTheme="minorHAnsi"/>
        </w:rPr>
        <w:t xml:space="preserve">, and </w:t>
      </w:r>
      <w:r w:rsidR="008C6325">
        <w:rPr>
          <w:rFonts w:asciiTheme="minorHAnsi" w:hAnsiTheme="minorHAnsi"/>
        </w:rPr>
        <w:t>longitudinal prescribing data</w:t>
      </w:r>
      <w:r w:rsidR="008C6325" w:rsidRPr="00F6387C">
        <w:rPr>
          <w:rFonts w:asciiTheme="minorHAnsi" w:hAnsiTheme="minorHAnsi"/>
        </w:rPr>
        <w:t xml:space="preserve"> </w:t>
      </w:r>
      <w:r w:rsidR="00401986" w:rsidRPr="00F6387C">
        <w:rPr>
          <w:rFonts w:asciiTheme="minorHAnsi" w:hAnsiTheme="minorHAnsi"/>
        </w:rPr>
        <w:t>from</w:t>
      </w:r>
      <w:r w:rsidR="00D22DAC" w:rsidRPr="00F6387C">
        <w:rPr>
          <w:rFonts w:asciiTheme="minorHAnsi" w:hAnsiTheme="minorHAnsi"/>
        </w:rPr>
        <w:t xml:space="preserve"> </w:t>
      </w:r>
      <w:r w:rsidR="00401986" w:rsidRPr="00F6387C">
        <w:rPr>
          <w:rFonts w:asciiTheme="minorHAnsi" w:hAnsiTheme="minorHAnsi"/>
        </w:rPr>
        <w:t xml:space="preserve">a </w:t>
      </w:r>
      <w:r w:rsidR="00D22DAC" w:rsidRPr="00F6387C">
        <w:rPr>
          <w:rFonts w:asciiTheme="minorHAnsi" w:hAnsiTheme="minorHAnsi"/>
        </w:rPr>
        <w:t>10% sample of PBS data</w:t>
      </w:r>
      <w:r w:rsidR="00F37E82" w:rsidRPr="00F6387C">
        <w:rPr>
          <w:rFonts w:asciiTheme="minorHAnsi" w:hAnsiTheme="minorHAnsi"/>
        </w:rPr>
        <w:t xml:space="preserve"> and </w:t>
      </w:r>
      <w:r w:rsidR="00074C92">
        <w:rPr>
          <w:rFonts w:asciiTheme="minorHAnsi" w:hAnsiTheme="minorHAnsi"/>
        </w:rPr>
        <w:t xml:space="preserve">from </w:t>
      </w:r>
      <w:r w:rsidR="008C6325" w:rsidRPr="00F6387C">
        <w:t>German patients treated with cladribine (IQVIA database).</w:t>
      </w:r>
    </w:p>
    <w:p w14:paraId="709C06B1" w14:textId="2830A096" w:rsidR="00596169" w:rsidRDefault="00D22DAC" w:rsidP="001858D9">
      <w:pPr>
        <w:widowControl w:val="0"/>
        <w:numPr>
          <w:ilvl w:val="1"/>
          <w:numId w:val="1"/>
        </w:numPr>
        <w:spacing w:after="120"/>
        <w:rPr>
          <w:rFonts w:asciiTheme="minorHAnsi" w:hAnsiTheme="minorHAnsi"/>
        </w:rPr>
      </w:pPr>
      <w:r w:rsidRPr="00F6387C">
        <w:rPr>
          <w:rFonts w:asciiTheme="minorHAnsi" w:hAnsiTheme="minorHAnsi"/>
        </w:rPr>
        <w:t xml:space="preserve">The PBAC </w:t>
      </w:r>
      <w:r w:rsidR="00F37E82" w:rsidRPr="00F6387C">
        <w:rPr>
          <w:rFonts w:asciiTheme="minorHAnsi" w:hAnsiTheme="minorHAnsi"/>
        </w:rPr>
        <w:t>not</w:t>
      </w:r>
      <w:r w:rsidRPr="00F6387C">
        <w:rPr>
          <w:rFonts w:asciiTheme="minorHAnsi" w:hAnsiTheme="minorHAnsi"/>
        </w:rPr>
        <w:t>ed the</w:t>
      </w:r>
      <w:r w:rsidR="004220AE" w:rsidRPr="00F6387C">
        <w:rPr>
          <w:rFonts w:asciiTheme="minorHAnsi" w:hAnsiTheme="minorHAnsi"/>
        </w:rPr>
        <w:t xml:space="preserve"> </w:t>
      </w:r>
      <w:r w:rsidR="004F37BE">
        <w:rPr>
          <w:rFonts w:asciiTheme="minorHAnsi" w:hAnsiTheme="minorHAnsi"/>
        </w:rPr>
        <w:t xml:space="preserve">key evidence presented in the resubmission was the </w:t>
      </w:r>
      <w:r w:rsidR="004220AE" w:rsidRPr="00F6387C">
        <w:rPr>
          <w:rFonts w:asciiTheme="minorHAnsi" w:hAnsiTheme="minorHAnsi"/>
        </w:rPr>
        <w:t xml:space="preserve">propensity score matched analysis of </w:t>
      </w:r>
      <w:proofErr w:type="spellStart"/>
      <w:r w:rsidR="004220AE" w:rsidRPr="00F6387C">
        <w:rPr>
          <w:rFonts w:asciiTheme="minorHAnsi" w:hAnsiTheme="minorHAnsi"/>
        </w:rPr>
        <w:t>MS</w:t>
      </w:r>
      <w:r w:rsidR="006170FF" w:rsidRPr="00F6387C">
        <w:rPr>
          <w:rFonts w:asciiTheme="minorHAnsi" w:hAnsiTheme="minorHAnsi"/>
        </w:rPr>
        <w:t>Base</w:t>
      </w:r>
      <w:proofErr w:type="spellEnd"/>
      <w:r w:rsidR="004220AE" w:rsidRPr="00F6387C">
        <w:rPr>
          <w:rFonts w:asciiTheme="minorHAnsi" w:hAnsiTheme="minorHAnsi"/>
        </w:rPr>
        <w:t xml:space="preserve"> (GLIMPSE)</w:t>
      </w:r>
      <w:r w:rsidR="001C0594" w:rsidRPr="00F6387C">
        <w:rPr>
          <w:rFonts w:asciiTheme="minorHAnsi" w:hAnsiTheme="minorHAnsi"/>
        </w:rPr>
        <w:t xml:space="preserve"> where patients starting treatment with cladribine or fingolimod (either naïve or switched) were matched based on potential outcome determinants against the probability of receiving cladribine or fingolimod. </w:t>
      </w:r>
      <w:r w:rsidR="00A56773">
        <w:rPr>
          <w:rFonts w:asciiTheme="minorHAnsi" w:hAnsiTheme="minorHAnsi"/>
        </w:rPr>
        <w:t>T</w:t>
      </w:r>
      <w:r w:rsidR="00596169">
        <w:rPr>
          <w:rFonts w:asciiTheme="minorHAnsi" w:hAnsiTheme="minorHAnsi"/>
        </w:rPr>
        <w:t>here were three analyses presented</w:t>
      </w:r>
      <w:r w:rsidR="00A56773">
        <w:rPr>
          <w:rFonts w:asciiTheme="minorHAnsi" w:hAnsiTheme="minorHAnsi"/>
        </w:rPr>
        <w:t xml:space="preserve"> for GLIMPSE</w:t>
      </w:r>
      <w:r w:rsidR="00596169">
        <w:rPr>
          <w:rFonts w:asciiTheme="minorHAnsi" w:hAnsiTheme="minorHAnsi"/>
        </w:rPr>
        <w:t xml:space="preserve">: </w:t>
      </w:r>
      <w:r w:rsidR="00074C92">
        <w:rPr>
          <w:rFonts w:asciiTheme="minorHAnsi" w:hAnsiTheme="minorHAnsi"/>
        </w:rPr>
        <w:t xml:space="preserve">a </w:t>
      </w:r>
      <w:r w:rsidR="00596169">
        <w:rPr>
          <w:rFonts w:asciiTheme="minorHAnsi" w:hAnsiTheme="minorHAnsi"/>
        </w:rPr>
        <w:t xml:space="preserve">published analysis with a data cut of August 2021, </w:t>
      </w:r>
      <w:r w:rsidR="00074C92">
        <w:rPr>
          <w:rFonts w:asciiTheme="minorHAnsi" w:hAnsiTheme="minorHAnsi"/>
        </w:rPr>
        <w:t xml:space="preserve">an </w:t>
      </w:r>
      <w:r w:rsidR="00596169">
        <w:rPr>
          <w:rFonts w:asciiTheme="minorHAnsi" w:hAnsiTheme="minorHAnsi"/>
        </w:rPr>
        <w:t xml:space="preserve">analysis with a July 2022 data cut and </w:t>
      </w:r>
      <w:r w:rsidR="00074C92">
        <w:rPr>
          <w:rFonts w:asciiTheme="minorHAnsi" w:hAnsiTheme="minorHAnsi"/>
        </w:rPr>
        <w:t xml:space="preserve">an </w:t>
      </w:r>
      <w:r w:rsidR="00596169">
        <w:rPr>
          <w:rFonts w:asciiTheme="minorHAnsi" w:hAnsiTheme="minorHAnsi"/>
        </w:rPr>
        <w:t xml:space="preserve">analysis presented in the PSCR (and hence not evaluated) with a data cut of July 2023. The PBAC noted the </w:t>
      </w:r>
      <w:r w:rsidR="00A56773">
        <w:rPr>
          <w:rFonts w:asciiTheme="minorHAnsi" w:hAnsiTheme="minorHAnsi"/>
        </w:rPr>
        <w:t xml:space="preserve">two </w:t>
      </w:r>
      <w:r w:rsidR="00596169">
        <w:rPr>
          <w:rFonts w:asciiTheme="minorHAnsi" w:hAnsiTheme="minorHAnsi"/>
        </w:rPr>
        <w:t>evaluated matched analyses</w:t>
      </w:r>
      <w:r w:rsidR="00074C92">
        <w:rPr>
          <w:rFonts w:asciiTheme="minorHAnsi" w:hAnsiTheme="minorHAnsi"/>
        </w:rPr>
        <w:t xml:space="preserve"> (August 2021 and July 2022)</w:t>
      </w:r>
      <w:r w:rsidR="00596169">
        <w:rPr>
          <w:rFonts w:asciiTheme="minorHAnsi" w:hAnsiTheme="minorHAnsi"/>
        </w:rPr>
        <w:t xml:space="preserve"> did not include the same </w:t>
      </w:r>
      <w:r w:rsidR="00093EAF">
        <w:rPr>
          <w:rFonts w:asciiTheme="minorHAnsi" w:hAnsiTheme="minorHAnsi"/>
        </w:rPr>
        <w:t xml:space="preserve">cohort of </w:t>
      </w:r>
      <w:r w:rsidR="00596169">
        <w:rPr>
          <w:rFonts w:asciiTheme="minorHAnsi" w:hAnsiTheme="minorHAnsi"/>
        </w:rPr>
        <w:t>patients</w:t>
      </w:r>
      <w:r w:rsidR="00A56773">
        <w:rPr>
          <w:rFonts w:asciiTheme="minorHAnsi" w:hAnsiTheme="minorHAnsi"/>
        </w:rPr>
        <w:t xml:space="preserve"> (paragraph </w:t>
      </w:r>
      <w:r w:rsidR="00356231">
        <w:rPr>
          <w:rFonts w:asciiTheme="minorHAnsi" w:hAnsiTheme="minorHAnsi"/>
        </w:rPr>
        <w:fldChar w:fldCharType="begin" w:fldLock="1"/>
      </w:r>
      <w:r w:rsidR="00356231">
        <w:rPr>
          <w:rFonts w:asciiTheme="minorHAnsi" w:hAnsiTheme="minorHAnsi"/>
        </w:rPr>
        <w:instrText xml:space="preserve"> REF _Ref152573468 \r \h </w:instrText>
      </w:r>
      <w:r w:rsidR="00356231">
        <w:rPr>
          <w:rFonts w:asciiTheme="minorHAnsi" w:hAnsiTheme="minorHAnsi"/>
        </w:rPr>
      </w:r>
      <w:r w:rsidR="00356231">
        <w:rPr>
          <w:rFonts w:asciiTheme="minorHAnsi" w:hAnsiTheme="minorHAnsi"/>
        </w:rPr>
        <w:fldChar w:fldCharType="separate"/>
      </w:r>
      <w:r w:rsidR="00356231">
        <w:rPr>
          <w:rFonts w:asciiTheme="minorHAnsi" w:hAnsiTheme="minorHAnsi"/>
        </w:rPr>
        <w:t>6.10</w:t>
      </w:r>
      <w:r w:rsidR="00356231">
        <w:rPr>
          <w:rFonts w:asciiTheme="minorHAnsi" w:hAnsiTheme="minorHAnsi"/>
        </w:rPr>
        <w:fldChar w:fldCharType="end"/>
      </w:r>
      <w:r w:rsidR="00A56773">
        <w:rPr>
          <w:rFonts w:asciiTheme="minorHAnsi" w:hAnsiTheme="minorHAnsi"/>
        </w:rPr>
        <w:t>)</w:t>
      </w:r>
      <w:r w:rsidR="00596169">
        <w:rPr>
          <w:rFonts w:asciiTheme="minorHAnsi" w:hAnsiTheme="minorHAnsi"/>
        </w:rPr>
        <w:t>.</w:t>
      </w:r>
    </w:p>
    <w:p w14:paraId="6CF32770" w14:textId="11768EBA" w:rsidR="00596169" w:rsidRPr="00AD051B" w:rsidRDefault="00596169" w:rsidP="00596169">
      <w:pPr>
        <w:widowControl w:val="0"/>
        <w:numPr>
          <w:ilvl w:val="1"/>
          <w:numId w:val="1"/>
        </w:numPr>
        <w:spacing w:after="120"/>
        <w:rPr>
          <w:rFonts w:asciiTheme="minorHAnsi" w:hAnsiTheme="minorHAnsi"/>
        </w:rPr>
      </w:pPr>
      <w:r>
        <w:rPr>
          <w:rFonts w:asciiTheme="minorHAnsi" w:hAnsiTheme="minorHAnsi"/>
        </w:rPr>
        <w:t xml:space="preserve">The PBAC noted for the July 2022 data cut, prior to matching there were a number of important differences across the cladribine and fingolimod cohorts (paragraph </w:t>
      </w:r>
      <w:r w:rsidR="00356231">
        <w:rPr>
          <w:rFonts w:asciiTheme="minorHAnsi" w:hAnsiTheme="minorHAnsi"/>
        </w:rPr>
        <w:fldChar w:fldCharType="begin" w:fldLock="1"/>
      </w:r>
      <w:r w:rsidR="00356231">
        <w:rPr>
          <w:rFonts w:asciiTheme="minorHAnsi" w:hAnsiTheme="minorHAnsi"/>
        </w:rPr>
        <w:instrText xml:space="preserve"> REF _Ref152573515 \r \h </w:instrText>
      </w:r>
      <w:r w:rsidR="00356231">
        <w:rPr>
          <w:rFonts w:asciiTheme="minorHAnsi" w:hAnsiTheme="minorHAnsi"/>
        </w:rPr>
      </w:r>
      <w:r w:rsidR="00356231">
        <w:rPr>
          <w:rFonts w:asciiTheme="minorHAnsi" w:hAnsiTheme="minorHAnsi"/>
        </w:rPr>
        <w:fldChar w:fldCharType="separate"/>
      </w:r>
      <w:r w:rsidR="00356231">
        <w:rPr>
          <w:rFonts w:asciiTheme="minorHAnsi" w:hAnsiTheme="minorHAnsi"/>
        </w:rPr>
        <w:t>6.8</w:t>
      </w:r>
      <w:r w:rsidR="00356231">
        <w:rPr>
          <w:rFonts w:asciiTheme="minorHAnsi" w:hAnsiTheme="minorHAnsi"/>
        </w:rPr>
        <w:fldChar w:fldCharType="end"/>
      </w:r>
      <w:r w:rsidR="00356231">
        <w:rPr>
          <w:rFonts w:asciiTheme="minorHAnsi" w:hAnsiTheme="minorHAnsi"/>
        </w:rPr>
        <w:t>-</w:t>
      </w:r>
      <w:r w:rsidR="00356231">
        <w:rPr>
          <w:rFonts w:asciiTheme="minorHAnsi" w:hAnsiTheme="minorHAnsi"/>
        </w:rPr>
        <w:fldChar w:fldCharType="begin" w:fldLock="1"/>
      </w:r>
      <w:r w:rsidR="00356231">
        <w:rPr>
          <w:rFonts w:asciiTheme="minorHAnsi" w:hAnsiTheme="minorHAnsi"/>
        </w:rPr>
        <w:instrText xml:space="preserve"> REF _Ref152573523 \r \h </w:instrText>
      </w:r>
      <w:r w:rsidR="00356231">
        <w:rPr>
          <w:rFonts w:asciiTheme="minorHAnsi" w:hAnsiTheme="minorHAnsi"/>
        </w:rPr>
      </w:r>
      <w:r w:rsidR="00356231">
        <w:rPr>
          <w:rFonts w:asciiTheme="minorHAnsi" w:hAnsiTheme="minorHAnsi"/>
        </w:rPr>
        <w:fldChar w:fldCharType="separate"/>
      </w:r>
      <w:r w:rsidR="00356231">
        <w:rPr>
          <w:rFonts w:asciiTheme="minorHAnsi" w:hAnsiTheme="minorHAnsi"/>
        </w:rPr>
        <w:t>6.9</w:t>
      </w:r>
      <w:r w:rsidR="00356231">
        <w:rPr>
          <w:rFonts w:asciiTheme="minorHAnsi" w:hAnsiTheme="minorHAnsi"/>
        </w:rPr>
        <w:fldChar w:fldCharType="end"/>
      </w:r>
      <w:r>
        <w:rPr>
          <w:rFonts w:asciiTheme="minorHAnsi" w:hAnsiTheme="minorHAnsi"/>
        </w:rPr>
        <w:t>)</w:t>
      </w:r>
      <w:r w:rsidR="00A56773">
        <w:rPr>
          <w:rFonts w:asciiTheme="minorHAnsi" w:hAnsiTheme="minorHAnsi"/>
        </w:rPr>
        <w:t>,</w:t>
      </w:r>
      <w:r>
        <w:rPr>
          <w:rFonts w:asciiTheme="minorHAnsi" w:hAnsiTheme="minorHAnsi"/>
        </w:rPr>
        <w:t xml:space="preserve"> </w:t>
      </w:r>
      <w:r w:rsidR="00A56773">
        <w:t>and considered there may be important confounders that were not adjusted for in the matched analysis.</w:t>
      </w:r>
      <w:r w:rsidR="008548A5">
        <w:t xml:space="preserve"> </w:t>
      </w:r>
      <w:r w:rsidR="008548A5" w:rsidRPr="00F6387C">
        <w:t>Patients in the cladribine and fingolimod cohorts had a different country profile with patients receiving cladribine most commonly from Australia (53.6%), whereas patients receiving fingolimod were most commonly from Turkey (51.5%)</w:t>
      </w:r>
      <w:r w:rsidR="008548A5">
        <w:t xml:space="preserve"> followed by</w:t>
      </w:r>
      <w:r w:rsidR="008548A5" w:rsidRPr="00F6387C">
        <w:t xml:space="preserve"> Australia (9.4%).</w:t>
      </w:r>
      <w:r w:rsidRPr="00F6387C">
        <w:rPr>
          <w:iCs/>
        </w:rPr>
        <w:t xml:space="preserve"> </w:t>
      </w:r>
      <w:r w:rsidR="00A56773" w:rsidRPr="00F6387C">
        <w:t xml:space="preserve">The </w:t>
      </w:r>
      <w:r w:rsidR="008548A5">
        <w:t xml:space="preserve">PBAC noted </w:t>
      </w:r>
      <w:r w:rsidR="00FA2D06">
        <w:t xml:space="preserve">although the </w:t>
      </w:r>
      <w:r w:rsidR="00FA2D06" w:rsidRPr="00F6387C">
        <w:t xml:space="preserve">propensity score </w:t>
      </w:r>
      <w:r w:rsidR="00FA2D06">
        <w:t xml:space="preserve">matching was generally successful, </w:t>
      </w:r>
      <w:r w:rsidR="008548A5">
        <w:t xml:space="preserve">the </w:t>
      </w:r>
      <w:r w:rsidR="00A56773" w:rsidRPr="00F6387C">
        <w:t xml:space="preserve">matching </w:t>
      </w:r>
      <w:r w:rsidR="008548A5">
        <w:t>did not appear to adequately adjust for</w:t>
      </w:r>
      <w:r w:rsidR="00A56773" w:rsidRPr="00F6387C">
        <w:t xml:space="preserve"> the confounder ‘country’ </w:t>
      </w:r>
      <w:r w:rsidR="008548A5">
        <w:t>with a difference larger than the 0.15 nominated standard</w:t>
      </w:r>
      <w:r w:rsidR="00FA2D06">
        <w:t>ised difference</w:t>
      </w:r>
      <w:r w:rsidR="008548A5">
        <w:t xml:space="preserve"> retained (</w:t>
      </w:r>
      <w:r w:rsidR="00A56773" w:rsidRPr="00F6387C">
        <w:t>0.223</w:t>
      </w:r>
      <w:r w:rsidR="008548A5">
        <w:t>)</w:t>
      </w:r>
      <w:r w:rsidR="00A56773" w:rsidRPr="00F6387C">
        <w:t>.</w:t>
      </w:r>
    </w:p>
    <w:p w14:paraId="686E792A" w14:textId="5AF9E0CA" w:rsidR="00EB0731" w:rsidRPr="00EB0731" w:rsidRDefault="008548A5" w:rsidP="00EB0731">
      <w:pPr>
        <w:widowControl w:val="0"/>
        <w:numPr>
          <w:ilvl w:val="1"/>
          <w:numId w:val="1"/>
        </w:numPr>
        <w:spacing w:after="120"/>
        <w:rPr>
          <w:rFonts w:asciiTheme="minorHAnsi" w:hAnsiTheme="minorHAnsi"/>
        </w:rPr>
      </w:pPr>
      <w:r>
        <w:rPr>
          <w:rFonts w:asciiTheme="minorHAnsi" w:hAnsiTheme="minorHAnsi"/>
        </w:rPr>
        <w:t xml:space="preserve">The PBAC noted relatively few patients in </w:t>
      </w:r>
      <w:r w:rsidR="00093EAF">
        <w:rPr>
          <w:rFonts w:asciiTheme="minorHAnsi" w:hAnsiTheme="minorHAnsi"/>
        </w:rPr>
        <w:t>all</w:t>
      </w:r>
      <w:r>
        <w:rPr>
          <w:rFonts w:asciiTheme="minorHAnsi" w:hAnsiTheme="minorHAnsi"/>
        </w:rPr>
        <w:t xml:space="preserve"> three analyses received treatment for four years. For example, </w:t>
      </w:r>
      <w:r w:rsidR="00056BE2">
        <w:rPr>
          <w:rFonts w:asciiTheme="minorHAnsi" w:hAnsiTheme="minorHAnsi"/>
        </w:rPr>
        <w:t>in the July 2022 analysis of the proportion of patients remaining relapse free, 3 patients</w:t>
      </w:r>
      <w:r w:rsidR="00A8301A">
        <w:rPr>
          <w:rFonts w:asciiTheme="minorHAnsi" w:hAnsiTheme="minorHAnsi"/>
        </w:rPr>
        <w:t xml:space="preserve"> (0.4%)</w:t>
      </w:r>
      <w:r w:rsidR="00056BE2">
        <w:rPr>
          <w:rFonts w:asciiTheme="minorHAnsi" w:hAnsiTheme="minorHAnsi"/>
        </w:rPr>
        <w:t xml:space="preserve"> in the cladribine cohort and 15 </w:t>
      </w:r>
      <w:r w:rsidR="00074C92">
        <w:rPr>
          <w:rFonts w:asciiTheme="minorHAnsi" w:hAnsiTheme="minorHAnsi"/>
        </w:rPr>
        <w:t>patients</w:t>
      </w:r>
      <w:r w:rsidR="00A8301A">
        <w:rPr>
          <w:rFonts w:asciiTheme="minorHAnsi" w:hAnsiTheme="minorHAnsi"/>
        </w:rPr>
        <w:t xml:space="preserve"> (2%)</w:t>
      </w:r>
      <w:r w:rsidR="00074C92">
        <w:rPr>
          <w:rFonts w:asciiTheme="minorHAnsi" w:hAnsiTheme="minorHAnsi"/>
        </w:rPr>
        <w:t xml:space="preserve"> </w:t>
      </w:r>
      <w:r w:rsidR="00056BE2">
        <w:rPr>
          <w:rFonts w:asciiTheme="minorHAnsi" w:hAnsiTheme="minorHAnsi"/>
        </w:rPr>
        <w:t>in the fingolimod cohort remained at risk</w:t>
      </w:r>
      <w:r w:rsidR="00420A3A">
        <w:rPr>
          <w:rFonts w:asciiTheme="minorHAnsi" w:hAnsiTheme="minorHAnsi"/>
        </w:rPr>
        <w:t xml:space="preserve"> at four years</w:t>
      </w:r>
      <w:r w:rsidR="00056BE2">
        <w:rPr>
          <w:rFonts w:asciiTheme="minorHAnsi" w:hAnsiTheme="minorHAnsi"/>
        </w:rPr>
        <w:t xml:space="preserve">. Although this increased to 61 </w:t>
      </w:r>
      <w:r w:rsidR="00A8301A">
        <w:rPr>
          <w:rFonts w:asciiTheme="minorHAnsi" w:hAnsiTheme="minorHAnsi"/>
        </w:rPr>
        <w:t xml:space="preserve">patients </w:t>
      </w:r>
      <w:r w:rsidR="00056BE2">
        <w:rPr>
          <w:rFonts w:asciiTheme="minorHAnsi" w:hAnsiTheme="minorHAnsi"/>
        </w:rPr>
        <w:t>(5%) and 119</w:t>
      </w:r>
      <w:r w:rsidR="00A8301A">
        <w:rPr>
          <w:rFonts w:asciiTheme="minorHAnsi" w:hAnsiTheme="minorHAnsi"/>
        </w:rPr>
        <w:t xml:space="preserve"> patients</w:t>
      </w:r>
      <w:r w:rsidR="00056BE2">
        <w:rPr>
          <w:rFonts w:asciiTheme="minorHAnsi" w:hAnsiTheme="minorHAnsi"/>
        </w:rPr>
        <w:t xml:space="preserve"> (10%), respectively</w:t>
      </w:r>
      <w:r w:rsidR="00A8301A">
        <w:rPr>
          <w:rFonts w:asciiTheme="minorHAnsi" w:hAnsiTheme="minorHAnsi"/>
        </w:rPr>
        <w:t>,</w:t>
      </w:r>
      <w:r w:rsidR="00056BE2">
        <w:rPr>
          <w:rFonts w:asciiTheme="minorHAnsi" w:hAnsiTheme="minorHAnsi"/>
        </w:rPr>
        <w:t xml:space="preserve"> in the July 2023 analysis</w:t>
      </w:r>
      <w:r w:rsidR="00074C92">
        <w:rPr>
          <w:rFonts w:asciiTheme="minorHAnsi" w:hAnsiTheme="minorHAnsi"/>
        </w:rPr>
        <w:t>,</w:t>
      </w:r>
      <w:r w:rsidR="00EB0731">
        <w:rPr>
          <w:rFonts w:asciiTheme="minorHAnsi" w:hAnsiTheme="minorHAnsi"/>
        </w:rPr>
        <w:t xml:space="preserve"> the number of patients with 4 years of follow-up remained small.</w:t>
      </w:r>
      <w:r w:rsidR="00056BE2">
        <w:rPr>
          <w:rFonts w:asciiTheme="minorHAnsi" w:hAnsiTheme="minorHAnsi"/>
        </w:rPr>
        <w:t xml:space="preserve"> The PBAC</w:t>
      </w:r>
      <w:r w:rsidR="00EB0731">
        <w:rPr>
          <w:rFonts w:asciiTheme="minorHAnsi" w:hAnsiTheme="minorHAnsi"/>
        </w:rPr>
        <w:t xml:space="preserve"> </w:t>
      </w:r>
      <w:r w:rsidR="00056BE2">
        <w:rPr>
          <w:rFonts w:asciiTheme="minorHAnsi" w:hAnsiTheme="minorHAnsi"/>
        </w:rPr>
        <w:t xml:space="preserve">further noted that </w:t>
      </w:r>
      <w:r w:rsidR="00056BE2" w:rsidRPr="00F6387C">
        <w:rPr>
          <w:iCs/>
        </w:rPr>
        <w:t xml:space="preserve">the </w:t>
      </w:r>
      <w:r w:rsidR="00056BE2">
        <w:rPr>
          <w:iCs/>
        </w:rPr>
        <w:t>annualised relapse rate</w:t>
      </w:r>
      <w:r w:rsidR="00074C92">
        <w:rPr>
          <w:iCs/>
        </w:rPr>
        <w:t xml:space="preserve"> (ARR)</w:t>
      </w:r>
      <w:r w:rsidR="00EB0731">
        <w:rPr>
          <w:iCs/>
        </w:rPr>
        <w:t xml:space="preserve"> varied across the three analyses, with the rate decreasing for fingolimod by approximately 30%</w:t>
      </w:r>
      <w:r w:rsidR="00074C92">
        <w:rPr>
          <w:iCs/>
        </w:rPr>
        <w:t xml:space="preserve"> over the three analyses</w:t>
      </w:r>
      <w:r w:rsidR="00EB0731">
        <w:rPr>
          <w:iCs/>
        </w:rPr>
        <w:t>, and conversely increasing for cladribine by approximately 7%</w:t>
      </w:r>
      <w:r w:rsidR="00074C92">
        <w:rPr>
          <w:iCs/>
        </w:rPr>
        <w:t xml:space="preserve"> (paragraph </w:t>
      </w:r>
      <w:r w:rsidR="00211775">
        <w:rPr>
          <w:iCs/>
        </w:rPr>
        <w:fldChar w:fldCharType="begin" w:fldLock="1"/>
      </w:r>
      <w:r w:rsidR="00211775">
        <w:rPr>
          <w:iCs/>
        </w:rPr>
        <w:instrText xml:space="preserve"> REF _Ref152573835 \r \h </w:instrText>
      </w:r>
      <w:r w:rsidR="00211775">
        <w:rPr>
          <w:iCs/>
        </w:rPr>
      </w:r>
      <w:r w:rsidR="00211775">
        <w:rPr>
          <w:iCs/>
        </w:rPr>
        <w:fldChar w:fldCharType="separate"/>
      </w:r>
      <w:r w:rsidR="00211775">
        <w:rPr>
          <w:iCs/>
        </w:rPr>
        <w:t>6.15</w:t>
      </w:r>
      <w:r w:rsidR="00211775">
        <w:rPr>
          <w:iCs/>
        </w:rPr>
        <w:fldChar w:fldCharType="end"/>
      </w:r>
      <w:r w:rsidR="00074C92">
        <w:rPr>
          <w:iCs/>
        </w:rPr>
        <w:t>)</w:t>
      </w:r>
      <w:r w:rsidR="00EB0731">
        <w:rPr>
          <w:iCs/>
        </w:rPr>
        <w:t>. Overall</w:t>
      </w:r>
      <w:r w:rsidR="00420A3A">
        <w:rPr>
          <w:iCs/>
        </w:rPr>
        <w:t>,</w:t>
      </w:r>
      <w:r w:rsidR="00EB0731">
        <w:rPr>
          <w:rFonts w:asciiTheme="minorHAnsi" w:hAnsiTheme="minorHAnsi"/>
        </w:rPr>
        <w:t xml:space="preserve"> the PBAC considered there was limited data to inform the comparative efficacy of cladribine and fingolimod over a four year period.</w:t>
      </w:r>
    </w:p>
    <w:p w14:paraId="7FCE73C1" w14:textId="592EC757" w:rsidR="006132CE" w:rsidRPr="00F6387C" w:rsidRDefault="006A309D" w:rsidP="006132CE">
      <w:pPr>
        <w:widowControl w:val="0"/>
        <w:numPr>
          <w:ilvl w:val="1"/>
          <w:numId w:val="1"/>
        </w:numPr>
        <w:spacing w:after="120"/>
        <w:rPr>
          <w:rFonts w:asciiTheme="minorHAnsi" w:hAnsiTheme="minorHAnsi"/>
        </w:rPr>
      </w:pPr>
      <w:r w:rsidRPr="00F6387C">
        <w:rPr>
          <w:rFonts w:asciiTheme="minorHAnsi" w:hAnsiTheme="minorHAnsi"/>
        </w:rPr>
        <w:t>With regards to the additional evidence sources presented in the submission</w:t>
      </w:r>
      <w:r w:rsidR="006132CE" w:rsidRPr="00F6387C">
        <w:rPr>
          <w:rFonts w:asciiTheme="minorHAnsi" w:hAnsiTheme="minorHAnsi"/>
        </w:rPr>
        <w:t>, the PBAC considered:</w:t>
      </w:r>
    </w:p>
    <w:p w14:paraId="6199A927" w14:textId="15EB5D7E" w:rsidR="006132CE" w:rsidRPr="00F6387C" w:rsidRDefault="006132CE" w:rsidP="006132CE">
      <w:pPr>
        <w:pStyle w:val="ListParagraph"/>
        <w:widowControl w:val="0"/>
        <w:numPr>
          <w:ilvl w:val="0"/>
          <w:numId w:val="44"/>
        </w:numPr>
        <w:ind w:left="1134"/>
      </w:pPr>
      <w:r w:rsidRPr="00F6387C">
        <w:t xml:space="preserve">The </w:t>
      </w:r>
      <w:r w:rsidR="00210A73" w:rsidRPr="00F6387C">
        <w:t xml:space="preserve">data from </w:t>
      </w:r>
      <w:proofErr w:type="spellStart"/>
      <w:r w:rsidR="00210A73" w:rsidRPr="00F6387C">
        <w:t>Magalashvili</w:t>
      </w:r>
      <w:proofErr w:type="spellEnd"/>
      <w:r w:rsidR="00210A73" w:rsidRPr="00F6387C">
        <w:t xml:space="preserve"> 2022</w:t>
      </w:r>
      <w:r w:rsidRPr="00F6387C">
        <w:t xml:space="preserve"> (paragraphs </w:t>
      </w:r>
      <w:r w:rsidRPr="00F6387C">
        <w:fldChar w:fldCharType="begin" w:fldLock="1"/>
      </w:r>
      <w:r w:rsidRPr="00F6387C">
        <w:instrText xml:space="preserve"> REF _Ref151124022 \r \h </w:instrText>
      </w:r>
      <w:r w:rsidRPr="00F6387C">
        <w:fldChar w:fldCharType="separate"/>
      </w:r>
      <w:r w:rsidRPr="00F6387C">
        <w:t>6.24</w:t>
      </w:r>
      <w:r w:rsidRPr="00F6387C">
        <w:fldChar w:fldCharType="end"/>
      </w:r>
      <w:r w:rsidRPr="00F6387C">
        <w:t>-</w:t>
      </w:r>
      <w:r w:rsidRPr="00F6387C">
        <w:fldChar w:fldCharType="begin" w:fldLock="1"/>
      </w:r>
      <w:r w:rsidRPr="00F6387C">
        <w:instrText xml:space="preserve"> REF _Ref151124027 \r \h </w:instrText>
      </w:r>
      <w:r w:rsidRPr="00F6387C">
        <w:fldChar w:fldCharType="separate"/>
      </w:r>
      <w:r w:rsidRPr="00F6387C">
        <w:t>6.25</w:t>
      </w:r>
      <w:r w:rsidRPr="00F6387C">
        <w:fldChar w:fldCharType="end"/>
      </w:r>
      <w:r w:rsidRPr="00F6387C">
        <w:t>, Tables 6-7)</w:t>
      </w:r>
      <w:r w:rsidR="00210A73" w:rsidRPr="00F6387C">
        <w:t xml:space="preserve"> </w:t>
      </w:r>
      <w:r w:rsidR="002912F3" w:rsidRPr="00F6387C">
        <w:t>was of limited value</w:t>
      </w:r>
      <w:r w:rsidR="00210A73" w:rsidRPr="00F6387C">
        <w:t xml:space="preserve"> given there was no comparator and noting the attrition rate in years 3</w:t>
      </w:r>
      <w:r w:rsidRPr="00F6387C">
        <w:t xml:space="preserve"> </w:t>
      </w:r>
      <w:r w:rsidR="00074C92">
        <w:t>and</w:t>
      </w:r>
      <w:r w:rsidRPr="00F6387C">
        <w:t xml:space="preserve"> </w:t>
      </w:r>
      <w:proofErr w:type="gramStart"/>
      <w:r w:rsidR="00210A73" w:rsidRPr="00F6387C">
        <w:t>4</w:t>
      </w:r>
      <w:r w:rsidRPr="00F6387C">
        <w:t>;</w:t>
      </w:r>
      <w:proofErr w:type="gramEnd"/>
      <w:r w:rsidRPr="00F6387C">
        <w:t xml:space="preserve"> </w:t>
      </w:r>
    </w:p>
    <w:p w14:paraId="0A4A7FC0" w14:textId="65B5EE18" w:rsidR="00210A73" w:rsidRPr="00F6387C" w:rsidRDefault="00074C92" w:rsidP="006132CE">
      <w:pPr>
        <w:pStyle w:val="ListParagraph"/>
        <w:widowControl w:val="0"/>
        <w:numPr>
          <w:ilvl w:val="0"/>
          <w:numId w:val="44"/>
        </w:numPr>
        <w:ind w:left="1134"/>
      </w:pPr>
      <w:r>
        <w:t>W</w:t>
      </w:r>
      <w:r w:rsidR="00210A73" w:rsidRPr="00F6387C">
        <w:t xml:space="preserve">hile the </w:t>
      </w:r>
      <w:r w:rsidR="00E87E31" w:rsidRPr="00F6387C">
        <w:t xml:space="preserve">treatment </w:t>
      </w:r>
      <w:r w:rsidR="00210A73" w:rsidRPr="00F6387C">
        <w:t>switch rate was low</w:t>
      </w:r>
      <w:r>
        <w:t xml:space="preserve"> for </w:t>
      </w:r>
      <w:proofErr w:type="spellStart"/>
      <w:r>
        <w:t>cladrabine</w:t>
      </w:r>
      <w:proofErr w:type="spellEnd"/>
      <w:r w:rsidR="00210A73" w:rsidRPr="00F6387C">
        <w:t xml:space="preserve"> in the CLARENCE study</w:t>
      </w:r>
      <w:r w:rsidR="006132CE" w:rsidRPr="00F6387C">
        <w:t xml:space="preserve"> (paragraph </w:t>
      </w:r>
      <w:r w:rsidR="006132CE" w:rsidRPr="00F6387C">
        <w:fldChar w:fldCharType="begin" w:fldLock="1"/>
      </w:r>
      <w:r w:rsidR="006132CE" w:rsidRPr="00F6387C">
        <w:instrText xml:space="preserve"> REF _Ref151124005 \r \h </w:instrText>
      </w:r>
      <w:r w:rsidR="006132CE" w:rsidRPr="00F6387C">
        <w:fldChar w:fldCharType="separate"/>
      </w:r>
      <w:r w:rsidR="006132CE" w:rsidRPr="00F6387C">
        <w:t>6.26</w:t>
      </w:r>
      <w:r w:rsidR="006132CE" w:rsidRPr="00F6387C">
        <w:fldChar w:fldCharType="end"/>
      </w:r>
      <w:r w:rsidR="006132CE" w:rsidRPr="00F6387C">
        <w:t>)</w:t>
      </w:r>
      <w:r>
        <w:t>,</w:t>
      </w:r>
      <w:r w:rsidR="00210A73" w:rsidRPr="00F6387C">
        <w:t xml:space="preserve"> </w:t>
      </w:r>
      <w:r w:rsidR="00E87E31" w:rsidRPr="00F6387C">
        <w:t>the analysis was of limited value</w:t>
      </w:r>
      <w:r w:rsidR="00210A73" w:rsidRPr="00F6387C">
        <w:t xml:space="preserve"> given there was no comparator</w:t>
      </w:r>
      <w:r w:rsidR="006132CE" w:rsidRPr="00F6387C">
        <w:t>; and</w:t>
      </w:r>
    </w:p>
    <w:p w14:paraId="09308083" w14:textId="4A11D877" w:rsidR="00210A73" w:rsidRPr="00F6387C" w:rsidRDefault="00074C92" w:rsidP="006132CE">
      <w:pPr>
        <w:pStyle w:val="ListParagraph"/>
        <w:widowControl w:val="0"/>
        <w:numPr>
          <w:ilvl w:val="0"/>
          <w:numId w:val="44"/>
        </w:numPr>
        <w:ind w:left="1134"/>
      </w:pPr>
      <w:r>
        <w:t>Although</w:t>
      </w:r>
      <w:r w:rsidR="00210A73" w:rsidRPr="00F6387C">
        <w:t xml:space="preserve"> the </w:t>
      </w:r>
      <w:r w:rsidR="00500764">
        <w:t>analysis of</w:t>
      </w:r>
      <w:r w:rsidR="00210A73" w:rsidRPr="00F6387C">
        <w:t xml:space="preserve"> the 10% sample of PBS data</w:t>
      </w:r>
      <w:r w:rsidR="006132CE" w:rsidRPr="00F6387C">
        <w:t xml:space="preserve"> (paragraphs </w:t>
      </w:r>
      <w:r w:rsidR="006132CE" w:rsidRPr="00F6387C">
        <w:fldChar w:fldCharType="begin" w:fldLock="1"/>
      </w:r>
      <w:r w:rsidR="006132CE" w:rsidRPr="00F6387C">
        <w:instrText xml:space="preserve"> REF _Ref151124051 \r \h </w:instrText>
      </w:r>
      <w:r w:rsidR="006132CE" w:rsidRPr="00F6387C">
        <w:fldChar w:fldCharType="separate"/>
      </w:r>
      <w:r w:rsidR="006132CE" w:rsidRPr="00F6387C">
        <w:t>6.27</w:t>
      </w:r>
      <w:r w:rsidR="006132CE" w:rsidRPr="00F6387C">
        <w:fldChar w:fldCharType="end"/>
      </w:r>
      <w:r w:rsidR="006132CE" w:rsidRPr="00F6387C">
        <w:t>-</w:t>
      </w:r>
      <w:r w:rsidR="006132CE" w:rsidRPr="00F6387C">
        <w:fldChar w:fldCharType="begin" w:fldLock="1"/>
      </w:r>
      <w:r w:rsidR="006132CE" w:rsidRPr="00F6387C">
        <w:instrText xml:space="preserve"> REF _Ref151124059 \r \h </w:instrText>
      </w:r>
      <w:r w:rsidR="006132CE" w:rsidRPr="00F6387C">
        <w:fldChar w:fldCharType="separate"/>
      </w:r>
      <w:r w:rsidR="006132CE" w:rsidRPr="00F6387C">
        <w:t>6.31</w:t>
      </w:r>
      <w:r w:rsidR="006132CE" w:rsidRPr="00F6387C">
        <w:fldChar w:fldCharType="end"/>
      </w:r>
      <w:r w:rsidR="006132CE" w:rsidRPr="00F6387C">
        <w:t xml:space="preserve">, </w:t>
      </w:r>
      <w:r w:rsidR="00420A3A">
        <w:t>T</w:t>
      </w:r>
      <w:r w:rsidR="006132CE" w:rsidRPr="00F6387C">
        <w:t xml:space="preserve">able 9) </w:t>
      </w:r>
      <w:r w:rsidR="00210A73" w:rsidRPr="00F6387C">
        <w:t>indicated</w:t>
      </w:r>
      <w:r w:rsidR="00700C24" w:rsidRPr="00F6387C">
        <w:t xml:space="preserve"> that </w:t>
      </w:r>
      <w:r w:rsidR="00210A73" w:rsidRPr="00F6387C">
        <w:t>the switch rate for cladribine was low</w:t>
      </w:r>
      <w:r w:rsidR="00500764">
        <w:t>er than for fingolimod</w:t>
      </w:r>
      <w:r w:rsidR="00832544" w:rsidRPr="00F6387C">
        <w:t>,</w:t>
      </w:r>
      <w:r w:rsidR="00700C24" w:rsidRPr="00F6387C">
        <w:t xml:space="preserve"> </w:t>
      </w:r>
      <w:r w:rsidR="00210A73" w:rsidRPr="00F6387C">
        <w:t xml:space="preserve">this was </w:t>
      </w:r>
      <w:r w:rsidR="00500764">
        <w:t xml:space="preserve">based on </w:t>
      </w:r>
      <w:r w:rsidR="00210A73" w:rsidRPr="00F6387C">
        <w:t xml:space="preserve">an unadjusted comparison </w:t>
      </w:r>
      <w:r w:rsidR="00832544" w:rsidRPr="00F6387C">
        <w:t xml:space="preserve">and </w:t>
      </w:r>
      <w:r>
        <w:t>hence</w:t>
      </w:r>
      <w:r w:rsidR="00210A73" w:rsidRPr="00F6387C">
        <w:t xml:space="preserve"> was of limited value </w:t>
      </w:r>
      <w:r w:rsidR="00500764">
        <w:t>as</w:t>
      </w:r>
      <w:r w:rsidR="00500764" w:rsidRPr="00F6387C">
        <w:t xml:space="preserve"> </w:t>
      </w:r>
      <w:r w:rsidR="00210A73" w:rsidRPr="00F6387C">
        <w:t>it was</w:t>
      </w:r>
      <w:r w:rsidR="00500764">
        <w:t xml:space="preserve"> </w:t>
      </w:r>
      <w:r w:rsidR="00210A73" w:rsidRPr="00F6387C">
        <w:t>n</w:t>
      </w:r>
      <w:r w:rsidR="00500764">
        <w:t>o</w:t>
      </w:r>
      <w:r w:rsidR="00210A73" w:rsidRPr="00F6387C">
        <w:t xml:space="preserve">t possible to determine whether the patient populations being compared were similar. </w:t>
      </w:r>
    </w:p>
    <w:p w14:paraId="3D950F2A" w14:textId="29AA2A11" w:rsidR="00F37E82" w:rsidRPr="00F6387C" w:rsidRDefault="002912F3" w:rsidP="00F37E82">
      <w:pPr>
        <w:pStyle w:val="3-BodyText"/>
        <w:rPr>
          <w:szCs w:val="20"/>
        </w:rPr>
      </w:pPr>
      <w:r w:rsidRPr="00F6387C">
        <w:rPr>
          <w:iCs/>
        </w:rPr>
        <w:t>T</w:t>
      </w:r>
      <w:r w:rsidR="00F37E82" w:rsidRPr="00F6387C">
        <w:rPr>
          <w:iCs/>
        </w:rPr>
        <w:t>he</w:t>
      </w:r>
      <w:r w:rsidR="00F37E82" w:rsidRPr="00F6387C">
        <w:rPr>
          <w:szCs w:val="20"/>
        </w:rPr>
        <w:t xml:space="preserve"> PBAC </w:t>
      </w:r>
      <w:r w:rsidR="00F37E82" w:rsidRPr="00F6387C">
        <w:t>considered th</w:t>
      </w:r>
      <w:r w:rsidR="00700C24" w:rsidRPr="00F6387C">
        <w:t>at based on the available evidence,</w:t>
      </w:r>
      <w:r w:rsidR="00F37E82" w:rsidRPr="00F6387C">
        <w:t xml:space="preserve"> </w:t>
      </w:r>
      <w:r w:rsidR="00832544" w:rsidRPr="00F6387C">
        <w:t>the</w:t>
      </w:r>
      <w:r w:rsidR="006E7848" w:rsidRPr="00F6387C">
        <w:t xml:space="preserve"> </w:t>
      </w:r>
      <w:r w:rsidR="00F37E82" w:rsidRPr="00F6387C">
        <w:t xml:space="preserve">clinical claim of non-inferior comparative efficacy of cladribine </w:t>
      </w:r>
      <w:r w:rsidR="00F65ED5" w:rsidRPr="00F6387C">
        <w:t xml:space="preserve">for two years (with two year of no treatment) </w:t>
      </w:r>
      <w:r w:rsidR="00F37E82" w:rsidRPr="00F6387C">
        <w:t xml:space="preserve">and fingolimod over four years was not adequately </w:t>
      </w:r>
      <w:r w:rsidR="00500764">
        <w:t>supported</w:t>
      </w:r>
      <w:r w:rsidR="00F37E82" w:rsidRPr="00F6387C">
        <w:rPr>
          <w:szCs w:val="20"/>
        </w:rPr>
        <w:t>.</w:t>
      </w:r>
    </w:p>
    <w:p w14:paraId="69444CCD" w14:textId="4521C534" w:rsidR="00385F7A" w:rsidRPr="00F6387C" w:rsidRDefault="00385F7A" w:rsidP="00385F7A">
      <w:pPr>
        <w:pStyle w:val="3-BodyText"/>
      </w:pPr>
      <w:r w:rsidRPr="00F6387C">
        <w:t>The PBAC considered the existing equi-effective doses for cladribine and fingolimod remained appropriate.</w:t>
      </w:r>
    </w:p>
    <w:p w14:paraId="3F427FD1" w14:textId="3C67D7D5" w:rsidR="009729BE" w:rsidRDefault="009729BE" w:rsidP="009729BE">
      <w:pPr>
        <w:widowControl w:val="0"/>
        <w:numPr>
          <w:ilvl w:val="1"/>
          <w:numId w:val="1"/>
        </w:numPr>
        <w:spacing w:after="120"/>
        <w:rPr>
          <w:rFonts w:asciiTheme="minorHAnsi" w:hAnsiTheme="minorHAnsi"/>
        </w:rPr>
      </w:pPr>
      <w:r w:rsidRPr="00F6387C">
        <w:rPr>
          <w:rFonts w:asciiTheme="minorHAnsi" w:hAnsiTheme="minorHAnsi"/>
        </w:rPr>
        <w:t xml:space="preserve">The PBAC noted that the resubmission presented a cost-minimisation approach (CMA) </w:t>
      </w:r>
      <w:r w:rsidRPr="00F6387C">
        <w:rPr>
          <w:rFonts w:eastAsia="Calibri"/>
        </w:rPr>
        <w:t>of cladribine administered over two years (plus two years of no treatment) compared to</w:t>
      </w:r>
      <w:r w:rsidRPr="00F6387C">
        <w:t xml:space="preserve"> fingolimod administered over four years</w:t>
      </w:r>
      <w:r w:rsidRPr="00F6387C">
        <w:rPr>
          <w:rFonts w:asciiTheme="minorHAnsi" w:hAnsiTheme="minorHAnsi"/>
        </w:rPr>
        <w:t>.</w:t>
      </w:r>
      <w:r w:rsidR="00466DEB" w:rsidRPr="00F6387C">
        <w:rPr>
          <w:rFonts w:asciiTheme="minorHAnsi" w:hAnsiTheme="minorHAnsi"/>
        </w:rPr>
        <w:t xml:space="preserve"> </w:t>
      </w:r>
      <w:r w:rsidR="00D611D8" w:rsidRPr="00F6387C">
        <w:rPr>
          <w:rFonts w:asciiTheme="minorHAnsi" w:hAnsiTheme="minorHAnsi"/>
        </w:rPr>
        <w:t xml:space="preserve">The </w:t>
      </w:r>
      <w:r w:rsidR="002B705F">
        <w:rPr>
          <w:rFonts w:asciiTheme="minorHAnsi" w:hAnsiTheme="minorHAnsi"/>
        </w:rPr>
        <w:t xml:space="preserve">price for cladribine proposed in the </w:t>
      </w:r>
      <w:r w:rsidR="00D611D8" w:rsidRPr="00F6387C">
        <w:rPr>
          <w:rFonts w:asciiTheme="minorHAnsi" w:hAnsiTheme="minorHAnsi"/>
        </w:rPr>
        <w:t xml:space="preserve">pre-PBAC response </w:t>
      </w:r>
      <w:r w:rsidR="002B705F">
        <w:rPr>
          <w:rFonts w:asciiTheme="minorHAnsi" w:hAnsiTheme="minorHAnsi"/>
        </w:rPr>
        <w:t>was reduced</w:t>
      </w:r>
      <w:r w:rsidR="00D611D8" w:rsidRPr="00F6387C">
        <w:rPr>
          <w:rFonts w:asciiTheme="minorHAnsi" w:hAnsiTheme="minorHAnsi"/>
        </w:rPr>
        <w:t xml:space="preserve"> </w:t>
      </w:r>
      <w:r w:rsidR="00E305EE" w:rsidRPr="00F6387C">
        <w:rPr>
          <w:rFonts w:asciiTheme="minorHAnsi" w:hAnsiTheme="minorHAnsi"/>
        </w:rPr>
        <w:t xml:space="preserve">based on a revised CMA with switching assumptions </w:t>
      </w:r>
      <w:r w:rsidR="002B705F">
        <w:rPr>
          <w:rFonts w:asciiTheme="minorHAnsi" w:hAnsiTheme="minorHAnsi"/>
        </w:rPr>
        <w:t xml:space="preserve">and associated cost offsets </w:t>
      </w:r>
      <w:r w:rsidR="00E305EE" w:rsidRPr="00F6387C">
        <w:rPr>
          <w:rFonts w:asciiTheme="minorHAnsi" w:hAnsiTheme="minorHAnsi"/>
        </w:rPr>
        <w:t>removed</w:t>
      </w:r>
      <w:r w:rsidR="00E305EE" w:rsidRPr="00F6387C">
        <w:t xml:space="preserve">. </w:t>
      </w:r>
      <w:r w:rsidR="00420A3A">
        <w:t xml:space="preserve">However, </w:t>
      </w:r>
      <w:r w:rsidR="00420A3A">
        <w:rPr>
          <w:rFonts w:asciiTheme="minorHAnsi" w:hAnsiTheme="minorHAnsi"/>
        </w:rPr>
        <w:t>t</w:t>
      </w:r>
      <w:r w:rsidR="00D611D8" w:rsidRPr="00F6387C">
        <w:rPr>
          <w:rFonts w:asciiTheme="minorHAnsi" w:hAnsiTheme="minorHAnsi"/>
        </w:rPr>
        <w:t xml:space="preserve">he PBAC considered the CMA </w:t>
      </w:r>
      <w:r w:rsidR="002B705F">
        <w:rPr>
          <w:rFonts w:asciiTheme="minorHAnsi" w:hAnsiTheme="minorHAnsi"/>
        </w:rPr>
        <w:t xml:space="preserve">presented </w:t>
      </w:r>
      <w:r w:rsidR="00D611D8" w:rsidRPr="00F6387C">
        <w:rPr>
          <w:rFonts w:asciiTheme="minorHAnsi" w:hAnsiTheme="minorHAnsi"/>
        </w:rPr>
        <w:t xml:space="preserve">was not </w:t>
      </w:r>
      <w:r w:rsidR="002B705F">
        <w:rPr>
          <w:rFonts w:asciiTheme="minorHAnsi" w:hAnsiTheme="minorHAnsi"/>
        </w:rPr>
        <w:t>reasonable</w:t>
      </w:r>
      <w:r w:rsidR="00F84FD2" w:rsidRPr="00F6387C">
        <w:rPr>
          <w:rFonts w:asciiTheme="minorHAnsi" w:hAnsiTheme="minorHAnsi"/>
        </w:rPr>
        <w:t xml:space="preserve">, </w:t>
      </w:r>
      <w:r w:rsidR="00D611D8" w:rsidRPr="00F6387C">
        <w:rPr>
          <w:rFonts w:asciiTheme="minorHAnsi" w:hAnsiTheme="minorHAnsi"/>
        </w:rPr>
        <w:t xml:space="preserve">as the clinical </w:t>
      </w:r>
      <w:r w:rsidR="009A11B8" w:rsidRPr="00F6387C">
        <w:rPr>
          <w:rFonts w:asciiTheme="minorHAnsi" w:hAnsiTheme="minorHAnsi"/>
        </w:rPr>
        <w:t>evidence</w:t>
      </w:r>
      <w:r w:rsidR="00D611D8" w:rsidRPr="00F6387C">
        <w:rPr>
          <w:rFonts w:asciiTheme="minorHAnsi" w:hAnsiTheme="minorHAnsi"/>
        </w:rPr>
        <w:t xml:space="preserve"> submitted did not adequately demonstrate the non-inferiority of cladribine and fingolimod over </w:t>
      </w:r>
      <w:r w:rsidR="002B705F">
        <w:rPr>
          <w:rFonts w:asciiTheme="minorHAnsi" w:hAnsiTheme="minorHAnsi"/>
        </w:rPr>
        <w:t>four</w:t>
      </w:r>
      <w:r w:rsidR="00D611D8" w:rsidRPr="00F6387C">
        <w:rPr>
          <w:rFonts w:asciiTheme="minorHAnsi" w:hAnsiTheme="minorHAnsi"/>
        </w:rPr>
        <w:t xml:space="preserve"> years. </w:t>
      </w:r>
    </w:p>
    <w:p w14:paraId="6C174ACF" w14:textId="521135F6" w:rsidR="007C4B09" w:rsidRPr="002B705F" w:rsidRDefault="007C4B09" w:rsidP="0067556F">
      <w:pPr>
        <w:pStyle w:val="3-BodyText"/>
        <w:widowControl w:val="0"/>
        <w:rPr>
          <w:b/>
          <w:bCs/>
          <w:szCs w:val="22"/>
          <w:lang w:eastAsia="en-US"/>
        </w:rPr>
      </w:pPr>
      <w:r w:rsidRPr="002B705F">
        <w:rPr>
          <w:bCs/>
          <w:szCs w:val="22"/>
          <w:lang w:eastAsia="en-US"/>
        </w:rPr>
        <w:t xml:space="preserve">The PBAC noted that this submission is not eligible for an Independent Review as it was not seeking a change to the listing that includes a new indication, objectively different subtype of disease or new population. </w:t>
      </w:r>
    </w:p>
    <w:p w14:paraId="6DD43F79" w14:textId="77777777" w:rsidR="00803AE9" w:rsidRPr="00F6387C" w:rsidRDefault="00803AE9" w:rsidP="00803AE9">
      <w:pPr>
        <w:spacing w:before="240"/>
        <w:rPr>
          <w:rFonts w:asciiTheme="minorHAnsi" w:hAnsiTheme="minorHAnsi"/>
          <w:b/>
          <w:bCs/>
          <w:snapToGrid w:val="0"/>
          <w:lang w:eastAsia="en-US"/>
        </w:rPr>
      </w:pPr>
      <w:r w:rsidRPr="00F6387C">
        <w:rPr>
          <w:rFonts w:asciiTheme="minorHAnsi" w:hAnsiTheme="minorHAnsi"/>
          <w:b/>
          <w:bCs/>
          <w:snapToGrid w:val="0"/>
          <w:lang w:eastAsia="en-US"/>
        </w:rPr>
        <w:t>Outcome:</w:t>
      </w:r>
    </w:p>
    <w:p w14:paraId="0293F55B" w14:textId="237C2154" w:rsidR="00803AE9" w:rsidRPr="00F6387C" w:rsidRDefault="00803AE9" w:rsidP="00803AE9">
      <w:pPr>
        <w:spacing w:after="120"/>
        <w:rPr>
          <w:rFonts w:asciiTheme="minorHAnsi" w:hAnsiTheme="minorHAnsi"/>
          <w:bCs/>
          <w:snapToGrid w:val="0"/>
          <w:lang w:eastAsia="en-US"/>
        </w:rPr>
      </w:pPr>
      <w:r w:rsidRPr="00F6387C">
        <w:rPr>
          <w:rFonts w:asciiTheme="minorHAnsi" w:hAnsiTheme="minorHAnsi"/>
          <w:bCs/>
          <w:snapToGrid w:val="0"/>
          <w:lang w:eastAsia="en-US"/>
        </w:rPr>
        <w:t>Not recommended</w:t>
      </w:r>
    </w:p>
    <w:p w14:paraId="392260C2" w14:textId="6B2C2F76" w:rsidR="00B30FF1" w:rsidRDefault="00B30FF1" w:rsidP="00B30FF1">
      <w:pPr>
        <w:pStyle w:val="COMH1numbered"/>
        <w:numPr>
          <w:ilvl w:val="0"/>
          <w:numId w:val="0"/>
        </w:numPr>
        <w:ind w:left="720" w:hanging="720"/>
        <w:rPr>
          <w:bCs/>
          <w:lang w:val="en-GB"/>
        </w:rPr>
      </w:pPr>
      <w:bookmarkStart w:id="85" w:name="_Hlk156395244"/>
      <w:r>
        <w:t>8</w:t>
      </w:r>
      <w:r w:rsidRPr="00C07617">
        <w:tab/>
        <w:t>Context for Decision</w:t>
      </w:r>
    </w:p>
    <w:p w14:paraId="76E6D228" w14:textId="77777777" w:rsidR="00B30FF1" w:rsidRPr="00311EEF" w:rsidRDefault="00B30FF1" w:rsidP="00B30FF1">
      <w:pPr>
        <w:spacing w:after="120"/>
        <w:ind w:left="720"/>
        <w:rPr>
          <w:rFonts w:asciiTheme="minorHAnsi" w:hAnsiTheme="minorHAnsi"/>
          <w:bCs/>
          <w:lang w:val="en-GB"/>
        </w:rPr>
      </w:pPr>
      <w:r w:rsidRPr="00311EE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0194703" w14:textId="56038303" w:rsidR="00B30FF1" w:rsidRPr="00311EEF" w:rsidRDefault="00B30FF1" w:rsidP="00B30FF1">
      <w:pPr>
        <w:pStyle w:val="COMH1numbered"/>
        <w:numPr>
          <w:ilvl w:val="0"/>
          <w:numId w:val="0"/>
        </w:numPr>
        <w:ind w:left="720" w:hanging="720"/>
      </w:pPr>
      <w:r>
        <w:t>9</w:t>
      </w:r>
      <w:r>
        <w:tab/>
      </w:r>
      <w:r w:rsidRPr="00311EEF">
        <w:t>Sponsor’s Comment</w:t>
      </w:r>
    </w:p>
    <w:bookmarkEnd w:id="82"/>
    <w:bookmarkEnd w:id="83"/>
    <w:bookmarkEnd w:id="85"/>
    <w:p w14:paraId="013842DC" w14:textId="7ECA50D0" w:rsidR="00803AE9" w:rsidRPr="00F6387C" w:rsidRDefault="0070299E" w:rsidP="0070299E">
      <w:pPr>
        <w:widowControl w:val="0"/>
        <w:spacing w:after="120"/>
        <w:ind w:left="720"/>
        <w:rPr>
          <w:rFonts w:asciiTheme="minorHAnsi" w:hAnsiTheme="minorHAnsi"/>
          <w:b/>
          <w:bCs/>
          <w:snapToGrid w:val="0"/>
          <w:lang w:eastAsia="en-US"/>
        </w:rPr>
      </w:pPr>
      <w:r>
        <w:rPr>
          <w:rFonts w:asciiTheme="minorHAnsi" w:hAnsiTheme="minorHAnsi"/>
          <w:snapToGrid w:val="0"/>
          <w:lang w:eastAsia="en-US"/>
        </w:rPr>
        <w:t>S</w:t>
      </w:r>
      <w:r w:rsidRPr="00405B7C">
        <w:rPr>
          <w:rFonts w:asciiTheme="minorHAnsi" w:hAnsiTheme="minorHAnsi"/>
          <w:snapToGrid w:val="0"/>
          <w:lang w:eastAsia="en-US"/>
        </w:rPr>
        <w:t xml:space="preserve">ince PBS listing in January 2019, </w:t>
      </w:r>
      <w:r>
        <w:rPr>
          <w:rFonts w:asciiTheme="minorHAnsi" w:hAnsiTheme="minorHAnsi"/>
          <w:snapToGrid w:val="0"/>
          <w:lang w:eastAsia="en-US"/>
        </w:rPr>
        <w:t xml:space="preserve">it is Merck’s view that </w:t>
      </w:r>
      <w:r w:rsidRPr="00405B7C">
        <w:rPr>
          <w:rFonts w:asciiTheme="minorHAnsi" w:hAnsiTheme="minorHAnsi"/>
          <w:snapToGrid w:val="0"/>
          <w:lang w:eastAsia="en-US"/>
        </w:rPr>
        <w:t xml:space="preserve">a growing body of real-world evidence in Australia and internationally consistently demonstrates that the effectiveness of </w:t>
      </w:r>
      <w:proofErr w:type="spellStart"/>
      <w:r w:rsidRPr="00405B7C">
        <w:rPr>
          <w:rFonts w:asciiTheme="minorHAnsi" w:hAnsiTheme="minorHAnsi"/>
          <w:snapToGrid w:val="0"/>
          <w:lang w:eastAsia="en-US"/>
        </w:rPr>
        <w:t>Mavenclad</w:t>
      </w:r>
      <w:proofErr w:type="spellEnd"/>
      <w:r w:rsidRPr="00405B7C">
        <w:rPr>
          <w:rFonts w:asciiTheme="minorHAnsi" w:hAnsiTheme="minorHAnsi"/>
          <w:snapToGrid w:val="0"/>
          <w:lang w:eastAsia="en-US"/>
        </w:rPr>
        <w:t xml:space="preserve"> is sustained in years 3 and 4 and </w:t>
      </w:r>
      <w:proofErr w:type="gramStart"/>
      <w:r w:rsidRPr="00405B7C">
        <w:rPr>
          <w:rFonts w:asciiTheme="minorHAnsi" w:hAnsiTheme="minorHAnsi"/>
          <w:snapToGrid w:val="0"/>
          <w:lang w:eastAsia="en-US"/>
        </w:rPr>
        <w:t>the majority of</w:t>
      </w:r>
      <w:proofErr w:type="gramEnd"/>
      <w:r w:rsidRPr="00405B7C">
        <w:rPr>
          <w:rFonts w:asciiTheme="minorHAnsi" w:hAnsiTheme="minorHAnsi"/>
          <w:snapToGrid w:val="0"/>
          <w:lang w:eastAsia="en-US"/>
        </w:rPr>
        <w:t xml:space="preserve"> patients do not need additional treatment in these years. The unique dosing of the therapy reduces the treatment burden for Australians living with relapsing-remitting multiple sclerosis and in </w:t>
      </w:r>
      <w:r>
        <w:rPr>
          <w:rFonts w:asciiTheme="minorHAnsi" w:hAnsiTheme="minorHAnsi"/>
          <w:snapToGrid w:val="0"/>
          <w:lang w:eastAsia="en-US"/>
        </w:rPr>
        <w:t>Merck’s</w:t>
      </w:r>
      <w:r w:rsidRPr="00405B7C">
        <w:rPr>
          <w:rFonts w:asciiTheme="minorHAnsi" w:hAnsiTheme="minorHAnsi"/>
          <w:snapToGrid w:val="0"/>
          <w:lang w:eastAsia="en-US"/>
        </w:rPr>
        <w:t xml:space="preserve"> view, reduces costs for the healthcare system compared to other therapies that require continuous dosing. Merck will continue to work closely with the PBAC to </w:t>
      </w:r>
      <w:r w:rsidR="00F33D5E">
        <w:rPr>
          <w:rFonts w:asciiTheme="minorHAnsi" w:hAnsiTheme="minorHAnsi"/>
          <w:snapToGrid w:val="0"/>
          <w:lang w:eastAsia="en-US"/>
        </w:rPr>
        <w:t>amend the PBS listing</w:t>
      </w:r>
      <w:r>
        <w:rPr>
          <w:rFonts w:asciiTheme="minorHAnsi" w:hAnsiTheme="minorHAnsi"/>
          <w:snapToGrid w:val="0"/>
          <w:lang w:eastAsia="en-US"/>
        </w:rPr>
        <w:t xml:space="preserve"> of </w:t>
      </w:r>
      <w:proofErr w:type="spellStart"/>
      <w:r>
        <w:rPr>
          <w:rFonts w:asciiTheme="minorHAnsi" w:hAnsiTheme="minorHAnsi"/>
          <w:snapToGrid w:val="0"/>
          <w:lang w:eastAsia="en-US"/>
        </w:rPr>
        <w:t>Mavenclad</w:t>
      </w:r>
      <w:proofErr w:type="spellEnd"/>
      <w:r>
        <w:rPr>
          <w:rFonts w:asciiTheme="minorHAnsi" w:hAnsiTheme="minorHAnsi"/>
          <w:snapToGrid w:val="0"/>
          <w:lang w:eastAsia="en-US"/>
        </w:rPr>
        <w:t>.</w:t>
      </w:r>
    </w:p>
    <w:sectPr w:rsidR="00803AE9" w:rsidRPr="00F6387C" w:rsidSect="00F33D5E">
      <w:headerReference w:type="default" r:id="rId12"/>
      <w:footerReference w:type="default" r:id="rId13"/>
      <w:headerReference w:type="first" r:id="rId14"/>
      <w:footerReference w:type="first" r:id="rId15"/>
      <w:pgSz w:w="11906" w:h="16838"/>
      <w:pgMar w:top="2073"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24AC9" w14:textId="77777777" w:rsidR="00235167" w:rsidRDefault="00235167" w:rsidP="00124A51">
      <w:r>
        <w:separator/>
      </w:r>
    </w:p>
    <w:p w14:paraId="4C0BC9C6" w14:textId="77777777" w:rsidR="00235167" w:rsidRDefault="00235167"/>
  </w:endnote>
  <w:endnote w:type="continuationSeparator" w:id="0">
    <w:p w14:paraId="2B25808A" w14:textId="77777777" w:rsidR="00235167" w:rsidRDefault="00235167" w:rsidP="00124A51">
      <w:r>
        <w:continuationSeparator/>
      </w:r>
    </w:p>
    <w:p w14:paraId="58C0F3BD" w14:textId="77777777" w:rsidR="00235167" w:rsidRDefault="00235167"/>
  </w:endnote>
  <w:endnote w:type="continuationNotice" w:id="1">
    <w:p w14:paraId="09C9F5E7" w14:textId="77777777" w:rsidR="00235167" w:rsidRDefault="00235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8A42" w14:textId="77777777" w:rsidR="0074510C" w:rsidRDefault="0074510C" w:rsidP="0074510C">
    <w:pPr>
      <w:pStyle w:val="Footer"/>
      <w:jc w:val="center"/>
    </w:pPr>
  </w:p>
  <w:p w14:paraId="66CB1651" w14:textId="03E4CC3B" w:rsidR="0074510C" w:rsidRDefault="00D14AB6" w:rsidP="0074510C">
    <w:pPr>
      <w:pStyle w:val="Footer"/>
      <w:jc w:val="center"/>
    </w:pPr>
    <w:sdt>
      <w:sdtPr>
        <w:id w:val="1036156457"/>
        <w:docPartObj>
          <w:docPartGallery w:val="Page Numbers (Bottom of Page)"/>
          <w:docPartUnique/>
        </w:docPartObj>
      </w:sdtPr>
      <w:sdtEndPr>
        <w:rPr>
          <w:noProof/>
        </w:rPr>
      </w:sdtEndPr>
      <w:sdtContent>
        <w:r w:rsidR="0074510C" w:rsidRPr="0048082E">
          <w:rPr>
            <w:b/>
            <w:bCs/>
          </w:rPr>
          <w:fldChar w:fldCharType="begin"/>
        </w:r>
        <w:r w:rsidR="0074510C" w:rsidRPr="0048082E">
          <w:rPr>
            <w:b/>
            <w:bCs/>
          </w:rPr>
          <w:instrText xml:space="preserve"> PAGE   \* MERGEFORMAT </w:instrText>
        </w:r>
        <w:r w:rsidR="0074510C" w:rsidRPr="0048082E">
          <w:rPr>
            <w:b/>
            <w:bCs/>
          </w:rPr>
          <w:fldChar w:fldCharType="separate"/>
        </w:r>
        <w:r w:rsidR="00BC3DB6" w:rsidRPr="0048082E">
          <w:rPr>
            <w:b/>
            <w:bCs/>
            <w:noProof/>
          </w:rPr>
          <w:t>9</w:t>
        </w:r>
        <w:r w:rsidR="0074510C" w:rsidRPr="0048082E">
          <w:rPr>
            <w:b/>
            <w:b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4691" w14:textId="77777777" w:rsidR="00B74EC0" w:rsidRDefault="00B74EC0" w:rsidP="0099016B">
    <w:pPr>
      <w:pStyle w:val="NoSpacing"/>
    </w:pPr>
  </w:p>
  <w:p w14:paraId="360D1B51" w14:textId="77777777" w:rsidR="00B74EC0" w:rsidRPr="0099016B" w:rsidRDefault="00B74EC0" w:rsidP="0099016B">
    <w:pPr>
      <w:pStyle w:val="Footer"/>
      <w:pBdr>
        <w:top w:val="single" w:sz="4" w:space="1" w:color="auto"/>
      </w:pBdr>
      <w:rPr>
        <w:sz w:val="20"/>
      </w:rPr>
    </w:pPr>
    <w:r>
      <w:rPr>
        <w:sz w:val="20"/>
      </w:rPr>
      <w:t xml:space="preserve">Emerge Health Pty Ltd </w:t>
    </w:r>
    <w:r w:rsidRPr="00DC5400">
      <w:rPr>
        <w:sz w:val="20"/>
      </w:rPr>
      <w:ptab w:relativeTo="margin" w:alignment="center" w:leader="none"/>
    </w:r>
    <w:r w:rsidRPr="00DC5400">
      <w:rPr>
        <w:sz w:val="20"/>
      </w:rPr>
      <w:t>Commercial-in-Confidence</w:t>
    </w:r>
    <w:r w:rsidRPr="00DC5400">
      <w:rPr>
        <w:sz w:val="20"/>
      </w:rPr>
      <w:ptab w:relativeTo="margin" w:alignment="right" w:leader="none"/>
    </w:r>
    <w:r w:rsidRPr="00DC5400">
      <w:rPr>
        <w:sz w:val="20"/>
      </w:rPr>
      <w:fldChar w:fldCharType="begin"/>
    </w:r>
    <w:r w:rsidRPr="00DC5400">
      <w:rPr>
        <w:sz w:val="20"/>
      </w:rPr>
      <w:instrText xml:space="preserve"> PAGE   \* MERGEFORMAT </w:instrText>
    </w:r>
    <w:r w:rsidRPr="00DC5400">
      <w:rPr>
        <w:sz w:val="20"/>
      </w:rPr>
      <w:fldChar w:fldCharType="separate"/>
    </w:r>
    <w:r>
      <w:rPr>
        <w:sz w:val="20"/>
      </w:rPr>
      <w:t>xv</w:t>
    </w:r>
    <w:r w:rsidRPr="00DC54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EF2B" w14:textId="77777777" w:rsidR="00235167" w:rsidRDefault="00235167" w:rsidP="00124A51">
      <w:r>
        <w:separator/>
      </w:r>
    </w:p>
    <w:p w14:paraId="12862E59" w14:textId="77777777" w:rsidR="00235167" w:rsidRDefault="00235167"/>
  </w:footnote>
  <w:footnote w:type="continuationSeparator" w:id="0">
    <w:p w14:paraId="3FF94658" w14:textId="77777777" w:rsidR="00235167" w:rsidRDefault="00235167" w:rsidP="00124A51">
      <w:r>
        <w:continuationSeparator/>
      </w:r>
    </w:p>
    <w:p w14:paraId="590C6EE4" w14:textId="77777777" w:rsidR="00235167" w:rsidRDefault="00235167"/>
  </w:footnote>
  <w:footnote w:type="continuationNotice" w:id="1">
    <w:p w14:paraId="20C8386A" w14:textId="77777777" w:rsidR="00235167" w:rsidRDefault="00235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5BE6" w14:textId="364A96C3" w:rsidR="0048082E" w:rsidRPr="00421405" w:rsidRDefault="008A1E49" w:rsidP="0048082E">
    <w:pPr>
      <w:keepNext/>
      <w:tabs>
        <w:tab w:val="center" w:pos="4153"/>
        <w:tab w:val="right" w:pos="8306"/>
      </w:tabs>
      <w:ind w:left="360"/>
      <w:jc w:val="center"/>
      <w:rPr>
        <w:rFonts w:asciiTheme="minorHAnsi" w:hAnsiTheme="minorHAnsi"/>
        <w:i/>
        <w:color w:val="808080"/>
        <w:lang w:eastAsia="en-US"/>
      </w:rPr>
    </w:pPr>
    <w:r>
      <w:rPr>
        <w:rFonts w:asciiTheme="minorHAnsi" w:hAnsiTheme="minorHAnsi"/>
        <w:i/>
        <w:color w:val="808080"/>
        <w:lang w:eastAsia="en-US"/>
      </w:rPr>
      <w:t>Public Summary Document</w:t>
    </w:r>
    <w:r w:rsidR="0048082E" w:rsidRPr="00421405">
      <w:rPr>
        <w:rFonts w:asciiTheme="minorHAnsi" w:hAnsiTheme="minorHAnsi"/>
        <w:i/>
        <w:color w:val="808080"/>
        <w:lang w:eastAsia="en-US"/>
      </w:rPr>
      <w:t xml:space="preserve"> – </w:t>
    </w:r>
    <w:r w:rsidR="0048082E">
      <w:rPr>
        <w:rFonts w:asciiTheme="minorHAnsi" w:hAnsiTheme="minorHAnsi"/>
        <w:i/>
        <w:color w:val="808080"/>
        <w:lang w:eastAsia="en-US"/>
      </w:rPr>
      <w:t>November</w:t>
    </w:r>
    <w:r w:rsidR="0048082E" w:rsidRPr="00421405">
      <w:rPr>
        <w:rFonts w:asciiTheme="minorHAnsi" w:hAnsiTheme="minorHAnsi"/>
        <w:i/>
        <w:color w:val="808080"/>
        <w:lang w:eastAsia="en-US"/>
      </w:rPr>
      <w:t xml:space="preserve"> 202</w:t>
    </w:r>
    <w:r w:rsidR="0048082E">
      <w:rPr>
        <w:rFonts w:asciiTheme="minorHAnsi" w:hAnsiTheme="minorHAnsi"/>
        <w:i/>
        <w:color w:val="808080"/>
        <w:lang w:eastAsia="en-US"/>
      </w:rPr>
      <w:t>3</w:t>
    </w:r>
    <w:r w:rsidR="0048082E" w:rsidRPr="00421405">
      <w:rPr>
        <w:rFonts w:asciiTheme="minorHAnsi" w:hAnsiTheme="minorHAnsi"/>
        <w:i/>
        <w:color w:val="808080"/>
        <w:lang w:eastAsia="en-US"/>
      </w:rPr>
      <w:t xml:space="preserve"> PBAC Meeting</w:t>
    </w:r>
  </w:p>
  <w:p w14:paraId="15AD4455" w14:textId="049D93F2" w:rsidR="00E33E41" w:rsidRDefault="00E33E41" w:rsidP="00F33D5E">
    <w:pPr>
      <w:tabs>
        <w:tab w:val="center" w:pos="4513"/>
        <w:tab w:val="right" w:pos="9026"/>
      </w:tabs>
      <w:contextual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66E" w14:textId="77777777" w:rsidR="00B74EC0" w:rsidRPr="00112F38" w:rsidRDefault="00B74EC0" w:rsidP="007A0BF6">
    <w:pPr>
      <w:pStyle w:val="Header"/>
      <w:pBdr>
        <w:bottom w:val="single" w:sz="4" w:space="0" w:color="auto"/>
      </w:pBdr>
      <w:tabs>
        <w:tab w:val="clear" w:pos="9026"/>
        <w:tab w:val="right" w:pos="9029"/>
      </w:tabs>
      <w:rPr>
        <w:b/>
      </w:rPr>
    </w:pPr>
    <w:r>
      <w:rPr>
        <w:sz w:val="20"/>
      </w:rPr>
      <w:t>FOSTAIR</w:t>
    </w:r>
    <w:r w:rsidRPr="00D54AFB">
      <w:rPr>
        <w:sz w:val="20"/>
        <w:vertAlign w:val="superscript"/>
      </w:rPr>
      <w:t xml:space="preserve"> </w:t>
    </w:r>
    <w:r>
      <w:rPr>
        <w:sz w:val="20"/>
      </w:rPr>
      <w:t>PBAC submission</w:t>
    </w:r>
    <w:r w:rsidRPr="00112F38">
      <w:tab/>
    </w:r>
    <w:r>
      <w:tab/>
    </w:r>
    <w:r>
      <w:rPr>
        <w:sz w:val="20"/>
      </w:rPr>
      <w:t>Section1: Context</w:t>
    </w:r>
  </w:p>
  <w:p w14:paraId="765A0152" w14:textId="77777777" w:rsidR="00B74EC0" w:rsidRDefault="00B74EC0" w:rsidP="007A0BF6">
    <w:pPr>
      <w:pStyle w:val="Header"/>
    </w:pPr>
  </w:p>
  <w:p w14:paraId="75F18E30" w14:textId="77777777" w:rsidR="00B74EC0" w:rsidRDefault="00B74EC0" w:rsidP="007A0BF6">
    <w:pPr>
      <w:pStyle w:val="Header"/>
      <w:tabs>
        <w:tab w:val="clear" w:pos="4513"/>
        <w:tab w:val="clear" w:pos="9026"/>
        <w:tab w:val="left" w:pos="38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109F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269EE"/>
    <w:multiLevelType w:val="hybridMultilevel"/>
    <w:tmpl w:val="5926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B6EC1"/>
    <w:multiLevelType w:val="hybridMultilevel"/>
    <w:tmpl w:val="E476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932FAD"/>
    <w:multiLevelType w:val="hybridMultilevel"/>
    <w:tmpl w:val="9B4E9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573111B"/>
    <w:multiLevelType w:val="hybridMultilevel"/>
    <w:tmpl w:val="E1C830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D383609"/>
    <w:multiLevelType w:val="hybridMultilevel"/>
    <w:tmpl w:val="794A73F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2C0455"/>
    <w:multiLevelType w:val="multilevel"/>
    <w:tmpl w:val="C286423A"/>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3E02DD"/>
    <w:multiLevelType w:val="hybridMultilevel"/>
    <w:tmpl w:val="F8D24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B81BD0"/>
    <w:multiLevelType w:val="hybridMultilevel"/>
    <w:tmpl w:val="C9184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67A6"/>
    <w:multiLevelType w:val="hybridMultilevel"/>
    <w:tmpl w:val="7ED650EA"/>
    <w:lvl w:ilvl="0" w:tplc="9416A1D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6576C"/>
    <w:multiLevelType w:val="hybridMultilevel"/>
    <w:tmpl w:val="4C1C49C8"/>
    <w:lvl w:ilvl="0" w:tplc="B636A910">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890002"/>
    <w:multiLevelType w:val="hybridMultilevel"/>
    <w:tmpl w:val="D35C2AA8"/>
    <w:lvl w:ilvl="0" w:tplc="6F605936">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600748"/>
    <w:multiLevelType w:val="hybridMultilevel"/>
    <w:tmpl w:val="167A90AC"/>
    <w:lvl w:ilvl="0" w:tplc="04090001">
      <w:start w:val="1"/>
      <w:numFmt w:val="bullet"/>
      <w:lvlText w:val=""/>
      <w:lvlJc w:val="left"/>
      <w:pPr>
        <w:ind w:left="720" w:hanging="360"/>
      </w:pPr>
      <w:rPr>
        <w:rFonts w:ascii="Symbol" w:hAnsi="Symbol" w:hint="default"/>
      </w:rPr>
    </w:lvl>
    <w:lvl w:ilvl="1" w:tplc="CEC875BC">
      <w:numFmt w:val="bullet"/>
      <w:lvlText w:val="•"/>
      <w:lvlJc w:val="left"/>
      <w:pPr>
        <w:ind w:left="1800" w:hanging="72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D23B1"/>
    <w:multiLevelType w:val="hybridMultilevel"/>
    <w:tmpl w:val="2356E14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9EC4FB4"/>
    <w:multiLevelType w:val="hybridMultilevel"/>
    <w:tmpl w:val="6D3CF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F22442"/>
    <w:multiLevelType w:val="hybridMultilevel"/>
    <w:tmpl w:val="9BA0DDB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0E2D3B"/>
    <w:multiLevelType w:val="hybridMultilevel"/>
    <w:tmpl w:val="6182569A"/>
    <w:lvl w:ilvl="0" w:tplc="98C89A7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E8426D"/>
    <w:multiLevelType w:val="hybridMultilevel"/>
    <w:tmpl w:val="0EEE3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EC272B"/>
    <w:multiLevelType w:val="hybridMultilevel"/>
    <w:tmpl w:val="99C6C7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A672243"/>
    <w:multiLevelType w:val="hybridMultilevel"/>
    <w:tmpl w:val="48B0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63DDA"/>
    <w:multiLevelType w:val="multilevel"/>
    <w:tmpl w:val="0284C0A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33743331">
    <w:abstractNumId w:val="29"/>
  </w:num>
  <w:num w:numId="2" w16cid:durableId="892960391">
    <w:abstractNumId w:val="15"/>
  </w:num>
  <w:num w:numId="3" w16cid:durableId="1461265694">
    <w:abstractNumId w:val="16"/>
  </w:num>
  <w:num w:numId="4" w16cid:durableId="1713654669">
    <w:abstractNumId w:val="29"/>
  </w:num>
  <w:num w:numId="5" w16cid:durableId="16803082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1455867">
    <w:abstractNumId w:val="30"/>
  </w:num>
  <w:num w:numId="7" w16cid:durableId="1233077728">
    <w:abstractNumId w:val="23"/>
  </w:num>
  <w:num w:numId="8" w16cid:durableId="1869638924">
    <w:abstractNumId w:val="3"/>
  </w:num>
  <w:num w:numId="9" w16cid:durableId="1721900028">
    <w:abstractNumId w:val="31"/>
  </w:num>
  <w:num w:numId="10" w16cid:durableId="1438064070">
    <w:abstractNumId w:val="8"/>
  </w:num>
  <w:num w:numId="11" w16cid:durableId="1802966344">
    <w:abstractNumId w:val="5"/>
  </w:num>
  <w:num w:numId="12" w16cid:durableId="633367284">
    <w:abstractNumId w:val="24"/>
  </w:num>
  <w:num w:numId="13" w16cid:durableId="1566918868">
    <w:abstractNumId w:val="20"/>
  </w:num>
  <w:num w:numId="14" w16cid:durableId="772897803">
    <w:abstractNumId w:val="17"/>
  </w:num>
  <w:num w:numId="15" w16cid:durableId="651562652">
    <w:abstractNumId w:val="12"/>
  </w:num>
  <w:num w:numId="16" w16cid:durableId="692995697">
    <w:abstractNumId w:val="28"/>
  </w:num>
  <w:num w:numId="17" w16cid:durableId="2107993918">
    <w:abstractNumId w:val="18"/>
  </w:num>
  <w:num w:numId="18" w16cid:durableId="1459687962">
    <w:abstractNumId w:val="32"/>
  </w:num>
  <w:num w:numId="19" w16cid:durableId="1111391178">
    <w:abstractNumId w:val="2"/>
  </w:num>
  <w:num w:numId="20" w16cid:durableId="718668478">
    <w:abstractNumId w:val="14"/>
  </w:num>
  <w:num w:numId="21" w16cid:durableId="1276130956">
    <w:abstractNumId w:val="21"/>
  </w:num>
  <w:num w:numId="22" w16cid:durableId="781531352">
    <w:abstractNumId w:val="29"/>
  </w:num>
  <w:num w:numId="23" w16cid:durableId="1500660912">
    <w:abstractNumId w:val="16"/>
  </w:num>
  <w:num w:numId="24" w16cid:durableId="773325799">
    <w:abstractNumId w:val="16"/>
  </w:num>
  <w:num w:numId="25" w16cid:durableId="2111003343">
    <w:abstractNumId w:val="29"/>
  </w:num>
  <w:num w:numId="26" w16cid:durableId="1290893985">
    <w:abstractNumId w:val="29"/>
  </w:num>
  <w:num w:numId="27" w16cid:durableId="1747992619">
    <w:abstractNumId w:val="29"/>
  </w:num>
  <w:num w:numId="28" w16cid:durableId="314334915">
    <w:abstractNumId w:val="29"/>
  </w:num>
  <w:num w:numId="29" w16cid:durableId="227151684">
    <w:abstractNumId w:val="29"/>
  </w:num>
  <w:num w:numId="30" w16cid:durableId="198856262">
    <w:abstractNumId w:val="29"/>
  </w:num>
  <w:num w:numId="31" w16cid:durableId="723604667">
    <w:abstractNumId w:val="25"/>
  </w:num>
  <w:num w:numId="32" w16cid:durableId="450629952">
    <w:abstractNumId w:val="29"/>
  </w:num>
  <w:num w:numId="33" w16cid:durableId="286930091">
    <w:abstractNumId w:val="0"/>
  </w:num>
  <w:num w:numId="34" w16cid:durableId="300500246">
    <w:abstractNumId w:val="29"/>
  </w:num>
  <w:num w:numId="35" w16cid:durableId="7742066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0452047">
    <w:abstractNumId w:val="19"/>
  </w:num>
  <w:num w:numId="37" w16cid:durableId="1621261725">
    <w:abstractNumId w:val="4"/>
  </w:num>
  <w:num w:numId="38" w16cid:durableId="1090539504">
    <w:abstractNumId w:val="1"/>
  </w:num>
  <w:num w:numId="39" w16cid:durableId="1789927952">
    <w:abstractNumId w:val="11"/>
  </w:num>
  <w:num w:numId="40" w16cid:durableId="2137485928">
    <w:abstractNumId w:val="13"/>
  </w:num>
  <w:num w:numId="41" w16cid:durableId="1367869347">
    <w:abstractNumId w:val="10"/>
  </w:num>
  <w:num w:numId="42" w16cid:durableId="129744317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052395">
    <w:abstractNumId w:val="26"/>
  </w:num>
  <w:num w:numId="44" w16cid:durableId="1064378717">
    <w:abstractNumId w:val="7"/>
  </w:num>
  <w:num w:numId="45" w16cid:durableId="1254818075">
    <w:abstractNumId w:val="6"/>
  </w:num>
  <w:num w:numId="46" w16cid:durableId="2133669600">
    <w:abstractNumId w:val="9"/>
  </w:num>
  <w:num w:numId="47" w16cid:durableId="711882317">
    <w:abstractNumId w:val="27"/>
  </w:num>
  <w:num w:numId="48" w16cid:durableId="1046904477">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54A"/>
    <w:rsid w:val="00001E18"/>
    <w:rsid w:val="00002D74"/>
    <w:rsid w:val="00002D90"/>
    <w:rsid w:val="00003499"/>
    <w:rsid w:val="00003926"/>
    <w:rsid w:val="000039B7"/>
    <w:rsid w:val="000056B9"/>
    <w:rsid w:val="0000639A"/>
    <w:rsid w:val="00007E8B"/>
    <w:rsid w:val="00010B8B"/>
    <w:rsid w:val="00012143"/>
    <w:rsid w:val="00012649"/>
    <w:rsid w:val="00012773"/>
    <w:rsid w:val="00013247"/>
    <w:rsid w:val="0001349A"/>
    <w:rsid w:val="000135BB"/>
    <w:rsid w:val="00013E61"/>
    <w:rsid w:val="000157AF"/>
    <w:rsid w:val="00015886"/>
    <w:rsid w:val="00015A61"/>
    <w:rsid w:val="000162EF"/>
    <w:rsid w:val="000166E5"/>
    <w:rsid w:val="000171D8"/>
    <w:rsid w:val="0002036C"/>
    <w:rsid w:val="000207C9"/>
    <w:rsid w:val="000209BC"/>
    <w:rsid w:val="0002225F"/>
    <w:rsid w:val="00022988"/>
    <w:rsid w:val="00022A87"/>
    <w:rsid w:val="000231DB"/>
    <w:rsid w:val="00023763"/>
    <w:rsid w:val="000238D8"/>
    <w:rsid w:val="00024EB5"/>
    <w:rsid w:val="00025FD5"/>
    <w:rsid w:val="0002696B"/>
    <w:rsid w:val="00026A25"/>
    <w:rsid w:val="0002705F"/>
    <w:rsid w:val="000274B8"/>
    <w:rsid w:val="000303BF"/>
    <w:rsid w:val="00030A72"/>
    <w:rsid w:val="00030EF4"/>
    <w:rsid w:val="00031512"/>
    <w:rsid w:val="000324B8"/>
    <w:rsid w:val="0003375B"/>
    <w:rsid w:val="00033863"/>
    <w:rsid w:val="0003422F"/>
    <w:rsid w:val="00034C1F"/>
    <w:rsid w:val="00035DC0"/>
    <w:rsid w:val="00035F07"/>
    <w:rsid w:val="00036829"/>
    <w:rsid w:val="00036CD2"/>
    <w:rsid w:val="00037446"/>
    <w:rsid w:val="00040895"/>
    <w:rsid w:val="000410A0"/>
    <w:rsid w:val="00042987"/>
    <w:rsid w:val="0004324F"/>
    <w:rsid w:val="000435EE"/>
    <w:rsid w:val="00043C37"/>
    <w:rsid w:val="00045017"/>
    <w:rsid w:val="000456F6"/>
    <w:rsid w:val="00045A2B"/>
    <w:rsid w:val="00046784"/>
    <w:rsid w:val="0004686E"/>
    <w:rsid w:val="000468F9"/>
    <w:rsid w:val="00046920"/>
    <w:rsid w:val="0004698F"/>
    <w:rsid w:val="00046D64"/>
    <w:rsid w:val="00047401"/>
    <w:rsid w:val="00047802"/>
    <w:rsid w:val="00047C4D"/>
    <w:rsid w:val="000508C2"/>
    <w:rsid w:val="00053910"/>
    <w:rsid w:val="000539D0"/>
    <w:rsid w:val="0005441E"/>
    <w:rsid w:val="00054621"/>
    <w:rsid w:val="000546D7"/>
    <w:rsid w:val="0005479A"/>
    <w:rsid w:val="00054A8D"/>
    <w:rsid w:val="00056BE2"/>
    <w:rsid w:val="00056ECF"/>
    <w:rsid w:val="00057BE9"/>
    <w:rsid w:val="00057F22"/>
    <w:rsid w:val="000604DF"/>
    <w:rsid w:val="00060B46"/>
    <w:rsid w:val="000614C7"/>
    <w:rsid w:val="0006257A"/>
    <w:rsid w:val="00063A6A"/>
    <w:rsid w:val="00064E58"/>
    <w:rsid w:val="000653B5"/>
    <w:rsid w:val="00066360"/>
    <w:rsid w:val="00066AF8"/>
    <w:rsid w:val="00067EAD"/>
    <w:rsid w:val="000702AB"/>
    <w:rsid w:val="00071248"/>
    <w:rsid w:val="000720B9"/>
    <w:rsid w:val="0007227A"/>
    <w:rsid w:val="0007327F"/>
    <w:rsid w:val="000737F7"/>
    <w:rsid w:val="0007481B"/>
    <w:rsid w:val="0007481D"/>
    <w:rsid w:val="00074C92"/>
    <w:rsid w:val="00074DC0"/>
    <w:rsid w:val="0007672F"/>
    <w:rsid w:val="00076B54"/>
    <w:rsid w:val="0007726D"/>
    <w:rsid w:val="000774F0"/>
    <w:rsid w:val="00080909"/>
    <w:rsid w:val="000812CA"/>
    <w:rsid w:val="00081C62"/>
    <w:rsid w:val="00081E63"/>
    <w:rsid w:val="00082249"/>
    <w:rsid w:val="0008258D"/>
    <w:rsid w:val="00082A29"/>
    <w:rsid w:val="00083385"/>
    <w:rsid w:val="000834BC"/>
    <w:rsid w:val="00083E99"/>
    <w:rsid w:val="00084EDF"/>
    <w:rsid w:val="00084FA8"/>
    <w:rsid w:val="000856C5"/>
    <w:rsid w:val="00085C31"/>
    <w:rsid w:val="000868E9"/>
    <w:rsid w:val="00087593"/>
    <w:rsid w:val="000902D9"/>
    <w:rsid w:val="00090C7E"/>
    <w:rsid w:val="000911AC"/>
    <w:rsid w:val="00092600"/>
    <w:rsid w:val="0009262B"/>
    <w:rsid w:val="00092B9D"/>
    <w:rsid w:val="00093310"/>
    <w:rsid w:val="0009368F"/>
    <w:rsid w:val="00093EAF"/>
    <w:rsid w:val="0009445C"/>
    <w:rsid w:val="00095191"/>
    <w:rsid w:val="00095200"/>
    <w:rsid w:val="00095633"/>
    <w:rsid w:val="00095FE5"/>
    <w:rsid w:val="00096284"/>
    <w:rsid w:val="00096380"/>
    <w:rsid w:val="00096667"/>
    <w:rsid w:val="00097115"/>
    <w:rsid w:val="00097419"/>
    <w:rsid w:val="00097539"/>
    <w:rsid w:val="000A0AD2"/>
    <w:rsid w:val="000A1582"/>
    <w:rsid w:val="000A1BC0"/>
    <w:rsid w:val="000A2BF1"/>
    <w:rsid w:val="000A2F9E"/>
    <w:rsid w:val="000A3E47"/>
    <w:rsid w:val="000A3FFA"/>
    <w:rsid w:val="000A45AF"/>
    <w:rsid w:val="000A522B"/>
    <w:rsid w:val="000A6039"/>
    <w:rsid w:val="000A7453"/>
    <w:rsid w:val="000A7D08"/>
    <w:rsid w:val="000B0121"/>
    <w:rsid w:val="000B0670"/>
    <w:rsid w:val="000B0DE0"/>
    <w:rsid w:val="000B0E75"/>
    <w:rsid w:val="000B16B4"/>
    <w:rsid w:val="000B183D"/>
    <w:rsid w:val="000B2977"/>
    <w:rsid w:val="000B2DCB"/>
    <w:rsid w:val="000B36C6"/>
    <w:rsid w:val="000B3A55"/>
    <w:rsid w:val="000B5CE0"/>
    <w:rsid w:val="000B6CAC"/>
    <w:rsid w:val="000B73DA"/>
    <w:rsid w:val="000B7612"/>
    <w:rsid w:val="000B778F"/>
    <w:rsid w:val="000B78AE"/>
    <w:rsid w:val="000B7B56"/>
    <w:rsid w:val="000B7D27"/>
    <w:rsid w:val="000C0E62"/>
    <w:rsid w:val="000C1DB0"/>
    <w:rsid w:val="000C29D5"/>
    <w:rsid w:val="000C39E8"/>
    <w:rsid w:val="000C3DF9"/>
    <w:rsid w:val="000C4CF2"/>
    <w:rsid w:val="000C6713"/>
    <w:rsid w:val="000C70B8"/>
    <w:rsid w:val="000D1BFC"/>
    <w:rsid w:val="000D1D5D"/>
    <w:rsid w:val="000D281A"/>
    <w:rsid w:val="000D2848"/>
    <w:rsid w:val="000D326A"/>
    <w:rsid w:val="000D3B19"/>
    <w:rsid w:val="000D404D"/>
    <w:rsid w:val="000D51FB"/>
    <w:rsid w:val="000D6AA5"/>
    <w:rsid w:val="000D7CBC"/>
    <w:rsid w:val="000E0640"/>
    <w:rsid w:val="000E0BBF"/>
    <w:rsid w:val="000E135D"/>
    <w:rsid w:val="000E143D"/>
    <w:rsid w:val="000E1D9E"/>
    <w:rsid w:val="000E2FEC"/>
    <w:rsid w:val="000E4612"/>
    <w:rsid w:val="000E6178"/>
    <w:rsid w:val="000E6995"/>
    <w:rsid w:val="000E6CB9"/>
    <w:rsid w:val="000E764D"/>
    <w:rsid w:val="000E7DCD"/>
    <w:rsid w:val="000F00BA"/>
    <w:rsid w:val="000F0760"/>
    <w:rsid w:val="000F316A"/>
    <w:rsid w:val="000F35B0"/>
    <w:rsid w:val="000F37CA"/>
    <w:rsid w:val="000F3C74"/>
    <w:rsid w:val="000F47EF"/>
    <w:rsid w:val="000F4BB8"/>
    <w:rsid w:val="000F4FA9"/>
    <w:rsid w:val="000F53FB"/>
    <w:rsid w:val="000F7127"/>
    <w:rsid w:val="000F7B54"/>
    <w:rsid w:val="001000B3"/>
    <w:rsid w:val="00100F8A"/>
    <w:rsid w:val="0010143F"/>
    <w:rsid w:val="00101AAF"/>
    <w:rsid w:val="0010452E"/>
    <w:rsid w:val="00105450"/>
    <w:rsid w:val="001057A7"/>
    <w:rsid w:val="00105A34"/>
    <w:rsid w:val="00105AE2"/>
    <w:rsid w:val="00105DC6"/>
    <w:rsid w:val="001060C6"/>
    <w:rsid w:val="001069BC"/>
    <w:rsid w:val="00106B80"/>
    <w:rsid w:val="001079BF"/>
    <w:rsid w:val="0011032E"/>
    <w:rsid w:val="00112A83"/>
    <w:rsid w:val="0011348B"/>
    <w:rsid w:val="00115982"/>
    <w:rsid w:val="0011661E"/>
    <w:rsid w:val="00116C53"/>
    <w:rsid w:val="00117D57"/>
    <w:rsid w:val="00120E55"/>
    <w:rsid w:val="00121799"/>
    <w:rsid w:val="00121D02"/>
    <w:rsid w:val="001222FC"/>
    <w:rsid w:val="00123234"/>
    <w:rsid w:val="00123902"/>
    <w:rsid w:val="00123AFF"/>
    <w:rsid w:val="00124923"/>
    <w:rsid w:val="00124A51"/>
    <w:rsid w:val="00124C64"/>
    <w:rsid w:val="00126621"/>
    <w:rsid w:val="00126B1D"/>
    <w:rsid w:val="00126F88"/>
    <w:rsid w:val="001278B7"/>
    <w:rsid w:val="001301E9"/>
    <w:rsid w:val="00131D82"/>
    <w:rsid w:val="00131EDB"/>
    <w:rsid w:val="00132B22"/>
    <w:rsid w:val="001334E9"/>
    <w:rsid w:val="001337EC"/>
    <w:rsid w:val="00133D36"/>
    <w:rsid w:val="00135686"/>
    <w:rsid w:val="00136123"/>
    <w:rsid w:val="00136878"/>
    <w:rsid w:val="001374CE"/>
    <w:rsid w:val="00137645"/>
    <w:rsid w:val="001378F4"/>
    <w:rsid w:val="0014015A"/>
    <w:rsid w:val="00140C38"/>
    <w:rsid w:val="00140E99"/>
    <w:rsid w:val="0014324A"/>
    <w:rsid w:val="00143F67"/>
    <w:rsid w:val="00145234"/>
    <w:rsid w:val="00145540"/>
    <w:rsid w:val="001455AB"/>
    <w:rsid w:val="001456B0"/>
    <w:rsid w:val="0014596F"/>
    <w:rsid w:val="00147D64"/>
    <w:rsid w:val="00150015"/>
    <w:rsid w:val="00151BCA"/>
    <w:rsid w:val="00151E69"/>
    <w:rsid w:val="0015380C"/>
    <w:rsid w:val="001538D9"/>
    <w:rsid w:val="00153BFC"/>
    <w:rsid w:val="001547AB"/>
    <w:rsid w:val="00155B87"/>
    <w:rsid w:val="00156F8F"/>
    <w:rsid w:val="00157130"/>
    <w:rsid w:val="001576B1"/>
    <w:rsid w:val="0016047B"/>
    <w:rsid w:val="00160A4C"/>
    <w:rsid w:val="0016171A"/>
    <w:rsid w:val="00162913"/>
    <w:rsid w:val="00163E0E"/>
    <w:rsid w:val="00163EFF"/>
    <w:rsid w:val="00163F66"/>
    <w:rsid w:val="0016478E"/>
    <w:rsid w:val="0016572D"/>
    <w:rsid w:val="00165A50"/>
    <w:rsid w:val="00165D25"/>
    <w:rsid w:val="00165EC4"/>
    <w:rsid w:val="001661FB"/>
    <w:rsid w:val="00166521"/>
    <w:rsid w:val="001669C9"/>
    <w:rsid w:val="001671A0"/>
    <w:rsid w:val="0016767F"/>
    <w:rsid w:val="00170402"/>
    <w:rsid w:val="00170755"/>
    <w:rsid w:val="00170C00"/>
    <w:rsid w:val="00173565"/>
    <w:rsid w:val="00173726"/>
    <w:rsid w:val="0017391B"/>
    <w:rsid w:val="00173B07"/>
    <w:rsid w:val="0017408A"/>
    <w:rsid w:val="001740F1"/>
    <w:rsid w:val="001751FA"/>
    <w:rsid w:val="0017746E"/>
    <w:rsid w:val="00177AC1"/>
    <w:rsid w:val="001812EA"/>
    <w:rsid w:val="00181C10"/>
    <w:rsid w:val="00181D9C"/>
    <w:rsid w:val="001837FF"/>
    <w:rsid w:val="00184251"/>
    <w:rsid w:val="00184B0E"/>
    <w:rsid w:val="00184DAB"/>
    <w:rsid w:val="001852EE"/>
    <w:rsid w:val="001858D9"/>
    <w:rsid w:val="00185962"/>
    <w:rsid w:val="00186C9E"/>
    <w:rsid w:val="0018752F"/>
    <w:rsid w:val="00187625"/>
    <w:rsid w:val="00190B67"/>
    <w:rsid w:val="00192342"/>
    <w:rsid w:val="001923EF"/>
    <w:rsid w:val="00193838"/>
    <w:rsid w:val="00194AD8"/>
    <w:rsid w:val="001950E8"/>
    <w:rsid w:val="00195222"/>
    <w:rsid w:val="00195452"/>
    <w:rsid w:val="001975D8"/>
    <w:rsid w:val="001A1154"/>
    <w:rsid w:val="001A178E"/>
    <w:rsid w:val="001A29B6"/>
    <w:rsid w:val="001A301B"/>
    <w:rsid w:val="001A3CF1"/>
    <w:rsid w:val="001A43FA"/>
    <w:rsid w:val="001A47C5"/>
    <w:rsid w:val="001A4BF9"/>
    <w:rsid w:val="001A5131"/>
    <w:rsid w:val="001A59FB"/>
    <w:rsid w:val="001A5E9E"/>
    <w:rsid w:val="001A6354"/>
    <w:rsid w:val="001A6366"/>
    <w:rsid w:val="001A67DF"/>
    <w:rsid w:val="001A7AE8"/>
    <w:rsid w:val="001A7C1C"/>
    <w:rsid w:val="001A7D76"/>
    <w:rsid w:val="001A7FA8"/>
    <w:rsid w:val="001B0402"/>
    <w:rsid w:val="001B1700"/>
    <w:rsid w:val="001B204E"/>
    <w:rsid w:val="001B2372"/>
    <w:rsid w:val="001B2AF2"/>
    <w:rsid w:val="001B3301"/>
    <w:rsid w:val="001B3443"/>
    <w:rsid w:val="001B49DE"/>
    <w:rsid w:val="001B4D20"/>
    <w:rsid w:val="001B506E"/>
    <w:rsid w:val="001B515B"/>
    <w:rsid w:val="001B58F0"/>
    <w:rsid w:val="001B5EFB"/>
    <w:rsid w:val="001B71C5"/>
    <w:rsid w:val="001B71CD"/>
    <w:rsid w:val="001B7F84"/>
    <w:rsid w:val="001C0594"/>
    <w:rsid w:val="001C0DD1"/>
    <w:rsid w:val="001C149B"/>
    <w:rsid w:val="001C19F6"/>
    <w:rsid w:val="001C2A9B"/>
    <w:rsid w:val="001C3DD6"/>
    <w:rsid w:val="001C4299"/>
    <w:rsid w:val="001C4874"/>
    <w:rsid w:val="001C48D5"/>
    <w:rsid w:val="001C56A4"/>
    <w:rsid w:val="001C5C05"/>
    <w:rsid w:val="001C5F94"/>
    <w:rsid w:val="001C6093"/>
    <w:rsid w:val="001C6E66"/>
    <w:rsid w:val="001C730F"/>
    <w:rsid w:val="001C782B"/>
    <w:rsid w:val="001D084E"/>
    <w:rsid w:val="001D1100"/>
    <w:rsid w:val="001D1356"/>
    <w:rsid w:val="001D1391"/>
    <w:rsid w:val="001D210B"/>
    <w:rsid w:val="001D232A"/>
    <w:rsid w:val="001D25BA"/>
    <w:rsid w:val="001D25D7"/>
    <w:rsid w:val="001D351B"/>
    <w:rsid w:val="001D4626"/>
    <w:rsid w:val="001D50B2"/>
    <w:rsid w:val="001D5B26"/>
    <w:rsid w:val="001D65DA"/>
    <w:rsid w:val="001D71F4"/>
    <w:rsid w:val="001D7645"/>
    <w:rsid w:val="001E1E86"/>
    <w:rsid w:val="001E238E"/>
    <w:rsid w:val="001E2483"/>
    <w:rsid w:val="001E2B1E"/>
    <w:rsid w:val="001E2CFF"/>
    <w:rsid w:val="001E2F24"/>
    <w:rsid w:val="001E30D4"/>
    <w:rsid w:val="001E34DF"/>
    <w:rsid w:val="001E52EB"/>
    <w:rsid w:val="001E61D2"/>
    <w:rsid w:val="001E6875"/>
    <w:rsid w:val="001E740C"/>
    <w:rsid w:val="001E7F1D"/>
    <w:rsid w:val="001E7FD1"/>
    <w:rsid w:val="001F038C"/>
    <w:rsid w:val="001F1235"/>
    <w:rsid w:val="001F1CB3"/>
    <w:rsid w:val="001F38B5"/>
    <w:rsid w:val="001F4081"/>
    <w:rsid w:val="001F6CD9"/>
    <w:rsid w:val="001F715C"/>
    <w:rsid w:val="001F7361"/>
    <w:rsid w:val="002011B0"/>
    <w:rsid w:val="0020252F"/>
    <w:rsid w:val="00202E3B"/>
    <w:rsid w:val="00203181"/>
    <w:rsid w:val="00203570"/>
    <w:rsid w:val="00203783"/>
    <w:rsid w:val="0020385F"/>
    <w:rsid w:val="002055B3"/>
    <w:rsid w:val="00205889"/>
    <w:rsid w:val="002068A0"/>
    <w:rsid w:val="00207021"/>
    <w:rsid w:val="0020732F"/>
    <w:rsid w:val="00207D00"/>
    <w:rsid w:val="002105C1"/>
    <w:rsid w:val="00210A73"/>
    <w:rsid w:val="002116FD"/>
    <w:rsid w:val="00211775"/>
    <w:rsid w:val="00211DCE"/>
    <w:rsid w:val="002126C1"/>
    <w:rsid w:val="0021319C"/>
    <w:rsid w:val="00213EF5"/>
    <w:rsid w:val="00214245"/>
    <w:rsid w:val="00215F40"/>
    <w:rsid w:val="00216BF5"/>
    <w:rsid w:val="00217AF5"/>
    <w:rsid w:val="0022080C"/>
    <w:rsid w:val="00220F85"/>
    <w:rsid w:val="00220FD8"/>
    <w:rsid w:val="00222D76"/>
    <w:rsid w:val="00223B49"/>
    <w:rsid w:val="00223D5A"/>
    <w:rsid w:val="00224DD4"/>
    <w:rsid w:val="00224FAA"/>
    <w:rsid w:val="00226489"/>
    <w:rsid w:val="00226572"/>
    <w:rsid w:val="002268B4"/>
    <w:rsid w:val="0022746D"/>
    <w:rsid w:val="00227797"/>
    <w:rsid w:val="002278A0"/>
    <w:rsid w:val="00227978"/>
    <w:rsid w:val="0023010B"/>
    <w:rsid w:val="002309CC"/>
    <w:rsid w:val="00230ABB"/>
    <w:rsid w:val="00231BA9"/>
    <w:rsid w:val="0023209F"/>
    <w:rsid w:val="0023321D"/>
    <w:rsid w:val="00233C01"/>
    <w:rsid w:val="0023413C"/>
    <w:rsid w:val="002346F0"/>
    <w:rsid w:val="00235167"/>
    <w:rsid w:val="002352E7"/>
    <w:rsid w:val="00235613"/>
    <w:rsid w:val="00235FA8"/>
    <w:rsid w:val="0023629D"/>
    <w:rsid w:val="0023637C"/>
    <w:rsid w:val="00236C99"/>
    <w:rsid w:val="00237255"/>
    <w:rsid w:val="00237465"/>
    <w:rsid w:val="002378A2"/>
    <w:rsid w:val="00237D8D"/>
    <w:rsid w:val="00241591"/>
    <w:rsid w:val="0024191C"/>
    <w:rsid w:val="00241976"/>
    <w:rsid w:val="002424AF"/>
    <w:rsid w:val="002439DC"/>
    <w:rsid w:val="00243CA7"/>
    <w:rsid w:val="002441D2"/>
    <w:rsid w:val="00244DC8"/>
    <w:rsid w:val="00245533"/>
    <w:rsid w:val="002458BA"/>
    <w:rsid w:val="00245CE9"/>
    <w:rsid w:val="0024636C"/>
    <w:rsid w:val="00247925"/>
    <w:rsid w:val="00250168"/>
    <w:rsid w:val="0025071E"/>
    <w:rsid w:val="0025073C"/>
    <w:rsid w:val="00251006"/>
    <w:rsid w:val="002524D5"/>
    <w:rsid w:val="002539EF"/>
    <w:rsid w:val="00253B1D"/>
    <w:rsid w:val="0025472F"/>
    <w:rsid w:val="00254DCF"/>
    <w:rsid w:val="00254F69"/>
    <w:rsid w:val="0025534B"/>
    <w:rsid w:val="00255BB7"/>
    <w:rsid w:val="00256138"/>
    <w:rsid w:val="00256823"/>
    <w:rsid w:val="00257541"/>
    <w:rsid w:val="00257A39"/>
    <w:rsid w:val="00257AC4"/>
    <w:rsid w:val="00257BBE"/>
    <w:rsid w:val="00257FD6"/>
    <w:rsid w:val="0026091C"/>
    <w:rsid w:val="00260F01"/>
    <w:rsid w:val="00261EEF"/>
    <w:rsid w:val="00262A1A"/>
    <w:rsid w:val="00262A87"/>
    <w:rsid w:val="00264D26"/>
    <w:rsid w:val="002666B1"/>
    <w:rsid w:val="00266896"/>
    <w:rsid w:val="00267642"/>
    <w:rsid w:val="00267AEA"/>
    <w:rsid w:val="002700E6"/>
    <w:rsid w:val="00270585"/>
    <w:rsid w:val="00270A00"/>
    <w:rsid w:val="002721BA"/>
    <w:rsid w:val="0027294B"/>
    <w:rsid w:val="00272EF9"/>
    <w:rsid w:val="00273EB4"/>
    <w:rsid w:val="00274682"/>
    <w:rsid w:val="00275158"/>
    <w:rsid w:val="00275C5A"/>
    <w:rsid w:val="00276003"/>
    <w:rsid w:val="00277AC6"/>
    <w:rsid w:val="00280525"/>
    <w:rsid w:val="00281014"/>
    <w:rsid w:val="00281DBA"/>
    <w:rsid w:val="00281ECD"/>
    <w:rsid w:val="0028389A"/>
    <w:rsid w:val="00285BCE"/>
    <w:rsid w:val="00285D57"/>
    <w:rsid w:val="00285D71"/>
    <w:rsid w:val="0028665D"/>
    <w:rsid w:val="00286BD6"/>
    <w:rsid w:val="00286C2B"/>
    <w:rsid w:val="0028799F"/>
    <w:rsid w:val="0029082C"/>
    <w:rsid w:val="002908D7"/>
    <w:rsid w:val="002912F3"/>
    <w:rsid w:val="002913BB"/>
    <w:rsid w:val="0029155B"/>
    <w:rsid w:val="002945B9"/>
    <w:rsid w:val="00296822"/>
    <w:rsid w:val="00297DCD"/>
    <w:rsid w:val="00297FEB"/>
    <w:rsid w:val="002A14AB"/>
    <w:rsid w:val="002A2ADE"/>
    <w:rsid w:val="002A2F50"/>
    <w:rsid w:val="002A3BE8"/>
    <w:rsid w:val="002A4BB1"/>
    <w:rsid w:val="002A5119"/>
    <w:rsid w:val="002A629F"/>
    <w:rsid w:val="002A7943"/>
    <w:rsid w:val="002B05A1"/>
    <w:rsid w:val="002B09A4"/>
    <w:rsid w:val="002B1C1F"/>
    <w:rsid w:val="002B342D"/>
    <w:rsid w:val="002B3B35"/>
    <w:rsid w:val="002B432F"/>
    <w:rsid w:val="002B44EC"/>
    <w:rsid w:val="002B535F"/>
    <w:rsid w:val="002B6224"/>
    <w:rsid w:val="002B62B3"/>
    <w:rsid w:val="002B62FC"/>
    <w:rsid w:val="002B6705"/>
    <w:rsid w:val="002B6754"/>
    <w:rsid w:val="002B6CCE"/>
    <w:rsid w:val="002B705F"/>
    <w:rsid w:val="002B7C1E"/>
    <w:rsid w:val="002C01D1"/>
    <w:rsid w:val="002C20EF"/>
    <w:rsid w:val="002C2510"/>
    <w:rsid w:val="002C2775"/>
    <w:rsid w:val="002C27C1"/>
    <w:rsid w:val="002C2AD8"/>
    <w:rsid w:val="002C342E"/>
    <w:rsid w:val="002C36E3"/>
    <w:rsid w:val="002C466B"/>
    <w:rsid w:val="002C5099"/>
    <w:rsid w:val="002C5701"/>
    <w:rsid w:val="002C5889"/>
    <w:rsid w:val="002C71CE"/>
    <w:rsid w:val="002D08F8"/>
    <w:rsid w:val="002D2258"/>
    <w:rsid w:val="002D2780"/>
    <w:rsid w:val="002D2F76"/>
    <w:rsid w:val="002D577C"/>
    <w:rsid w:val="002D7832"/>
    <w:rsid w:val="002E1071"/>
    <w:rsid w:val="002E15B9"/>
    <w:rsid w:val="002E2158"/>
    <w:rsid w:val="002E3E68"/>
    <w:rsid w:val="002E46D2"/>
    <w:rsid w:val="002E4AD2"/>
    <w:rsid w:val="002E4F02"/>
    <w:rsid w:val="002E5C4E"/>
    <w:rsid w:val="002E7722"/>
    <w:rsid w:val="002F0174"/>
    <w:rsid w:val="002F047E"/>
    <w:rsid w:val="002F07BA"/>
    <w:rsid w:val="002F0BB9"/>
    <w:rsid w:val="002F0DA9"/>
    <w:rsid w:val="002F1014"/>
    <w:rsid w:val="002F12DA"/>
    <w:rsid w:val="002F1E3B"/>
    <w:rsid w:val="002F28A7"/>
    <w:rsid w:val="002F3CFA"/>
    <w:rsid w:val="002F4C4F"/>
    <w:rsid w:val="002F643C"/>
    <w:rsid w:val="002F71C0"/>
    <w:rsid w:val="002F74F1"/>
    <w:rsid w:val="00300269"/>
    <w:rsid w:val="00301017"/>
    <w:rsid w:val="003012B2"/>
    <w:rsid w:val="0030155F"/>
    <w:rsid w:val="00303155"/>
    <w:rsid w:val="00303640"/>
    <w:rsid w:val="00304434"/>
    <w:rsid w:val="003046E6"/>
    <w:rsid w:val="00304D87"/>
    <w:rsid w:val="0030540F"/>
    <w:rsid w:val="0030587B"/>
    <w:rsid w:val="00306097"/>
    <w:rsid w:val="00306D98"/>
    <w:rsid w:val="0030786C"/>
    <w:rsid w:val="00307D6D"/>
    <w:rsid w:val="0031031A"/>
    <w:rsid w:val="00310981"/>
    <w:rsid w:val="00311A5E"/>
    <w:rsid w:val="00311AE4"/>
    <w:rsid w:val="00311D9B"/>
    <w:rsid w:val="0031239C"/>
    <w:rsid w:val="003124D9"/>
    <w:rsid w:val="00312594"/>
    <w:rsid w:val="003129E2"/>
    <w:rsid w:val="00313538"/>
    <w:rsid w:val="003144FB"/>
    <w:rsid w:val="00314987"/>
    <w:rsid w:val="00315009"/>
    <w:rsid w:val="00315498"/>
    <w:rsid w:val="00315AE8"/>
    <w:rsid w:val="00316474"/>
    <w:rsid w:val="00317D85"/>
    <w:rsid w:val="00322107"/>
    <w:rsid w:val="00322355"/>
    <w:rsid w:val="00322846"/>
    <w:rsid w:val="003237B7"/>
    <w:rsid w:val="003241F6"/>
    <w:rsid w:val="003246F9"/>
    <w:rsid w:val="00324822"/>
    <w:rsid w:val="00324CA5"/>
    <w:rsid w:val="00326A95"/>
    <w:rsid w:val="00326DA7"/>
    <w:rsid w:val="003270E4"/>
    <w:rsid w:val="00330DAA"/>
    <w:rsid w:val="00330F5C"/>
    <w:rsid w:val="0033298A"/>
    <w:rsid w:val="00333B13"/>
    <w:rsid w:val="00335408"/>
    <w:rsid w:val="00335A2E"/>
    <w:rsid w:val="003366C9"/>
    <w:rsid w:val="003371B0"/>
    <w:rsid w:val="00340DF1"/>
    <w:rsid w:val="003415A6"/>
    <w:rsid w:val="00341D88"/>
    <w:rsid w:val="0034281C"/>
    <w:rsid w:val="00344282"/>
    <w:rsid w:val="0034781E"/>
    <w:rsid w:val="003517F9"/>
    <w:rsid w:val="003518A7"/>
    <w:rsid w:val="00351BA9"/>
    <w:rsid w:val="00352395"/>
    <w:rsid w:val="00354F64"/>
    <w:rsid w:val="0035620E"/>
    <w:rsid w:val="00356231"/>
    <w:rsid w:val="00356AC4"/>
    <w:rsid w:val="00356C26"/>
    <w:rsid w:val="003575BE"/>
    <w:rsid w:val="00360345"/>
    <w:rsid w:val="00361A05"/>
    <w:rsid w:val="003624C4"/>
    <w:rsid w:val="00363675"/>
    <w:rsid w:val="00363B00"/>
    <w:rsid w:val="003654AC"/>
    <w:rsid w:val="003669F7"/>
    <w:rsid w:val="003710CF"/>
    <w:rsid w:val="00371A6E"/>
    <w:rsid w:val="00372131"/>
    <w:rsid w:val="0037358A"/>
    <w:rsid w:val="00373938"/>
    <w:rsid w:val="00373A28"/>
    <w:rsid w:val="00373F34"/>
    <w:rsid w:val="00374D90"/>
    <w:rsid w:val="003750F6"/>
    <w:rsid w:val="003760FC"/>
    <w:rsid w:val="003761DD"/>
    <w:rsid w:val="00376441"/>
    <w:rsid w:val="0037655A"/>
    <w:rsid w:val="0038365C"/>
    <w:rsid w:val="0038369B"/>
    <w:rsid w:val="00383924"/>
    <w:rsid w:val="00383B78"/>
    <w:rsid w:val="003858AE"/>
    <w:rsid w:val="00385A9D"/>
    <w:rsid w:val="00385F7A"/>
    <w:rsid w:val="0038696C"/>
    <w:rsid w:val="00387121"/>
    <w:rsid w:val="003902B1"/>
    <w:rsid w:val="003905B1"/>
    <w:rsid w:val="00390E9A"/>
    <w:rsid w:val="0039179C"/>
    <w:rsid w:val="00395126"/>
    <w:rsid w:val="00395144"/>
    <w:rsid w:val="0039667C"/>
    <w:rsid w:val="00396896"/>
    <w:rsid w:val="00396CA0"/>
    <w:rsid w:val="00396FD0"/>
    <w:rsid w:val="00397034"/>
    <w:rsid w:val="0039793E"/>
    <w:rsid w:val="00397A26"/>
    <w:rsid w:val="003A0CF3"/>
    <w:rsid w:val="003A1A7A"/>
    <w:rsid w:val="003A2392"/>
    <w:rsid w:val="003A2831"/>
    <w:rsid w:val="003A3CB6"/>
    <w:rsid w:val="003A3D8C"/>
    <w:rsid w:val="003A3ED1"/>
    <w:rsid w:val="003A4105"/>
    <w:rsid w:val="003A44DB"/>
    <w:rsid w:val="003A4C14"/>
    <w:rsid w:val="003A641A"/>
    <w:rsid w:val="003A7A4F"/>
    <w:rsid w:val="003A7CAD"/>
    <w:rsid w:val="003B02D7"/>
    <w:rsid w:val="003B0A71"/>
    <w:rsid w:val="003B1386"/>
    <w:rsid w:val="003B2C0F"/>
    <w:rsid w:val="003B3937"/>
    <w:rsid w:val="003B3971"/>
    <w:rsid w:val="003B4E02"/>
    <w:rsid w:val="003B552C"/>
    <w:rsid w:val="003B55D1"/>
    <w:rsid w:val="003B57F7"/>
    <w:rsid w:val="003B5A66"/>
    <w:rsid w:val="003B5B61"/>
    <w:rsid w:val="003B6366"/>
    <w:rsid w:val="003B69EA"/>
    <w:rsid w:val="003B6A9F"/>
    <w:rsid w:val="003B719F"/>
    <w:rsid w:val="003C05BC"/>
    <w:rsid w:val="003C05D4"/>
    <w:rsid w:val="003C0C38"/>
    <w:rsid w:val="003C1654"/>
    <w:rsid w:val="003C3733"/>
    <w:rsid w:val="003C54AD"/>
    <w:rsid w:val="003C5542"/>
    <w:rsid w:val="003C6685"/>
    <w:rsid w:val="003C6DD1"/>
    <w:rsid w:val="003C6EAA"/>
    <w:rsid w:val="003C76BF"/>
    <w:rsid w:val="003C7C15"/>
    <w:rsid w:val="003C7D19"/>
    <w:rsid w:val="003C7D2F"/>
    <w:rsid w:val="003D0A32"/>
    <w:rsid w:val="003D0C5A"/>
    <w:rsid w:val="003D109F"/>
    <w:rsid w:val="003D1828"/>
    <w:rsid w:val="003D1DE4"/>
    <w:rsid w:val="003D1E9A"/>
    <w:rsid w:val="003D2422"/>
    <w:rsid w:val="003D39A1"/>
    <w:rsid w:val="003D3FBF"/>
    <w:rsid w:val="003D4A30"/>
    <w:rsid w:val="003D574B"/>
    <w:rsid w:val="003D5A3C"/>
    <w:rsid w:val="003D7452"/>
    <w:rsid w:val="003D79BB"/>
    <w:rsid w:val="003D7C98"/>
    <w:rsid w:val="003D7D9D"/>
    <w:rsid w:val="003E0543"/>
    <w:rsid w:val="003E0914"/>
    <w:rsid w:val="003E1501"/>
    <w:rsid w:val="003E2983"/>
    <w:rsid w:val="003E44C1"/>
    <w:rsid w:val="003E5583"/>
    <w:rsid w:val="003E5603"/>
    <w:rsid w:val="003E58B8"/>
    <w:rsid w:val="003E63A4"/>
    <w:rsid w:val="003E63C4"/>
    <w:rsid w:val="003E681D"/>
    <w:rsid w:val="003E6B06"/>
    <w:rsid w:val="003E6D13"/>
    <w:rsid w:val="003E740D"/>
    <w:rsid w:val="003E749E"/>
    <w:rsid w:val="003F09B0"/>
    <w:rsid w:val="003F3AB1"/>
    <w:rsid w:val="003F4156"/>
    <w:rsid w:val="003F41D9"/>
    <w:rsid w:val="003F5ADF"/>
    <w:rsid w:val="003F63F8"/>
    <w:rsid w:val="003F6952"/>
    <w:rsid w:val="003F6DF7"/>
    <w:rsid w:val="003F6EBA"/>
    <w:rsid w:val="003F7D5A"/>
    <w:rsid w:val="003F7D8F"/>
    <w:rsid w:val="00400B29"/>
    <w:rsid w:val="0040146A"/>
    <w:rsid w:val="00401986"/>
    <w:rsid w:val="00402336"/>
    <w:rsid w:val="00402812"/>
    <w:rsid w:val="00402981"/>
    <w:rsid w:val="00404644"/>
    <w:rsid w:val="00404D3D"/>
    <w:rsid w:val="0040504B"/>
    <w:rsid w:val="004051D9"/>
    <w:rsid w:val="00405291"/>
    <w:rsid w:val="004059C0"/>
    <w:rsid w:val="004059F4"/>
    <w:rsid w:val="004064EA"/>
    <w:rsid w:val="00406CE4"/>
    <w:rsid w:val="00407FE5"/>
    <w:rsid w:val="0041016D"/>
    <w:rsid w:val="004101B0"/>
    <w:rsid w:val="00410326"/>
    <w:rsid w:val="00410708"/>
    <w:rsid w:val="00410EC7"/>
    <w:rsid w:val="004117A0"/>
    <w:rsid w:val="00411B39"/>
    <w:rsid w:val="004127A7"/>
    <w:rsid w:val="004135EE"/>
    <w:rsid w:val="00413A1E"/>
    <w:rsid w:val="00413E49"/>
    <w:rsid w:val="0041438F"/>
    <w:rsid w:val="00414476"/>
    <w:rsid w:val="00414C2E"/>
    <w:rsid w:val="004151CF"/>
    <w:rsid w:val="0041592A"/>
    <w:rsid w:val="00416364"/>
    <w:rsid w:val="00416A7B"/>
    <w:rsid w:val="00417E16"/>
    <w:rsid w:val="0042047F"/>
    <w:rsid w:val="00420A3A"/>
    <w:rsid w:val="00420AA6"/>
    <w:rsid w:val="00420B9F"/>
    <w:rsid w:val="0042192C"/>
    <w:rsid w:val="00421F90"/>
    <w:rsid w:val="004220AE"/>
    <w:rsid w:val="00422260"/>
    <w:rsid w:val="00422711"/>
    <w:rsid w:val="00423186"/>
    <w:rsid w:val="0042413F"/>
    <w:rsid w:val="00424954"/>
    <w:rsid w:val="00425AA1"/>
    <w:rsid w:val="004268EB"/>
    <w:rsid w:val="00426EE1"/>
    <w:rsid w:val="00430AA5"/>
    <w:rsid w:val="0043123C"/>
    <w:rsid w:val="004319F8"/>
    <w:rsid w:val="00431E55"/>
    <w:rsid w:val="004321F6"/>
    <w:rsid w:val="00432389"/>
    <w:rsid w:val="004328F9"/>
    <w:rsid w:val="00433044"/>
    <w:rsid w:val="00434088"/>
    <w:rsid w:val="00434567"/>
    <w:rsid w:val="0043552E"/>
    <w:rsid w:val="004375B9"/>
    <w:rsid w:val="0043797A"/>
    <w:rsid w:val="00440071"/>
    <w:rsid w:val="0044176E"/>
    <w:rsid w:val="004428D0"/>
    <w:rsid w:val="00442B6A"/>
    <w:rsid w:val="004432CE"/>
    <w:rsid w:val="00444185"/>
    <w:rsid w:val="004443A7"/>
    <w:rsid w:val="0044442C"/>
    <w:rsid w:val="00445601"/>
    <w:rsid w:val="00445941"/>
    <w:rsid w:val="004464A0"/>
    <w:rsid w:val="004464EB"/>
    <w:rsid w:val="00447975"/>
    <w:rsid w:val="00447D26"/>
    <w:rsid w:val="00447DFC"/>
    <w:rsid w:val="0045065D"/>
    <w:rsid w:val="00450C36"/>
    <w:rsid w:val="0045399B"/>
    <w:rsid w:val="00454B76"/>
    <w:rsid w:val="00455D45"/>
    <w:rsid w:val="00456BD3"/>
    <w:rsid w:val="00460EF9"/>
    <w:rsid w:val="0046108A"/>
    <w:rsid w:val="0046170B"/>
    <w:rsid w:val="00461C7B"/>
    <w:rsid w:val="00461C9E"/>
    <w:rsid w:val="00462919"/>
    <w:rsid w:val="00464595"/>
    <w:rsid w:val="00464C6C"/>
    <w:rsid w:val="004658B5"/>
    <w:rsid w:val="00466DEB"/>
    <w:rsid w:val="004672E5"/>
    <w:rsid w:val="00470168"/>
    <w:rsid w:val="004702BF"/>
    <w:rsid w:val="00470954"/>
    <w:rsid w:val="00471EA5"/>
    <w:rsid w:val="004722C4"/>
    <w:rsid w:val="00472A79"/>
    <w:rsid w:val="0047331A"/>
    <w:rsid w:val="00473F19"/>
    <w:rsid w:val="00474E67"/>
    <w:rsid w:val="00475245"/>
    <w:rsid w:val="00475E16"/>
    <w:rsid w:val="00475E22"/>
    <w:rsid w:val="00476892"/>
    <w:rsid w:val="0047730E"/>
    <w:rsid w:val="00477DA1"/>
    <w:rsid w:val="00480467"/>
    <w:rsid w:val="0048082E"/>
    <w:rsid w:val="0048088E"/>
    <w:rsid w:val="00480F2B"/>
    <w:rsid w:val="00482720"/>
    <w:rsid w:val="004835E7"/>
    <w:rsid w:val="00483AF3"/>
    <w:rsid w:val="00483B3B"/>
    <w:rsid w:val="004859E1"/>
    <w:rsid w:val="00485F58"/>
    <w:rsid w:val="00486432"/>
    <w:rsid w:val="004865E0"/>
    <w:rsid w:val="004867E2"/>
    <w:rsid w:val="00486AA9"/>
    <w:rsid w:val="00487BB0"/>
    <w:rsid w:val="00487E56"/>
    <w:rsid w:val="00490B17"/>
    <w:rsid w:val="0049155A"/>
    <w:rsid w:val="00491B3A"/>
    <w:rsid w:val="00492BE0"/>
    <w:rsid w:val="00492CFD"/>
    <w:rsid w:val="00494207"/>
    <w:rsid w:val="00494385"/>
    <w:rsid w:val="00494B06"/>
    <w:rsid w:val="00494DD5"/>
    <w:rsid w:val="004962D2"/>
    <w:rsid w:val="00497FC4"/>
    <w:rsid w:val="004A0DA1"/>
    <w:rsid w:val="004A13D6"/>
    <w:rsid w:val="004A31F5"/>
    <w:rsid w:val="004A52E9"/>
    <w:rsid w:val="004A536A"/>
    <w:rsid w:val="004A5B87"/>
    <w:rsid w:val="004A6040"/>
    <w:rsid w:val="004A6597"/>
    <w:rsid w:val="004A65C1"/>
    <w:rsid w:val="004A7262"/>
    <w:rsid w:val="004A75D0"/>
    <w:rsid w:val="004A7848"/>
    <w:rsid w:val="004A793B"/>
    <w:rsid w:val="004B0197"/>
    <w:rsid w:val="004B1CB4"/>
    <w:rsid w:val="004B2F18"/>
    <w:rsid w:val="004B3BC6"/>
    <w:rsid w:val="004B3C97"/>
    <w:rsid w:val="004B3CF7"/>
    <w:rsid w:val="004B3DDB"/>
    <w:rsid w:val="004B3F03"/>
    <w:rsid w:val="004B44FD"/>
    <w:rsid w:val="004B5904"/>
    <w:rsid w:val="004B5CFC"/>
    <w:rsid w:val="004B6B63"/>
    <w:rsid w:val="004B6F79"/>
    <w:rsid w:val="004B7170"/>
    <w:rsid w:val="004B774D"/>
    <w:rsid w:val="004C1B0D"/>
    <w:rsid w:val="004C1E1B"/>
    <w:rsid w:val="004C2529"/>
    <w:rsid w:val="004C2AC2"/>
    <w:rsid w:val="004C4AED"/>
    <w:rsid w:val="004C4DF5"/>
    <w:rsid w:val="004C5278"/>
    <w:rsid w:val="004C6057"/>
    <w:rsid w:val="004D0403"/>
    <w:rsid w:val="004D2003"/>
    <w:rsid w:val="004D2C2D"/>
    <w:rsid w:val="004D3481"/>
    <w:rsid w:val="004D3714"/>
    <w:rsid w:val="004D3B87"/>
    <w:rsid w:val="004D50EB"/>
    <w:rsid w:val="004D5573"/>
    <w:rsid w:val="004D631D"/>
    <w:rsid w:val="004D6763"/>
    <w:rsid w:val="004D69B5"/>
    <w:rsid w:val="004D7227"/>
    <w:rsid w:val="004D7B5E"/>
    <w:rsid w:val="004D7BAA"/>
    <w:rsid w:val="004E0AF5"/>
    <w:rsid w:val="004E0E7F"/>
    <w:rsid w:val="004E0EB8"/>
    <w:rsid w:val="004E171A"/>
    <w:rsid w:val="004E1754"/>
    <w:rsid w:val="004E18E9"/>
    <w:rsid w:val="004E2ADC"/>
    <w:rsid w:val="004E41BA"/>
    <w:rsid w:val="004E43B2"/>
    <w:rsid w:val="004E4F33"/>
    <w:rsid w:val="004E5C8D"/>
    <w:rsid w:val="004E7234"/>
    <w:rsid w:val="004E7911"/>
    <w:rsid w:val="004F134F"/>
    <w:rsid w:val="004F1D02"/>
    <w:rsid w:val="004F2679"/>
    <w:rsid w:val="004F2F21"/>
    <w:rsid w:val="004F37BE"/>
    <w:rsid w:val="004F3943"/>
    <w:rsid w:val="004F3DE5"/>
    <w:rsid w:val="004F5E5A"/>
    <w:rsid w:val="004F6913"/>
    <w:rsid w:val="004F7865"/>
    <w:rsid w:val="004F7E01"/>
    <w:rsid w:val="00500764"/>
    <w:rsid w:val="0050174E"/>
    <w:rsid w:val="00501854"/>
    <w:rsid w:val="0050219B"/>
    <w:rsid w:val="00503F17"/>
    <w:rsid w:val="00503F3A"/>
    <w:rsid w:val="005054F0"/>
    <w:rsid w:val="005059A0"/>
    <w:rsid w:val="00505C03"/>
    <w:rsid w:val="00506928"/>
    <w:rsid w:val="00507051"/>
    <w:rsid w:val="005077EF"/>
    <w:rsid w:val="0051028C"/>
    <w:rsid w:val="00511AD5"/>
    <w:rsid w:val="00511DC7"/>
    <w:rsid w:val="005135B7"/>
    <w:rsid w:val="005142C5"/>
    <w:rsid w:val="00514C23"/>
    <w:rsid w:val="0051501B"/>
    <w:rsid w:val="005152B5"/>
    <w:rsid w:val="00515886"/>
    <w:rsid w:val="005159C2"/>
    <w:rsid w:val="005159C5"/>
    <w:rsid w:val="0051704C"/>
    <w:rsid w:val="00517458"/>
    <w:rsid w:val="00520298"/>
    <w:rsid w:val="00520F8C"/>
    <w:rsid w:val="0052123C"/>
    <w:rsid w:val="00521319"/>
    <w:rsid w:val="00521B19"/>
    <w:rsid w:val="00522BC8"/>
    <w:rsid w:val="00523C28"/>
    <w:rsid w:val="00526712"/>
    <w:rsid w:val="0052733F"/>
    <w:rsid w:val="00527377"/>
    <w:rsid w:val="0053176B"/>
    <w:rsid w:val="005341B3"/>
    <w:rsid w:val="00536107"/>
    <w:rsid w:val="00536F42"/>
    <w:rsid w:val="00537182"/>
    <w:rsid w:val="00537453"/>
    <w:rsid w:val="005407AF"/>
    <w:rsid w:val="00541EDD"/>
    <w:rsid w:val="00542630"/>
    <w:rsid w:val="00542743"/>
    <w:rsid w:val="00542C2D"/>
    <w:rsid w:val="0054469F"/>
    <w:rsid w:val="00545BFB"/>
    <w:rsid w:val="005471D1"/>
    <w:rsid w:val="00547604"/>
    <w:rsid w:val="005478BD"/>
    <w:rsid w:val="005479E3"/>
    <w:rsid w:val="00551364"/>
    <w:rsid w:val="00551985"/>
    <w:rsid w:val="00551ED4"/>
    <w:rsid w:val="00552BD3"/>
    <w:rsid w:val="005532A0"/>
    <w:rsid w:val="0055475C"/>
    <w:rsid w:val="00555109"/>
    <w:rsid w:val="005555D3"/>
    <w:rsid w:val="0055687D"/>
    <w:rsid w:val="00556B35"/>
    <w:rsid w:val="00556CA9"/>
    <w:rsid w:val="0055741A"/>
    <w:rsid w:val="005611B7"/>
    <w:rsid w:val="005618D4"/>
    <w:rsid w:val="0056469F"/>
    <w:rsid w:val="00564867"/>
    <w:rsid w:val="00564D5A"/>
    <w:rsid w:val="00565C79"/>
    <w:rsid w:val="00565DF0"/>
    <w:rsid w:val="005661A4"/>
    <w:rsid w:val="0056696F"/>
    <w:rsid w:val="00566F0F"/>
    <w:rsid w:val="00570D25"/>
    <w:rsid w:val="00571106"/>
    <w:rsid w:val="00571412"/>
    <w:rsid w:val="00572269"/>
    <w:rsid w:val="0057244A"/>
    <w:rsid w:val="00572F26"/>
    <w:rsid w:val="0057476F"/>
    <w:rsid w:val="005750C5"/>
    <w:rsid w:val="005752DE"/>
    <w:rsid w:val="00575D60"/>
    <w:rsid w:val="00575D8D"/>
    <w:rsid w:val="00576972"/>
    <w:rsid w:val="00576F7F"/>
    <w:rsid w:val="00577248"/>
    <w:rsid w:val="0058322B"/>
    <w:rsid w:val="00583699"/>
    <w:rsid w:val="00585236"/>
    <w:rsid w:val="00585CDD"/>
    <w:rsid w:val="00587000"/>
    <w:rsid w:val="00587058"/>
    <w:rsid w:val="00591418"/>
    <w:rsid w:val="00591957"/>
    <w:rsid w:val="005930DE"/>
    <w:rsid w:val="00594060"/>
    <w:rsid w:val="0059502E"/>
    <w:rsid w:val="005952EE"/>
    <w:rsid w:val="00596169"/>
    <w:rsid w:val="00597BF9"/>
    <w:rsid w:val="005A00AC"/>
    <w:rsid w:val="005A0C11"/>
    <w:rsid w:val="005A1705"/>
    <w:rsid w:val="005A2285"/>
    <w:rsid w:val="005A2C80"/>
    <w:rsid w:val="005A309A"/>
    <w:rsid w:val="005A32EF"/>
    <w:rsid w:val="005A373D"/>
    <w:rsid w:val="005A38E8"/>
    <w:rsid w:val="005A4DA1"/>
    <w:rsid w:val="005A5D94"/>
    <w:rsid w:val="005A6809"/>
    <w:rsid w:val="005B0B58"/>
    <w:rsid w:val="005B19DC"/>
    <w:rsid w:val="005B2A11"/>
    <w:rsid w:val="005B32AB"/>
    <w:rsid w:val="005B4E53"/>
    <w:rsid w:val="005B53E8"/>
    <w:rsid w:val="005B5857"/>
    <w:rsid w:val="005B5BE2"/>
    <w:rsid w:val="005B781F"/>
    <w:rsid w:val="005B7AD7"/>
    <w:rsid w:val="005C19C4"/>
    <w:rsid w:val="005C1B83"/>
    <w:rsid w:val="005C25FF"/>
    <w:rsid w:val="005C2BAB"/>
    <w:rsid w:val="005C2D55"/>
    <w:rsid w:val="005C346B"/>
    <w:rsid w:val="005C388C"/>
    <w:rsid w:val="005C4E83"/>
    <w:rsid w:val="005C4F6F"/>
    <w:rsid w:val="005C5432"/>
    <w:rsid w:val="005C5ABC"/>
    <w:rsid w:val="005C6A27"/>
    <w:rsid w:val="005C7533"/>
    <w:rsid w:val="005C7903"/>
    <w:rsid w:val="005D044D"/>
    <w:rsid w:val="005D0ABD"/>
    <w:rsid w:val="005D1098"/>
    <w:rsid w:val="005D18AD"/>
    <w:rsid w:val="005D1F62"/>
    <w:rsid w:val="005D26B4"/>
    <w:rsid w:val="005D2D22"/>
    <w:rsid w:val="005D4432"/>
    <w:rsid w:val="005D52E1"/>
    <w:rsid w:val="005D5751"/>
    <w:rsid w:val="005D6EBE"/>
    <w:rsid w:val="005E0F99"/>
    <w:rsid w:val="005E1081"/>
    <w:rsid w:val="005E1995"/>
    <w:rsid w:val="005E2268"/>
    <w:rsid w:val="005E544E"/>
    <w:rsid w:val="005E5FC6"/>
    <w:rsid w:val="005E62E7"/>
    <w:rsid w:val="005E6454"/>
    <w:rsid w:val="005E6CBC"/>
    <w:rsid w:val="005E72FF"/>
    <w:rsid w:val="005E73C0"/>
    <w:rsid w:val="005F07ED"/>
    <w:rsid w:val="005F0E89"/>
    <w:rsid w:val="005F2706"/>
    <w:rsid w:val="005F2ED0"/>
    <w:rsid w:val="005F4A43"/>
    <w:rsid w:val="005F6A8F"/>
    <w:rsid w:val="005F6BB7"/>
    <w:rsid w:val="005F7588"/>
    <w:rsid w:val="006014F3"/>
    <w:rsid w:val="006015D7"/>
    <w:rsid w:val="006017D1"/>
    <w:rsid w:val="006020BC"/>
    <w:rsid w:val="0060378A"/>
    <w:rsid w:val="00603DB9"/>
    <w:rsid w:val="00604A12"/>
    <w:rsid w:val="00604DB7"/>
    <w:rsid w:val="006050DD"/>
    <w:rsid w:val="006057EB"/>
    <w:rsid w:val="00606FBA"/>
    <w:rsid w:val="00607669"/>
    <w:rsid w:val="006076F4"/>
    <w:rsid w:val="00607AFD"/>
    <w:rsid w:val="00611B12"/>
    <w:rsid w:val="0061266B"/>
    <w:rsid w:val="00612F97"/>
    <w:rsid w:val="006132CE"/>
    <w:rsid w:val="006132EA"/>
    <w:rsid w:val="0061345D"/>
    <w:rsid w:val="00613731"/>
    <w:rsid w:val="0061549B"/>
    <w:rsid w:val="00616802"/>
    <w:rsid w:val="00616E20"/>
    <w:rsid w:val="006170FF"/>
    <w:rsid w:val="00617E12"/>
    <w:rsid w:val="00620B76"/>
    <w:rsid w:val="00620C25"/>
    <w:rsid w:val="00621283"/>
    <w:rsid w:val="00621477"/>
    <w:rsid w:val="00621ADA"/>
    <w:rsid w:val="00621C19"/>
    <w:rsid w:val="006235BC"/>
    <w:rsid w:val="00623892"/>
    <w:rsid w:val="00623F7B"/>
    <w:rsid w:val="006240FB"/>
    <w:rsid w:val="00624BD4"/>
    <w:rsid w:val="00624C87"/>
    <w:rsid w:val="0062508E"/>
    <w:rsid w:val="00625555"/>
    <w:rsid w:val="00627839"/>
    <w:rsid w:val="00627A33"/>
    <w:rsid w:val="0063158F"/>
    <w:rsid w:val="00631CA7"/>
    <w:rsid w:val="00631D6B"/>
    <w:rsid w:val="00632183"/>
    <w:rsid w:val="00632E88"/>
    <w:rsid w:val="006330A1"/>
    <w:rsid w:val="00633C71"/>
    <w:rsid w:val="006343EF"/>
    <w:rsid w:val="0063479F"/>
    <w:rsid w:val="00634D42"/>
    <w:rsid w:val="006353F0"/>
    <w:rsid w:val="006357B5"/>
    <w:rsid w:val="0063608A"/>
    <w:rsid w:val="006361C4"/>
    <w:rsid w:val="006364A1"/>
    <w:rsid w:val="0063678E"/>
    <w:rsid w:val="00636EC8"/>
    <w:rsid w:val="00637B0B"/>
    <w:rsid w:val="00637BFD"/>
    <w:rsid w:val="00637C5C"/>
    <w:rsid w:val="00637E6C"/>
    <w:rsid w:val="00640B3F"/>
    <w:rsid w:val="00641644"/>
    <w:rsid w:val="00641C4E"/>
    <w:rsid w:val="00641FB3"/>
    <w:rsid w:val="00642890"/>
    <w:rsid w:val="0064382C"/>
    <w:rsid w:val="00643D6F"/>
    <w:rsid w:val="0064434C"/>
    <w:rsid w:val="006471CC"/>
    <w:rsid w:val="006472FE"/>
    <w:rsid w:val="00647817"/>
    <w:rsid w:val="00647A0C"/>
    <w:rsid w:val="00647A29"/>
    <w:rsid w:val="00647D63"/>
    <w:rsid w:val="00650350"/>
    <w:rsid w:val="0065079F"/>
    <w:rsid w:val="00651CC0"/>
    <w:rsid w:val="00652A28"/>
    <w:rsid w:val="0065379F"/>
    <w:rsid w:val="00653B60"/>
    <w:rsid w:val="00653CA3"/>
    <w:rsid w:val="00653E51"/>
    <w:rsid w:val="006541E0"/>
    <w:rsid w:val="00654F0B"/>
    <w:rsid w:val="00656188"/>
    <w:rsid w:val="00656E10"/>
    <w:rsid w:val="00657153"/>
    <w:rsid w:val="0065715A"/>
    <w:rsid w:val="006575FB"/>
    <w:rsid w:val="0066025B"/>
    <w:rsid w:val="0066084F"/>
    <w:rsid w:val="006610F1"/>
    <w:rsid w:val="0066134F"/>
    <w:rsid w:val="00661C6B"/>
    <w:rsid w:val="00661FA2"/>
    <w:rsid w:val="00662999"/>
    <w:rsid w:val="00662D3E"/>
    <w:rsid w:val="006639E2"/>
    <w:rsid w:val="00665C4F"/>
    <w:rsid w:val="00666CC8"/>
    <w:rsid w:val="0066708D"/>
    <w:rsid w:val="00667768"/>
    <w:rsid w:val="00667BE3"/>
    <w:rsid w:val="00671004"/>
    <w:rsid w:val="00671A35"/>
    <w:rsid w:val="00672646"/>
    <w:rsid w:val="0067338C"/>
    <w:rsid w:val="00673434"/>
    <w:rsid w:val="00674E42"/>
    <w:rsid w:val="00676563"/>
    <w:rsid w:val="00676D72"/>
    <w:rsid w:val="00677AD3"/>
    <w:rsid w:val="006813F8"/>
    <w:rsid w:val="006815D1"/>
    <w:rsid w:val="00682112"/>
    <w:rsid w:val="00682694"/>
    <w:rsid w:val="00682BA6"/>
    <w:rsid w:val="006838B2"/>
    <w:rsid w:val="00683DC6"/>
    <w:rsid w:val="006841D2"/>
    <w:rsid w:val="006846AA"/>
    <w:rsid w:val="006857C1"/>
    <w:rsid w:val="00685F27"/>
    <w:rsid w:val="00686957"/>
    <w:rsid w:val="006872BA"/>
    <w:rsid w:val="00690795"/>
    <w:rsid w:val="00691648"/>
    <w:rsid w:val="006917D7"/>
    <w:rsid w:val="00691A03"/>
    <w:rsid w:val="0069434C"/>
    <w:rsid w:val="00694F44"/>
    <w:rsid w:val="00695681"/>
    <w:rsid w:val="00696C60"/>
    <w:rsid w:val="00696EF9"/>
    <w:rsid w:val="00696F4F"/>
    <w:rsid w:val="00696F51"/>
    <w:rsid w:val="006979A5"/>
    <w:rsid w:val="00697B18"/>
    <w:rsid w:val="006A016F"/>
    <w:rsid w:val="006A0DF7"/>
    <w:rsid w:val="006A1D49"/>
    <w:rsid w:val="006A2614"/>
    <w:rsid w:val="006A309D"/>
    <w:rsid w:val="006A3260"/>
    <w:rsid w:val="006A3351"/>
    <w:rsid w:val="006A3ED9"/>
    <w:rsid w:val="006A4321"/>
    <w:rsid w:val="006A43D9"/>
    <w:rsid w:val="006A483D"/>
    <w:rsid w:val="006A58EF"/>
    <w:rsid w:val="006A6B99"/>
    <w:rsid w:val="006A7E5F"/>
    <w:rsid w:val="006B0F0E"/>
    <w:rsid w:val="006B1CFD"/>
    <w:rsid w:val="006B261B"/>
    <w:rsid w:val="006B2741"/>
    <w:rsid w:val="006B2C90"/>
    <w:rsid w:val="006B35E6"/>
    <w:rsid w:val="006B465A"/>
    <w:rsid w:val="006B61D4"/>
    <w:rsid w:val="006B6DD0"/>
    <w:rsid w:val="006C0399"/>
    <w:rsid w:val="006C1482"/>
    <w:rsid w:val="006C1F67"/>
    <w:rsid w:val="006C2A8E"/>
    <w:rsid w:val="006C2ECB"/>
    <w:rsid w:val="006C30D5"/>
    <w:rsid w:val="006C3255"/>
    <w:rsid w:val="006C353C"/>
    <w:rsid w:val="006C3F26"/>
    <w:rsid w:val="006C48BF"/>
    <w:rsid w:val="006C5C2B"/>
    <w:rsid w:val="006D004F"/>
    <w:rsid w:val="006D0D17"/>
    <w:rsid w:val="006D14E6"/>
    <w:rsid w:val="006D1A43"/>
    <w:rsid w:val="006D235F"/>
    <w:rsid w:val="006D3C7D"/>
    <w:rsid w:val="006D4659"/>
    <w:rsid w:val="006D571E"/>
    <w:rsid w:val="006D5D5F"/>
    <w:rsid w:val="006D68FB"/>
    <w:rsid w:val="006E0297"/>
    <w:rsid w:val="006E05DA"/>
    <w:rsid w:val="006E1272"/>
    <w:rsid w:val="006E2868"/>
    <w:rsid w:val="006E3AC6"/>
    <w:rsid w:val="006E3F3F"/>
    <w:rsid w:val="006E5CCA"/>
    <w:rsid w:val="006E5F06"/>
    <w:rsid w:val="006E614E"/>
    <w:rsid w:val="006E7112"/>
    <w:rsid w:val="006E7848"/>
    <w:rsid w:val="006F0582"/>
    <w:rsid w:val="006F0A61"/>
    <w:rsid w:val="006F0F26"/>
    <w:rsid w:val="006F14AE"/>
    <w:rsid w:val="006F2888"/>
    <w:rsid w:val="006F306C"/>
    <w:rsid w:val="006F3F78"/>
    <w:rsid w:val="006F63A5"/>
    <w:rsid w:val="006F78FA"/>
    <w:rsid w:val="00700C24"/>
    <w:rsid w:val="00701375"/>
    <w:rsid w:val="0070142B"/>
    <w:rsid w:val="00701D8F"/>
    <w:rsid w:val="00701E7A"/>
    <w:rsid w:val="007023E5"/>
    <w:rsid w:val="00702726"/>
    <w:rsid w:val="0070276E"/>
    <w:rsid w:val="0070299E"/>
    <w:rsid w:val="00702F8F"/>
    <w:rsid w:val="00703D5C"/>
    <w:rsid w:val="00703ED7"/>
    <w:rsid w:val="007041C5"/>
    <w:rsid w:val="0070721B"/>
    <w:rsid w:val="0070752A"/>
    <w:rsid w:val="007079FC"/>
    <w:rsid w:val="00710C75"/>
    <w:rsid w:val="00711A36"/>
    <w:rsid w:val="00711A85"/>
    <w:rsid w:val="007125D3"/>
    <w:rsid w:val="00713B73"/>
    <w:rsid w:val="00714C26"/>
    <w:rsid w:val="0071529C"/>
    <w:rsid w:val="0071613B"/>
    <w:rsid w:val="00716245"/>
    <w:rsid w:val="00716F32"/>
    <w:rsid w:val="007170DA"/>
    <w:rsid w:val="007172AD"/>
    <w:rsid w:val="007174F0"/>
    <w:rsid w:val="00717546"/>
    <w:rsid w:val="007178C7"/>
    <w:rsid w:val="00717F35"/>
    <w:rsid w:val="00720051"/>
    <w:rsid w:val="00720801"/>
    <w:rsid w:val="00720B0C"/>
    <w:rsid w:val="00722B1B"/>
    <w:rsid w:val="00723A30"/>
    <w:rsid w:val="00723C26"/>
    <w:rsid w:val="00724024"/>
    <w:rsid w:val="0072416F"/>
    <w:rsid w:val="00725466"/>
    <w:rsid w:val="00727787"/>
    <w:rsid w:val="00727C94"/>
    <w:rsid w:val="00731B0A"/>
    <w:rsid w:val="00731C4C"/>
    <w:rsid w:val="00731EAE"/>
    <w:rsid w:val="00731EDC"/>
    <w:rsid w:val="007322F9"/>
    <w:rsid w:val="0073266B"/>
    <w:rsid w:val="00733073"/>
    <w:rsid w:val="00733C2E"/>
    <w:rsid w:val="007340AA"/>
    <w:rsid w:val="00734750"/>
    <w:rsid w:val="00735033"/>
    <w:rsid w:val="00735328"/>
    <w:rsid w:val="00735991"/>
    <w:rsid w:val="0073685B"/>
    <w:rsid w:val="0073756E"/>
    <w:rsid w:val="00737B34"/>
    <w:rsid w:val="00740AA9"/>
    <w:rsid w:val="00740F26"/>
    <w:rsid w:val="00741696"/>
    <w:rsid w:val="007421BB"/>
    <w:rsid w:val="00742CF1"/>
    <w:rsid w:val="007438B3"/>
    <w:rsid w:val="00743A54"/>
    <w:rsid w:val="00744364"/>
    <w:rsid w:val="007449BF"/>
    <w:rsid w:val="0074510C"/>
    <w:rsid w:val="00745E32"/>
    <w:rsid w:val="007463FE"/>
    <w:rsid w:val="00746BC0"/>
    <w:rsid w:val="00746C63"/>
    <w:rsid w:val="00746FC9"/>
    <w:rsid w:val="00747633"/>
    <w:rsid w:val="007510B4"/>
    <w:rsid w:val="00751518"/>
    <w:rsid w:val="00752142"/>
    <w:rsid w:val="007523F9"/>
    <w:rsid w:val="0075357E"/>
    <w:rsid w:val="00753B29"/>
    <w:rsid w:val="00755DA7"/>
    <w:rsid w:val="007565C8"/>
    <w:rsid w:val="007573E8"/>
    <w:rsid w:val="00760C4E"/>
    <w:rsid w:val="00760F9E"/>
    <w:rsid w:val="0076104D"/>
    <w:rsid w:val="007616E6"/>
    <w:rsid w:val="0076178C"/>
    <w:rsid w:val="00761796"/>
    <w:rsid w:val="007618B4"/>
    <w:rsid w:val="007627BE"/>
    <w:rsid w:val="00763026"/>
    <w:rsid w:val="00763B87"/>
    <w:rsid w:val="007644E6"/>
    <w:rsid w:val="00764F03"/>
    <w:rsid w:val="00764F9C"/>
    <w:rsid w:val="007654B8"/>
    <w:rsid w:val="00765B1A"/>
    <w:rsid w:val="00765DC1"/>
    <w:rsid w:val="00767736"/>
    <w:rsid w:val="00767863"/>
    <w:rsid w:val="0077327C"/>
    <w:rsid w:val="0077398B"/>
    <w:rsid w:val="00774B33"/>
    <w:rsid w:val="00774C9A"/>
    <w:rsid w:val="00775737"/>
    <w:rsid w:val="00775BF2"/>
    <w:rsid w:val="007761D3"/>
    <w:rsid w:val="00776CE0"/>
    <w:rsid w:val="00776E3C"/>
    <w:rsid w:val="007772D3"/>
    <w:rsid w:val="00777335"/>
    <w:rsid w:val="007806F4"/>
    <w:rsid w:val="007841E7"/>
    <w:rsid w:val="007843F2"/>
    <w:rsid w:val="0078451E"/>
    <w:rsid w:val="007846FA"/>
    <w:rsid w:val="00785090"/>
    <w:rsid w:val="00785A9F"/>
    <w:rsid w:val="007870D5"/>
    <w:rsid w:val="007915F3"/>
    <w:rsid w:val="0079259A"/>
    <w:rsid w:val="007925DF"/>
    <w:rsid w:val="007926AB"/>
    <w:rsid w:val="00792B8D"/>
    <w:rsid w:val="00792FAB"/>
    <w:rsid w:val="00793492"/>
    <w:rsid w:val="00795EF7"/>
    <w:rsid w:val="00796BBD"/>
    <w:rsid w:val="00796D77"/>
    <w:rsid w:val="007973C3"/>
    <w:rsid w:val="007976D6"/>
    <w:rsid w:val="007A08AA"/>
    <w:rsid w:val="007A0A12"/>
    <w:rsid w:val="007A132D"/>
    <w:rsid w:val="007A1345"/>
    <w:rsid w:val="007A1C40"/>
    <w:rsid w:val="007A1E0D"/>
    <w:rsid w:val="007A2DDB"/>
    <w:rsid w:val="007A35E3"/>
    <w:rsid w:val="007A4D71"/>
    <w:rsid w:val="007A6BB4"/>
    <w:rsid w:val="007A6E1C"/>
    <w:rsid w:val="007A70BA"/>
    <w:rsid w:val="007A740B"/>
    <w:rsid w:val="007B02B2"/>
    <w:rsid w:val="007B0D68"/>
    <w:rsid w:val="007B0F25"/>
    <w:rsid w:val="007B22F1"/>
    <w:rsid w:val="007B251D"/>
    <w:rsid w:val="007B33DB"/>
    <w:rsid w:val="007B3533"/>
    <w:rsid w:val="007B4F58"/>
    <w:rsid w:val="007B528D"/>
    <w:rsid w:val="007B57A2"/>
    <w:rsid w:val="007B6116"/>
    <w:rsid w:val="007B63CA"/>
    <w:rsid w:val="007B6AB4"/>
    <w:rsid w:val="007B6CDA"/>
    <w:rsid w:val="007B77D1"/>
    <w:rsid w:val="007B7855"/>
    <w:rsid w:val="007B7910"/>
    <w:rsid w:val="007C07C7"/>
    <w:rsid w:val="007C1CD9"/>
    <w:rsid w:val="007C2622"/>
    <w:rsid w:val="007C2F38"/>
    <w:rsid w:val="007C32EF"/>
    <w:rsid w:val="007C361D"/>
    <w:rsid w:val="007C4B09"/>
    <w:rsid w:val="007C4B84"/>
    <w:rsid w:val="007C5264"/>
    <w:rsid w:val="007C70FF"/>
    <w:rsid w:val="007C7C25"/>
    <w:rsid w:val="007C7F62"/>
    <w:rsid w:val="007D004F"/>
    <w:rsid w:val="007D035F"/>
    <w:rsid w:val="007D06B2"/>
    <w:rsid w:val="007D0B38"/>
    <w:rsid w:val="007D4985"/>
    <w:rsid w:val="007D5215"/>
    <w:rsid w:val="007D5440"/>
    <w:rsid w:val="007D5DA0"/>
    <w:rsid w:val="007D69EB"/>
    <w:rsid w:val="007D7389"/>
    <w:rsid w:val="007E128F"/>
    <w:rsid w:val="007E1DE1"/>
    <w:rsid w:val="007E3A3C"/>
    <w:rsid w:val="007E4B28"/>
    <w:rsid w:val="007E556E"/>
    <w:rsid w:val="007E5738"/>
    <w:rsid w:val="007E7BF5"/>
    <w:rsid w:val="007F0188"/>
    <w:rsid w:val="007F0BD9"/>
    <w:rsid w:val="007F0EB5"/>
    <w:rsid w:val="007F1017"/>
    <w:rsid w:val="007F1919"/>
    <w:rsid w:val="007F29D8"/>
    <w:rsid w:val="007F3CE5"/>
    <w:rsid w:val="007F453A"/>
    <w:rsid w:val="007F4A3F"/>
    <w:rsid w:val="007F4A61"/>
    <w:rsid w:val="007F5255"/>
    <w:rsid w:val="007F56CC"/>
    <w:rsid w:val="007F61C2"/>
    <w:rsid w:val="007F6933"/>
    <w:rsid w:val="008000FA"/>
    <w:rsid w:val="00800E13"/>
    <w:rsid w:val="008010E4"/>
    <w:rsid w:val="008022FD"/>
    <w:rsid w:val="0080254A"/>
    <w:rsid w:val="00802BF2"/>
    <w:rsid w:val="00803AE9"/>
    <w:rsid w:val="00805142"/>
    <w:rsid w:val="00805FCE"/>
    <w:rsid w:val="00807A8B"/>
    <w:rsid w:val="00811383"/>
    <w:rsid w:val="00811D55"/>
    <w:rsid w:val="00812149"/>
    <w:rsid w:val="0081236A"/>
    <w:rsid w:val="00812CAC"/>
    <w:rsid w:val="00815C75"/>
    <w:rsid w:val="00816361"/>
    <w:rsid w:val="008165C6"/>
    <w:rsid w:val="008166EF"/>
    <w:rsid w:val="00816FEF"/>
    <w:rsid w:val="00820A8C"/>
    <w:rsid w:val="008215FB"/>
    <w:rsid w:val="00821CB9"/>
    <w:rsid w:val="008220CC"/>
    <w:rsid w:val="0082300F"/>
    <w:rsid w:val="00823174"/>
    <w:rsid w:val="00825751"/>
    <w:rsid w:val="00825F10"/>
    <w:rsid w:val="008264EB"/>
    <w:rsid w:val="008268CE"/>
    <w:rsid w:val="00827C04"/>
    <w:rsid w:val="00827C23"/>
    <w:rsid w:val="00827E05"/>
    <w:rsid w:val="008310FA"/>
    <w:rsid w:val="00832544"/>
    <w:rsid w:val="00832A99"/>
    <w:rsid w:val="00833B05"/>
    <w:rsid w:val="008362B4"/>
    <w:rsid w:val="00836C74"/>
    <w:rsid w:val="00837699"/>
    <w:rsid w:val="00840CA2"/>
    <w:rsid w:val="00841AFE"/>
    <w:rsid w:val="008421EE"/>
    <w:rsid w:val="0084374F"/>
    <w:rsid w:val="00844A22"/>
    <w:rsid w:val="00845539"/>
    <w:rsid w:val="00847703"/>
    <w:rsid w:val="00847DF5"/>
    <w:rsid w:val="0085020B"/>
    <w:rsid w:val="00850B9B"/>
    <w:rsid w:val="008522A5"/>
    <w:rsid w:val="008528F3"/>
    <w:rsid w:val="0085309D"/>
    <w:rsid w:val="00854572"/>
    <w:rsid w:val="008548A5"/>
    <w:rsid w:val="008567DC"/>
    <w:rsid w:val="00856897"/>
    <w:rsid w:val="00856E9A"/>
    <w:rsid w:val="00856FDC"/>
    <w:rsid w:val="00857705"/>
    <w:rsid w:val="00857CD0"/>
    <w:rsid w:val="0086075D"/>
    <w:rsid w:val="00862502"/>
    <w:rsid w:val="00862541"/>
    <w:rsid w:val="00862CC1"/>
    <w:rsid w:val="00863025"/>
    <w:rsid w:val="008642A7"/>
    <w:rsid w:val="00864D60"/>
    <w:rsid w:val="008660D4"/>
    <w:rsid w:val="0086634C"/>
    <w:rsid w:val="00871FA9"/>
    <w:rsid w:val="008728E9"/>
    <w:rsid w:val="00873E66"/>
    <w:rsid w:val="00875C26"/>
    <w:rsid w:val="00880540"/>
    <w:rsid w:val="00882874"/>
    <w:rsid w:val="00882E3C"/>
    <w:rsid w:val="0088308A"/>
    <w:rsid w:val="00883787"/>
    <w:rsid w:val="008855E4"/>
    <w:rsid w:val="00886CD2"/>
    <w:rsid w:val="0088701B"/>
    <w:rsid w:val="00891E6F"/>
    <w:rsid w:val="0089275D"/>
    <w:rsid w:val="00892A36"/>
    <w:rsid w:val="00893239"/>
    <w:rsid w:val="008935D9"/>
    <w:rsid w:val="00893C6F"/>
    <w:rsid w:val="00894489"/>
    <w:rsid w:val="008945FF"/>
    <w:rsid w:val="00894CD6"/>
    <w:rsid w:val="008963A5"/>
    <w:rsid w:val="00896D5D"/>
    <w:rsid w:val="008A0349"/>
    <w:rsid w:val="008A083A"/>
    <w:rsid w:val="008A0AC9"/>
    <w:rsid w:val="008A1E49"/>
    <w:rsid w:val="008A273A"/>
    <w:rsid w:val="008A2777"/>
    <w:rsid w:val="008A27EF"/>
    <w:rsid w:val="008A3158"/>
    <w:rsid w:val="008A3363"/>
    <w:rsid w:val="008A3371"/>
    <w:rsid w:val="008A380B"/>
    <w:rsid w:val="008A3C3E"/>
    <w:rsid w:val="008A58A9"/>
    <w:rsid w:val="008A79DE"/>
    <w:rsid w:val="008A7AE1"/>
    <w:rsid w:val="008A7BF2"/>
    <w:rsid w:val="008B0468"/>
    <w:rsid w:val="008B1757"/>
    <w:rsid w:val="008B1C33"/>
    <w:rsid w:val="008B4ADB"/>
    <w:rsid w:val="008B4B6F"/>
    <w:rsid w:val="008B62BD"/>
    <w:rsid w:val="008B7992"/>
    <w:rsid w:val="008B7A8B"/>
    <w:rsid w:val="008B7D7E"/>
    <w:rsid w:val="008C0610"/>
    <w:rsid w:val="008C132E"/>
    <w:rsid w:val="008C178C"/>
    <w:rsid w:val="008C2095"/>
    <w:rsid w:val="008C2BD2"/>
    <w:rsid w:val="008C368C"/>
    <w:rsid w:val="008C4998"/>
    <w:rsid w:val="008C502B"/>
    <w:rsid w:val="008C5610"/>
    <w:rsid w:val="008C5739"/>
    <w:rsid w:val="008C6325"/>
    <w:rsid w:val="008C6B4E"/>
    <w:rsid w:val="008C71E3"/>
    <w:rsid w:val="008C7206"/>
    <w:rsid w:val="008C7282"/>
    <w:rsid w:val="008C7ECB"/>
    <w:rsid w:val="008D2526"/>
    <w:rsid w:val="008D3B86"/>
    <w:rsid w:val="008D43FD"/>
    <w:rsid w:val="008D4755"/>
    <w:rsid w:val="008D4C3D"/>
    <w:rsid w:val="008D50FD"/>
    <w:rsid w:val="008D633A"/>
    <w:rsid w:val="008D6A92"/>
    <w:rsid w:val="008D6AFC"/>
    <w:rsid w:val="008D743C"/>
    <w:rsid w:val="008E0999"/>
    <w:rsid w:val="008E0C2C"/>
    <w:rsid w:val="008E0D3C"/>
    <w:rsid w:val="008E13A3"/>
    <w:rsid w:val="008E1B9E"/>
    <w:rsid w:val="008E2494"/>
    <w:rsid w:val="008E293A"/>
    <w:rsid w:val="008E350C"/>
    <w:rsid w:val="008E377C"/>
    <w:rsid w:val="008E38E9"/>
    <w:rsid w:val="008E55AB"/>
    <w:rsid w:val="008E6306"/>
    <w:rsid w:val="008E63A6"/>
    <w:rsid w:val="008E66CE"/>
    <w:rsid w:val="008E7964"/>
    <w:rsid w:val="008F00AB"/>
    <w:rsid w:val="008F08F0"/>
    <w:rsid w:val="008F0A4E"/>
    <w:rsid w:val="008F0C68"/>
    <w:rsid w:val="008F0F20"/>
    <w:rsid w:val="008F11EE"/>
    <w:rsid w:val="008F120A"/>
    <w:rsid w:val="008F228C"/>
    <w:rsid w:val="008F2482"/>
    <w:rsid w:val="008F27E0"/>
    <w:rsid w:val="008F29F4"/>
    <w:rsid w:val="008F48EB"/>
    <w:rsid w:val="008F4F0B"/>
    <w:rsid w:val="008F4F9D"/>
    <w:rsid w:val="008F5798"/>
    <w:rsid w:val="008F6062"/>
    <w:rsid w:val="008F7267"/>
    <w:rsid w:val="009006D0"/>
    <w:rsid w:val="009012DF"/>
    <w:rsid w:val="00903A93"/>
    <w:rsid w:val="00903AA3"/>
    <w:rsid w:val="00903C35"/>
    <w:rsid w:val="009043E9"/>
    <w:rsid w:val="009046C4"/>
    <w:rsid w:val="00904884"/>
    <w:rsid w:val="00905162"/>
    <w:rsid w:val="009062A5"/>
    <w:rsid w:val="00907698"/>
    <w:rsid w:val="00907699"/>
    <w:rsid w:val="00910FA7"/>
    <w:rsid w:val="00911272"/>
    <w:rsid w:val="00911339"/>
    <w:rsid w:val="009123C3"/>
    <w:rsid w:val="009123CB"/>
    <w:rsid w:val="009135D6"/>
    <w:rsid w:val="00914245"/>
    <w:rsid w:val="00914C77"/>
    <w:rsid w:val="00915988"/>
    <w:rsid w:val="009173BE"/>
    <w:rsid w:val="00921AA1"/>
    <w:rsid w:val="00921ACB"/>
    <w:rsid w:val="00921C1D"/>
    <w:rsid w:val="00921CFD"/>
    <w:rsid w:val="0092369B"/>
    <w:rsid w:val="00923A57"/>
    <w:rsid w:val="0092404E"/>
    <w:rsid w:val="00925276"/>
    <w:rsid w:val="00925DBE"/>
    <w:rsid w:val="0093030E"/>
    <w:rsid w:val="009325BA"/>
    <w:rsid w:val="00932C16"/>
    <w:rsid w:val="009332B5"/>
    <w:rsid w:val="00933706"/>
    <w:rsid w:val="00933F93"/>
    <w:rsid w:val="00934988"/>
    <w:rsid w:val="00935639"/>
    <w:rsid w:val="00937089"/>
    <w:rsid w:val="00937C58"/>
    <w:rsid w:val="00941004"/>
    <w:rsid w:val="009423E3"/>
    <w:rsid w:val="00944F8A"/>
    <w:rsid w:val="009464D5"/>
    <w:rsid w:val="009510A2"/>
    <w:rsid w:val="0095134D"/>
    <w:rsid w:val="009514F2"/>
    <w:rsid w:val="00952202"/>
    <w:rsid w:val="00953257"/>
    <w:rsid w:val="00954049"/>
    <w:rsid w:val="00954292"/>
    <w:rsid w:val="0095474C"/>
    <w:rsid w:val="00957D92"/>
    <w:rsid w:val="00957DFC"/>
    <w:rsid w:val="00961BD0"/>
    <w:rsid w:val="00961EAE"/>
    <w:rsid w:val="00962A30"/>
    <w:rsid w:val="00962CB9"/>
    <w:rsid w:val="00964312"/>
    <w:rsid w:val="00965458"/>
    <w:rsid w:val="00965B8A"/>
    <w:rsid w:val="00970240"/>
    <w:rsid w:val="0097071F"/>
    <w:rsid w:val="00970734"/>
    <w:rsid w:val="009711C9"/>
    <w:rsid w:val="009717AC"/>
    <w:rsid w:val="00971F0A"/>
    <w:rsid w:val="009729BE"/>
    <w:rsid w:val="00973A43"/>
    <w:rsid w:val="00974A89"/>
    <w:rsid w:val="009751C1"/>
    <w:rsid w:val="00975297"/>
    <w:rsid w:val="009804DD"/>
    <w:rsid w:val="009811F1"/>
    <w:rsid w:val="00981B56"/>
    <w:rsid w:val="009822F8"/>
    <w:rsid w:val="009825B1"/>
    <w:rsid w:val="00983328"/>
    <w:rsid w:val="009833D1"/>
    <w:rsid w:val="00983C59"/>
    <w:rsid w:val="00983E57"/>
    <w:rsid w:val="00984ACB"/>
    <w:rsid w:val="00985821"/>
    <w:rsid w:val="00985DE2"/>
    <w:rsid w:val="00985E4C"/>
    <w:rsid w:val="0098675D"/>
    <w:rsid w:val="0098756A"/>
    <w:rsid w:val="00987BA4"/>
    <w:rsid w:val="0099032A"/>
    <w:rsid w:val="00990846"/>
    <w:rsid w:val="00991B92"/>
    <w:rsid w:val="0099269F"/>
    <w:rsid w:val="009926E0"/>
    <w:rsid w:val="00993450"/>
    <w:rsid w:val="0099451E"/>
    <w:rsid w:val="00994B1A"/>
    <w:rsid w:val="00995589"/>
    <w:rsid w:val="00996807"/>
    <w:rsid w:val="00996B1A"/>
    <w:rsid w:val="00996D6E"/>
    <w:rsid w:val="009A11B8"/>
    <w:rsid w:val="009A18F6"/>
    <w:rsid w:val="009A2DCC"/>
    <w:rsid w:val="009A2E20"/>
    <w:rsid w:val="009A3AAB"/>
    <w:rsid w:val="009A3B65"/>
    <w:rsid w:val="009A4FEE"/>
    <w:rsid w:val="009A5ABC"/>
    <w:rsid w:val="009A5C66"/>
    <w:rsid w:val="009A6EE4"/>
    <w:rsid w:val="009A707F"/>
    <w:rsid w:val="009A7F10"/>
    <w:rsid w:val="009B1B25"/>
    <w:rsid w:val="009B2E6C"/>
    <w:rsid w:val="009B390C"/>
    <w:rsid w:val="009B3E26"/>
    <w:rsid w:val="009B61AA"/>
    <w:rsid w:val="009B6D32"/>
    <w:rsid w:val="009B7B7E"/>
    <w:rsid w:val="009C0094"/>
    <w:rsid w:val="009C0378"/>
    <w:rsid w:val="009C1271"/>
    <w:rsid w:val="009C1467"/>
    <w:rsid w:val="009C3269"/>
    <w:rsid w:val="009C3706"/>
    <w:rsid w:val="009C3A3A"/>
    <w:rsid w:val="009C4A1D"/>
    <w:rsid w:val="009C513D"/>
    <w:rsid w:val="009C57B9"/>
    <w:rsid w:val="009C652B"/>
    <w:rsid w:val="009C668A"/>
    <w:rsid w:val="009C69CB"/>
    <w:rsid w:val="009C6CEA"/>
    <w:rsid w:val="009C7B85"/>
    <w:rsid w:val="009D0254"/>
    <w:rsid w:val="009D07B7"/>
    <w:rsid w:val="009D1A64"/>
    <w:rsid w:val="009D1D0F"/>
    <w:rsid w:val="009D3590"/>
    <w:rsid w:val="009D5B91"/>
    <w:rsid w:val="009D5E79"/>
    <w:rsid w:val="009D792E"/>
    <w:rsid w:val="009D7CE2"/>
    <w:rsid w:val="009E0DFE"/>
    <w:rsid w:val="009E1A7B"/>
    <w:rsid w:val="009E1D98"/>
    <w:rsid w:val="009E1E04"/>
    <w:rsid w:val="009E31F6"/>
    <w:rsid w:val="009E371F"/>
    <w:rsid w:val="009E3BF4"/>
    <w:rsid w:val="009E4155"/>
    <w:rsid w:val="009E4C07"/>
    <w:rsid w:val="009E5F10"/>
    <w:rsid w:val="009E6027"/>
    <w:rsid w:val="009E67A3"/>
    <w:rsid w:val="009E777F"/>
    <w:rsid w:val="009F0832"/>
    <w:rsid w:val="009F1E10"/>
    <w:rsid w:val="009F24A8"/>
    <w:rsid w:val="009F3D13"/>
    <w:rsid w:val="009F4B12"/>
    <w:rsid w:val="009F6120"/>
    <w:rsid w:val="009F74A8"/>
    <w:rsid w:val="00A008EB"/>
    <w:rsid w:val="00A00A5B"/>
    <w:rsid w:val="00A00B2F"/>
    <w:rsid w:val="00A00D76"/>
    <w:rsid w:val="00A01184"/>
    <w:rsid w:val="00A01449"/>
    <w:rsid w:val="00A01A0D"/>
    <w:rsid w:val="00A01D00"/>
    <w:rsid w:val="00A037C2"/>
    <w:rsid w:val="00A03A7B"/>
    <w:rsid w:val="00A03B52"/>
    <w:rsid w:val="00A03D43"/>
    <w:rsid w:val="00A03E79"/>
    <w:rsid w:val="00A04380"/>
    <w:rsid w:val="00A04786"/>
    <w:rsid w:val="00A05472"/>
    <w:rsid w:val="00A05C32"/>
    <w:rsid w:val="00A0653F"/>
    <w:rsid w:val="00A07134"/>
    <w:rsid w:val="00A10607"/>
    <w:rsid w:val="00A114AE"/>
    <w:rsid w:val="00A11884"/>
    <w:rsid w:val="00A11A36"/>
    <w:rsid w:val="00A11AEF"/>
    <w:rsid w:val="00A11CD0"/>
    <w:rsid w:val="00A11D50"/>
    <w:rsid w:val="00A11F0B"/>
    <w:rsid w:val="00A13948"/>
    <w:rsid w:val="00A1555B"/>
    <w:rsid w:val="00A155C5"/>
    <w:rsid w:val="00A15B9B"/>
    <w:rsid w:val="00A16AD8"/>
    <w:rsid w:val="00A2021E"/>
    <w:rsid w:val="00A206EE"/>
    <w:rsid w:val="00A21C95"/>
    <w:rsid w:val="00A21CF3"/>
    <w:rsid w:val="00A238D1"/>
    <w:rsid w:val="00A24813"/>
    <w:rsid w:val="00A27145"/>
    <w:rsid w:val="00A275D1"/>
    <w:rsid w:val="00A27AEC"/>
    <w:rsid w:val="00A31974"/>
    <w:rsid w:val="00A31B5D"/>
    <w:rsid w:val="00A32026"/>
    <w:rsid w:val="00A320DB"/>
    <w:rsid w:val="00A323E3"/>
    <w:rsid w:val="00A33113"/>
    <w:rsid w:val="00A33817"/>
    <w:rsid w:val="00A338D8"/>
    <w:rsid w:val="00A35760"/>
    <w:rsid w:val="00A35D16"/>
    <w:rsid w:val="00A36622"/>
    <w:rsid w:val="00A37BCD"/>
    <w:rsid w:val="00A41689"/>
    <w:rsid w:val="00A41D9B"/>
    <w:rsid w:val="00A42592"/>
    <w:rsid w:val="00A43C59"/>
    <w:rsid w:val="00A44B5A"/>
    <w:rsid w:val="00A45DED"/>
    <w:rsid w:val="00A46084"/>
    <w:rsid w:val="00A5030C"/>
    <w:rsid w:val="00A50ECD"/>
    <w:rsid w:val="00A518F3"/>
    <w:rsid w:val="00A52729"/>
    <w:rsid w:val="00A52FFC"/>
    <w:rsid w:val="00A53675"/>
    <w:rsid w:val="00A54174"/>
    <w:rsid w:val="00A546C1"/>
    <w:rsid w:val="00A564D7"/>
    <w:rsid w:val="00A56773"/>
    <w:rsid w:val="00A56B6A"/>
    <w:rsid w:val="00A578DC"/>
    <w:rsid w:val="00A57C8E"/>
    <w:rsid w:val="00A613FE"/>
    <w:rsid w:val="00A6165D"/>
    <w:rsid w:val="00A61881"/>
    <w:rsid w:val="00A61F69"/>
    <w:rsid w:val="00A6228F"/>
    <w:rsid w:val="00A6243B"/>
    <w:rsid w:val="00A640E2"/>
    <w:rsid w:val="00A64D65"/>
    <w:rsid w:val="00A66FC5"/>
    <w:rsid w:val="00A6725B"/>
    <w:rsid w:val="00A67320"/>
    <w:rsid w:val="00A7003A"/>
    <w:rsid w:val="00A70605"/>
    <w:rsid w:val="00A71785"/>
    <w:rsid w:val="00A71E8B"/>
    <w:rsid w:val="00A71F7E"/>
    <w:rsid w:val="00A7248A"/>
    <w:rsid w:val="00A728D4"/>
    <w:rsid w:val="00A73134"/>
    <w:rsid w:val="00A7365A"/>
    <w:rsid w:val="00A745FE"/>
    <w:rsid w:val="00A74671"/>
    <w:rsid w:val="00A76001"/>
    <w:rsid w:val="00A76701"/>
    <w:rsid w:val="00A76F0D"/>
    <w:rsid w:val="00A777B2"/>
    <w:rsid w:val="00A77B94"/>
    <w:rsid w:val="00A811F6"/>
    <w:rsid w:val="00A825D4"/>
    <w:rsid w:val="00A828F6"/>
    <w:rsid w:val="00A82B73"/>
    <w:rsid w:val="00A82CDE"/>
    <w:rsid w:val="00A8301A"/>
    <w:rsid w:val="00A842C0"/>
    <w:rsid w:val="00A84D41"/>
    <w:rsid w:val="00A859A2"/>
    <w:rsid w:val="00A860D3"/>
    <w:rsid w:val="00A86396"/>
    <w:rsid w:val="00A86E8B"/>
    <w:rsid w:val="00A87164"/>
    <w:rsid w:val="00A87997"/>
    <w:rsid w:val="00A87D78"/>
    <w:rsid w:val="00A904DE"/>
    <w:rsid w:val="00A923BC"/>
    <w:rsid w:val="00A93072"/>
    <w:rsid w:val="00A938BD"/>
    <w:rsid w:val="00A93953"/>
    <w:rsid w:val="00A93CC3"/>
    <w:rsid w:val="00A9470E"/>
    <w:rsid w:val="00A94E0B"/>
    <w:rsid w:val="00A959D8"/>
    <w:rsid w:val="00AA0450"/>
    <w:rsid w:val="00AA113D"/>
    <w:rsid w:val="00AA5C0F"/>
    <w:rsid w:val="00AA6B1D"/>
    <w:rsid w:val="00AA6BD5"/>
    <w:rsid w:val="00AA6BD8"/>
    <w:rsid w:val="00AA6C7D"/>
    <w:rsid w:val="00AA732F"/>
    <w:rsid w:val="00AA7383"/>
    <w:rsid w:val="00AA7B37"/>
    <w:rsid w:val="00AA7FD6"/>
    <w:rsid w:val="00AB042A"/>
    <w:rsid w:val="00AB08B0"/>
    <w:rsid w:val="00AB08CF"/>
    <w:rsid w:val="00AB0D34"/>
    <w:rsid w:val="00AB0ED1"/>
    <w:rsid w:val="00AB11AD"/>
    <w:rsid w:val="00AB14DF"/>
    <w:rsid w:val="00AB19EF"/>
    <w:rsid w:val="00AB20E4"/>
    <w:rsid w:val="00AB2495"/>
    <w:rsid w:val="00AB2D34"/>
    <w:rsid w:val="00AB3430"/>
    <w:rsid w:val="00AB3706"/>
    <w:rsid w:val="00AB37B9"/>
    <w:rsid w:val="00AB3943"/>
    <w:rsid w:val="00AB3B44"/>
    <w:rsid w:val="00AB3FD3"/>
    <w:rsid w:val="00AB4067"/>
    <w:rsid w:val="00AB41C3"/>
    <w:rsid w:val="00AB4AD1"/>
    <w:rsid w:val="00AB5C7B"/>
    <w:rsid w:val="00AB5E07"/>
    <w:rsid w:val="00AB61EF"/>
    <w:rsid w:val="00AB780C"/>
    <w:rsid w:val="00AB7CFA"/>
    <w:rsid w:val="00AC3782"/>
    <w:rsid w:val="00AC4B5F"/>
    <w:rsid w:val="00AC5B42"/>
    <w:rsid w:val="00AC5B48"/>
    <w:rsid w:val="00AC6C31"/>
    <w:rsid w:val="00AC77CB"/>
    <w:rsid w:val="00AD051B"/>
    <w:rsid w:val="00AD1121"/>
    <w:rsid w:val="00AD1450"/>
    <w:rsid w:val="00AD15E8"/>
    <w:rsid w:val="00AD2925"/>
    <w:rsid w:val="00AD3480"/>
    <w:rsid w:val="00AD356D"/>
    <w:rsid w:val="00AD3671"/>
    <w:rsid w:val="00AD3A9A"/>
    <w:rsid w:val="00AD3B3C"/>
    <w:rsid w:val="00AD4C54"/>
    <w:rsid w:val="00AD4DE9"/>
    <w:rsid w:val="00AD5A0F"/>
    <w:rsid w:val="00AD6502"/>
    <w:rsid w:val="00AD6AF0"/>
    <w:rsid w:val="00AE0083"/>
    <w:rsid w:val="00AE0695"/>
    <w:rsid w:val="00AE06BE"/>
    <w:rsid w:val="00AE19A0"/>
    <w:rsid w:val="00AE3761"/>
    <w:rsid w:val="00AE3E7E"/>
    <w:rsid w:val="00AE4381"/>
    <w:rsid w:val="00AE4789"/>
    <w:rsid w:val="00AE51C1"/>
    <w:rsid w:val="00AE6795"/>
    <w:rsid w:val="00AE725D"/>
    <w:rsid w:val="00AE7AFB"/>
    <w:rsid w:val="00AE7DA7"/>
    <w:rsid w:val="00AE7E53"/>
    <w:rsid w:val="00AF1315"/>
    <w:rsid w:val="00AF19BF"/>
    <w:rsid w:val="00AF252C"/>
    <w:rsid w:val="00AF2A34"/>
    <w:rsid w:val="00AF2DC3"/>
    <w:rsid w:val="00AF366C"/>
    <w:rsid w:val="00AF4209"/>
    <w:rsid w:val="00AF4C28"/>
    <w:rsid w:val="00AF62B7"/>
    <w:rsid w:val="00AF6352"/>
    <w:rsid w:val="00AF71D4"/>
    <w:rsid w:val="00AF7336"/>
    <w:rsid w:val="00B00917"/>
    <w:rsid w:val="00B00ABF"/>
    <w:rsid w:val="00B033E5"/>
    <w:rsid w:val="00B039A4"/>
    <w:rsid w:val="00B03A63"/>
    <w:rsid w:val="00B04273"/>
    <w:rsid w:val="00B048C9"/>
    <w:rsid w:val="00B06645"/>
    <w:rsid w:val="00B06E18"/>
    <w:rsid w:val="00B10494"/>
    <w:rsid w:val="00B1073F"/>
    <w:rsid w:val="00B129A4"/>
    <w:rsid w:val="00B13182"/>
    <w:rsid w:val="00B1329D"/>
    <w:rsid w:val="00B13421"/>
    <w:rsid w:val="00B141B9"/>
    <w:rsid w:val="00B1440E"/>
    <w:rsid w:val="00B15341"/>
    <w:rsid w:val="00B169C7"/>
    <w:rsid w:val="00B201A4"/>
    <w:rsid w:val="00B201D1"/>
    <w:rsid w:val="00B201DE"/>
    <w:rsid w:val="00B208B9"/>
    <w:rsid w:val="00B213A6"/>
    <w:rsid w:val="00B21592"/>
    <w:rsid w:val="00B22098"/>
    <w:rsid w:val="00B235B0"/>
    <w:rsid w:val="00B24DF6"/>
    <w:rsid w:val="00B25CF3"/>
    <w:rsid w:val="00B26D33"/>
    <w:rsid w:val="00B272DE"/>
    <w:rsid w:val="00B27A61"/>
    <w:rsid w:val="00B30CA8"/>
    <w:rsid w:val="00B30D5C"/>
    <w:rsid w:val="00B30E20"/>
    <w:rsid w:val="00B30FF1"/>
    <w:rsid w:val="00B31C9A"/>
    <w:rsid w:val="00B32575"/>
    <w:rsid w:val="00B32DD6"/>
    <w:rsid w:val="00B3360B"/>
    <w:rsid w:val="00B336E3"/>
    <w:rsid w:val="00B34CC5"/>
    <w:rsid w:val="00B34FE2"/>
    <w:rsid w:val="00B35166"/>
    <w:rsid w:val="00B357D8"/>
    <w:rsid w:val="00B360F4"/>
    <w:rsid w:val="00B36A00"/>
    <w:rsid w:val="00B3792B"/>
    <w:rsid w:val="00B37BFC"/>
    <w:rsid w:val="00B40358"/>
    <w:rsid w:val="00B41614"/>
    <w:rsid w:val="00B41AB1"/>
    <w:rsid w:val="00B42851"/>
    <w:rsid w:val="00B42B29"/>
    <w:rsid w:val="00B42F80"/>
    <w:rsid w:val="00B434A4"/>
    <w:rsid w:val="00B435CB"/>
    <w:rsid w:val="00B43AA7"/>
    <w:rsid w:val="00B43B66"/>
    <w:rsid w:val="00B43C4B"/>
    <w:rsid w:val="00B453BE"/>
    <w:rsid w:val="00B45A19"/>
    <w:rsid w:val="00B46199"/>
    <w:rsid w:val="00B465EC"/>
    <w:rsid w:val="00B46921"/>
    <w:rsid w:val="00B46A8D"/>
    <w:rsid w:val="00B505C8"/>
    <w:rsid w:val="00B50DB8"/>
    <w:rsid w:val="00B50E18"/>
    <w:rsid w:val="00B51068"/>
    <w:rsid w:val="00B51236"/>
    <w:rsid w:val="00B5170E"/>
    <w:rsid w:val="00B5348D"/>
    <w:rsid w:val="00B53654"/>
    <w:rsid w:val="00B53905"/>
    <w:rsid w:val="00B543D7"/>
    <w:rsid w:val="00B546DB"/>
    <w:rsid w:val="00B54B5B"/>
    <w:rsid w:val="00B5562E"/>
    <w:rsid w:val="00B55862"/>
    <w:rsid w:val="00B55C89"/>
    <w:rsid w:val="00B55D65"/>
    <w:rsid w:val="00B56305"/>
    <w:rsid w:val="00B56EE9"/>
    <w:rsid w:val="00B57000"/>
    <w:rsid w:val="00B5747E"/>
    <w:rsid w:val="00B607A7"/>
    <w:rsid w:val="00B6086E"/>
    <w:rsid w:val="00B60939"/>
    <w:rsid w:val="00B60AFD"/>
    <w:rsid w:val="00B626EA"/>
    <w:rsid w:val="00B62715"/>
    <w:rsid w:val="00B63C8C"/>
    <w:rsid w:val="00B6557D"/>
    <w:rsid w:val="00B65611"/>
    <w:rsid w:val="00B6693C"/>
    <w:rsid w:val="00B674A0"/>
    <w:rsid w:val="00B675A1"/>
    <w:rsid w:val="00B70412"/>
    <w:rsid w:val="00B7049E"/>
    <w:rsid w:val="00B70B92"/>
    <w:rsid w:val="00B70E8E"/>
    <w:rsid w:val="00B74A20"/>
    <w:rsid w:val="00B74EC0"/>
    <w:rsid w:val="00B766CA"/>
    <w:rsid w:val="00B76C92"/>
    <w:rsid w:val="00B7715F"/>
    <w:rsid w:val="00B80B09"/>
    <w:rsid w:val="00B80B92"/>
    <w:rsid w:val="00B80EFD"/>
    <w:rsid w:val="00B818A4"/>
    <w:rsid w:val="00B81E9C"/>
    <w:rsid w:val="00B821D3"/>
    <w:rsid w:val="00B82C62"/>
    <w:rsid w:val="00B835CA"/>
    <w:rsid w:val="00B83739"/>
    <w:rsid w:val="00B83F02"/>
    <w:rsid w:val="00B84117"/>
    <w:rsid w:val="00B84A58"/>
    <w:rsid w:val="00B85734"/>
    <w:rsid w:val="00B858F0"/>
    <w:rsid w:val="00B85AA2"/>
    <w:rsid w:val="00B86425"/>
    <w:rsid w:val="00B8649C"/>
    <w:rsid w:val="00B86842"/>
    <w:rsid w:val="00B8695D"/>
    <w:rsid w:val="00B87F0A"/>
    <w:rsid w:val="00B9219F"/>
    <w:rsid w:val="00B92D0B"/>
    <w:rsid w:val="00B94539"/>
    <w:rsid w:val="00B94945"/>
    <w:rsid w:val="00B94C47"/>
    <w:rsid w:val="00B94DD6"/>
    <w:rsid w:val="00B94EED"/>
    <w:rsid w:val="00B95580"/>
    <w:rsid w:val="00BA01A2"/>
    <w:rsid w:val="00BA0923"/>
    <w:rsid w:val="00BA0FAE"/>
    <w:rsid w:val="00BA10B8"/>
    <w:rsid w:val="00BA2228"/>
    <w:rsid w:val="00BA3030"/>
    <w:rsid w:val="00BA322D"/>
    <w:rsid w:val="00BA4B9C"/>
    <w:rsid w:val="00BA63FA"/>
    <w:rsid w:val="00BA7DE5"/>
    <w:rsid w:val="00BB00B3"/>
    <w:rsid w:val="00BB07B6"/>
    <w:rsid w:val="00BB0AA9"/>
    <w:rsid w:val="00BB0BDD"/>
    <w:rsid w:val="00BB1024"/>
    <w:rsid w:val="00BB176C"/>
    <w:rsid w:val="00BB2A73"/>
    <w:rsid w:val="00BB2ED9"/>
    <w:rsid w:val="00BB352A"/>
    <w:rsid w:val="00BB3A45"/>
    <w:rsid w:val="00BB3DD6"/>
    <w:rsid w:val="00BB4ACC"/>
    <w:rsid w:val="00BB659E"/>
    <w:rsid w:val="00BB703E"/>
    <w:rsid w:val="00BB732D"/>
    <w:rsid w:val="00BB7405"/>
    <w:rsid w:val="00BB7A70"/>
    <w:rsid w:val="00BC04F1"/>
    <w:rsid w:val="00BC2D70"/>
    <w:rsid w:val="00BC3631"/>
    <w:rsid w:val="00BC3BE9"/>
    <w:rsid w:val="00BC3DB6"/>
    <w:rsid w:val="00BC440E"/>
    <w:rsid w:val="00BC591F"/>
    <w:rsid w:val="00BC7ABA"/>
    <w:rsid w:val="00BC7D6D"/>
    <w:rsid w:val="00BD08C0"/>
    <w:rsid w:val="00BD0AEC"/>
    <w:rsid w:val="00BD1AEB"/>
    <w:rsid w:val="00BD1E15"/>
    <w:rsid w:val="00BD2108"/>
    <w:rsid w:val="00BD2CC6"/>
    <w:rsid w:val="00BD2D5A"/>
    <w:rsid w:val="00BD30BC"/>
    <w:rsid w:val="00BD3727"/>
    <w:rsid w:val="00BD4DA3"/>
    <w:rsid w:val="00BD68A3"/>
    <w:rsid w:val="00BD6938"/>
    <w:rsid w:val="00BD6CF3"/>
    <w:rsid w:val="00BD7352"/>
    <w:rsid w:val="00BD7F72"/>
    <w:rsid w:val="00BE0373"/>
    <w:rsid w:val="00BE0D66"/>
    <w:rsid w:val="00BE0ECA"/>
    <w:rsid w:val="00BE18D2"/>
    <w:rsid w:val="00BE2180"/>
    <w:rsid w:val="00BE21F2"/>
    <w:rsid w:val="00BE3399"/>
    <w:rsid w:val="00BE4159"/>
    <w:rsid w:val="00BE41CD"/>
    <w:rsid w:val="00BE4275"/>
    <w:rsid w:val="00BE461E"/>
    <w:rsid w:val="00BE4964"/>
    <w:rsid w:val="00BE78D1"/>
    <w:rsid w:val="00BF06AE"/>
    <w:rsid w:val="00BF0ABD"/>
    <w:rsid w:val="00BF0F95"/>
    <w:rsid w:val="00BF1AE5"/>
    <w:rsid w:val="00BF2433"/>
    <w:rsid w:val="00BF258D"/>
    <w:rsid w:val="00BF2E6E"/>
    <w:rsid w:val="00BF61C9"/>
    <w:rsid w:val="00BF670F"/>
    <w:rsid w:val="00BF6C94"/>
    <w:rsid w:val="00BF768B"/>
    <w:rsid w:val="00BF7D22"/>
    <w:rsid w:val="00C00424"/>
    <w:rsid w:val="00C00BB0"/>
    <w:rsid w:val="00C01AE5"/>
    <w:rsid w:val="00C01B26"/>
    <w:rsid w:val="00C0297B"/>
    <w:rsid w:val="00C03648"/>
    <w:rsid w:val="00C04322"/>
    <w:rsid w:val="00C05235"/>
    <w:rsid w:val="00C0768B"/>
    <w:rsid w:val="00C10934"/>
    <w:rsid w:val="00C113F7"/>
    <w:rsid w:val="00C1179F"/>
    <w:rsid w:val="00C127B9"/>
    <w:rsid w:val="00C128FA"/>
    <w:rsid w:val="00C12960"/>
    <w:rsid w:val="00C12C14"/>
    <w:rsid w:val="00C1508D"/>
    <w:rsid w:val="00C154A4"/>
    <w:rsid w:val="00C15F04"/>
    <w:rsid w:val="00C15FC3"/>
    <w:rsid w:val="00C1626B"/>
    <w:rsid w:val="00C179B3"/>
    <w:rsid w:val="00C17E3F"/>
    <w:rsid w:val="00C200AA"/>
    <w:rsid w:val="00C221CB"/>
    <w:rsid w:val="00C222CC"/>
    <w:rsid w:val="00C2259E"/>
    <w:rsid w:val="00C237ED"/>
    <w:rsid w:val="00C243C7"/>
    <w:rsid w:val="00C24632"/>
    <w:rsid w:val="00C2466C"/>
    <w:rsid w:val="00C25418"/>
    <w:rsid w:val="00C25D9C"/>
    <w:rsid w:val="00C2655E"/>
    <w:rsid w:val="00C267B9"/>
    <w:rsid w:val="00C27096"/>
    <w:rsid w:val="00C2778B"/>
    <w:rsid w:val="00C27A23"/>
    <w:rsid w:val="00C30113"/>
    <w:rsid w:val="00C306F6"/>
    <w:rsid w:val="00C309DD"/>
    <w:rsid w:val="00C31649"/>
    <w:rsid w:val="00C32E7E"/>
    <w:rsid w:val="00C3434C"/>
    <w:rsid w:val="00C35044"/>
    <w:rsid w:val="00C35423"/>
    <w:rsid w:val="00C36112"/>
    <w:rsid w:val="00C362F2"/>
    <w:rsid w:val="00C40385"/>
    <w:rsid w:val="00C40394"/>
    <w:rsid w:val="00C41768"/>
    <w:rsid w:val="00C422AF"/>
    <w:rsid w:val="00C432DE"/>
    <w:rsid w:val="00C4351D"/>
    <w:rsid w:val="00C46595"/>
    <w:rsid w:val="00C475AA"/>
    <w:rsid w:val="00C51005"/>
    <w:rsid w:val="00C519FE"/>
    <w:rsid w:val="00C527C7"/>
    <w:rsid w:val="00C52E7D"/>
    <w:rsid w:val="00C53C98"/>
    <w:rsid w:val="00C54752"/>
    <w:rsid w:val="00C54A2E"/>
    <w:rsid w:val="00C54F24"/>
    <w:rsid w:val="00C56FCF"/>
    <w:rsid w:val="00C57B6C"/>
    <w:rsid w:val="00C57C4C"/>
    <w:rsid w:val="00C610A6"/>
    <w:rsid w:val="00C61A59"/>
    <w:rsid w:val="00C62502"/>
    <w:rsid w:val="00C628A6"/>
    <w:rsid w:val="00C64344"/>
    <w:rsid w:val="00C64921"/>
    <w:rsid w:val="00C64FAC"/>
    <w:rsid w:val="00C65108"/>
    <w:rsid w:val="00C65576"/>
    <w:rsid w:val="00C65B49"/>
    <w:rsid w:val="00C66165"/>
    <w:rsid w:val="00C668A0"/>
    <w:rsid w:val="00C6713C"/>
    <w:rsid w:val="00C7060A"/>
    <w:rsid w:val="00C70E6B"/>
    <w:rsid w:val="00C7151A"/>
    <w:rsid w:val="00C717E3"/>
    <w:rsid w:val="00C71AF7"/>
    <w:rsid w:val="00C71F60"/>
    <w:rsid w:val="00C72241"/>
    <w:rsid w:val="00C723E8"/>
    <w:rsid w:val="00C7252C"/>
    <w:rsid w:val="00C73AC7"/>
    <w:rsid w:val="00C74223"/>
    <w:rsid w:val="00C750C8"/>
    <w:rsid w:val="00C7560F"/>
    <w:rsid w:val="00C770FA"/>
    <w:rsid w:val="00C80058"/>
    <w:rsid w:val="00C80A0E"/>
    <w:rsid w:val="00C80F19"/>
    <w:rsid w:val="00C8213F"/>
    <w:rsid w:val="00C824A3"/>
    <w:rsid w:val="00C82FD1"/>
    <w:rsid w:val="00C8303F"/>
    <w:rsid w:val="00C83CAF"/>
    <w:rsid w:val="00C83E57"/>
    <w:rsid w:val="00C8429A"/>
    <w:rsid w:val="00C84718"/>
    <w:rsid w:val="00C84F31"/>
    <w:rsid w:val="00C85154"/>
    <w:rsid w:val="00C85A70"/>
    <w:rsid w:val="00C86DC0"/>
    <w:rsid w:val="00C8783A"/>
    <w:rsid w:val="00C8797A"/>
    <w:rsid w:val="00C900B8"/>
    <w:rsid w:val="00C90197"/>
    <w:rsid w:val="00C90C71"/>
    <w:rsid w:val="00C9121B"/>
    <w:rsid w:val="00C915C4"/>
    <w:rsid w:val="00C91FD1"/>
    <w:rsid w:val="00C931CF"/>
    <w:rsid w:val="00C938CF"/>
    <w:rsid w:val="00C94053"/>
    <w:rsid w:val="00C956FC"/>
    <w:rsid w:val="00C961C9"/>
    <w:rsid w:val="00C9624D"/>
    <w:rsid w:val="00C969DA"/>
    <w:rsid w:val="00C96A3C"/>
    <w:rsid w:val="00CA04EC"/>
    <w:rsid w:val="00CA160F"/>
    <w:rsid w:val="00CA2B33"/>
    <w:rsid w:val="00CA2C77"/>
    <w:rsid w:val="00CA3DEF"/>
    <w:rsid w:val="00CA43F5"/>
    <w:rsid w:val="00CA444F"/>
    <w:rsid w:val="00CA5245"/>
    <w:rsid w:val="00CA5560"/>
    <w:rsid w:val="00CA63DC"/>
    <w:rsid w:val="00CA71F4"/>
    <w:rsid w:val="00CA7B09"/>
    <w:rsid w:val="00CA7FA0"/>
    <w:rsid w:val="00CB0628"/>
    <w:rsid w:val="00CB0694"/>
    <w:rsid w:val="00CB12A5"/>
    <w:rsid w:val="00CB1CAC"/>
    <w:rsid w:val="00CB1DB6"/>
    <w:rsid w:val="00CB29BD"/>
    <w:rsid w:val="00CB2F2A"/>
    <w:rsid w:val="00CB306B"/>
    <w:rsid w:val="00CB5B1A"/>
    <w:rsid w:val="00CB5C5F"/>
    <w:rsid w:val="00CB60EF"/>
    <w:rsid w:val="00CB63D0"/>
    <w:rsid w:val="00CB6B22"/>
    <w:rsid w:val="00CB7546"/>
    <w:rsid w:val="00CB79EF"/>
    <w:rsid w:val="00CB7F5F"/>
    <w:rsid w:val="00CC00FD"/>
    <w:rsid w:val="00CC0D6F"/>
    <w:rsid w:val="00CC1AE0"/>
    <w:rsid w:val="00CC1B39"/>
    <w:rsid w:val="00CC1BFA"/>
    <w:rsid w:val="00CC25BA"/>
    <w:rsid w:val="00CC2999"/>
    <w:rsid w:val="00CC2CF0"/>
    <w:rsid w:val="00CC2E9F"/>
    <w:rsid w:val="00CC3000"/>
    <w:rsid w:val="00CC35EA"/>
    <w:rsid w:val="00CC3848"/>
    <w:rsid w:val="00CC4C88"/>
    <w:rsid w:val="00CC54A0"/>
    <w:rsid w:val="00CC5E7B"/>
    <w:rsid w:val="00CC6D5E"/>
    <w:rsid w:val="00CC75C5"/>
    <w:rsid w:val="00CC7B3A"/>
    <w:rsid w:val="00CD0200"/>
    <w:rsid w:val="00CD0858"/>
    <w:rsid w:val="00CD090C"/>
    <w:rsid w:val="00CD0CA5"/>
    <w:rsid w:val="00CD207B"/>
    <w:rsid w:val="00CD3F77"/>
    <w:rsid w:val="00CD436A"/>
    <w:rsid w:val="00CD49E9"/>
    <w:rsid w:val="00CD4ACC"/>
    <w:rsid w:val="00CD4EE0"/>
    <w:rsid w:val="00CD52EF"/>
    <w:rsid w:val="00CD56AA"/>
    <w:rsid w:val="00CD5AC8"/>
    <w:rsid w:val="00CD6005"/>
    <w:rsid w:val="00CD63E1"/>
    <w:rsid w:val="00CD6ADC"/>
    <w:rsid w:val="00CD7193"/>
    <w:rsid w:val="00CD722C"/>
    <w:rsid w:val="00CD7388"/>
    <w:rsid w:val="00CD7819"/>
    <w:rsid w:val="00CE1E8A"/>
    <w:rsid w:val="00CE38C8"/>
    <w:rsid w:val="00CE38F8"/>
    <w:rsid w:val="00CE524F"/>
    <w:rsid w:val="00CE58CC"/>
    <w:rsid w:val="00CE6274"/>
    <w:rsid w:val="00CE77B6"/>
    <w:rsid w:val="00CF0422"/>
    <w:rsid w:val="00CF1B3A"/>
    <w:rsid w:val="00CF2730"/>
    <w:rsid w:val="00CF2B8D"/>
    <w:rsid w:val="00CF3A1B"/>
    <w:rsid w:val="00CF456B"/>
    <w:rsid w:val="00CF5A22"/>
    <w:rsid w:val="00CF7D6C"/>
    <w:rsid w:val="00D004D7"/>
    <w:rsid w:val="00D0199C"/>
    <w:rsid w:val="00D0262E"/>
    <w:rsid w:val="00D027CA"/>
    <w:rsid w:val="00D03679"/>
    <w:rsid w:val="00D0419A"/>
    <w:rsid w:val="00D04E38"/>
    <w:rsid w:val="00D05E3D"/>
    <w:rsid w:val="00D06139"/>
    <w:rsid w:val="00D061F2"/>
    <w:rsid w:val="00D07E44"/>
    <w:rsid w:val="00D110BD"/>
    <w:rsid w:val="00D11E50"/>
    <w:rsid w:val="00D12074"/>
    <w:rsid w:val="00D1213F"/>
    <w:rsid w:val="00D1334C"/>
    <w:rsid w:val="00D13675"/>
    <w:rsid w:val="00D13DD4"/>
    <w:rsid w:val="00D14066"/>
    <w:rsid w:val="00D141E1"/>
    <w:rsid w:val="00D1442F"/>
    <w:rsid w:val="00D14AB6"/>
    <w:rsid w:val="00D15314"/>
    <w:rsid w:val="00D1546E"/>
    <w:rsid w:val="00D15711"/>
    <w:rsid w:val="00D15B48"/>
    <w:rsid w:val="00D15D64"/>
    <w:rsid w:val="00D17D6C"/>
    <w:rsid w:val="00D20547"/>
    <w:rsid w:val="00D20DCA"/>
    <w:rsid w:val="00D2155B"/>
    <w:rsid w:val="00D22248"/>
    <w:rsid w:val="00D22DAC"/>
    <w:rsid w:val="00D234F0"/>
    <w:rsid w:val="00D23D11"/>
    <w:rsid w:val="00D244B6"/>
    <w:rsid w:val="00D26115"/>
    <w:rsid w:val="00D26543"/>
    <w:rsid w:val="00D273EE"/>
    <w:rsid w:val="00D273EF"/>
    <w:rsid w:val="00D2754D"/>
    <w:rsid w:val="00D27B27"/>
    <w:rsid w:val="00D27F37"/>
    <w:rsid w:val="00D30D5B"/>
    <w:rsid w:val="00D31BEE"/>
    <w:rsid w:val="00D3259A"/>
    <w:rsid w:val="00D335F3"/>
    <w:rsid w:val="00D33BAD"/>
    <w:rsid w:val="00D33BE9"/>
    <w:rsid w:val="00D33F93"/>
    <w:rsid w:val="00D35177"/>
    <w:rsid w:val="00D354F5"/>
    <w:rsid w:val="00D357FF"/>
    <w:rsid w:val="00D424C7"/>
    <w:rsid w:val="00D42F21"/>
    <w:rsid w:val="00D43B2A"/>
    <w:rsid w:val="00D43CF1"/>
    <w:rsid w:val="00D43D83"/>
    <w:rsid w:val="00D45457"/>
    <w:rsid w:val="00D462A4"/>
    <w:rsid w:val="00D46E6C"/>
    <w:rsid w:val="00D47575"/>
    <w:rsid w:val="00D50E97"/>
    <w:rsid w:val="00D51C00"/>
    <w:rsid w:val="00D521B8"/>
    <w:rsid w:val="00D5243B"/>
    <w:rsid w:val="00D533EC"/>
    <w:rsid w:val="00D55D6E"/>
    <w:rsid w:val="00D56719"/>
    <w:rsid w:val="00D56A95"/>
    <w:rsid w:val="00D5782D"/>
    <w:rsid w:val="00D6076E"/>
    <w:rsid w:val="00D60F60"/>
    <w:rsid w:val="00D6100A"/>
    <w:rsid w:val="00D6106D"/>
    <w:rsid w:val="00D611D8"/>
    <w:rsid w:val="00D61B1A"/>
    <w:rsid w:val="00D631DD"/>
    <w:rsid w:val="00D65689"/>
    <w:rsid w:val="00D66156"/>
    <w:rsid w:val="00D66E4F"/>
    <w:rsid w:val="00D70F16"/>
    <w:rsid w:val="00D71F36"/>
    <w:rsid w:val="00D72617"/>
    <w:rsid w:val="00D72F57"/>
    <w:rsid w:val="00D744B6"/>
    <w:rsid w:val="00D750DC"/>
    <w:rsid w:val="00D7583A"/>
    <w:rsid w:val="00D76A44"/>
    <w:rsid w:val="00D815EF"/>
    <w:rsid w:val="00D818E8"/>
    <w:rsid w:val="00D81949"/>
    <w:rsid w:val="00D81BB7"/>
    <w:rsid w:val="00D81F26"/>
    <w:rsid w:val="00D822E2"/>
    <w:rsid w:val="00D83488"/>
    <w:rsid w:val="00D843F2"/>
    <w:rsid w:val="00D86231"/>
    <w:rsid w:val="00D8642C"/>
    <w:rsid w:val="00D86BC8"/>
    <w:rsid w:val="00D90AF7"/>
    <w:rsid w:val="00D912AB"/>
    <w:rsid w:val="00D91923"/>
    <w:rsid w:val="00D92AD7"/>
    <w:rsid w:val="00D93753"/>
    <w:rsid w:val="00D93FBA"/>
    <w:rsid w:val="00D96E1D"/>
    <w:rsid w:val="00D97102"/>
    <w:rsid w:val="00DA005E"/>
    <w:rsid w:val="00DA01F0"/>
    <w:rsid w:val="00DA2105"/>
    <w:rsid w:val="00DA2471"/>
    <w:rsid w:val="00DA26A6"/>
    <w:rsid w:val="00DA3167"/>
    <w:rsid w:val="00DA37BF"/>
    <w:rsid w:val="00DA4DC3"/>
    <w:rsid w:val="00DA72AD"/>
    <w:rsid w:val="00DA7720"/>
    <w:rsid w:val="00DA77A5"/>
    <w:rsid w:val="00DB0607"/>
    <w:rsid w:val="00DB0E36"/>
    <w:rsid w:val="00DB3D70"/>
    <w:rsid w:val="00DB3DBF"/>
    <w:rsid w:val="00DB484F"/>
    <w:rsid w:val="00DB4BA6"/>
    <w:rsid w:val="00DB504F"/>
    <w:rsid w:val="00DB55FD"/>
    <w:rsid w:val="00DB57F0"/>
    <w:rsid w:val="00DB67E2"/>
    <w:rsid w:val="00DC04F6"/>
    <w:rsid w:val="00DC0690"/>
    <w:rsid w:val="00DC16D0"/>
    <w:rsid w:val="00DC1729"/>
    <w:rsid w:val="00DC1D65"/>
    <w:rsid w:val="00DC31B7"/>
    <w:rsid w:val="00DC3C57"/>
    <w:rsid w:val="00DC5162"/>
    <w:rsid w:val="00DC5501"/>
    <w:rsid w:val="00DC5DC3"/>
    <w:rsid w:val="00DC5DE4"/>
    <w:rsid w:val="00DC6C5C"/>
    <w:rsid w:val="00DC7154"/>
    <w:rsid w:val="00DC7E8A"/>
    <w:rsid w:val="00DC7F4D"/>
    <w:rsid w:val="00DD0F78"/>
    <w:rsid w:val="00DD16C7"/>
    <w:rsid w:val="00DD1986"/>
    <w:rsid w:val="00DD273C"/>
    <w:rsid w:val="00DD2AD9"/>
    <w:rsid w:val="00DD37B0"/>
    <w:rsid w:val="00DD3F28"/>
    <w:rsid w:val="00DD4446"/>
    <w:rsid w:val="00DD4537"/>
    <w:rsid w:val="00DD4E15"/>
    <w:rsid w:val="00DD5642"/>
    <w:rsid w:val="00DD56E0"/>
    <w:rsid w:val="00DD6919"/>
    <w:rsid w:val="00DD6B95"/>
    <w:rsid w:val="00DD6F52"/>
    <w:rsid w:val="00DD706D"/>
    <w:rsid w:val="00DD7162"/>
    <w:rsid w:val="00DE06DF"/>
    <w:rsid w:val="00DE0A49"/>
    <w:rsid w:val="00DE1362"/>
    <w:rsid w:val="00DE1A99"/>
    <w:rsid w:val="00DE2304"/>
    <w:rsid w:val="00DE3138"/>
    <w:rsid w:val="00DE37F8"/>
    <w:rsid w:val="00DE4273"/>
    <w:rsid w:val="00DE4444"/>
    <w:rsid w:val="00DE4A94"/>
    <w:rsid w:val="00DE4FCB"/>
    <w:rsid w:val="00DE5D07"/>
    <w:rsid w:val="00DE72A7"/>
    <w:rsid w:val="00DE7832"/>
    <w:rsid w:val="00DF04E8"/>
    <w:rsid w:val="00DF18FC"/>
    <w:rsid w:val="00DF1EE6"/>
    <w:rsid w:val="00DF2145"/>
    <w:rsid w:val="00DF21AB"/>
    <w:rsid w:val="00DF5081"/>
    <w:rsid w:val="00DF5D2B"/>
    <w:rsid w:val="00DF6341"/>
    <w:rsid w:val="00DF7CD7"/>
    <w:rsid w:val="00E008B6"/>
    <w:rsid w:val="00E00E8E"/>
    <w:rsid w:val="00E0289E"/>
    <w:rsid w:val="00E036FE"/>
    <w:rsid w:val="00E03B86"/>
    <w:rsid w:val="00E04AB9"/>
    <w:rsid w:val="00E04FC4"/>
    <w:rsid w:val="00E05630"/>
    <w:rsid w:val="00E056F1"/>
    <w:rsid w:val="00E06DBB"/>
    <w:rsid w:val="00E071FB"/>
    <w:rsid w:val="00E07AF5"/>
    <w:rsid w:val="00E10149"/>
    <w:rsid w:val="00E10786"/>
    <w:rsid w:val="00E11340"/>
    <w:rsid w:val="00E12136"/>
    <w:rsid w:val="00E122A1"/>
    <w:rsid w:val="00E13A1D"/>
    <w:rsid w:val="00E1496A"/>
    <w:rsid w:val="00E15FE9"/>
    <w:rsid w:val="00E16372"/>
    <w:rsid w:val="00E16AD8"/>
    <w:rsid w:val="00E17E56"/>
    <w:rsid w:val="00E17FFA"/>
    <w:rsid w:val="00E20E4D"/>
    <w:rsid w:val="00E20ED6"/>
    <w:rsid w:val="00E21358"/>
    <w:rsid w:val="00E219A3"/>
    <w:rsid w:val="00E219BF"/>
    <w:rsid w:val="00E2213A"/>
    <w:rsid w:val="00E2249B"/>
    <w:rsid w:val="00E2250C"/>
    <w:rsid w:val="00E22A0D"/>
    <w:rsid w:val="00E244F6"/>
    <w:rsid w:val="00E258DB"/>
    <w:rsid w:val="00E26482"/>
    <w:rsid w:val="00E26A55"/>
    <w:rsid w:val="00E2771E"/>
    <w:rsid w:val="00E27E11"/>
    <w:rsid w:val="00E305EE"/>
    <w:rsid w:val="00E30699"/>
    <w:rsid w:val="00E30CA8"/>
    <w:rsid w:val="00E311EF"/>
    <w:rsid w:val="00E32180"/>
    <w:rsid w:val="00E33065"/>
    <w:rsid w:val="00E3316A"/>
    <w:rsid w:val="00E33E41"/>
    <w:rsid w:val="00E34948"/>
    <w:rsid w:val="00E34AA9"/>
    <w:rsid w:val="00E36231"/>
    <w:rsid w:val="00E37569"/>
    <w:rsid w:val="00E401B2"/>
    <w:rsid w:val="00E4126D"/>
    <w:rsid w:val="00E417A4"/>
    <w:rsid w:val="00E41B50"/>
    <w:rsid w:val="00E41DCE"/>
    <w:rsid w:val="00E41E30"/>
    <w:rsid w:val="00E42F73"/>
    <w:rsid w:val="00E43D70"/>
    <w:rsid w:val="00E440B5"/>
    <w:rsid w:val="00E440F0"/>
    <w:rsid w:val="00E44B43"/>
    <w:rsid w:val="00E44E1C"/>
    <w:rsid w:val="00E466F3"/>
    <w:rsid w:val="00E46BC5"/>
    <w:rsid w:val="00E47B2C"/>
    <w:rsid w:val="00E51560"/>
    <w:rsid w:val="00E51821"/>
    <w:rsid w:val="00E53A97"/>
    <w:rsid w:val="00E53FC8"/>
    <w:rsid w:val="00E542F1"/>
    <w:rsid w:val="00E54347"/>
    <w:rsid w:val="00E55424"/>
    <w:rsid w:val="00E555B1"/>
    <w:rsid w:val="00E55915"/>
    <w:rsid w:val="00E55A43"/>
    <w:rsid w:val="00E55BB5"/>
    <w:rsid w:val="00E56670"/>
    <w:rsid w:val="00E57561"/>
    <w:rsid w:val="00E5759A"/>
    <w:rsid w:val="00E57A2F"/>
    <w:rsid w:val="00E611DF"/>
    <w:rsid w:val="00E6211C"/>
    <w:rsid w:val="00E65E79"/>
    <w:rsid w:val="00E66BA2"/>
    <w:rsid w:val="00E67380"/>
    <w:rsid w:val="00E67416"/>
    <w:rsid w:val="00E70434"/>
    <w:rsid w:val="00E718B6"/>
    <w:rsid w:val="00E7219F"/>
    <w:rsid w:val="00E723BA"/>
    <w:rsid w:val="00E73581"/>
    <w:rsid w:val="00E73ECA"/>
    <w:rsid w:val="00E75761"/>
    <w:rsid w:val="00E77323"/>
    <w:rsid w:val="00E77DC8"/>
    <w:rsid w:val="00E80565"/>
    <w:rsid w:val="00E819C8"/>
    <w:rsid w:val="00E81A9A"/>
    <w:rsid w:val="00E831B2"/>
    <w:rsid w:val="00E833F7"/>
    <w:rsid w:val="00E8390F"/>
    <w:rsid w:val="00E83BDF"/>
    <w:rsid w:val="00E84225"/>
    <w:rsid w:val="00E86857"/>
    <w:rsid w:val="00E86FCC"/>
    <w:rsid w:val="00E871F0"/>
    <w:rsid w:val="00E87A1D"/>
    <w:rsid w:val="00E87B6C"/>
    <w:rsid w:val="00E87E31"/>
    <w:rsid w:val="00E90896"/>
    <w:rsid w:val="00E9094A"/>
    <w:rsid w:val="00E90C32"/>
    <w:rsid w:val="00E91D35"/>
    <w:rsid w:val="00E926A5"/>
    <w:rsid w:val="00E94327"/>
    <w:rsid w:val="00E94877"/>
    <w:rsid w:val="00E956BE"/>
    <w:rsid w:val="00E95A7F"/>
    <w:rsid w:val="00E962CC"/>
    <w:rsid w:val="00E96712"/>
    <w:rsid w:val="00E96F20"/>
    <w:rsid w:val="00EA17C3"/>
    <w:rsid w:val="00EA2208"/>
    <w:rsid w:val="00EA22F0"/>
    <w:rsid w:val="00EA2CAA"/>
    <w:rsid w:val="00EA3864"/>
    <w:rsid w:val="00EA4240"/>
    <w:rsid w:val="00EA43B4"/>
    <w:rsid w:val="00EA5987"/>
    <w:rsid w:val="00EA7AC7"/>
    <w:rsid w:val="00EA7F1C"/>
    <w:rsid w:val="00EB0116"/>
    <w:rsid w:val="00EB0731"/>
    <w:rsid w:val="00EB15B6"/>
    <w:rsid w:val="00EB35C3"/>
    <w:rsid w:val="00EB3D06"/>
    <w:rsid w:val="00EB4123"/>
    <w:rsid w:val="00EB4916"/>
    <w:rsid w:val="00EB50A5"/>
    <w:rsid w:val="00EB6B7A"/>
    <w:rsid w:val="00EB7141"/>
    <w:rsid w:val="00EB74BE"/>
    <w:rsid w:val="00EB755A"/>
    <w:rsid w:val="00EC00C9"/>
    <w:rsid w:val="00EC0CFE"/>
    <w:rsid w:val="00EC0DD9"/>
    <w:rsid w:val="00EC20E0"/>
    <w:rsid w:val="00EC2649"/>
    <w:rsid w:val="00EC268B"/>
    <w:rsid w:val="00EC31ED"/>
    <w:rsid w:val="00EC31FE"/>
    <w:rsid w:val="00EC450F"/>
    <w:rsid w:val="00EC46E4"/>
    <w:rsid w:val="00EC5198"/>
    <w:rsid w:val="00EC5277"/>
    <w:rsid w:val="00EC5440"/>
    <w:rsid w:val="00EC5836"/>
    <w:rsid w:val="00EC688C"/>
    <w:rsid w:val="00EC69E0"/>
    <w:rsid w:val="00EC6F28"/>
    <w:rsid w:val="00ED107B"/>
    <w:rsid w:val="00ED12E3"/>
    <w:rsid w:val="00ED167A"/>
    <w:rsid w:val="00ED41E8"/>
    <w:rsid w:val="00ED4B04"/>
    <w:rsid w:val="00ED532F"/>
    <w:rsid w:val="00ED57EA"/>
    <w:rsid w:val="00ED5BD4"/>
    <w:rsid w:val="00ED6E13"/>
    <w:rsid w:val="00EE07D3"/>
    <w:rsid w:val="00EE15FF"/>
    <w:rsid w:val="00EE1996"/>
    <w:rsid w:val="00EE1C01"/>
    <w:rsid w:val="00EE22AF"/>
    <w:rsid w:val="00EE237B"/>
    <w:rsid w:val="00EE3543"/>
    <w:rsid w:val="00EE3EC1"/>
    <w:rsid w:val="00EE5337"/>
    <w:rsid w:val="00EF0171"/>
    <w:rsid w:val="00EF02C7"/>
    <w:rsid w:val="00EF0464"/>
    <w:rsid w:val="00EF1B25"/>
    <w:rsid w:val="00EF1DA0"/>
    <w:rsid w:val="00EF3133"/>
    <w:rsid w:val="00EF3676"/>
    <w:rsid w:val="00EF4702"/>
    <w:rsid w:val="00EF4747"/>
    <w:rsid w:val="00EF4BF8"/>
    <w:rsid w:val="00EF5821"/>
    <w:rsid w:val="00EF5E81"/>
    <w:rsid w:val="00EF6106"/>
    <w:rsid w:val="00F00880"/>
    <w:rsid w:val="00F02253"/>
    <w:rsid w:val="00F03C2E"/>
    <w:rsid w:val="00F04A66"/>
    <w:rsid w:val="00F04B4B"/>
    <w:rsid w:val="00F0516C"/>
    <w:rsid w:val="00F051EE"/>
    <w:rsid w:val="00F067A2"/>
    <w:rsid w:val="00F07587"/>
    <w:rsid w:val="00F07B9E"/>
    <w:rsid w:val="00F1116F"/>
    <w:rsid w:val="00F11313"/>
    <w:rsid w:val="00F11725"/>
    <w:rsid w:val="00F11A88"/>
    <w:rsid w:val="00F1263A"/>
    <w:rsid w:val="00F139C5"/>
    <w:rsid w:val="00F13CBE"/>
    <w:rsid w:val="00F14005"/>
    <w:rsid w:val="00F150E7"/>
    <w:rsid w:val="00F15B77"/>
    <w:rsid w:val="00F167DA"/>
    <w:rsid w:val="00F169A3"/>
    <w:rsid w:val="00F16A3F"/>
    <w:rsid w:val="00F1780B"/>
    <w:rsid w:val="00F20086"/>
    <w:rsid w:val="00F20C98"/>
    <w:rsid w:val="00F21236"/>
    <w:rsid w:val="00F23460"/>
    <w:rsid w:val="00F24837"/>
    <w:rsid w:val="00F24DF0"/>
    <w:rsid w:val="00F2575F"/>
    <w:rsid w:val="00F27565"/>
    <w:rsid w:val="00F2784B"/>
    <w:rsid w:val="00F2794A"/>
    <w:rsid w:val="00F3082D"/>
    <w:rsid w:val="00F30867"/>
    <w:rsid w:val="00F30EA8"/>
    <w:rsid w:val="00F30F8C"/>
    <w:rsid w:val="00F310D4"/>
    <w:rsid w:val="00F31797"/>
    <w:rsid w:val="00F31D5A"/>
    <w:rsid w:val="00F32223"/>
    <w:rsid w:val="00F325BF"/>
    <w:rsid w:val="00F33975"/>
    <w:rsid w:val="00F33D5E"/>
    <w:rsid w:val="00F33DE9"/>
    <w:rsid w:val="00F3402C"/>
    <w:rsid w:val="00F34D7C"/>
    <w:rsid w:val="00F35E6D"/>
    <w:rsid w:val="00F3619A"/>
    <w:rsid w:val="00F37E82"/>
    <w:rsid w:val="00F40848"/>
    <w:rsid w:val="00F40AAA"/>
    <w:rsid w:val="00F40BA7"/>
    <w:rsid w:val="00F40F9D"/>
    <w:rsid w:val="00F41ACD"/>
    <w:rsid w:val="00F43370"/>
    <w:rsid w:val="00F46CB6"/>
    <w:rsid w:val="00F4756D"/>
    <w:rsid w:val="00F479F0"/>
    <w:rsid w:val="00F47A06"/>
    <w:rsid w:val="00F47DE8"/>
    <w:rsid w:val="00F50C22"/>
    <w:rsid w:val="00F518CC"/>
    <w:rsid w:val="00F53091"/>
    <w:rsid w:val="00F542C1"/>
    <w:rsid w:val="00F550E3"/>
    <w:rsid w:val="00F55E73"/>
    <w:rsid w:val="00F55EDA"/>
    <w:rsid w:val="00F563B8"/>
    <w:rsid w:val="00F5688B"/>
    <w:rsid w:val="00F56C80"/>
    <w:rsid w:val="00F578B6"/>
    <w:rsid w:val="00F60092"/>
    <w:rsid w:val="00F6094B"/>
    <w:rsid w:val="00F60E4C"/>
    <w:rsid w:val="00F61C18"/>
    <w:rsid w:val="00F625D1"/>
    <w:rsid w:val="00F631FE"/>
    <w:rsid w:val="00F6387C"/>
    <w:rsid w:val="00F650E3"/>
    <w:rsid w:val="00F65264"/>
    <w:rsid w:val="00F65ED5"/>
    <w:rsid w:val="00F65F4B"/>
    <w:rsid w:val="00F6629F"/>
    <w:rsid w:val="00F66D8F"/>
    <w:rsid w:val="00F673FB"/>
    <w:rsid w:val="00F676B8"/>
    <w:rsid w:val="00F67877"/>
    <w:rsid w:val="00F67A69"/>
    <w:rsid w:val="00F70872"/>
    <w:rsid w:val="00F70BFF"/>
    <w:rsid w:val="00F70C9D"/>
    <w:rsid w:val="00F739E3"/>
    <w:rsid w:val="00F73E08"/>
    <w:rsid w:val="00F74043"/>
    <w:rsid w:val="00F74CD9"/>
    <w:rsid w:val="00F75D53"/>
    <w:rsid w:val="00F761A2"/>
    <w:rsid w:val="00F80A7B"/>
    <w:rsid w:val="00F80E5D"/>
    <w:rsid w:val="00F81E78"/>
    <w:rsid w:val="00F833E5"/>
    <w:rsid w:val="00F83916"/>
    <w:rsid w:val="00F84FD2"/>
    <w:rsid w:val="00F851CE"/>
    <w:rsid w:val="00F85ABF"/>
    <w:rsid w:val="00F86F80"/>
    <w:rsid w:val="00F91219"/>
    <w:rsid w:val="00F91957"/>
    <w:rsid w:val="00F92444"/>
    <w:rsid w:val="00F92CF7"/>
    <w:rsid w:val="00F9393E"/>
    <w:rsid w:val="00F94BE7"/>
    <w:rsid w:val="00F94DB7"/>
    <w:rsid w:val="00F94F48"/>
    <w:rsid w:val="00F96F19"/>
    <w:rsid w:val="00F96FD0"/>
    <w:rsid w:val="00F97A78"/>
    <w:rsid w:val="00FA0A3C"/>
    <w:rsid w:val="00FA0B20"/>
    <w:rsid w:val="00FA112E"/>
    <w:rsid w:val="00FA24E7"/>
    <w:rsid w:val="00FA2624"/>
    <w:rsid w:val="00FA2D06"/>
    <w:rsid w:val="00FA5A9E"/>
    <w:rsid w:val="00FA5DD4"/>
    <w:rsid w:val="00FA5EE6"/>
    <w:rsid w:val="00FA61B8"/>
    <w:rsid w:val="00FA7956"/>
    <w:rsid w:val="00FB0824"/>
    <w:rsid w:val="00FB13AD"/>
    <w:rsid w:val="00FB2FCB"/>
    <w:rsid w:val="00FB3657"/>
    <w:rsid w:val="00FB4C9C"/>
    <w:rsid w:val="00FB7946"/>
    <w:rsid w:val="00FB7C55"/>
    <w:rsid w:val="00FC1074"/>
    <w:rsid w:val="00FC1884"/>
    <w:rsid w:val="00FC1F9F"/>
    <w:rsid w:val="00FC371D"/>
    <w:rsid w:val="00FC5F0B"/>
    <w:rsid w:val="00FD1265"/>
    <w:rsid w:val="00FD2100"/>
    <w:rsid w:val="00FD436C"/>
    <w:rsid w:val="00FD446D"/>
    <w:rsid w:val="00FD4788"/>
    <w:rsid w:val="00FD4882"/>
    <w:rsid w:val="00FD4EF7"/>
    <w:rsid w:val="00FD4F2C"/>
    <w:rsid w:val="00FD5055"/>
    <w:rsid w:val="00FD520B"/>
    <w:rsid w:val="00FD6394"/>
    <w:rsid w:val="00FE0E6C"/>
    <w:rsid w:val="00FE170C"/>
    <w:rsid w:val="00FE1C1D"/>
    <w:rsid w:val="00FE1CDC"/>
    <w:rsid w:val="00FE2451"/>
    <w:rsid w:val="00FE345C"/>
    <w:rsid w:val="00FE38F3"/>
    <w:rsid w:val="00FE4A64"/>
    <w:rsid w:val="00FE549E"/>
    <w:rsid w:val="00FE64E2"/>
    <w:rsid w:val="00FE70C3"/>
    <w:rsid w:val="00FE74AF"/>
    <w:rsid w:val="00FE78B6"/>
    <w:rsid w:val="00FF0BAB"/>
    <w:rsid w:val="00FF0E69"/>
    <w:rsid w:val="00FF1A8B"/>
    <w:rsid w:val="00FF2AD9"/>
    <w:rsid w:val="00FF359F"/>
    <w:rsid w:val="00FF3C40"/>
    <w:rsid w:val="00FF3DCF"/>
    <w:rsid w:val="00FF3F82"/>
    <w:rsid w:val="00FF492C"/>
    <w:rsid w:val="00FF4A21"/>
    <w:rsid w:val="00FF4E09"/>
    <w:rsid w:val="00FF56D9"/>
    <w:rsid w:val="00FF5AA3"/>
    <w:rsid w:val="00FF5AD8"/>
    <w:rsid w:val="00FF62D6"/>
    <w:rsid w:val="00FF7916"/>
    <w:rsid w:val="00FF79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Bayer Caption1,IB Caption1,Medical Caption1,Bayer Caption2,IB Caption2,Medical Caption2,Bayer Caption3,IB Caption3,Medical Caption3,Bayer Caption4,IB Caption4,Medical Caption4,Bayer Caption5,Caption2,c"/>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Bayer Caption Char,IB Caption Char,Medical Caption Char,Bayer Caption1 Char,IB Caption1 Char,Medical Caption1 Char,Bayer Caption2 Char,IB Caption2 Char,Medical Caption2 Char,Bayer Caption3 Char,IB Caption3 Char,Medical Caption3 Char,c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ES Paragraph,PBAC ES Paragraph,PBAC normal points,Bullet Li"/>
    <w:next w:val="ListBullet"/>
    <w:link w:val="ListParagraphChar"/>
    <w:uiPriority w:val="72"/>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Bullet Li Char"/>
    <w:basedOn w:val="DefaultParagraphFont"/>
    <w:link w:val="ListParagraph"/>
    <w:uiPriority w:val="72"/>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Main text,Title Page text"/>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723C2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D71F36"/>
    <w:pPr>
      <w:tabs>
        <w:tab w:val="right" w:leader="dot" w:pos="9016"/>
      </w:tabs>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94327"/>
    <w:rPr>
      <w:color w:val="605E5C"/>
      <w:shd w:val="clear" w:color="auto" w:fill="E1DFDD"/>
    </w:rPr>
  </w:style>
  <w:style w:type="paragraph" w:customStyle="1" w:styleId="Style1">
    <w:name w:val="Style1"/>
    <w:basedOn w:val="Heading1"/>
    <w:link w:val="Style1Char"/>
    <w:qFormat/>
    <w:rsid w:val="008D6A92"/>
    <w:pPr>
      <w:widowControl w:val="0"/>
      <w:jc w:val="left"/>
    </w:pPr>
    <w:rPr>
      <w:caps w:val="0"/>
      <w:snapToGrid w:val="0"/>
      <w:sz w:val="36"/>
      <w:szCs w:val="36"/>
      <w:lang w:eastAsia="en-US"/>
    </w:rPr>
  </w:style>
  <w:style w:type="character" w:customStyle="1" w:styleId="Style1Char">
    <w:name w:val="Style1 Char"/>
    <w:basedOn w:val="DefaultParagraphFont"/>
    <w:link w:val="Style1"/>
    <w:rsid w:val="008D6A92"/>
    <w:rPr>
      <w:rFonts w:ascii="Calibri" w:hAnsi="Calibri" w:cs="Arial"/>
      <w:b/>
      <w:snapToGrid w:val="0"/>
      <w:sz w:val="36"/>
      <w:szCs w:val="36"/>
      <w:lang w:eastAsia="en-US"/>
    </w:rPr>
  </w:style>
  <w:style w:type="character" w:customStyle="1" w:styleId="NoSpacingChar">
    <w:name w:val="No Spacing Char"/>
    <w:aliases w:val="Main text Char,Title Page text Char"/>
    <w:basedOn w:val="DefaultParagraphFont"/>
    <w:link w:val="NoSpacing"/>
    <w:uiPriority w:val="1"/>
    <w:rsid w:val="0073756E"/>
    <w:rPr>
      <w:rFonts w:ascii="Arial" w:hAnsi="Arial" w:cs="Arial"/>
      <w:snapToGrid w:val="0"/>
      <w:sz w:val="22"/>
      <w:lang w:eastAsia="en-US"/>
    </w:rPr>
  </w:style>
  <w:style w:type="table" w:customStyle="1" w:styleId="TableGridbeth1">
    <w:name w:val="Table Gridbeth1"/>
    <w:basedOn w:val="TableNormal"/>
    <w:next w:val="TableGrid"/>
    <w:uiPriority w:val="59"/>
    <w:rsid w:val="00647A0C"/>
    <w:rPr>
      <w:rFonts w:asciiTheme="minorHAnsi" w:eastAsiaTheme="minorHAnsi"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TableFigHeading">
    <w:name w:val="Table&amp;Fig Heading"/>
    <w:qFormat/>
    <w:rsid w:val="00AB08CF"/>
    <w:pPr>
      <w:spacing w:after="60"/>
      <w:jc w:val="both"/>
    </w:pPr>
    <w:rPr>
      <w:rFonts w:ascii="Garamond" w:eastAsiaTheme="minorHAnsi" w:hAnsi="Garamond" w:cstheme="minorBidi"/>
      <w:b/>
      <w:sz w:val="22"/>
      <w:szCs w:val="22"/>
      <w:lang w:eastAsia="en-US"/>
    </w:rPr>
  </w:style>
  <w:style w:type="paragraph" w:customStyle="1" w:styleId="TableBullet">
    <w:name w:val="Table Bullet"/>
    <w:basedOn w:val="TableText0"/>
    <w:qFormat/>
    <w:rsid w:val="00AB08CF"/>
    <w:pPr>
      <w:keepNext w:val="0"/>
      <w:numPr>
        <w:numId w:val="10"/>
      </w:numPr>
      <w:spacing w:before="40" w:after="40"/>
    </w:pPr>
    <w:rPr>
      <w:rFonts w:eastAsiaTheme="minorHAnsi" w:cstheme="minorBidi"/>
      <w:bCs w:val="0"/>
      <w:szCs w:val="22"/>
      <w:lang w:eastAsia="en-US"/>
    </w:rPr>
  </w:style>
  <w:style w:type="table" w:customStyle="1" w:styleId="TableGrid1">
    <w:name w:val="Table Grid1"/>
    <w:basedOn w:val="TableNormal"/>
    <w:next w:val="TableGrid"/>
    <w:uiPriority w:val="59"/>
    <w:rsid w:val="00AB08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um-authors">
    <w:name w:val="docsum-authors"/>
    <w:basedOn w:val="DefaultParagraphFont"/>
    <w:rsid w:val="00CB5C5F"/>
  </w:style>
  <w:style w:type="character" w:customStyle="1" w:styleId="docsum-journal-citation">
    <w:name w:val="docsum-journal-citation"/>
    <w:basedOn w:val="DefaultParagraphFont"/>
    <w:rsid w:val="00CB5C5F"/>
  </w:style>
  <w:style w:type="character" w:customStyle="1" w:styleId="citation-part">
    <w:name w:val="citation-part"/>
    <w:basedOn w:val="DefaultParagraphFont"/>
    <w:rsid w:val="00CB5C5F"/>
  </w:style>
  <w:style w:type="character" w:customStyle="1" w:styleId="docsum-pmid">
    <w:name w:val="docsum-pmid"/>
    <w:basedOn w:val="DefaultParagraphFont"/>
    <w:rsid w:val="00CB5C5F"/>
  </w:style>
  <w:style w:type="character" w:customStyle="1" w:styleId="free-resources">
    <w:name w:val="free-resources"/>
    <w:basedOn w:val="DefaultParagraphFont"/>
    <w:rsid w:val="00CB5C5F"/>
  </w:style>
  <w:style w:type="paragraph" w:styleId="FootnoteText">
    <w:name w:val="footnote text"/>
    <w:basedOn w:val="Normal"/>
    <w:link w:val="FootnoteTextChar"/>
    <w:uiPriority w:val="99"/>
    <w:unhideWhenUsed/>
    <w:rsid w:val="00CD090C"/>
    <w:pPr>
      <w:jc w:val="left"/>
    </w:pPr>
    <w:rPr>
      <w:rFonts w:ascii="Garamond" w:eastAsiaTheme="minorHAnsi" w:hAnsi="Garamond" w:cs="Times New Roman"/>
      <w:sz w:val="20"/>
      <w:szCs w:val="20"/>
      <w:lang w:eastAsia="en-US"/>
    </w:rPr>
  </w:style>
  <w:style w:type="character" w:customStyle="1" w:styleId="FootnoteTextChar">
    <w:name w:val="Footnote Text Char"/>
    <w:basedOn w:val="DefaultParagraphFont"/>
    <w:link w:val="FootnoteText"/>
    <w:uiPriority w:val="99"/>
    <w:rsid w:val="00CD090C"/>
    <w:rPr>
      <w:rFonts w:ascii="Garamond" w:eastAsiaTheme="minorHAnsi" w:hAnsi="Garamond"/>
      <w:lang w:eastAsia="en-US"/>
    </w:rPr>
  </w:style>
  <w:style w:type="character" w:styleId="FootnoteReference">
    <w:name w:val="footnote reference"/>
    <w:basedOn w:val="DefaultParagraphFont"/>
    <w:uiPriority w:val="99"/>
    <w:unhideWhenUsed/>
    <w:rsid w:val="00CD090C"/>
    <w:rPr>
      <w:vertAlign w:val="superscript"/>
    </w:rPr>
  </w:style>
  <w:style w:type="table" w:customStyle="1" w:styleId="TableGrid11">
    <w:name w:val="Table Grid 11"/>
    <w:basedOn w:val="TableNormal"/>
    <w:next w:val="TableGrid10"/>
    <w:rsid w:val="00CD49E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0">
    <w:name w:val="Table Grid 1"/>
    <w:basedOn w:val="TableNormal"/>
    <w:semiHidden/>
    <w:unhideWhenUsed/>
    <w:rsid w:val="00CD49E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ainBodyTextEmphasiswithBold">
    <w:name w:val="Main Body Text Emphasis with Bold"/>
    <w:qFormat/>
    <w:rsid w:val="00970240"/>
    <w:rPr>
      <w:b/>
    </w:rPr>
  </w:style>
  <w:style w:type="character" w:customStyle="1" w:styleId="cf01">
    <w:name w:val="cf01"/>
    <w:basedOn w:val="DefaultParagraphFont"/>
    <w:rsid w:val="00BD2D5A"/>
    <w:rPr>
      <w:rFonts w:ascii="Segoe UI" w:hAnsi="Segoe UI" w:cs="Segoe UI" w:hint="default"/>
      <w:sz w:val="18"/>
      <w:szCs w:val="18"/>
      <w:shd w:val="clear" w:color="auto" w:fill="FFFF00"/>
    </w:rPr>
  </w:style>
  <w:style w:type="paragraph" w:customStyle="1" w:styleId="3-SubsectionHeading">
    <w:name w:val="3-Subsection Heading"/>
    <w:basedOn w:val="Heading2"/>
    <w:next w:val="Normal"/>
    <w:link w:val="3-SubsectionHeadingChar"/>
    <w:qFormat/>
    <w:rsid w:val="00803AE9"/>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803AE9"/>
    <w:rPr>
      <w:rFonts w:asciiTheme="minorHAnsi" w:eastAsiaTheme="majorEastAsia" w:hAnsiTheme="minorHAnsi" w:cstheme="majorBidi"/>
      <w:b/>
      <w:i/>
      <w:snapToGrid/>
      <w:spacing w:val="5"/>
      <w:kern w:val="28"/>
      <w:sz w:val="28"/>
      <w:szCs w:val="36"/>
      <w:lang w:eastAsia="en-US"/>
    </w:rPr>
  </w:style>
  <w:style w:type="paragraph" w:customStyle="1" w:styleId="Numberbullet2">
    <w:name w:val="Number bullet 2"/>
    <w:basedOn w:val="ListBullet2"/>
    <w:qFormat/>
    <w:rsid w:val="00B30FF1"/>
    <w:pPr>
      <w:numPr>
        <w:ilvl w:val="1"/>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B30FF1"/>
    <w:pPr>
      <w:numPr>
        <w:ilvl w:val="2"/>
        <w:numId w:val="45"/>
      </w:num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B30FF1"/>
    <w:pPr>
      <w:numPr>
        <w:numId w:val="45"/>
      </w:numPr>
    </w:pPr>
  </w:style>
  <w:style w:type="paragraph" w:customStyle="1" w:styleId="COMH1numbered">
    <w:name w:val="COM H1 numbered"/>
    <w:next w:val="Normal"/>
    <w:link w:val="COMH1numberedChar"/>
    <w:qFormat/>
    <w:rsid w:val="00B30FF1"/>
    <w:pPr>
      <w:keepNext/>
      <w:numPr>
        <w:numId w:val="45"/>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B30FF1"/>
    <w:rPr>
      <w:rFonts w:asciiTheme="minorHAnsi" w:hAnsiTheme="minorHAnsi" w:cs="Arial"/>
      <w:b/>
      <w:snapToGrid w:val="0"/>
      <w:sz w:val="32"/>
      <w:szCs w:val="32"/>
    </w:rPr>
  </w:style>
  <w:style w:type="paragraph" w:styleId="ListBullet2">
    <w:name w:val="List Bullet 2"/>
    <w:basedOn w:val="Normal"/>
    <w:semiHidden/>
    <w:unhideWhenUsed/>
    <w:rsid w:val="00B30FF1"/>
    <w:pPr>
      <w:ind w:left="425" w:hanging="425"/>
      <w:contextualSpacing/>
    </w:pPr>
  </w:style>
  <w:style w:type="paragraph" w:styleId="ListBullet3">
    <w:name w:val="List Bullet 3"/>
    <w:basedOn w:val="Normal"/>
    <w:semiHidden/>
    <w:unhideWhenUsed/>
    <w:rsid w:val="00B30FF1"/>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50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1850451">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3705458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70807996">
      <w:bodyDiv w:val="1"/>
      <w:marLeft w:val="0"/>
      <w:marRight w:val="0"/>
      <w:marTop w:val="0"/>
      <w:marBottom w:val="0"/>
      <w:divBdr>
        <w:top w:val="none" w:sz="0" w:space="0" w:color="auto"/>
        <w:left w:val="none" w:sz="0" w:space="0" w:color="auto"/>
        <w:bottom w:val="none" w:sz="0" w:space="0" w:color="auto"/>
        <w:right w:val="none" w:sz="0" w:space="0" w:color="auto"/>
      </w:divBdr>
      <w:divsChild>
        <w:div w:id="11953977">
          <w:marLeft w:val="0"/>
          <w:marRight w:val="0"/>
          <w:marTop w:val="0"/>
          <w:marBottom w:val="0"/>
          <w:divBdr>
            <w:top w:val="none" w:sz="0" w:space="0" w:color="auto"/>
            <w:left w:val="none" w:sz="0" w:space="0" w:color="auto"/>
            <w:bottom w:val="none" w:sz="0" w:space="0" w:color="auto"/>
            <w:right w:val="none" w:sz="0" w:space="0" w:color="auto"/>
          </w:divBdr>
        </w:div>
      </w:divsChild>
    </w:div>
    <w:div w:id="646007502">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94856119">
      <w:bodyDiv w:val="1"/>
      <w:marLeft w:val="0"/>
      <w:marRight w:val="0"/>
      <w:marTop w:val="0"/>
      <w:marBottom w:val="0"/>
      <w:divBdr>
        <w:top w:val="none" w:sz="0" w:space="0" w:color="auto"/>
        <w:left w:val="none" w:sz="0" w:space="0" w:color="auto"/>
        <w:bottom w:val="none" w:sz="0" w:space="0" w:color="auto"/>
        <w:right w:val="none" w:sz="0" w:space="0" w:color="auto"/>
      </w:divBdr>
    </w:div>
    <w:div w:id="920256652">
      <w:bodyDiv w:val="1"/>
      <w:marLeft w:val="0"/>
      <w:marRight w:val="0"/>
      <w:marTop w:val="0"/>
      <w:marBottom w:val="0"/>
      <w:divBdr>
        <w:top w:val="none" w:sz="0" w:space="0" w:color="auto"/>
        <w:left w:val="none" w:sz="0" w:space="0" w:color="auto"/>
        <w:bottom w:val="none" w:sz="0" w:space="0" w:color="auto"/>
        <w:right w:val="none" w:sz="0" w:space="0" w:color="auto"/>
      </w:divBdr>
    </w:div>
    <w:div w:id="1020350845">
      <w:bodyDiv w:val="1"/>
      <w:marLeft w:val="0"/>
      <w:marRight w:val="0"/>
      <w:marTop w:val="0"/>
      <w:marBottom w:val="0"/>
      <w:divBdr>
        <w:top w:val="none" w:sz="0" w:space="0" w:color="auto"/>
        <w:left w:val="none" w:sz="0" w:space="0" w:color="auto"/>
        <w:bottom w:val="none" w:sz="0" w:space="0" w:color="auto"/>
        <w:right w:val="none" w:sz="0" w:space="0" w:color="auto"/>
      </w:divBdr>
    </w:div>
    <w:div w:id="1038317946">
      <w:bodyDiv w:val="1"/>
      <w:marLeft w:val="0"/>
      <w:marRight w:val="0"/>
      <w:marTop w:val="0"/>
      <w:marBottom w:val="0"/>
      <w:divBdr>
        <w:top w:val="none" w:sz="0" w:space="0" w:color="auto"/>
        <w:left w:val="none" w:sz="0" w:space="0" w:color="auto"/>
        <w:bottom w:val="none" w:sz="0" w:space="0" w:color="auto"/>
        <w:right w:val="none" w:sz="0" w:space="0" w:color="auto"/>
      </w:divBdr>
      <w:divsChild>
        <w:div w:id="1564945419">
          <w:marLeft w:val="0"/>
          <w:marRight w:val="0"/>
          <w:marTop w:val="0"/>
          <w:marBottom w:val="0"/>
          <w:divBdr>
            <w:top w:val="none" w:sz="0" w:space="0" w:color="auto"/>
            <w:left w:val="none" w:sz="0" w:space="0" w:color="auto"/>
            <w:bottom w:val="none" w:sz="0" w:space="0" w:color="auto"/>
            <w:right w:val="none" w:sz="0" w:space="0" w:color="auto"/>
          </w:divBdr>
        </w:div>
      </w:divsChild>
    </w:div>
    <w:div w:id="1149519950">
      <w:bodyDiv w:val="1"/>
      <w:marLeft w:val="0"/>
      <w:marRight w:val="0"/>
      <w:marTop w:val="0"/>
      <w:marBottom w:val="0"/>
      <w:divBdr>
        <w:top w:val="none" w:sz="0" w:space="0" w:color="auto"/>
        <w:left w:val="none" w:sz="0" w:space="0" w:color="auto"/>
        <w:bottom w:val="none" w:sz="0" w:space="0" w:color="auto"/>
        <w:right w:val="none" w:sz="0" w:space="0" w:color="auto"/>
      </w:divBdr>
    </w:div>
    <w:div w:id="116400598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414401390">
      <w:bodyDiv w:val="1"/>
      <w:marLeft w:val="0"/>
      <w:marRight w:val="0"/>
      <w:marTop w:val="0"/>
      <w:marBottom w:val="0"/>
      <w:divBdr>
        <w:top w:val="none" w:sz="0" w:space="0" w:color="auto"/>
        <w:left w:val="none" w:sz="0" w:space="0" w:color="auto"/>
        <w:bottom w:val="none" w:sz="0" w:space="0" w:color="auto"/>
        <w:right w:val="none" w:sz="0" w:space="0" w:color="auto"/>
      </w:divBdr>
    </w:div>
    <w:div w:id="1497837245">
      <w:bodyDiv w:val="1"/>
      <w:marLeft w:val="0"/>
      <w:marRight w:val="0"/>
      <w:marTop w:val="0"/>
      <w:marBottom w:val="0"/>
      <w:divBdr>
        <w:top w:val="none" w:sz="0" w:space="0" w:color="auto"/>
        <w:left w:val="none" w:sz="0" w:space="0" w:color="auto"/>
        <w:bottom w:val="none" w:sz="0" w:space="0" w:color="auto"/>
        <w:right w:val="none" w:sz="0" w:space="0" w:color="auto"/>
      </w:divBdr>
    </w:div>
    <w:div w:id="1569463882">
      <w:bodyDiv w:val="1"/>
      <w:marLeft w:val="0"/>
      <w:marRight w:val="0"/>
      <w:marTop w:val="0"/>
      <w:marBottom w:val="0"/>
      <w:divBdr>
        <w:top w:val="none" w:sz="0" w:space="0" w:color="auto"/>
        <w:left w:val="none" w:sz="0" w:space="0" w:color="auto"/>
        <w:bottom w:val="none" w:sz="0" w:space="0" w:color="auto"/>
        <w:right w:val="none" w:sz="0" w:space="0" w:color="auto"/>
      </w:divBdr>
    </w:div>
    <w:div w:id="1655600441">
      <w:bodyDiv w:val="1"/>
      <w:marLeft w:val="0"/>
      <w:marRight w:val="0"/>
      <w:marTop w:val="0"/>
      <w:marBottom w:val="0"/>
      <w:divBdr>
        <w:top w:val="none" w:sz="0" w:space="0" w:color="auto"/>
        <w:left w:val="none" w:sz="0" w:space="0" w:color="auto"/>
        <w:bottom w:val="none" w:sz="0" w:space="0" w:color="auto"/>
        <w:right w:val="none" w:sz="0" w:space="0" w:color="auto"/>
      </w:divBdr>
      <w:divsChild>
        <w:div w:id="1350255536">
          <w:marLeft w:val="0"/>
          <w:marRight w:val="0"/>
          <w:marTop w:val="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0959162">
      <w:bodyDiv w:val="1"/>
      <w:marLeft w:val="0"/>
      <w:marRight w:val="0"/>
      <w:marTop w:val="0"/>
      <w:marBottom w:val="0"/>
      <w:divBdr>
        <w:top w:val="none" w:sz="0" w:space="0" w:color="auto"/>
        <w:left w:val="none" w:sz="0" w:space="0" w:color="auto"/>
        <w:bottom w:val="none" w:sz="0" w:space="0" w:color="auto"/>
        <w:right w:val="none" w:sz="0" w:space="0" w:color="auto"/>
      </w:divBdr>
      <w:divsChild>
        <w:div w:id="1656494301">
          <w:marLeft w:val="0"/>
          <w:marRight w:val="0"/>
          <w:marTop w:val="0"/>
          <w:marBottom w:val="0"/>
          <w:divBdr>
            <w:top w:val="none" w:sz="0" w:space="0" w:color="auto"/>
            <w:left w:val="none" w:sz="0" w:space="0" w:color="auto"/>
            <w:bottom w:val="none" w:sz="0" w:space="0" w:color="auto"/>
            <w:right w:val="none" w:sz="0" w:space="0" w:color="auto"/>
          </w:divBdr>
        </w:div>
      </w:divsChild>
    </w:div>
    <w:div w:id="2035374147">
      <w:bodyDiv w:val="1"/>
      <w:marLeft w:val="0"/>
      <w:marRight w:val="0"/>
      <w:marTop w:val="0"/>
      <w:marBottom w:val="0"/>
      <w:divBdr>
        <w:top w:val="none" w:sz="0" w:space="0" w:color="auto"/>
        <w:left w:val="none" w:sz="0" w:space="0" w:color="auto"/>
        <w:bottom w:val="none" w:sz="0" w:space="0" w:color="auto"/>
        <w:right w:val="none" w:sz="0" w:space="0" w:color="auto"/>
      </w:divBdr>
    </w:div>
    <w:div w:id="21178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enwa\Dropbox\Model%20Solutions\Books\Multiple%20Sclerosis\PBS%20data\PBAC%20submission%20analysis%2020230327%20v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Time to switch (months)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'Raw data'!$EY$3</c:f>
              <c:strCache>
                <c:ptCount val="1"/>
                <c:pt idx="0">
                  <c:v>Fingolimod</c:v>
                </c:pt>
              </c:strCache>
            </c:strRef>
          </c:tx>
          <c:spPr>
            <a:ln w="28575" cap="rnd">
              <a:solidFill>
                <a:schemeClr val="accent1"/>
              </a:solidFill>
              <a:round/>
            </a:ln>
            <a:effectLst/>
          </c:spPr>
          <c:marker>
            <c:symbol val="none"/>
          </c:marker>
          <c:cat>
            <c:numRef>
              <c:f>'Raw data'!$EW$4:$EW$52</c:f>
              <c:numCache>
                <c:formatCode>General</c:formatCode>
                <c:ptCount val="4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numCache>
            </c:numRef>
          </c:cat>
          <c:val>
            <c:numRef>
              <c:f>'Raw data'!$EY$4:$EY$52</c:f>
              <c:numCache>
                <c:formatCode>0.0%</c:formatCode>
                <c:ptCount val="49"/>
                <c:pt idx="0">
                  <c:v>1</c:v>
                </c:pt>
                <c:pt idx="1">
                  <c:v>0.92873831775700932</c:v>
                </c:pt>
                <c:pt idx="2">
                  <c:v>0.91238317757009346</c:v>
                </c:pt>
                <c:pt idx="3">
                  <c:v>0.88547957105200092</c:v>
                </c:pt>
                <c:pt idx="4">
                  <c:v>0.87612179487179476</c:v>
                </c:pt>
                <c:pt idx="5">
                  <c:v>0.85974568655643413</c:v>
                </c:pt>
                <c:pt idx="6">
                  <c:v>0.84332489581729353</c:v>
                </c:pt>
                <c:pt idx="7">
                  <c:v>0.83394158682349884</c:v>
                </c:pt>
                <c:pt idx="8">
                  <c:v>0.82219593067105523</c:v>
                </c:pt>
                <c:pt idx="9">
                  <c:v>0.80925722503817743</c:v>
                </c:pt>
                <c:pt idx="10">
                  <c:v>0.79984725730517536</c:v>
                </c:pt>
                <c:pt idx="11">
                  <c:v>0.79631851940529963</c:v>
                </c:pt>
                <c:pt idx="12">
                  <c:v>0.78926104360554816</c:v>
                </c:pt>
                <c:pt idx="13">
                  <c:v>0.7774985839392955</c:v>
                </c:pt>
                <c:pt idx="14">
                  <c:v>0.77396984603941965</c:v>
                </c:pt>
                <c:pt idx="15">
                  <c:v>0.76808861620629332</c:v>
                </c:pt>
                <c:pt idx="16">
                  <c:v>0.75748616598258678</c:v>
                </c:pt>
                <c:pt idx="17">
                  <c:v>0.75041786583344916</c:v>
                </c:pt>
                <c:pt idx="18">
                  <c:v>0.73863736558488635</c:v>
                </c:pt>
                <c:pt idx="19">
                  <c:v>0.73036462709033567</c:v>
                </c:pt>
                <c:pt idx="20">
                  <c:v>0.72445552816565661</c:v>
                </c:pt>
                <c:pt idx="21">
                  <c:v>0.71616927212454617</c:v>
                </c:pt>
                <c:pt idx="22">
                  <c:v>0.71024071854735626</c:v>
                </c:pt>
                <c:pt idx="23">
                  <c:v>0.70194074353929037</c:v>
                </c:pt>
                <c:pt idx="24">
                  <c:v>0.69482647924666241</c:v>
                </c:pt>
                <c:pt idx="25">
                  <c:v>0.68530830829807798</c:v>
                </c:pt>
                <c:pt idx="26">
                  <c:v>0.68411853692950486</c:v>
                </c:pt>
                <c:pt idx="27">
                  <c:v>0.6793594514552127</c:v>
                </c:pt>
                <c:pt idx="28">
                  <c:v>0.67222082324377441</c:v>
                </c:pt>
                <c:pt idx="29">
                  <c:v>0.66384796601475937</c:v>
                </c:pt>
                <c:pt idx="30">
                  <c:v>0.66024009663424432</c:v>
                </c:pt>
                <c:pt idx="31">
                  <c:v>0.65421600816130421</c:v>
                </c:pt>
                <c:pt idx="32">
                  <c:v>0.65059488634491325</c:v>
                </c:pt>
                <c:pt idx="33">
                  <c:v>0.64695349705566929</c:v>
                </c:pt>
                <c:pt idx="34">
                  <c:v>0.64209831133667739</c:v>
                </c:pt>
                <c:pt idx="35">
                  <c:v>0.63845692204743343</c:v>
                </c:pt>
                <c:pt idx="36">
                  <c:v>0.63480859677859103</c:v>
                </c:pt>
                <c:pt idx="37">
                  <c:v>0.63114623948948378</c:v>
                </c:pt>
                <c:pt idx="38">
                  <c:v>0.62501860609638205</c:v>
                </c:pt>
                <c:pt idx="39">
                  <c:v>0.61642306534456537</c:v>
                </c:pt>
                <c:pt idx="40">
                  <c:v>0.61151132777209871</c:v>
                </c:pt>
                <c:pt idx="41">
                  <c:v>0.60782011251391699</c:v>
                </c:pt>
                <c:pt idx="42">
                  <c:v>0.60412141000369035</c:v>
                </c:pt>
                <c:pt idx="43">
                  <c:v>0.60288598789734338</c:v>
                </c:pt>
                <c:pt idx="44">
                  <c:v>0.5966834571576588</c:v>
                </c:pt>
                <c:pt idx="45">
                  <c:v>0.58794541489802787</c:v>
                </c:pt>
                <c:pt idx="46">
                  <c:v>0.58544883139527615</c:v>
                </c:pt>
                <c:pt idx="47">
                  <c:v>0.58294691331239035</c:v>
                </c:pt>
                <c:pt idx="48">
                  <c:v>0.58041785945854052</c:v>
                </c:pt>
              </c:numCache>
            </c:numRef>
          </c:val>
          <c:smooth val="0"/>
          <c:extLst>
            <c:ext xmlns:c16="http://schemas.microsoft.com/office/drawing/2014/chart" uri="{C3380CC4-5D6E-409C-BE32-E72D297353CC}">
              <c16:uniqueId val="{00000000-2E63-4794-BE64-F04BA446020D}"/>
            </c:ext>
          </c:extLst>
        </c:ser>
        <c:ser>
          <c:idx val="4"/>
          <c:order val="1"/>
          <c:tx>
            <c:strRef>
              <c:f>'Raw data'!$FB$3</c:f>
              <c:strCache>
                <c:ptCount val="1"/>
                <c:pt idx="0">
                  <c:v>Cladribine</c:v>
                </c:pt>
              </c:strCache>
            </c:strRef>
          </c:tx>
          <c:spPr>
            <a:ln w="28575" cap="rnd">
              <a:solidFill>
                <a:schemeClr val="accent6"/>
              </a:solidFill>
              <a:round/>
            </a:ln>
            <a:effectLst/>
          </c:spPr>
          <c:marker>
            <c:symbol val="none"/>
          </c:marker>
          <c:cat>
            <c:numRef>
              <c:f>'Raw data'!$EW$4:$EW$52</c:f>
              <c:numCache>
                <c:formatCode>General</c:formatCode>
                <c:ptCount val="4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numCache>
            </c:numRef>
          </c:cat>
          <c:val>
            <c:numRef>
              <c:f>'Raw data'!$FB$4:$FB$52</c:f>
              <c:numCache>
                <c:formatCode>0.0%</c:formatCode>
                <c:ptCount val="49"/>
                <c:pt idx="0">
                  <c:v>1</c:v>
                </c:pt>
                <c:pt idx="1">
                  <c:v>0.9096774193548387</c:v>
                </c:pt>
                <c:pt idx="2">
                  <c:v>0.88716065154902579</c:v>
                </c:pt>
                <c:pt idx="3">
                  <c:v>0.88716065154902579</c:v>
                </c:pt>
                <c:pt idx="4">
                  <c:v>0.88716065154902579</c:v>
                </c:pt>
                <c:pt idx="5">
                  <c:v>0.88716065154902579</c:v>
                </c:pt>
                <c:pt idx="6">
                  <c:v>0.88716065154902579</c:v>
                </c:pt>
                <c:pt idx="7">
                  <c:v>0.88716065154902579</c:v>
                </c:pt>
                <c:pt idx="8">
                  <c:v>0.88716065154902579</c:v>
                </c:pt>
                <c:pt idx="9">
                  <c:v>0.88716065154902579</c:v>
                </c:pt>
                <c:pt idx="10">
                  <c:v>0.88716065154902579</c:v>
                </c:pt>
                <c:pt idx="11">
                  <c:v>0.88716065154902579</c:v>
                </c:pt>
                <c:pt idx="12">
                  <c:v>0.85977914995800642</c:v>
                </c:pt>
                <c:pt idx="13">
                  <c:v>0.8402387147316881</c:v>
                </c:pt>
                <c:pt idx="14">
                  <c:v>0.82114238030596798</c:v>
                </c:pt>
                <c:pt idx="15">
                  <c:v>0.82114238030596798</c:v>
                </c:pt>
                <c:pt idx="16">
                  <c:v>0.82114238030596798</c:v>
                </c:pt>
                <c:pt idx="17">
                  <c:v>0.82114238030596798</c:v>
                </c:pt>
                <c:pt idx="18">
                  <c:v>0.78008526129066957</c:v>
                </c:pt>
                <c:pt idx="19">
                  <c:v>0.78008526129066957</c:v>
                </c:pt>
                <c:pt idx="20">
                  <c:v>0.78008526129066957</c:v>
                </c:pt>
                <c:pt idx="21">
                  <c:v>0.78008526129066957</c:v>
                </c:pt>
                <c:pt idx="22">
                  <c:v>0.78008526129066957</c:v>
                </c:pt>
                <c:pt idx="23">
                  <c:v>0.78008526129066957</c:v>
                </c:pt>
                <c:pt idx="24">
                  <c:v>0.78008526129066957</c:v>
                </c:pt>
                <c:pt idx="25">
                  <c:v>0.78008526129066957</c:v>
                </c:pt>
                <c:pt idx="26">
                  <c:v>0.78008526129066957</c:v>
                </c:pt>
                <c:pt idx="27">
                  <c:v>0.78008526129066957</c:v>
                </c:pt>
                <c:pt idx="28">
                  <c:v>0.78008526129066957</c:v>
                </c:pt>
                <c:pt idx="29">
                  <c:v>0.78008526129066957</c:v>
                </c:pt>
                <c:pt idx="30">
                  <c:v>0.78008526129066957</c:v>
                </c:pt>
                <c:pt idx="31">
                  <c:v>0.78008526129066957</c:v>
                </c:pt>
                <c:pt idx="32">
                  <c:v>0.78008526129066957</c:v>
                </c:pt>
                <c:pt idx="33">
                  <c:v>0.78008526129066957</c:v>
                </c:pt>
                <c:pt idx="34">
                  <c:v>0.78008526129066957</c:v>
                </c:pt>
                <c:pt idx="35">
                  <c:v>0.78008526129066957</c:v>
                </c:pt>
                <c:pt idx="36">
                  <c:v>0.78008526129066957</c:v>
                </c:pt>
                <c:pt idx="37">
                  <c:v>0.78008526129066957</c:v>
                </c:pt>
                <c:pt idx="38">
                  <c:v>0.78008526129066957</c:v>
                </c:pt>
                <c:pt idx="39">
                  <c:v>0.78008526129066957</c:v>
                </c:pt>
                <c:pt idx="40">
                  <c:v>0.78008526129066957</c:v>
                </c:pt>
                <c:pt idx="41">
                  <c:v>0.78008526129066957</c:v>
                </c:pt>
                <c:pt idx="42">
                  <c:v>0.78008526129066957</c:v>
                </c:pt>
                <c:pt idx="43">
                  <c:v>#N/A</c:v>
                </c:pt>
                <c:pt idx="44">
                  <c:v>#N/A</c:v>
                </c:pt>
                <c:pt idx="45">
                  <c:v>#N/A</c:v>
                </c:pt>
                <c:pt idx="46">
                  <c:v>#N/A</c:v>
                </c:pt>
                <c:pt idx="47">
                  <c:v>#N/A</c:v>
                </c:pt>
                <c:pt idx="48">
                  <c:v>#N/A</c:v>
                </c:pt>
              </c:numCache>
            </c:numRef>
          </c:val>
          <c:smooth val="0"/>
          <c:extLst>
            <c:ext xmlns:c16="http://schemas.microsoft.com/office/drawing/2014/chart" uri="{C3380CC4-5D6E-409C-BE32-E72D297353CC}">
              <c16:uniqueId val="{00000001-2E63-4794-BE64-F04BA446020D}"/>
            </c:ext>
          </c:extLst>
        </c:ser>
        <c:dLbls>
          <c:showLegendKey val="0"/>
          <c:showVal val="0"/>
          <c:showCatName val="0"/>
          <c:showSerName val="0"/>
          <c:showPercent val="0"/>
          <c:showBubbleSize val="0"/>
        </c:dLbls>
        <c:smooth val="0"/>
        <c:axId val="305739695"/>
        <c:axId val="109612463"/>
      </c:lineChart>
      <c:catAx>
        <c:axId val="3057396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612463"/>
        <c:crosses val="autoZero"/>
        <c:auto val="1"/>
        <c:lblAlgn val="ctr"/>
        <c:lblOffset val="100"/>
        <c:tickLblSkip val="3"/>
        <c:tickMarkSkip val="3"/>
        <c:noMultiLvlLbl val="0"/>
      </c:catAx>
      <c:valAx>
        <c:axId val="109612463"/>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739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0DF87-F3AD-4AD6-B9E2-95506E16703C}">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13478</Words>
  <Characters>74674</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2024-03-01T05:22:00Z</dcterms:created>
  <dcterms:modified xsi:type="dcterms:W3CDTF">2024-03-01T05:25:00Z</dcterms:modified>
</cp:coreProperties>
</file>