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63E2477" w:rsidR="00B60939" w:rsidRPr="000A33D2" w:rsidRDefault="005453D5" w:rsidP="000D66BE">
      <w:pPr>
        <w:pStyle w:val="1-MainHeading"/>
        <w:ind w:left="851" w:hanging="851"/>
      </w:pPr>
      <w:bookmarkStart w:id="0" w:name="_Toc145426884"/>
      <w:r w:rsidRPr="000A33D2">
        <w:t>5</w:t>
      </w:r>
      <w:r w:rsidR="00433044" w:rsidRPr="000A33D2">
        <w:t>.</w:t>
      </w:r>
      <w:r w:rsidRPr="000A33D2">
        <w:t>04</w:t>
      </w:r>
      <w:r w:rsidR="00163F66" w:rsidRPr="000A33D2">
        <w:tab/>
        <w:t>D</w:t>
      </w:r>
      <w:r w:rsidR="00C24796" w:rsidRPr="000A33D2">
        <w:t>OSTARLIMAB</w:t>
      </w:r>
      <w:r w:rsidR="00163F66" w:rsidRPr="000A33D2">
        <w:t>,</w:t>
      </w:r>
      <w:r w:rsidR="00163F66" w:rsidRPr="000A33D2">
        <w:br/>
      </w:r>
      <w:r w:rsidR="00C24796" w:rsidRPr="000A33D2">
        <w:t>Solution concentrate for I.V. infusion 500</w:t>
      </w:r>
      <w:r w:rsidR="000D66BE">
        <w:t> </w:t>
      </w:r>
      <w:r w:rsidR="00C24796" w:rsidRPr="000A33D2">
        <w:t>mg in 10</w:t>
      </w:r>
      <w:r w:rsidR="000D66BE">
        <w:t> </w:t>
      </w:r>
      <w:r w:rsidR="00C24796" w:rsidRPr="000A33D2">
        <w:t>mL</w:t>
      </w:r>
      <w:r w:rsidR="00163F66" w:rsidRPr="000A33D2">
        <w:t>,</w:t>
      </w:r>
      <w:r w:rsidR="00163F66" w:rsidRPr="000A33D2">
        <w:br/>
      </w:r>
      <w:r w:rsidR="00C24796" w:rsidRPr="000A33D2">
        <w:t>Jemperli</w:t>
      </w:r>
      <w:r w:rsidR="00B60939" w:rsidRPr="000A33D2">
        <w:rPr>
          <w:vertAlign w:val="superscript"/>
        </w:rPr>
        <w:t>®</w:t>
      </w:r>
      <w:r w:rsidR="004A6040" w:rsidRPr="000A33D2">
        <w:t>,</w:t>
      </w:r>
      <w:r w:rsidR="004A6040" w:rsidRPr="000A33D2">
        <w:br/>
      </w:r>
      <w:r w:rsidR="00C24796" w:rsidRPr="000A33D2">
        <w:t>GLAXOSMITHKLINE AUSTRALIA PTY LTD</w:t>
      </w:r>
      <w:r w:rsidR="00B60939" w:rsidRPr="000A33D2">
        <w:t>.</w:t>
      </w:r>
      <w:bookmarkEnd w:id="0"/>
    </w:p>
    <w:p w14:paraId="11C00795" w14:textId="3DFB6D23" w:rsidR="00B50DB8" w:rsidRPr="000A33D2" w:rsidRDefault="00B50DB8" w:rsidP="004A6040">
      <w:pPr>
        <w:pStyle w:val="2-SectionHeading"/>
      </w:pPr>
      <w:bookmarkStart w:id="1" w:name="_Toc145426886"/>
      <w:r w:rsidRPr="000A33D2">
        <w:t xml:space="preserve">Purpose of </w:t>
      </w:r>
      <w:r w:rsidR="00CD7193" w:rsidRPr="000A33D2">
        <w:t>s</w:t>
      </w:r>
      <w:r w:rsidR="00BB3A45" w:rsidRPr="000A33D2">
        <w:t>ubmission</w:t>
      </w:r>
      <w:bookmarkEnd w:id="1"/>
    </w:p>
    <w:p w14:paraId="19414AA1" w14:textId="22FC2488" w:rsidR="002C2775" w:rsidRPr="000A33D2" w:rsidRDefault="007170DA" w:rsidP="004E18E9">
      <w:pPr>
        <w:pStyle w:val="3-BodyText"/>
      </w:pPr>
      <w:r w:rsidRPr="000A33D2">
        <w:t xml:space="preserve">The </w:t>
      </w:r>
      <w:r w:rsidR="005929AB" w:rsidRPr="000A33D2">
        <w:t xml:space="preserve">category </w:t>
      </w:r>
      <w:r w:rsidR="007004B1" w:rsidRPr="000A33D2">
        <w:t>2</w:t>
      </w:r>
      <w:r w:rsidR="005929AB" w:rsidRPr="000A33D2">
        <w:t xml:space="preserve"> </w:t>
      </w:r>
      <w:r w:rsidRPr="000A33D2">
        <w:t>submission requested</w:t>
      </w:r>
      <w:r w:rsidR="005929AB" w:rsidRPr="000A33D2">
        <w:t xml:space="preserve"> a </w:t>
      </w:r>
      <w:r w:rsidR="008B1757" w:rsidRPr="000A33D2">
        <w:t>Section 100</w:t>
      </w:r>
      <w:r w:rsidR="0079194E" w:rsidRPr="000A33D2">
        <w:t xml:space="preserve"> Efficient Funding of Chemotherapy Program</w:t>
      </w:r>
      <w:r w:rsidR="008B1757" w:rsidRPr="000A33D2">
        <w:t>, Authority Required</w:t>
      </w:r>
      <w:r w:rsidR="005929AB" w:rsidRPr="000A33D2">
        <w:t xml:space="preserve"> (streamlined) </w:t>
      </w:r>
      <w:r w:rsidR="008B1757" w:rsidRPr="000A33D2">
        <w:t xml:space="preserve">listing for </w:t>
      </w:r>
      <w:r w:rsidR="000563FF" w:rsidRPr="000A33D2">
        <w:t xml:space="preserve">use in combination with platinum-containing chemotherapy (PBC) for the treatment of primary advanced or first recurrent </w:t>
      </w:r>
      <w:r w:rsidR="00C66C6F" w:rsidRPr="000A33D2">
        <w:t xml:space="preserve">(A/R) </w:t>
      </w:r>
      <w:r w:rsidR="000563FF" w:rsidRPr="000A33D2">
        <w:t>endometrial cance</w:t>
      </w:r>
      <w:r w:rsidR="00C66C6F" w:rsidRPr="000A33D2">
        <w:t>r</w:t>
      </w:r>
      <w:r w:rsidR="00C04A89" w:rsidRPr="000A33D2">
        <w:t xml:space="preserve"> </w:t>
      </w:r>
      <w:r w:rsidR="00C66C6F" w:rsidRPr="000A33D2">
        <w:t>(EC).</w:t>
      </w:r>
      <w:r w:rsidR="005929AB" w:rsidRPr="000A33D2">
        <w:t xml:space="preserve"> </w:t>
      </w:r>
    </w:p>
    <w:p w14:paraId="4E9FBCB5" w14:textId="66B38865" w:rsidR="00C2778B" w:rsidRPr="000A33D2" w:rsidRDefault="005750C5" w:rsidP="004E18E9">
      <w:pPr>
        <w:pStyle w:val="3-BodyText"/>
      </w:pPr>
      <w:r w:rsidRPr="000A33D2">
        <w:t xml:space="preserve">Listing </w:t>
      </w:r>
      <w:r w:rsidR="00C66C6F" w:rsidRPr="000A33D2">
        <w:t xml:space="preserve">of dostarlimab (DOS) </w:t>
      </w:r>
      <w:r w:rsidRPr="000A33D2">
        <w:t xml:space="preserve">was requested on the basis of a cost-effectiveness analysis versus </w:t>
      </w:r>
      <w:r w:rsidR="005929AB" w:rsidRPr="000A33D2">
        <w:t>chemotherapy alone (carboplatin-paclitaxel (CP))</w:t>
      </w:r>
      <w:r w:rsidRPr="000A33D2">
        <w:t xml:space="preserve">. </w:t>
      </w:r>
    </w:p>
    <w:p w14:paraId="3718DE61" w14:textId="1DAD4406" w:rsidR="008B1757" w:rsidRPr="000A33D2" w:rsidRDefault="00696EF9" w:rsidP="004A6040">
      <w:pPr>
        <w:pStyle w:val="TableFigureHeading"/>
        <w:rPr>
          <w:rStyle w:val="CommentReference"/>
          <w:b/>
          <w:szCs w:val="24"/>
        </w:rPr>
      </w:pPr>
      <w:r w:rsidRPr="000A33D2">
        <w:t xml:space="preserve">Table </w:t>
      </w:r>
      <w:r>
        <w:fldChar w:fldCharType="begin" w:fldLock="1"/>
      </w:r>
      <w:r>
        <w:instrText>SEQ Table \* ARABIC</w:instrText>
      </w:r>
      <w:r>
        <w:fldChar w:fldCharType="separate"/>
      </w:r>
      <w:r w:rsidR="00B62E71">
        <w:rPr>
          <w:noProof/>
        </w:rPr>
        <w:t>1</w:t>
      </w:r>
      <w:r>
        <w:fldChar w:fldCharType="end"/>
      </w:r>
      <w:r w:rsidRPr="000A33D2">
        <w:t>:</w:t>
      </w:r>
      <w:r w:rsidR="00BC591F" w:rsidRPr="000A33D2">
        <w:rPr>
          <w:rStyle w:val="CommentReference"/>
          <w:b/>
          <w:szCs w:val="24"/>
        </w:rPr>
        <w:t xml:space="preserve"> </w:t>
      </w:r>
      <w:r w:rsidR="008B1757" w:rsidRPr="000A33D2">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885"/>
      </w:tblGrid>
      <w:tr w:rsidR="00436A4A" w:rsidRPr="000A33D2" w14:paraId="1A3965DD" w14:textId="77777777" w:rsidTr="002C07A5">
        <w:tc>
          <w:tcPr>
            <w:tcW w:w="1271" w:type="dxa"/>
            <w:vAlign w:val="center"/>
          </w:tcPr>
          <w:p w14:paraId="6D91EB07" w14:textId="77777777" w:rsidR="00436A4A" w:rsidRPr="000A33D2" w:rsidRDefault="00436A4A" w:rsidP="004F5F98">
            <w:pPr>
              <w:pStyle w:val="In-tableHeading"/>
              <w:rPr>
                <w:lang w:val="en-AU"/>
              </w:rPr>
            </w:pPr>
            <w:r w:rsidRPr="000A33D2">
              <w:rPr>
                <w:lang w:val="en-AU"/>
              </w:rPr>
              <w:t>Component</w:t>
            </w:r>
          </w:p>
        </w:tc>
        <w:tc>
          <w:tcPr>
            <w:tcW w:w="7885" w:type="dxa"/>
            <w:vAlign w:val="center"/>
          </w:tcPr>
          <w:p w14:paraId="11F25F29" w14:textId="77777777" w:rsidR="00436A4A" w:rsidRPr="000A33D2" w:rsidRDefault="00436A4A" w:rsidP="004F5F98">
            <w:pPr>
              <w:pStyle w:val="In-tableHeading"/>
              <w:rPr>
                <w:lang w:val="en-AU"/>
              </w:rPr>
            </w:pPr>
            <w:r w:rsidRPr="000A33D2">
              <w:rPr>
                <w:lang w:val="en-AU"/>
              </w:rPr>
              <w:t>Description</w:t>
            </w:r>
          </w:p>
        </w:tc>
      </w:tr>
      <w:tr w:rsidR="00436A4A" w:rsidRPr="000A33D2" w14:paraId="4040E7EB" w14:textId="77777777" w:rsidTr="002C07A5">
        <w:tc>
          <w:tcPr>
            <w:tcW w:w="1271" w:type="dxa"/>
            <w:vAlign w:val="center"/>
          </w:tcPr>
          <w:p w14:paraId="27058B14" w14:textId="77777777" w:rsidR="00436A4A" w:rsidRPr="000A33D2" w:rsidRDefault="00436A4A" w:rsidP="004F5F98">
            <w:pPr>
              <w:pStyle w:val="TableText0"/>
            </w:pPr>
            <w:r w:rsidRPr="000A33D2">
              <w:t>Population</w:t>
            </w:r>
          </w:p>
        </w:tc>
        <w:tc>
          <w:tcPr>
            <w:tcW w:w="7885" w:type="dxa"/>
            <w:vAlign w:val="center"/>
          </w:tcPr>
          <w:p w14:paraId="1AB55629" w14:textId="48A8FC54" w:rsidR="00436A4A" w:rsidRPr="000A33D2" w:rsidRDefault="00436A4A" w:rsidP="004F5F98">
            <w:pPr>
              <w:pStyle w:val="TableText0"/>
              <w:rPr>
                <w:vertAlign w:val="superscript"/>
              </w:rPr>
            </w:pPr>
            <w:r w:rsidRPr="000A33D2">
              <w:t>Population 1 (dMMR; proposed TGA indication): Patients with primary advanced or first recurrent dMMR endometrial cancer that has a low potential for cure by radiation therapy or surgery alone or in combination.</w:t>
            </w:r>
            <w:r w:rsidR="002C07A5" w:rsidRPr="000A33D2">
              <w:t xml:space="preserve"> </w:t>
            </w:r>
          </w:p>
          <w:p w14:paraId="39B718D8" w14:textId="15E4F7C9" w:rsidR="00436A4A" w:rsidRPr="000A33D2" w:rsidRDefault="00436A4A" w:rsidP="004F5F98">
            <w:pPr>
              <w:pStyle w:val="TableText0"/>
            </w:pPr>
            <w:r w:rsidRPr="000A33D2">
              <w:t>Population 2 (all-comers; aligned with trial design): Patients with primary advanced or first recurrent endometrial cancer that has a low potential for cure by radiation therapy or surgery alone or in combination.</w:t>
            </w:r>
            <w:r w:rsidR="00726847" w:rsidRPr="000A33D2">
              <w:t xml:space="preserve"> </w:t>
            </w:r>
          </w:p>
        </w:tc>
      </w:tr>
      <w:tr w:rsidR="00436A4A" w:rsidRPr="000A33D2" w14:paraId="690A0EDD" w14:textId="77777777" w:rsidTr="002C07A5">
        <w:tc>
          <w:tcPr>
            <w:tcW w:w="1271" w:type="dxa"/>
            <w:vAlign w:val="center"/>
          </w:tcPr>
          <w:p w14:paraId="150DE6DC" w14:textId="77777777" w:rsidR="00436A4A" w:rsidRPr="000A33D2" w:rsidRDefault="00436A4A" w:rsidP="004F5F98">
            <w:pPr>
              <w:pStyle w:val="TableText0"/>
            </w:pPr>
            <w:r w:rsidRPr="000A33D2">
              <w:t>Intervention</w:t>
            </w:r>
          </w:p>
        </w:tc>
        <w:tc>
          <w:tcPr>
            <w:tcW w:w="7885" w:type="dxa"/>
            <w:vAlign w:val="center"/>
          </w:tcPr>
          <w:p w14:paraId="515E3A25" w14:textId="0D4017F6" w:rsidR="00436A4A" w:rsidRPr="000A33D2" w:rsidRDefault="00436A4A" w:rsidP="004F5F98">
            <w:pPr>
              <w:pStyle w:val="TableText0"/>
            </w:pPr>
            <w:r w:rsidRPr="000A33D2">
              <w:t xml:space="preserve">First six cycles: dostarlimab (500 mg) + </w:t>
            </w:r>
            <w:r w:rsidR="001E330C" w:rsidRPr="000A33D2">
              <w:t>carboplatin-paclitaxel</w:t>
            </w:r>
            <w:r w:rsidRPr="000A33D2">
              <w:t xml:space="preserve"> every 3 weeks</w:t>
            </w:r>
          </w:p>
          <w:p w14:paraId="26E98E6F" w14:textId="77777777" w:rsidR="00436A4A" w:rsidRPr="000A33D2" w:rsidRDefault="00436A4A" w:rsidP="004F5F98">
            <w:pPr>
              <w:pStyle w:val="TableText0"/>
            </w:pPr>
            <w:r w:rsidRPr="000A33D2">
              <w:t>Subsequent cycles: dostarlimab (1,000 mg) every 6 weeks for up to 3 years or until disease progression, whichever occurs first.</w:t>
            </w:r>
          </w:p>
        </w:tc>
      </w:tr>
      <w:tr w:rsidR="00436A4A" w:rsidRPr="000A33D2" w14:paraId="21109D80" w14:textId="77777777" w:rsidTr="002C07A5">
        <w:tc>
          <w:tcPr>
            <w:tcW w:w="1271" w:type="dxa"/>
            <w:vAlign w:val="center"/>
          </w:tcPr>
          <w:p w14:paraId="41E92C9F" w14:textId="77777777" w:rsidR="00436A4A" w:rsidRPr="000A33D2" w:rsidRDefault="00436A4A" w:rsidP="004F5F98">
            <w:pPr>
              <w:pStyle w:val="TableText0"/>
            </w:pPr>
            <w:r w:rsidRPr="000A33D2">
              <w:t>Comparator</w:t>
            </w:r>
          </w:p>
        </w:tc>
        <w:tc>
          <w:tcPr>
            <w:tcW w:w="7885" w:type="dxa"/>
            <w:vAlign w:val="center"/>
          </w:tcPr>
          <w:p w14:paraId="29619EAA" w14:textId="7B9B799E" w:rsidR="00436A4A" w:rsidRPr="000A33D2" w:rsidRDefault="00436A4A" w:rsidP="004F5F98">
            <w:pPr>
              <w:pStyle w:val="TableText0"/>
            </w:pPr>
            <w:r w:rsidRPr="000A33D2">
              <w:t>Carboplatin (AUC 5 mg/mL/min) and paclitaxel (175 mg/m</w:t>
            </w:r>
            <w:r w:rsidRPr="000A33D2">
              <w:rPr>
                <w:vertAlign w:val="superscript"/>
              </w:rPr>
              <w:t>2</w:t>
            </w:r>
            <w:r w:rsidRPr="000A33D2">
              <w:t xml:space="preserve">) every 3 weeks for </w:t>
            </w:r>
            <w:r w:rsidR="001E330C" w:rsidRPr="000A33D2">
              <w:t xml:space="preserve">6 </w:t>
            </w:r>
            <w:r w:rsidRPr="000A33D2">
              <w:t>cycles, followed by second-line pembrolizumab plus lenvatinib in a proportion of patients.</w:t>
            </w:r>
          </w:p>
        </w:tc>
      </w:tr>
      <w:tr w:rsidR="00436A4A" w:rsidRPr="000A33D2" w14:paraId="5CD1E78D" w14:textId="77777777" w:rsidTr="002C07A5">
        <w:tc>
          <w:tcPr>
            <w:tcW w:w="1271" w:type="dxa"/>
            <w:vAlign w:val="center"/>
          </w:tcPr>
          <w:p w14:paraId="157704C1" w14:textId="77777777" w:rsidR="00436A4A" w:rsidRPr="000A33D2" w:rsidRDefault="00436A4A" w:rsidP="004F5F98">
            <w:pPr>
              <w:pStyle w:val="TableText0"/>
            </w:pPr>
            <w:r w:rsidRPr="000A33D2">
              <w:t>Outcomes</w:t>
            </w:r>
          </w:p>
        </w:tc>
        <w:tc>
          <w:tcPr>
            <w:tcW w:w="7885" w:type="dxa"/>
            <w:vAlign w:val="center"/>
          </w:tcPr>
          <w:p w14:paraId="11FE1E02" w14:textId="77777777" w:rsidR="00436A4A" w:rsidRPr="000A33D2" w:rsidRDefault="00436A4A" w:rsidP="004F5F98">
            <w:pPr>
              <w:pStyle w:val="TableText0"/>
            </w:pPr>
            <w:r w:rsidRPr="000A33D2">
              <w:t>Overall survival, progression-free survival, objective response rate, duration of response, safety.</w:t>
            </w:r>
          </w:p>
        </w:tc>
      </w:tr>
      <w:tr w:rsidR="00436A4A" w:rsidRPr="000A33D2" w14:paraId="13222FAB" w14:textId="77777777" w:rsidTr="002C07A5">
        <w:tc>
          <w:tcPr>
            <w:tcW w:w="1271" w:type="dxa"/>
            <w:vAlign w:val="center"/>
          </w:tcPr>
          <w:p w14:paraId="7BACE83B" w14:textId="77777777" w:rsidR="00436A4A" w:rsidRPr="000A33D2" w:rsidRDefault="00436A4A" w:rsidP="004F5F98">
            <w:pPr>
              <w:pStyle w:val="TableText0"/>
            </w:pPr>
            <w:r w:rsidRPr="000A33D2">
              <w:t>Clinical claim</w:t>
            </w:r>
          </w:p>
        </w:tc>
        <w:tc>
          <w:tcPr>
            <w:tcW w:w="7885" w:type="dxa"/>
            <w:vAlign w:val="center"/>
          </w:tcPr>
          <w:p w14:paraId="335621BC" w14:textId="77777777" w:rsidR="00436A4A" w:rsidRPr="000A33D2" w:rsidRDefault="00436A4A" w:rsidP="004F5F98">
            <w:pPr>
              <w:pStyle w:val="TableText0"/>
            </w:pPr>
            <w:r w:rsidRPr="000A33D2">
              <w:t>Population 1 (dMMR; proposed TGA indication): In patients with primary advanced or first recurrent dMMR endometrial cancer, dostarlimab plus platinum-containing chemotherapy is superior in terms of efficacy compared to platinum-containing chemotherapy alone, with an inferior but manageable safety profile.</w:t>
            </w:r>
          </w:p>
          <w:p w14:paraId="0A58FE58" w14:textId="77777777" w:rsidR="00436A4A" w:rsidRPr="000A33D2" w:rsidRDefault="00436A4A" w:rsidP="004F5F98">
            <w:pPr>
              <w:pStyle w:val="TableText0"/>
            </w:pPr>
            <w:r w:rsidRPr="000A33D2">
              <w:t>Population 2 (all-comers; aligned with trial design): In patients with primary advanced or first recurrent endometrial cancer, dostarlimab plus platinum-containing chemotherapy is superior in terms of efficacy compared to platinum-containing chemotherapy alone, with an inferior but manageable safety profile.</w:t>
            </w:r>
          </w:p>
        </w:tc>
      </w:tr>
    </w:tbl>
    <w:p w14:paraId="67E04718" w14:textId="77777777" w:rsidR="00436A4A" w:rsidRPr="000A33D2" w:rsidRDefault="00436A4A" w:rsidP="00436A4A">
      <w:pPr>
        <w:pStyle w:val="FooterTableFigure"/>
      </w:pPr>
      <w:r w:rsidRPr="000A33D2">
        <w:t>Source: Table 2, p20 of the submission.</w:t>
      </w:r>
    </w:p>
    <w:p w14:paraId="221449A0" w14:textId="77777777" w:rsidR="00436A4A" w:rsidRPr="000A33D2" w:rsidRDefault="00436A4A" w:rsidP="00436A4A">
      <w:pPr>
        <w:pStyle w:val="FooterTableFigure"/>
      </w:pPr>
      <w:r w:rsidRPr="000A33D2">
        <w:t>AUC = area under curve; dMMR = mismatch repair deficient; TGA = Therapeutic Goods Administration</w:t>
      </w:r>
    </w:p>
    <w:p w14:paraId="00FF5B3F" w14:textId="77168D99" w:rsidR="00696089" w:rsidRPr="000A33D2" w:rsidRDefault="00696089" w:rsidP="00696089">
      <w:pPr>
        <w:pStyle w:val="3-BodyText"/>
      </w:pPr>
      <w:r w:rsidRPr="000A33D2">
        <w:t xml:space="preserve">Listing was sought for </w:t>
      </w:r>
      <w:r w:rsidR="00877249" w:rsidRPr="000A33D2">
        <w:t xml:space="preserve">either of </w:t>
      </w:r>
      <w:r w:rsidRPr="000A33D2">
        <w:t xml:space="preserve">two potential populations: </w:t>
      </w:r>
    </w:p>
    <w:p w14:paraId="5F5C4232" w14:textId="4E5BA07B" w:rsidR="00696089" w:rsidRPr="000A33D2" w:rsidRDefault="00696089" w:rsidP="00696089">
      <w:pPr>
        <w:pStyle w:val="3-BodyText"/>
        <w:numPr>
          <w:ilvl w:val="0"/>
          <w:numId w:val="0"/>
        </w:numPr>
        <w:ind w:left="993"/>
      </w:pPr>
      <w:r w:rsidRPr="000A33D2">
        <w:t>Population 1: patients with DNA mismatch repair deficient (dMMR); and</w:t>
      </w:r>
    </w:p>
    <w:p w14:paraId="71646ED9" w14:textId="278ED3B6" w:rsidR="00696089" w:rsidRPr="000A33D2" w:rsidRDefault="00696089" w:rsidP="00696089">
      <w:pPr>
        <w:pStyle w:val="3-BodyText"/>
        <w:numPr>
          <w:ilvl w:val="0"/>
          <w:numId w:val="0"/>
        </w:numPr>
        <w:ind w:left="993"/>
      </w:pPr>
      <w:r w:rsidRPr="000A33D2">
        <w:t>Population 2: ‘all-comers’</w:t>
      </w:r>
      <w:r w:rsidR="002B7BE2" w:rsidRPr="000A33D2">
        <w:t>/intention to treat (ITT) population</w:t>
      </w:r>
      <w:r w:rsidRPr="000A33D2">
        <w:t xml:space="preserve"> i.e. regardless of mismatch repair (MMR) status.</w:t>
      </w:r>
    </w:p>
    <w:p w14:paraId="07C1DA4F" w14:textId="38315C2C" w:rsidR="00EE104C" w:rsidRPr="000A33D2" w:rsidRDefault="00EE104C" w:rsidP="00E15A99">
      <w:pPr>
        <w:pStyle w:val="3-BodyText"/>
      </w:pPr>
      <w:r w:rsidRPr="000A33D2">
        <w:rPr>
          <w:snapToGrid/>
        </w:rPr>
        <w:t>While the submission listed the intervention as “dostarlimab (500 mg) + platinum-containing chemotherapy</w:t>
      </w:r>
      <w:r w:rsidR="00DD716D">
        <w:rPr>
          <w:snapToGrid/>
        </w:rPr>
        <w:t xml:space="preserve"> </w:t>
      </w:r>
      <w:r w:rsidR="00DD716D" w:rsidRPr="00E44FB6">
        <w:rPr>
          <w:snapToGrid/>
        </w:rPr>
        <w:t>followed by dostarlimab (1,000 mg)</w:t>
      </w:r>
      <w:r w:rsidRPr="000A33D2">
        <w:rPr>
          <w:snapToGrid/>
        </w:rPr>
        <w:t xml:space="preserve">”, in the pivotal RUBY </w:t>
      </w:r>
      <w:r w:rsidRPr="000A33D2">
        <w:rPr>
          <w:snapToGrid/>
        </w:rPr>
        <w:lastRenderedPageBreak/>
        <w:t xml:space="preserve">trial and in the economic and financial model presented by the submission, only CP was used. </w:t>
      </w:r>
    </w:p>
    <w:p w14:paraId="6DDDF2E0" w14:textId="4BA69234" w:rsidR="005A2894" w:rsidRPr="000A33D2" w:rsidRDefault="00E15A99" w:rsidP="00E15A99">
      <w:pPr>
        <w:pStyle w:val="3-BodyText"/>
      </w:pPr>
      <w:r w:rsidRPr="000A33D2">
        <w:t xml:space="preserve">The submission noted </w:t>
      </w:r>
      <w:r w:rsidR="001E330C" w:rsidRPr="000A33D2">
        <w:t>for</w:t>
      </w:r>
      <w:r w:rsidRPr="000A33D2">
        <w:t xml:space="preserve"> pembrolizumab (PEM) in combination with lenvatinib (LEN; collectively PEM+LEN) for second line (2L) treatment of A/R EC, that while the TGA approved indication restricts utilisation to patients that are not high microsatellite instability (MSI-H) or dMMR, the PBAC recommended the listing PEM+LEN for 2L A/R EC regardless of biomarker status (paragraph 7.1, pembrolizumab </w:t>
      </w:r>
      <w:r w:rsidR="00BE04F2">
        <w:t>P</w:t>
      </w:r>
      <w:r w:rsidR="000D66BE">
        <w:t xml:space="preserve">ublic </w:t>
      </w:r>
      <w:r w:rsidR="00BE04F2">
        <w:t>S</w:t>
      </w:r>
      <w:r w:rsidR="000D66BE">
        <w:t xml:space="preserve">ummary </w:t>
      </w:r>
      <w:r w:rsidR="00BE04F2">
        <w:t>D</w:t>
      </w:r>
      <w:r w:rsidR="000D66BE">
        <w:t>ocument [</w:t>
      </w:r>
      <w:r w:rsidRPr="000A33D2">
        <w:t>PSD</w:t>
      </w:r>
      <w:r w:rsidR="000D66BE">
        <w:t>]</w:t>
      </w:r>
      <w:r w:rsidRPr="000A33D2">
        <w:t xml:space="preserve">, March 2022 PBAC meeting). The submission </w:t>
      </w:r>
      <w:r w:rsidR="003E171E" w:rsidRPr="000A33D2">
        <w:t>therefore presented</w:t>
      </w:r>
      <w:r w:rsidR="00634526" w:rsidRPr="000A33D2">
        <w:t xml:space="preserve"> </w:t>
      </w:r>
      <w:r w:rsidR="001E330C" w:rsidRPr="000A33D2">
        <w:t xml:space="preserve">both </w:t>
      </w:r>
      <w:r w:rsidRPr="000A33D2">
        <w:t>populations for PBAC consideration</w:t>
      </w:r>
      <w:r w:rsidR="003E171E" w:rsidRPr="000A33D2">
        <w:t>.</w:t>
      </w:r>
      <w:r w:rsidRPr="000A33D2">
        <w:t xml:space="preserve"> </w:t>
      </w:r>
    </w:p>
    <w:p w14:paraId="06E5A0AC" w14:textId="111F408F" w:rsidR="00E15A99" w:rsidRPr="000A33D2" w:rsidRDefault="00E15A99" w:rsidP="00E15A99">
      <w:pPr>
        <w:pStyle w:val="3-BodyText"/>
      </w:pPr>
      <w:r w:rsidRPr="000A33D2">
        <w:t xml:space="preserve">However, the circumstances regarding the recommendation of PEM+LEN </w:t>
      </w:r>
      <w:r w:rsidR="00D1626D" w:rsidRPr="000A33D2">
        <w:t>are not directly</w:t>
      </w:r>
      <w:r w:rsidRPr="000A33D2">
        <w:t xml:space="preserve"> comparable</w:t>
      </w:r>
      <w:r w:rsidR="005A2894" w:rsidRPr="000A33D2">
        <w:t xml:space="preserve"> to DOS+CP</w:t>
      </w:r>
      <w:r w:rsidRPr="000A33D2">
        <w:t xml:space="preserve"> given:</w:t>
      </w:r>
    </w:p>
    <w:p w14:paraId="3251ACD8" w14:textId="76FC7B32" w:rsidR="00E15A99" w:rsidRPr="000A33D2" w:rsidRDefault="00E15A99" w:rsidP="009C5843">
      <w:pPr>
        <w:pStyle w:val="ListBullet"/>
        <w:numPr>
          <w:ilvl w:val="0"/>
          <w:numId w:val="8"/>
        </w:numPr>
        <w:spacing w:after="120"/>
        <w:ind w:left="1134" w:hanging="357"/>
        <w:contextualSpacing w:val="0"/>
      </w:pPr>
      <w:r w:rsidRPr="000A33D2">
        <w:t xml:space="preserve">PEM has been TGA approved for both </w:t>
      </w:r>
      <w:r w:rsidR="008924B1" w:rsidRPr="000A33D2">
        <w:t xml:space="preserve">dMMR and pMMR </w:t>
      </w:r>
      <w:r w:rsidRPr="000A33D2">
        <w:t xml:space="preserve">EC </w:t>
      </w:r>
      <w:r w:rsidR="006766FF" w:rsidRPr="000A33D2">
        <w:t xml:space="preserve">that </w:t>
      </w:r>
      <w:r w:rsidR="00E3019D" w:rsidRPr="000A33D2">
        <w:t xml:space="preserve">has </w:t>
      </w:r>
      <w:r w:rsidR="006766FF" w:rsidRPr="000A33D2">
        <w:t>progressed following prior treatment</w:t>
      </w:r>
      <w:r w:rsidR="007155B8" w:rsidRPr="000A33D2">
        <w:t xml:space="preserve">; </w:t>
      </w:r>
      <w:r w:rsidRPr="000A33D2">
        <w:t xml:space="preserve">PEM monotherapy for </w:t>
      </w:r>
      <w:r w:rsidR="008924B1" w:rsidRPr="000A33D2">
        <w:t xml:space="preserve">non-colorectal </w:t>
      </w:r>
      <w:r w:rsidRPr="000A33D2">
        <w:t xml:space="preserve">tumours </w:t>
      </w:r>
      <w:r w:rsidR="009936E1" w:rsidRPr="000A33D2">
        <w:t xml:space="preserve">(i.e. EC) </w:t>
      </w:r>
      <w:r w:rsidRPr="000A33D2">
        <w:t xml:space="preserve">that are MSI-H or </w:t>
      </w:r>
      <w:r w:rsidR="009936E1" w:rsidRPr="000A33D2">
        <w:t>d</w:t>
      </w:r>
      <w:r w:rsidRPr="000A33D2">
        <w:t>MMR</w:t>
      </w:r>
      <w:r w:rsidR="007155B8" w:rsidRPr="000A33D2">
        <w:t xml:space="preserve">, and </w:t>
      </w:r>
      <w:r w:rsidRPr="000A33D2">
        <w:t xml:space="preserve">PEM+LEN for </w:t>
      </w:r>
      <w:r w:rsidR="009936E1" w:rsidRPr="000A33D2">
        <w:t xml:space="preserve">EC </w:t>
      </w:r>
      <w:r w:rsidRPr="000A33D2">
        <w:t xml:space="preserve">that </w:t>
      </w:r>
      <w:r w:rsidR="009936E1" w:rsidRPr="000A33D2">
        <w:t xml:space="preserve">is </w:t>
      </w:r>
      <w:r w:rsidRPr="000A33D2">
        <w:t>not MSI-H or dMMR, whereas patients with dMMR/MSI-H EC represent the only subgroup for whom TGA approval was sought for DOS; and</w:t>
      </w:r>
    </w:p>
    <w:p w14:paraId="0260A374" w14:textId="350986A4" w:rsidR="00E15A99" w:rsidRPr="000A33D2" w:rsidRDefault="007155B8" w:rsidP="009C5843">
      <w:pPr>
        <w:pStyle w:val="ListBullet"/>
        <w:numPr>
          <w:ilvl w:val="0"/>
          <w:numId w:val="8"/>
        </w:numPr>
        <w:spacing w:after="120"/>
        <w:ind w:left="1134" w:hanging="357"/>
        <w:contextualSpacing w:val="0"/>
      </w:pPr>
      <w:r w:rsidRPr="000A33D2">
        <w:t>Test</w:t>
      </w:r>
      <w:r w:rsidR="009C13DE" w:rsidRPr="000A33D2">
        <w:t>s</w:t>
      </w:r>
      <w:r w:rsidRPr="000A33D2">
        <w:t xml:space="preserve"> for interaction </w:t>
      </w:r>
      <w:r w:rsidR="00B867FF" w:rsidRPr="000A33D2">
        <w:t xml:space="preserve">around PFS </w:t>
      </w:r>
      <w:r w:rsidRPr="000A33D2">
        <w:t>conducted during the evaluation suggest</w:t>
      </w:r>
      <w:r w:rsidR="00F5353E" w:rsidRPr="000A33D2">
        <w:t>ed</w:t>
      </w:r>
      <w:r w:rsidRPr="000A33D2">
        <w:t xml:space="preserve"> that </w:t>
      </w:r>
      <w:r w:rsidR="00B867FF" w:rsidRPr="000A33D2">
        <w:t>MMR status was a treatment effect modifier in RUBY, the key clinical trial.</w:t>
      </w:r>
      <w:r w:rsidR="00E15A99" w:rsidRPr="000A33D2">
        <w:t xml:space="preserve"> </w:t>
      </w:r>
      <w:r w:rsidR="00B50E4B" w:rsidRPr="000A33D2">
        <w:t>In comparison</w:t>
      </w:r>
      <w:r w:rsidR="00E15A99" w:rsidRPr="000A33D2">
        <w:t xml:space="preserve">, the PBAC noted that even though the TGA had not </w:t>
      </w:r>
      <w:r w:rsidR="003A6CB0" w:rsidRPr="000A33D2">
        <w:t xml:space="preserve">specifically </w:t>
      </w:r>
      <w:r w:rsidR="00E15A99" w:rsidRPr="000A33D2">
        <w:t xml:space="preserve">registered combination therapy with PEM+LEN in the dMMR </w:t>
      </w:r>
      <w:r w:rsidR="003A6CB0" w:rsidRPr="000A33D2">
        <w:t xml:space="preserve">EC </w:t>
      </w:r>
      <w:r w:rsidR="00E15A99" w:rsidRPr="000A33D2">
        <w:t xml:space="preserve">population, in the key trial (KN755) “superior efficacy of combination therapy was observed in the ITT population comprising both dMMR and pMMR patients with no evidence that biomarker status was a treatment effect modifier” (paragraph 7.5, pembrolizumab PSD, March 2022 PBAC meeting). </w:t>
      </w:r>
      <w:r w:rsidR="00F162E4" w:rsidRPr="000A33D2">
        <w:t xml:space="preserve">A comparison of results from DOS+CP (1L) with PEM+LEN (2L) is </w:t>
      </w:r>
      <w:r w:rsidR="002227EF" w:rsidRPr="000A33D2">
        <w:t>presented in</w:t>
      </w:r>
      <w:r w:rsidR="00EB12E3" w:rsidRPr="000A33D2">
        <w:t xml:space="preserve"> </w:t>
      </w:r>
      <w:r w:rsidR="00EB12E3" w:rsidRPr="000A33D2">
        <w:fldChar w:fldCharType="begin" w:fldLock="1"/>
      </w:r>
      <w:r w:rsidR="00EB12E3" w:rsidRPr="000A33D2">
        <w:instrText xml:space="preserve"> REF _Ref144580378 \h  \* MERGEFORMAT </w:instrText>
      </w:r>
      <w:r w:rsidR="00EB12E3" w:rsidRPr="000A33D2">
        <w:fldChar w:fldCharType="separate"/>
      </w:r>
      <w:r w:rsidR="00B62E71" w:rsidRPr="000A33D2">
        <w:t xml:space="preserve">Table </w:t>
      </w:r>
      <w:r w:rsidR="00B62E71">
        <w:t>7</w:t>
      </w:r>
      <w:r w:rsidR="00EB12E3" w:rsidRPr="000A33D2">
        <w:fldChar w:fldCharType="end"/>
      </w:r>
      <w:r w:rsidR="00EB12E3" w:rsidRPr="000A33D2">
        <w:t>.</w:t>
      </w:r>
      <w:r w:rsidR="002227EF" w:rsidRPr="000A33D2">
        <w:t xml:space="preserve"> </w:t>
      </w:r>
    </w:p>
    <w:p w14:paraId="6B4AB6C2" w14:textId="2741F8A9" w:rsidR="005C25FF" w:rsidRPr="000A33D2" w:rsidRDefault="005C25FF" w:rsidP="004A6040">
      <w:pPr>
        <w:pStyle w:val="2-SectionHeading"/>
      </w:pPr>
      <w:bookmarkStart w:id="2" w:name="_Toc145426887"/>
      <w:r w:rsidRPr="000A33D2">
        <w:t>Background</w:t>
      </w:r>
      <w:bookmarkEnd w:id="2"/>
    </w:p>
    <w:p w14:paraId="2C521D6D" w14:textId="78CF03EE" w:rsidR="005C25FF" w:rsidRPr="000A33D2" w:rsidRDefault="005C25FF" w:rsidP="004A6040">
      <w:pPr>
        <w:pStyle w:val="4-SubsectionHeading"/>
      </w:pPr>
      <w:bookmarkStart w:id="3" w:name="_Toc22897638"/>
      <w:bookmarkStart w:id="4" w:name="_Toc145426888"/>
      <w:r w:rsidRPr="000A33D2">
        <w:t>Registration status</w:t>
      </w:r>
      <w:bookmarkEnd w:id="3"/>
      <w:bookmarkEnd w:id="4"/>
    </w:p>
    <w:p w14:paraId="49003E9E" w14:textId="6A8ACAE6" w:rsidR="00056E12" w:rsidRPr="000A33D2" w:rsidRDefault="006419E3" w:rsidP="00145816">
      <w:pPr>
        <w:pStyle w:val="3-BodyText"/>
      </w:pPr>
      <w:r w:rsidRPr="000A33D2">
        <w:t xml:space="preserve">The submission was made under the TGA/PBAC Parallel Process. The TGA application is being evaluated via Project Orbis. </w:t>
      </w:r>
      <w:r w:rsidR="00A830FC" w:rsidRPr="000A33D2">
        <w:t xml:space="preserve">The TGA Delegate’s Overview </w:t>
      </w:r>
      <w:r w:rsidR="00E3019D" w:rsidRPr="000A33D2">
        <w:t>wa</w:t>
      </w:r>
      <w:r w:rsidR="00A830FC" w:rsidRPr="000A33D2">
        <w:t xml:space="preserve">s </w:t>
      </w:r>
      <w:r w:rsidR="0031470B" w:rsidRPr="000A33D2">
        <w:t xml:space="preserve">available at the time of </w:t>
      </w:r>
      <w:r w:rsidRPr="000A33D2">
        <w:t xml:space="preserve">PBAC </w:t>
      </w:r>
      <w:r w:rsidR="0031470B" w:rsidRPr="000A33D2">
        <w:t>consideration</w:t>
      </w:r>
      <w:r w:rsidR="00A830FC" w:rsidRPr="000A33D2">
        <w:t>.</w:t>
      </w:r>
      <w:r w:rsidR="0031470B" w:rsidRPr="000A33D2">
        <w:rPr>
          <w:i/>
          <w:iCs/>
        </w:rPr>
        <w:t xml:space="preserve"> </w:t>
      </w:r>
      <w:r w:rsidR="00145816" w:rsidRPr="000A33D2">
        <w:t>The Delegate was supportive of</w:t>
      </w:r>
      <w:r w:rsidR="00056E12" w:rsidRPr="000A33D2">
        <w:t xml:space="preserve"> </w:t>
      </w:r>
      <w:r w:rsidR="00145816" w:rsidRPr="000A33D2">
        <w:t xml:space="preserve">approving the registration of dostarlimab for </w:t>
      </w:r>
      <w:r w:rsidR="00056E12" w:rsidRPr="000A33D2">
        <w:t xml:space="preserve">the following indication: </w:t>
      </w:r>
    </w:p>
    <w:p w14:paraId="1D83EE28" w14:textId="71C591AF" w:rsidR="00056E12" w:rsidRPr="000A33D2" w:rsidRDefault="00056E12" w:rsidP="00056E12">
      <w:pPr>
        <w:pStyle w:val="3-BodyText"/>
        <w:numPr>
          <w:ilvl w:val="0"/>
          <w:numId w:val="0"/>
        </w:numPr>
        <w:ind w:left="720"/>
      </w:pPr>
      <w:r w:rsidRPr="000A33D2">
        <w:t xml:space="preserve">“JEMPERLI is indicated in combination with </w:t>
      </w:r>
      <w:r w:rsidR="00145816" w:rsidRPr="000A33D2">
        <w:t>carboplatin and paclitaxel</w:t>
      </w:r>
      <w:r w:rsidRPr="000A33D2">
        <w:t xml:space="preserve"> for the treatment of adult patients with primary advanced or recurrent mismatch repair deficient (dMMR)/microsatellite instability-high (MSI-H) endometrial cancer”.</w:t>
      </w:r>
    </w:p>
    <w:p w14:paraId="4354454F" w14:textId="3D0F37D5" w:rsidR="0031470B" w:rsidRPr="000A33D2" w:rsidRDefault="00A830FC" w:rsidP="0018671A">
      <w:pPr>
        <w:pStyle w:val="3-BodyText"/>
      </w:pPr>
      <w:r w:rsidRPr="000A33D2">
        <w:t>The all-comer</w:t>
      </w:r>
      <w:r w:rsidR="00BD538A" w:rsidRPr="000A33D2">
        <w:t>s</w:t>
      </w:r>
      <w:r w:rsidRPr="000A33D2">
        <w:t xml:space="preserve"> population (Population 2)</w:t>
      </w:r>
      <w:r w:rsidR="002F38E7" w:rsidRPr="000A33D2">
        <w:t>, which include</w:t>
      </w:r>
      <w:r w:rsidR="00042D7D" w:rsidRPr="000A33D2">
        <w:t>d</w:t>
      </w:r>
      <w:r w:rsidR="002F38E7" w:rsidRPr="000A33D2">
        <w:t xml:space="preserve"> pMMR</w:t>
      </w:r>
      <w:r w:rsidR="00FC65D8" w:rsidRPr="000A33D2">
        <w:t xml:space="preserve">/MSS </w:t>
      </w:r>
      <w:r w:rsidR="00042D7D" w:rsidRPr="000A33D2">
        <w:t xml:space="preserve">and MMR status unknown </w:t>
      </w:r>
      <w:r w:rsidR="00FC65D8" w:rsidRPr="000A33D2">
        <w:t>EC,</w:t>
      </w:r>
      <w:r w:rsidRPr="000A33D2">
        <w:t xml:space="preserve"> </w:t>
      </w:r>
      <w:r w:rsidR="002F38E7" w:rsidRPr="000A33D2">
        <w:t xml:space="preserve">was broader than </w:t>
      </w:r>
      <w:r w:rsidRPr="000A33D2">
        <w:t xml:space="preserve">the proposed </w:t>
      </w:r>
      <w:r w:rsidR="00BD538A" w:rsidRPr="000A33D2">
        <w:t xml:space="preserve">TGA </w:t>
      </w:r>
      <w:r w:rsidRPr="000A33D2">
        <w:t>indication which specified the biomarker status of dMMR/MSI</w:t>
      </w:r>
      <w:r w:rsidR="00FC65D8" w:rsidRPr="000A33D2">
        <w:noBreakHyphen/>
      </w:r>
      <w:r w:rsidRPr="000A33D2">
        <w:t xml:space="preserve">H. </w:t>
      </w:r>
      <w:r w:rsidR="0031470B" w:rsidRPr="000A33D2">
        <w:t xml:space="preserve">The </w:t>
      </w:r>
      <w:r w:rsidR="006A6D25">
        <w:t>Pre-Sub-Committee Response</w:t>
      </w:r>
      <w:r w:rsidR="006A6D25" w:rsidRPr="000A33D2">
        <w:t xml:space="preserve"> </w:t>
      </w:r>
      <w:r w:rsidR="006A6D25">
        <w:t>(</w:t>
      </w:r>
      <w:r w:rsidR="0031470B" w:rsidRPr="000A33D2">
        <w:t>PSCR</w:t>
      </w:r>
      <w:r w:rsidR="006A6D25">
        <w:t>)</w:t>
      </w:r>
      <w:r w:rsidR="0031470B" w:rsidRPr="000A33D2">
        <w:t xml:space="preserve"> </w:t>
      </w:r>
      <w:r w:rsidR="0031470B" w:rsidRPr="000A33D2">
        <w:lastRenderedPageBreak/>
        <w:t xml:space="preserve">indicated that the sponsor projects that </w:t>
      </w:r>
      <w:r w:rsidR="0031470B" w:rsidRPr="000A33D2">
        <w:rPr>
          <w:lang w:bidi="en-US"/>
        </w:rPr>
        <w:t xml:space="preserve">an application for the all-comers population in RUBY Part 1 will be submitted to the FDA </w:t>
      </w:r>
      <w:r w:rsidR="007C10F8" w:rsidRPr="00D03BA6">
        <w:rPr>
          <w:color w:val="000000"/>
          <w:w w:val="15"/>
          <w:shd w:val="solid" w:color="000000" w:fill="000000"/>
          <w:fitText w:val="-20" w:id="-1032576256"/>
          <w:lang w:bidi="en-US"/>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6"/>
          <w:lang w:bidi="en-US"/>
          <w14:textFill>
            <w14:solidFill>
              <w14:srgbClr w14:val="000000">
                <w14:alpha w14:val="100000"/>
              </w14:srgbClr>
            </w14:solidFill>
          </w14:textFill>
        </w:rPr>
        <w:t>|</w:t>
      </w:r>
      <w:r w:rsidR="007C10F8" w:rsidRPr="007C10F8">
        <w:rPr>
          <w:lang w:bidi="en-US"/>
        </w:rPr>
        <w:t xml:space="preserve"> </w:t>
      </w:r>
      <w:r w:rsidR="007C10F8" w:rsidRPr="00D03BA6">
        <w:rPr>
          <w:color w:val="000000"/>
          <w:w w:val="15"/>
          <w:shd w:val="solid" w:color="000000" w:fill="000000"/>
          <w:fitText w:val="-20" w:id="-1032576255"/>
          <w:lang w:bidi="en-US"/>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5"/>
          <w:lang w:bidi="en-US"/>
          <w14:textFill>
            <w14:solidFill>
              <w14:srgbClr w14:val="000000">
                <w14:alpha w14:val="100000"/>
              </w14:srgbClr>
            </w14:solidFill>
          </w14:textFill>
        </w:rPr>
        <w:t>|</w:t>
      </w:r>
      <w:r w:rsidR="007C10F8" w:rsidRPr="007C10F8">
        <w:rPr>
          <w:lang w:bidi="en-US"/>
        </w:rPr>
        <w:t xml:space="preserve"> </w:t>
      </w:r>
      <w:r w:rsidR="007C10F8" w:rsidRPr="00D03BA6">
        <w:rPr>
          <w:color w:val="000000"/>
          <w:w w:val="15"/>
          <w:shd w:val="solid" w:color="000000" w:fill="000000"/>
          <w:fitText w:val="-20" w:id="-1032576254"/>
          <w:lang w:bidi="en-US"/>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4"/>
          <w:lang w:bidi="en-US"/>
          <w14:textFill>
            <w14:solidFill>
              <w14:srgbClr w14:val="000000">
                <w14:alpha w14:val="100000"/>
              </w14:srgbClr>
            </w14:solidFill>
          </w14:textFill>
        </w:rPr>
        <w:t>|</w:t>
      </w:r>
      <w:r w:rsidR="007C10F8" w:rsidRPr="007C10F8">
        <w:rPr>
          <w:lang w:bidi="en-US"/>
        </w:rPr>
        <w:t xml:space="preserve"> </w:t>
      </w:r>
      <w:r w:rsidR="007C10F8" w:rsidRPr="00D03BA6">
        <w:rPr>
          <w:color w:val="000000"/>
          <w:w w:val="15"/>
          <w:shd w:val="solid" w:color="000000" w:fill="000000"/>
          <w:fitText w:val="-20" w:id="-1032576253"/>
          <w:lang w:bidi="en-US"/>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3"/>
          <w:lang w:bidi="en-US"/>
          <w14:textFill>
            <w14:solidFill>
              <w14:srgbClr w14:val="000000">
                <w14:alpha w14:val="100000"/>
              </w14:srgbClr>
            </w14:solidFill>
          </w14:textFill>
        </w:rPr>
        <w:t>|</w:t>
      </w:r>
      <w:r w:rsidR="007C10F8" w:rsidRPr="007C10F8">
        <w:rPr>
          <w:lang w:bidi="en-US"/>
        </w:rPr>
        <w:t xml:space="preserve"> </w:t>
      </w:r>
      <w:r w:rsidR="007C10F8" w:rsidRPr="00D03BA6">
        <w:rPr>
          <w:color w:val="000000"/>
          <w:w w:val="15"/>
          <w:shd w:val="solid" w:color="000000" w:fill="000000"/>
          <w:fitText w:val="-20" w:id="-1032576252"/>
          <w:lang w:bidi="en-US"/>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2"/>
          <w:lang w:bidi="en-US"/>
          <w14:textFill>
            <w14:solidFill>
              <w14:srgbClr w14:val="000000">
                <w14:alpha w14:val="100000"/>
              </w14:srgbClr>
            </w14:solidFill>
          </w14:textFill>
        </w:rPr>
        <w:t>|</w:t>
      </w:r>
      <w:r w:rsidR="007C10F8" w:rsidRPr="007C10F8">
        <w:rPr>
          <w:lang w:bidi="en-US"/>
        </w:rPr>
        <w:t xml:space="preserve"> </w:t>
      </w:r>
      <w:r w:rsidR="007C10F8" w:rsidRPr="00D03BA6">
        <w:rPr>
          <w:color w:val="000000"/>
          <w:w w:val="15"/>
          <w:shd w:val="solid" w:color="000000" w:fill="000000"/>
          <w:fitText w:val="-20" w:id="-1032576251"/>
          <w:lang w:bidi="en-US"/>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1"/>
          <w:lang w:bidi="en-US"/>
          <w14:textFill>
            <w14:solidFill>
              <w14:srgbClr w14:val="000000">
                <w14:alpha w14:val="100000"/>
              </w14:srgbClr>
            </w14:solidFill>
          </w14:textFill>
        </w:rPr>
        <w:t>|</w:t>
      </w:r>
      <w:r w:rsidR="0031470B" w:rsidRPr="000A33D2">
        <w:rPr>
          <w:lang w:bidi="en-US"/>
        </w:rPr>
        <w:t>.</w:t>
      </w:r>
    </w:p>
    <w:p w14:paraId="6DBAFBFC" w14:textId="5043C582" w:rsidR="00427449" w:rsidRPr="000A33D2" w:rsidRDefault="00427449" w:rsidP="00150DDE">
      <w:pPr>
        <w:ind w:firstLine="720"/>
      </w:pPr>
      <w:bookmarkStart w:id="5" w:name="_Hlk76375324"/>
      <w:r w:rsidRPr="000A33D2">
        <w:rPr>
          <w:i/>
          <w:iCs/>
        </w:rPr>
        <w:t>For more detail on PBAC’s view, see section 7 PBAC outcome.</w:t>
      </w:r>
      <w:bookmarkEnd w:id="5"/>
    </w:p>
    <w:p w14:paraId="3435DB07" w14:textId="386EB742" w:rsidR="003A4C14" w:rsidRPr="000A33D2" w:rsidRDefault="00B50DB8" w:rsidP="0093527A">
      <w:pPr>
        <w:pStyle w:val="2-SectionHeading"/>
      </w:pPr>
      <w:bookmarkStart w:id="6" w:name="_Toc145426889"/>
      <w:r w:rsidRPr="000A33D2">
        <w:t>Requested listing</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3261"/>
        <w:gridCol w:w="1747"/>
        <w:gridCol w:w="1747"/>
      </w:tblGrid>
      <w:tr w:rsidR="00046D64" w:rsidRPr="000A33D2" w14:paraId="3B1DB163" w14:textId="77777777" w:rsidTr="00A830FC">
        <w:trPr>
          <w:cantSplit/>
          <w:trHeight w:val="20"/>
        </w:trPr>
        <w:tc>
          <w:tcPr>
            <w:tcW w:w="1254" w:type="pct"/>
            <w:vAlign w:val="center"/>
          </w:tcPr>
          <w:p w14:paraId="5618442D" w14:textId="77777777" w:rsidR="00046D64" w:rsidRPr="000A33D2" w:rsidRDefault="00046D64" w:rsidP="007D06B2">
            <w:pPr>
              <w:pStyle w:val="In-tableHeading"/>
              <w:keepLines/>
              <w:rPr>
                <w:lang w:val="en-AU"/>
              </w:rPr>
            </w:pPr>
            <w:bookmarkStart w:id="7" w:name="_Hlk104809082"/>
            <w:r w:rsidRPr="000A33D2">
              <w:rPr>
                <w:lang w:val="en-AU"/>
              </w:rPr>
              <w:t>MEDICINAL PRODUCT</w:t>
            </w:r>
          </w:p>
          <w:p w14:paraId="7BFC4331" w14:textId="77777777" w:rsidR="00046D64" w:rsidRPr="000A33D2" w:rsidRDefault="00046D64" w:rsidP="007D06B2">
            <w:pPr>
              <w:pStyle w:val="In-tableHeading"/>
              <w:keepLines/>
              <w:rPr>
                <w:lang w:val="en-AU"/>
              </w:rPr>
            </w:pPr>
            <w:r w:rsidRPr="000A33D2">
              <w:rPr>
                <w:lang w:val="en-AU"/>
              </w:rPr>
              <w:t>Form</w:t>
            </w:r>
          </w:p>
        </w:tc>
        <w:tc>
          <w:tcPr>
            <w:tcW w:w="1808" w:type="pct"/>
            <w:vAlign w:val="center"/>
          </w:tcPr>
          <w:p w14:paraId="17AAAEA2" w14:textId="199A6C3A" w:rsidR="00046D64" w:rsidRPr="000A33D2" w:rsidRDefault="00C61A59" w:rsidP="007D06B2">
            <w:pPr>
              <w:pStyle w:val="In-tableHeading"/>
              <w:keepLines/>
              <w:jc w:val="center"/>
              <w:rPr>
                <w:lang w:val="en-AU"/>
              </w:rPr>
            </w:pPr>
            <w:r w:rsidRPr="000A33D2">
              <w:rPr>
                <w:lang w:val="en-AU"/>
              </w:rPr>
              <w:t>Dispensed Price Max Amt</w:t>
            </w:r>
          </w:p>
        </w:tc>
        <w:tc>
          <w:tcPr>
            <w:tcW w:w="969" w:type="pct"/>
            <w:vAlign w:val="center"/>
          </w:tcPr>
          <w:p w14:paraId="09FA2BD6" w14:textId="77777777" w:rsidR="00046D64" w:rsidRPr="000A33D2" w:rsidRDefault="00046D64" w:rsidP="007D06B2">
            <w:pPr>
              <w:pStyle w:val="In-tableHeading"/>
              <w:keepLines/>
              <w:jc w:val="center"/>
              <w:rPr>
                <w:lang w:val="en-AU"/>
              </w:rPr>
            </w:pPr>
            <w:r w:rsidRPr="000A33D2">
              <w:rPr>
                <w:lang w:val="en-AU"/>
              </w:rPr>
              <w:t>Max. Amount</w:t>
            </w:r>
          </w:p>
        </w:tc>
        <w:tc>
          <w:tcPr>
            <w:tcW w:w="969" w:type="pct"/>
            <w:vAlign w:val="center"/>
          </w:tcPr>
          <w:p w14:paraId="5D705FF2" w14:textId="77777777" w:rsidR="00046D64" w:rsidRPr="000A33D2" w:rsidRDefault="00046D64" w:rsidP="007D06B2">
            <w:pPr>
              <w:pStyle w:val="In-tableHeading"/>
              <w:keepLines/>
              <w:jc w:val="center"/>
              <w:rPr>
                <w:lang w:val="en-AU"/>
              </w:rPr>
            </w:pPr>
            <w:r w:rsidRPr="000A33D2">
              <w:rPr>
                <w:lang w:val="en-AU"/>
              </w:rPr>
              <w:t>№.of Rpts</w:t>
            </w:r>
          </w:p>
        </w:tc>
      </w:tr>
      <w:tr w:rsidR="00A830FC" w:rsidRPr="000A33D2" w14:paraId="54FCD2AC" w14:textId="77777777" w:rsidTr="00A830FC">
        <w:trPr>
          <w:cantSplit/>
          <w:trHeight w:val="20"/>
        </w:trPr>
        <w:tc>
          <w:tcPr>
            <w:tcW w:w="1254" w:type="pct"/>
            <w:vAlign w:val="center"/>
          </w:tcPr>
          <w:p w14:paraId="718ED869" w14:textId="77777777" w:rsidR="00A830FC" w:rsidRPr="000A33D2" w:rsidRDefault="00A830FC" w:rsidP="00A830FC">
            <w:pPr>
              <w:pStyle w:val="TableText0"/>
              <w:keepLines/>
            </w:pPr>
            <w:r w:rsidRPr="000A33D2">
              <w:t xml:space="preserve">Dostarlimab </w:t>
            </w:r>
          </w:p>
          <w:p w14:paraId="7D2B0112" w14:textId="1011291C" w:rsidR="00A830FC" w:rsidRPr="000A33D2" w:rsidRDefault="00A830FC" w:rsidP="00A830FC">
            <w:pPr>
              <w:pStyle w:val="TableText0"/>
              <w:keepLines/>
            </w:pPr>
            <w:r w:rsidRPr="000A33D2">
              <w:t xml:space="preserve">(initial) </w:t>
            </w:r>
          </w:p>
        </w:tc>
        <w:tc>
          <w:tcPr>
            <w:tcW w:w="1808" w:type="pct"/>
            <w:vAlign w:val="center"/>
          </w:tcPr>
          <w:p w14:paraId="7D62DF79" w14:textId="5BD2AF64"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007C10F8" w:rsidRPr="007C10F8">
              <w:t xml:space="preserve"> </w:t>
            </w:r>
            <w:r w:rsidRPr="000A33D2">
              <w:t>public published price</w:t>
            </w:r>
          </w:p>
          <w:p w14:paraId="55243006" w14:textId="3E704BD5"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private published price</w:t>
            </w:r>
          </w:p>
          <w:p w14:paraId="685334D0" w14:textId="1F4FAEDE"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public effective price</w:t>
            </w:r>
            <w:r w:rsidRPr="000A33D2">
              <w:rPr>
                <w:vertAlign w:val="superscript"/>
              </w:rPr>
              <w:t xml:space="preserve"> a</w:t>
            </w:r>
          </w:p>
          <w:p w14:paraId="75D51522" w14:textId="5566B6FC"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private effective price </w:t>
            </w:r>
            <w:r w:rsidRPr="000A33D2">
              <w:rPr>
                <w:vertAlign w:val="superscript"/>
              </w:rPr>
              <w:t>a</w:t>
            </w:r>
          </w:p>
        </w:tc>
        <w:tc>
          <w:tcPr>
            <w:tcW w:w="969" w:type="pct"/>
            <w:vAlign w:val="center"/>
          </w:tcPr>
          <w:p w14:paraId="0A98B476" w14:textId="4D595033" w:rsidR="00A830FC" w:rsidRPr="000A33D2" w:rsidRDefault="00A830FC" w:rsidP="00A830FC">
            <w:pPr>
              <w:pStyle w:val="TableText0"/>
              <w:keepLines/>
              <w:jc w:val="center"/>
            </w:pPr>
            <w:r w:rsidRPr="000A33D2">
              <w:t>500</w:t>
            </w:r>
            <w:r w:rsidR="00B62E71">
              <w:t> </w:t>
            </w:r>
            <w:r w:rsidRPr="000A33D2">
              <w:t>mg</w:t>
            </w:r>
          </w:p>
        </w:tc>
        <w:tc>
          <w:tcPr>
            <w:tcW w:w="969" w:type="pct"/>
            <w:vAlign w:val="center"/>
          </w:tcPr>
          <w:p w14:paraId="1F4FD721" w14:textId="008420AE" w:rsidR="00A830FC" w:rsidRPr="000A33D2" w:rsidRDefault="00A830FC" w:rsidP="00A830FC">
            <w:pPr>
              <w:pStyle w:val="TableText0"/>
              <w:keepLines/>
              <w:jc w:val="center"/>
            </w:pPr>
            <w:r w:rsidRPr="000A33D2">
              <w:t>5</w:t>
            </w:r>
          </w:p>
        </w:tc>
      </w:tr>
      <w:tr w:rsidR="00A830FC" w:rsidRPr="000A33D2" w14:paraId="31126CBA" w14:textId="77777777" w:rsidTr="00A830FC">
        <w:trPr>
          <w:cantSplit/>
          <w:trHeight w:val="20"/>
        </w:trPr>
        <w:tc>
          <w:tcPr>
            <w:tcW w:w="1254" w:type="pct"/>
            <w:vAlign w:val="center"/>
          </w:tcPr>
          <w:p w14:paraId="67E65D65" w14:textId="77777777" w:rsidR="00A830FC" w:rsidRPr="000A33D2" w:rsidRDefault="00A830FC" w:rsidP="00A830FC">
            <w:pPr>
              <w:pStyle w:val="TableText0"/>
              <w:keepLines/>
            </w:pPr>
            <w:r w:rsidRPr="000A33D2">
              <w:t xml:space="preserve">Dostarlimab </w:t>
            </w:r>
          </w:p>
          <w:p w14:paraId="3FDC2D75" w14:textId="0B99CFA7" w:rsidR="00A830FC" w:rsidRPr="000A33D2" w:rsidRDefault="00A830FC" w:rsidP="00A830FC">
            <w:pPr>
              <w:pStyle w:val="TableText0"/>
              <w:keepLines/>
            </w:pPr>
            <w:r w:rsidRPr="000A33D2">
              <w:t>(continuing)</w:t>
            </w:r>
          </w:p>
        </w:tc>
        <w:tc>
          <w:tcPr>
            <w:tcW w:w="1808" w:type="pct"/>
            <w:vAlign w:val="center"/>
          </w:tcPr>
          <w:p w14:paraId="26BFDE16" w14:textId="21696E69"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public published price</w:t>
            </w:r>
          </w:p>
          <w:p w14:paraId="29B7B01C" w14:textId="6D0FA9A0"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private published price</w:t>
            </w:r>
          </w:p>
          <w:p w14:paraId="06EBEBE8" w14:textId="3A5543A7"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public effective price </w:t>
            </w:r>
            <w:r w:rsidRPr="000A33D2">
              <w:rPr>
                <w:vertAlign w:val="superscript"/>
              </w:rPr>
              <w:t>a</w:t>
            </w:r>
          </w:p>
          <w:p w14:paraId="7CC8C468" w14:textId="7FC286A6" w:rsidR="00A830FC" w:rsidRPr="000A33D2" w:rsidRDefault="00A830FC" w:rsidP="00A830FC">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Pr="000A33D2">
              <w:t xml:space="preserve"> private effective price </w:t>
            </w:r>
            <w:r w:rsidRPr="000A33D2">
              <w:rPr>
                <w:vertAlign w:val="superscript"/>
              </w:rPr>
              <w:t>a</w:t>
            </w:r>
          </w:p>
        </w:tc>
        <w:tc>
          <w:tcPr>
            <w:tcW w:w="969" w:type="pct"/>
            <w:vAlign w:val="center"/>
          </w:tcPr>
          <w:p w14:paraId="3D23C0FE" w14:textId="3880AB49" w:rsidR="00A830FC" w:rsidRPr="000A33D2" w:rsidRDefault="00A830FC" w:rsidP="00A830FC">
            <w:pPr>
              <w:pStyle w:val="TableText0"/>
              <w:keepLines/>
              <w:jc w:val="center"/>
            </w:pPr>
            <w:r w:rsidRPr="000A33D2">
              <w:t>1000</w:t>
            </w:r>
            <w:r w:rsidR="00B62E71">
              <w:t> </w:t>
            </w:r>
            <w:r w:rsidRPr="000A33D2">
              <w:t>mg</w:t>
            </w:r>
          </w:p>
        </w:tc>
        <w:tc>
          <w:tcPr>
            <w:tcW w:w="969" w:type="pct"/>
            <w:vAlign w:val="center"/>
          </w:tcPr>
          <w:p w14:paraId="1FAFA9D1" w14:textId="6B0D2410" w:rsidR="00A830FC" w:rsidRPr="000A33D2" w:rsidRDefault="00A830FC" w:rsidP="00A830FC">
            <w:pPr>
              <w:pStyle w:val="TableText0"/>
              <w:keepLines/>
              <w:jc w:val="center"/>
            </w:pPr>
            <w:r w:rsidRPr="000A33D2">
              <w:t>3</w:t>
            </w:r>
          </w:p>
        </w:tc>
      </w:tr>
      <w:tr w:rsidR="00046D64" w:rsidRPr="000A33D2" w14:paraId="42FF08BD" w14:textId="77777777" w:rsidTr="00A2021E">
        <w:trPr>
          <w:cantSplit/>
          <w:trHeight w:val="20"/>
        </w:trPr>
        <w:tc>
          <w:tcPr>
            <w:tcW w:w="5000" w:type="pct"/>
            <w:gridSpan w:val="4"/>
            <w:vAlign w:val="center"/>
          </w:tcPr>
          <w:p w14:paraId="022AE77B" w14:textId="77777777" w:rsidR="00046D64" w:rsidRPr="000A33D2" w:rsidRDefault="00046D64" w:rsidP="007D06B2">
            <w:pPr>
              <w:keepNext/>
              <w:keepLines/>
              <w:rPr>
                <w:b/>
              </w:rPr>
            </w:pPr>
            <w:r w:rsidRPr="000A33D2">
              <w:rPr>
                <w:rFonts w:ascii="Arial Narrow" w:eastAsiaTheme="majorEastAsia" w:hAnsi="Arial Narrow" w:cs="Times New Roman"/>
                <w:b/>
                <w:sz w:val="20"/>
              </w:rPr>
              <w:t>Available brands</w:t>
            </w:r>
            <w:r w:rsidRPr="000A33D2">
              <w:rPr>
                <w:b/>
              </w:rPr>
              <w:t xml:space="preserve"> </w:t>
            </w:r>
          </w:p>
        </w:tc>
      </w:tr>
      <w:tr w:rsidR="00046D64" w:rsidRPr="000A33D2" w14:paraId="7129D684" w14:textId="77777777" w:rsidTr="00A2021E">
        <w:trPr>
          <w:cantSplit/>
          <w:trHeight w:val="20"/>
        </w:trPr>
        <w:tc>
          <w:tcPr>
            <w:tcW w:w="5000" w:type="pct"/>
            <w:gridSpan w:val="4"/>
            <w:vAlign w:val="center"/>
          </w:tcPr>
          <w:p w14:paraId="536886CA" w14:textId="77777777" w:rsidR="00A830FC" w:rsidRPr="000A33D2" w:rsidRDefault="00A830FC" w:rsidP="00A830FC">
            <w:pPr>
              <w:pStyle w:val="TableText0"/>
              <w:keepLines/>
            </w:pPr>
            <w:r w:rsidRPr="000A33D2">
              <w:t>Jemperli</w:t>
            </w:r>
          </w:p>
          <w:p w14:paraId="4CFF1733" w14:textId="6C07C80D" w:rsidR="00C61A59" w:rsidRPr="000A33D2" w:rsidRDefault="00A830FC" w:rsidP="00A830FC">
            <w:pPr>
              <w:pStyle w:val="TableText0"/>
              <w:keepLines/>
            </w:pPr>
            <w:r w:rsidRPr="000A33D2">
              <w:t>(dostarlimab 500 mg / 10 mL injection, 1 x 10 mL vial)</w:t>
            </w:r>
          </w:p>
        </w:tc>
      </w:tr>
    </w:tbl>
    <w:p w14:paraId="7F700E55" w14:textId="3D17E2B7" w:rsidR="003A4C14" w:rsidRPr="000A33D2" w:rsidRDefault="00A830FC" w:rsidP="008F2EF9">
      <w:pPr>
        <w:spacing w:after="120"/>
        <w:rPr>
          <w:rFonts w:ascii="Arial Narrow" w:hAnsi="Arial Narrow"/>
          <w:sz w:val="18"/>
          <w:szCs w:val="18"/>
        </w:rPr>
      </w:pPr>
      <w:r w:rsidRPr="000A33D2">
        <w:rPr>
          <w:rFonts w:ascii="Arial Narrow" w:hAnsi="Arial Narrow"/>
          <w:sz w:val="18"/>
          <w:szCs w:val="18"/>
        </w:rPr>
        <w:t xml:space="preserve">a </w:t>
      </w:r>
      <w:r w:rsidR="00C531D6" w:rsidRPr="000A33D2">
        <w:rPr>
          <w:rFonts w:ascii="Arial Narrow" w:hAnsi="Arial Narrow"/>
          <w:sz w:val="18"/>
          <w:szCs w:val="18"/>
        </w:rPr>
        <w:t xml:space="preserve">The effective prices were updated during the evaluation to current values (August 2023). </w:t>
      </w:r>
    </w:p>
    <w:p w14:paraId="1CCA30A4" w14:textId="7C2B582E" w:rsidR="00397ED8" w:rsidRPr="000A33D2" w:rsidRDefault="00397ED8" w:rsidP="008F2EF9">
      <w:pPr>
        <w:pStyle w:val="4-SubsectionHeading"/>
        <w:keepNext w:val="0"/>
        <w:keepLines/>
        <w:spacing w:before="0" w:after="0"/>
        <w:rPr>
          <w:sz w:val="24"/>
          <w:szCs w:val="24"/>
          <w:lang w:eastAsia="en-US"/>
        </w:rPr>
      </w:pPr>
      <w:bookmarkStart w:id="8" w:name="_Toc145426890"/>
      <w:r w:rsidRPr="000A33D2">
        <w:rPr>
          <w:sz w:val="24"/>
          <w:szCs w:val="24"/>
          <w:lang w:eastAsia="en-US"/>
        </w:rPr>
        <w:t>Requested restriction: dMMR (Population 1)</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A4C14" w:rsidRPr="000A33D2" w14:paraId="3EE8ABAE" w14:textId="77777777" w:rsidTr="000159F7">
        <w:trPr>
          <w:trHeight w:val="20"/>
        </w:trPr>
        <w:tc>
          <w:tcPr>
            <w:tcW w:w="5000" w:type="pct"/>
          </w:tcPr>
          <w:p w14:paraId="3B622315" w14:textId="6F9D646E" w:rsidR="003A4C14" w:rsidRPr="000A33D2" w:rsidRDefault="003A4C14" w:rsidP="000159F7">
            <w:pPr>
              <w:pStyle w:val="TableText0"/>
              <w:keepNext w:val="0"/>
              <w:keepLines/>
            </w:pPr>
            <w:bookmarkStart w:id="9" w:name="_Hlk104809470"/>
            <w:bookmarkEnd w:id="7"/>
            <w:r w:rsidRPr="000A33D2">
              <w:rPr>
                <w:b/>
              </w:rPr>
              <w:t xml:space="preserve">Category / Program: </w:t>
            </w:r>
            <w:r w:rsidRPr="000A33D2">
              <w:t>Section 100 – Efficient Funding of Chemotherapy</w:t>
            </w:r>
          </w:p>
        </w:tc>
      </w:tr>
      <w:tr w:rsidR="003A4C14" w:rsidRPr="000A33D2" w14:paraId="09416ED3" w14:textId="77777777" w:rsidTr="000159F7">
        <w:trPr>
          <w:trHeight w:val="20"/>
        </w:trPr>
        <w:tc>
          <w:tcPr>
            <w:tcW w:w="5000" w:type="pct"/>
          </w:tcPr>
          <w:p w14:paraId="7D2ED8D5" w14:textId="3287E0BC" w:rsidR="003A4C14" w:rsidRPr="000A33D2" w:rsidRDefault="003A4C14" w:rsidP="000159F7">
            <w:pPr>
              <w:pStyle w:val="TableText0"/>
              <w:keepNext w:val="0"/>
              <w:keepLines/>
              <w:rPr>
                <w:b/>
              </w:rPr>
            </w:pPr>
            <w:r w:rsidRPr="000A33D2">
              <w:rPr>
                <w:b/>
              </w:rPr>
              <w:t xml:space="preserve">Prescriber type: </w:t>
            </w:r>
            <w:r w:rsidR="000E35AA" w:rsidRPr="000A33D2">
              <w:fldChar w:fldCharType="begin" w:fldLock="1">
                <w:ffData>
                  <w:name w:val=""/>
                  <w:enabled/>
                  <w:calcOnExit w:val="0"/>
                  <w:checkBox>
                    <w:sizeAuto/>
                    <w:default w:val="1"/>
                  </w:checkBox>
                </w:ffData>
              </w:fldChar>
            </w:r>
            <w:r w:rsidR="000E35AA" w:rsidRPr="000A33D2">
              <w:instrText xml:space="preserve"> FORMCHECKBOX </w:instrText>
            </w:r>
            <w:r w:rsidR="00D03BA6">
              <w:fldChar w:fldCharType="separate"/>
            </w:r>
            <w:r w:rsidR="000E35AA" w:rsidRPr="000A33D2">
              <w:fldChar w:fldCharType="end"/>
            </w:r>
            <w:r w:rsidRPr="000A33D2">
              <w:t xml:space="preserve">Medical Practitioners </w:t>
            </w:r>
          </w:p>
        </w:tc>
      </w:tr>
      <w:tr w:rsidR="003A4C14" w:rsidRPr="000A33D2" w14:paraId="070CFDD2" w14:textId="77777777" w:rsidTr="000159F7">
        <w:trPr>
          <w:trHeight w:val="20"/>
        </w:trPr>
        <w:tc>
          <w:tcPr>
            <w:tcW w:w="5000" w:type="pct"/>
          </w:tcPr>
          <w:p w14:paraId="3320A955" w14:textId="601FF706" w:rsidR="003A4C14" w:rsidRPr="000A33D2" w:rsidRDefault="003A4C14" w:rsidP="000159F7">
            <w:pPr>
              <w:pStyle w:val="TableText0"/>
              <w:keepNext w:val="0"/>
              <w:keepLines/>
              <w:rPr>
                <w:rFonts w:eastAsia="Times New Roman"/>
              </w:rPr>
            </w:pPr>
            <w:r w:rsidRPr="000A33D2">
              <w:rPr>
                <w:b/>
              </w:rPr>
              <w:t xml:space="preserve">Restriction type: </w:t>
            </w:r>
            <w:r w:rsidR="000E35AA" w:rsidRPr="000A33D2">
              <w:rPr>
                <w:rFonts w:eastAsia="Times New Roman"/>
              </w:rPr>
              <w:fldChar w:fldCharType="begin" w:fldLock="1">
                <w:ffData>
                  <w:name w:val=""/>
                  <w:enabled/>
                  <w:calcOnExit w:val="0"/>
                  <w:checkBox>
                    <w:sizeAuto/>
                    <w:default w:val="1"/>
                  </w:checkBox>
                </w:ffData>
              </w:fldChar>
            </w:r>
            <w:r w:rsidR="000E35AA" w:rsidRPr="000A33D2">
              <w:rPr>
                <w:rFonts w:eastAsia="Times New Roman"/>
              </w:rPr>
              <w:instrText xml:space="preserve"> FORMCHECKBOX </w:instrText>
            </w:r>
            <w:r w:rsidR="00D03BA6">
              <w:rPr>
                <w:rFonts w:eastAsia="Times New Roman"/>
              </w:rPr>
            </w:r>
            <w:r w:rsidR="00D03BA6">
              <w:rPr>
                <w:rFonts w:eastAsia="Times New Roman"/>
              </w:rPr>
              <w:fldChar w:fldCharType="separate"/>
            </w:r>
            <w:r w:rsidR="000E35AA" w:rsidRPr="000A33D2">
              <w:rPr>
                <w:rFonts w:eastAsia="Times New Roman"/>
              </w:rPr>
              <w:fldChar w:fldCharType="end"/>
            </w:r>
            <w:r w:rsidRPr="000A33D2">
              <w:rPr>
                <w:rFonts w:eastAsia="Times New Roman"/>
              </w:rPr>
              <w:t xml:space="preserve">Authority Required (STREAMLINED) </w:t>
            </w:r>
          </w:p>
        </w:tc>
      </w:tr>
      <w:tr w:rsidR="003A4C14" w:rsidRPr="000A33D2" w14:paraId="5AD67CF6" w14:textId="77777777" w:rsidTr="000159F7">
        <w:trPr>
          <w:trHeight w:val="20"/>
        </w:trPr>
        <w:tc>
          <w:tcPr>
            <w:tcW w:w="5000" w:type="pct"/>
            <w:vAlign w:val="center"/>
          </w:tcPr>
          <w:p w14:paraId="61A039CE" w14:textId="573B82A0" w:rsidR="003A4C14" w:rsidRPr="000A33D2" w:rsidRDefault="003A4C14" w:rsidP="000159F7">
            <w:pPr>
              <w:pStyle w:val="TableText0"/>
              <w:keepNext w:val="0"/>
              <w:keepLines/>
              <w:rPr>
                <w:b/>
              </w:rPr>
            </w:pPr>
            <w:r w:rsidRPr="000A33D2">
              <w:rPr>
                <w:b/>
              </w:rPr>
              <w:t xml:space="preserve">Severity: </w:t>
            </w:r>
            <w:r w:rsidR="000E35AA" w:rsidRPr="000A33D2">
              <w:rPr>
                <w:bCs w:val="0"/>
              </w:rPr>
              <w:t>Primary advanced or first recurrent</w:t>
            </w:r>
          </w:p>
        </w:tc>
      </w:tr>
      <w:tr w:rsidR="003A4C14" w:rsidRPr="000A33D2" w14:paraId="4473716B" w14:textId="77777777" w:rsidTr="000159F7">
        <w:trPr>
          <w:trHeight w:val="20"/>
        </w:trPr>
        <w:tc>
          <w:tcPr>
            <w:tcW w:w="5000" w:type="pct"/>
            <w:vAlign w:val="center"/>
          </w:tcPr>
          <w:p w14:paraId="0C58C468" w14:textId="6A8746B6" w:rsidR="003A4C14" w:rsidRPr="000A33D2" w:rsidRDefault="003A4C14" w:rsidP="000159F7">
            <w:pPr>
              <w:pStyle w:val="TableText0"/>
              <w:keepNext w:val="0"/>
              <w:keepLines/>
              <w:rPr>
                <w:b/>
              </w:rPr>
            </w:pPr>
            <w:r w:rsidRPr="000A33D2">
              <w:rPr>
                <w:b/>
              </w:rPr>
              <w:t xml:space="preserve">Condition: </w:t>
            </w:r>
            <w:r w:rsidR="000E35AA" w:rsidRPr="000A33D2">
              <w:rPr>
                <w:bCs w:val="0"/>
              </w:rPr>
              <w:t>Endometrial cancer</w:t>
            </w:r>
            <w:r w:rsidRPr="000A33D2">
              <w:rPr>
                <w:color w:val="0066FF"/>
              </w:rPr>
              <w:t xml:space="preserve"> </w:t>
            </w:r>
          </w:p>
        </w:tc>
      </w:tr>
      <w:tr w:rsidR="003A4C14" w:rsidRPr="000A33D2" w14:paraId="5BFE3347" w14:textId="77777777" w:rsidTr="000159F7">
        <w:trPr>
          <w:trHeight w:val="20"/>
        </w:trPr>
        <w:tc>
          <w:tcPr>
            <w:tcW w:w="5000" w:type="pct"/>
            <w:vAlign w:val="center"/>
            <w:hideMark/>
          </w:tcPr>
          <w:p w14:paraId="3296BDDA" w14:textId="2BC5AFB5" w:rsidR="003A4C14" w:rsidRPr="000A33D2" w:rsidRDefault="003A4C14" w:rsidP="000159F7">
            <w:pPr>
              <w:pStyle w:val="TableText0"/>
              <w:keepNext w:val="0"/>
              <w:keepLines/>
            </w:pPr>
            <w:r w:rsidRPr="000A33D2">
              <w:rPr>
                <w:b/>
              </w:rPr>
              <w:t>Indication:</w:t>
            </w:r>
            <w:r w:rsidRPr="000A33D2">
              <w:t xml:space="preserve"> </w:t>
            </w:r>
            <w:r w:rsidR="000E35AA" w:rsidRPr="000A33D2">
              <w:t>Primary advanced or first recurrent endometrial cancer</w:t>
            </w:r>
          </w:p>
        </w:tc>
      </w:tr>
      <w:tr w:rsidR="003A4C14" w:rsidRPr="000A33D2" w14:paraId="7A6417F7" w14:textId="77777777" w:rsidTr="00FB3F99">
        <w:trPr>
          <w:trHeight w:val="20"/>
        </w:trPr>
        <w:tc>
          <w:tcPr>
            <w:tcW w:w="5000" w:type="pct"/>
            <w:shd w:val="clear" w:color="auto" w:fill="D9D9D9" w:themeFill="background1" w:themeFillShade="D9"/>
            <w:vAlign w:val="center"/>
            <w:hideMark/>
          </w:tcPr>
          <w:p w14:paraId="655B4B49" w14:textId="10EFC6D6" w:rsidR="003A4C14" w:rsidRPr="000A33D2" w:rsidRDefault="003A4C14" w:rsidP="000159F7">
            <w:pPr>
              <w:pStyle w:val="TableText0"/>
              <w:keepNext w:val="0"/>
              <w:keepLines/>
            </w:pPr>
            <w:r w:rsidRPr="000A33D2">
              <w:rPr>
                <w:b/>
              </w:rPr>
              <w:t>Treatment Phase:</w:t>
            </w:r>
            <w:r w:rsidR="000E35AA" w:rsidRPr="000A33D2">
              <w:rPr>
                <w:b/>
              </w:rPr>
              <w:t xml:space="preserve"> </w:t>
            </w:r>
            <w:r w:rsidR="000E35AA" w:rsidRPr="000A33D2">
              <w:rPr>
                <w:bCs w:val="0"/>
              </w:rPr>
              <w:t xml:space="preserve">Initial </w:t>
            </w:r>
          </w:p>
        </w:tc>
      </w:tr>
      <w:tr w:rsidR="003A4C14" w:rsidRPr="000A33D2" w14:paraId="3ABBD2EC" w14:textId="77777777" w:rsidTr="000159F7">
        <w:trPr>
          <w:trHeight w:val="20"/>
        </w:trPr>
        <w:tc>
          <w:tcPr>
            <w:tcW w:w="5000" w:type="pct"/>
            <w:vAlign w:val="center"/>
            <w:hideMark/>
          </w:tcPr>
          <w:p w14:paraId="18CB66EF" w14:textId="77777777" w:rsidR="000E35AA" w:rsidRPr="000A33D2" w:rsidRDefault="003A4C14" w:rsidP="000159F7">
            <w:pPr>
              <w:pStyle w:val="TableText0"/>
              <w:keepNext w:val="0"/>
              <w:keepLines/>
            </w:pPr>
            <w:r w:rsidRPr="000A33D2">
              <w:rPr>
                <w:b/>
              </w:rPr>
              <w:t>Clinical criteria:</w:t>
            </w:r>
            <w:r w:rsidR="000E35AA" w:rsidRPr="000A33D2">
              <w:rPr>
                <w:b/>
              </w:rPr>
              <w:t xml:space="preserve"> </w:t>
            </w:r>
            <w:r w:rsidR="000E35AA" w:rsidRPr="000A33D2">
              <w:t>The condition must be unsuitable for (i) curative surgical resection, and/or (ii) curative radiotherapy,</w:t>
            </w:r>
          </w:p>
          <w:p w14:paraId="4E38B0DF" w14:textId="77777777" w:rsidR="000E35AA" w:rsidRPr="000A33D2" w:rsidRDefault="000E35AA" w:rsidP="000159F7">
            <w:pPr>
              <w:pStyle w:val="TableText0"/>
              <w:keepNext w:val="0"/>
              <w:keepLines/>
            </w:pPr>
            <w:r w:rsidRPr="000A33D2">
              <w:t>AND</w:t>
            </w:r>
          </w:p>
          <w:p w14:paraId="6FE630E0" w14:textId="77777777" w:rsidR="000E35AA" w:rsidRPr="000A33D2" w:rsidRDefault="000E35AA" w:rsidP="000159F7">
            <w:pPr>
              <w:pStyle w:val="TableText0"/>
              <w:keepNext w:val="0"/>
              <w:keepLines/>
            </w:pPr>
            <w:r w:rsidRPr="000A33D2">
              <w:t>The condition must be, at treatment initiation with this drug, either: (i) untreated with systemic therapy, or (ii) treated with neoadjuvant/adjuvant systemic therapy, but the cancer has recurred or progressed after more than 6 months from the last dose of systemic therapy,</w:t>
            </w:r>
          </w:p>
          <w:p w14:paraId="6CEE07B8" w14:textId="77777777" w:rsidR="000E35AA" w:rsidRPr="000A33D2" w:rsidRDefault="000E35AA" w:rsidP="000159F7">
            <w:pPr>
              <w:pStyle w:val="TableText0"/>
              <w:keepNext w:val="0"/>
              <w:keepLines/>
            </w:pPr>
            <w:r w:rsidRPr="000A33D2">
              <w:t>AND</w:t>
            </w:r>
          </w:p>
          <w:p w14:paraId="02AB11E9" w14:textId="77777777" w:rsidR="000E35AA" w:rsidRPr="000A33D2" w:rsidRDefault="000E35AA" w:rsidP="000159F7">
            <w:pPr>
              <w:pStyle w:val="TableText0"/>
              <w:keepNext w:val="0"/>
              <w:keepLines/>
            </w:pPr>
            <w:r w:rsidRPr="000A33D2">
              <w:t>Patient must not have received prior treatment with a programmed cell death-1 (PD-1) or a programmed cell death ligand-1 (PD-L1) inhibitor for this condition,</w:t>
            </w:r>
          </w:p>
          <w:p w14:paraId="77DAD90E" w14:textId="77777777" w:rsidR="000E35AA" w:rsidRPr="000A33D2" w:rsidRDefault="000E35AA" w:rsidP="000159F7">
            <w:pPr>
              <w:pStyle w:val="TableText0"/>
              <w:keepNext w:val="0"/>
              <w:keepLines/>
            </w:pPr>
            <w:r w:rsidRPr="000A33D2">
              <w:t>AND</w:t>
            </w:r>
          </w:p>
          <w:p w14:paraId="21C5DDE2" w14:textId="77777777" w:rsidR="000E35AA" w:rsidRPr="000A33D2" w:rsidRDefault="000E35AA" w:rsidP="000159F7">
            <w:pPr>
              <w:pStyle w:val="TableText0"/>
              <w:keepNext w:val="0"/>
              <w:keepLines/>
            </w:pPr>
            <w:r w:rsidRPr="000A33D2">
              <w:t>Patient must have an ECOG performance status of 0 or 1,</w:t>
            </w:r>
          </w:p>
          <w:p w14:paraId="3EDDF1F5" w14:textId="77777777" w:rsidR="000E35AA" w:rsidRPr="000A33D2" w:rsidRDefault="000E35AA" w:rsidP="000159F7">
            <w:pPr>
              <w:pStyle w:val="TableText0"/>
              <w:keepNext w:val="0"/>
              <w:keepLines/>
            </w:pPr>
            <w:r w:rsidRPr="000A33D2">
              <w:t>AND</w:t>
            </w:r>
          </w:p>
          <w:p w14:paraId="63980916" w14:textId="77777777" w:rsidR="000E35AA" w:rsidRPr="000A33D2" w:rsidRDefault="000E35AA" w:rsidP="000159F7">
            <w:pPr>
              <w:pStyle w:val="TableText0"/>
              <w:keepNext w:val="0"/>
              <w:keepLines/>
            </w:pPr>
            <w:r w:rsidRPr="000A33D2">
              <w:t>The treatment must be in combination with platinum-containing chemotherapy, unless contraindicated or not tolerated,</w:t>
            </w:r>
          </w:p>
          <w:p w14:paraId="5AA17CF6" w14:textId="77777777" w:rsidR="000E35AA" w:rsidRPr="000A33D2" w:rsidRDefault="000E35AA" w:rsidP="000159F7">
            <w:pPr>
              <w:pStyle w:val="TableText0"/>
              <w:keepNext w:val="0"/>
              <w:keepLines/>
            </w:pPr>
            <w:r w:rsidRPr="000A33D2">
              <w:t>AND</w:t>
            </w:r>
          </w:p>
          <w:p w14:paraId="5D485398" w14:textId="0043DFC2" w:rsidR="003A4C14" w:rsidRPr="000A33D2" w:rsidRDefault="000E35AA" w:rsidP="000159F7">
            <w:pPr>
              <w:pStyle w:val="TableText0"/>
              <w:keepNext w:val="0"/>
              <w:keepLines/>
            </w:pPr>
            <w:r w:rsidRPr="000A33D2">
              <w:t>Patient must have deficient mismatch repair (dMMR) endometrial cancer, as determined by immunohistochemistry test.</w:t>
            </w:r>
          </w:p>
        </w:tc>
      </w:tr>
      <w:tr w:rsidR="003A4C14" w:rsidRPr="000A33D2" w14:paraId="292480CA" w14:textId="77777777" w:rsidTr="000159F7">
        <w:trPr>
          <w:trHeight w:val="20"/>
        </w:trPr>
        <w:tc>
          <w:tcPr>
            <w:tcW w:w="5000" w:type="pct"/>
            <w:vAlign w:val="center"/>
            <w:hideMark/>
          </w:tcPr>
          <w:p w14:paraId="0B07B988" w14:textId="77777777" w:rsidR="000E35AA" w:rsidRPr="000A33D2" w:rsidRDefault="000E35AA" w:rsidP="000159F7">
            <w:pPr>
              <w:pStyle w:val="TableText0"/>
              <w:keepNext w:val="0"/>
              <w:keepLines/>
              <w:rPr>
                <w:bCs w:val="0"/>
              </w:rPr>
            </w:pPr>
            <w:r w:rsidRPr="000A33D2">
              <w:rPr>
                <w:b/>
              </w:rPr>
              <w:t xml:space="preserve">Administrative Advice: </w:t>
            </w:r>
            <w:r w:rsidRPr="000A33D2">
              <w:rPr>
                <w:bCs w:val="0"/>
              </w:rPr>
              <w:t>In the first few months after start of immunotherapy, some patients can have a transient tumour flare with subsequent disease response. When progression is suspected, this should be confirmed through a confirmatory scan, taken at least 4 weeks later.</w:t>
            </w:r>
          </w:p>
          <w:p w14:paraId="424BFAB9" w14:textId="77777777" w:rsidR="000E35AA" w:rsidRPr="000A33D2" w:rsidRDefault="000E35AA" w:rsidP="000159F7">
            <w:pPr>
              <w:pStyle w:val="TableText0"/>
              <w:keepNext w:val="0"/>
              <w:keepLines/>
              <w:rPr>
                <w:bCs w:val="0"/>
              </w:rPr>
            </w:pPr>
            <w:r w:rsidRPr="000A33D2">
              <w:rPr>
                <w:bCs w:val="0"/>
              </w:rPr>
              <w:t>No increase in the maximum number of repeats may be authorised.</w:t>
            </w:r>
          </w:p>
          <w:p w14:paraId="78E5F63D" w14:textId="296FD3B0" w:rsidR="003A4C14" w:rsidRPr="000A33D2" w:rsidRDefault="000E35AA" w:rsidP="000159F7">
            <w:pPr>
              <w:pStyle w:val="TableText0"/>
              <w:keepNext w:val="0"/>
              <w:keepLines/>
            </w:pPr>
            <w:r w:rsidRPr="000A33D2">
              <w:rPr>
                <w:bCs w:val="0"/>
              </w:rPr>
              <w:t>Special Pricing Arrangements apply.</w:t>
            </w:r>
          </w:p>
        </w:tc>
      </w:tr>
      <w:tr w:rsidR="000159F7" w:rsidRPr="000A33D2" w14:paraId="0B0A0C97" w14:textId="77777777" w:rsidTr="00FB3F99">
        <w:trPr>
          <w:trHeight w:val="20"/>
        </w:trPr>
        <w:tc>
          <w:tcPr>
            <w:tcW w:w="5000" w:type="pct"/>
            <w:shd w:val="clear" w:color="auto" w:fill="D9D9D9" w:themeFill="background1" w:themeFillShade="D9"/>
            <w:vAlign w:val="center"/>
          </w:tcPr>
          <w:p w14:paraId="7B9E82BA" w14:textId="1420968E" w:rsidR="000159F7" w:rsidRPr="000A33D2" w:rsidRDefault="000159F7" w:rsidP="000159F7">
            <w:pPr>
              <w:pStyle w:val="TableText0"/>
              <w:keepNext w:val="0"/>
              <w:keepLines/>
              <w:rPr>
                <w:b/>
              </w:rPr>
            </w:pPr>
            <w:r w:rsidRPr="000A33D2">
              <w:rPr>
                <w:b/>
              </w:rPr>
              <w:t>Treatment Phase:</w:t>
            </w:r>
            <w:r w:rsidRPr="000A33D2">
              <w:t xml:space="preserve"> Continuing</w:t>
            </w:r>
          </w:p>
        </w:tc>
      </w:tr>
      <w:tr w:rsidR="000159F7" w:rsidRPr="000A33D2" w14:paraId="2183B2AC" w14:textId="77777777" w:rsidTr="000159F7">
        <w:trPr>
          <w:trHeight w:val="20"/>
        </w:trPr>
        <w:tc>
          <w:tcPr>
            <w:tcW w:w="5000" w:type="pct"/>
            <w:vAlign w:val="center"/>
          </w:tcPr>
          <w:p w14:paraId="413C74F1" w14:textId="77777777" w:rsidR="000159F7" w:rsidRPr="000A33D2" w:rsidRDefault="000159F7" w:rsidP="000159F7">
            <w:pPr>
              <w:pStyle w:val="TableText0"/>
              <w:keepNext w:val="0"/>
              <w:keepLines/>
            </w:pPr>
            <w:r w:rsidRPr="000A33D2">
              <w:rPr>
                <w:b/>
              </w:rPr>
              <w:t xml:space="preserve">Clinical criteria: </w:t>
            </w:r>
            <w:r w:rsidRPr="000A33D2">
              <w:t xml:space="preserve">Patient must have previously received PBS-subsidised treatment with this drug for this condition, </w:t>
            </w:r>
          </w:p>
          <w:p w14:paraId="475F1399" w14:textId="77777777" w:rsidR="000159F7" w:rsidRPr="000A33D2" w:rsidRDefault="000159F7" w:rsidP="000159F7">
            <w:pPr>
              <w:pStyle w:val="TableText0"/>
              <w:keepNext w:val="0"/>
              <w:keepLines/>
            </w:pPr>
            <w:r w:rsidRPr="000A33D2">
              <w:t>AND</w:t>
            </w:r>
          </w:p>
          <w:p w14:paraId="257FAA74" w14:textId="77777777" w:rsidR="000159F7" w:rsidRPr="000A33D2" w:rsidRDefault="000159F7" w:rsidP="000159F7">
            <w:pPr>
              <w:pStyle w:val="TableText0"/>
              <w:keepNext w:val="0"/>
              <w:keepLines/>
            </w:pPr>
            <w:r w:rsidRPr="000A33D2">
              <w:lastRenderedPageBreak/>
              <w:t>Patient must not have developed disease progression while receiving PBS-subsidised treatment with this drug for this condition,</w:t>
            </w:r>
          </w:p>
          <w:p w14:paraId="2DBADDC3" w14:textId="77777777" w:rsidR="000159F7" w:rsidRPr="000A33D2" w:rsidRDefault="000159F7" w:rsidP="000159F7">
            <w:pPr>
              <w:pStyle w:val="TableText0"/>
              <w:keepNext w:val="0"/>
              <w:keepLines/>
            </w:pPr>
            <w:r w:rsidRPr="000A33D2">
              <w:t>AND</w:t>
            </w:r>
          </w:p>
          <w:p w14:paraId="3E1E0A73" w14:textId="74DA4F76" w:rsidR="000159F7" w:rsidRPr="000A33D2" w:rsidRDefault="000159F7" w:rsidP="000159F7">
            <w:pPr>
              <w:pStyle w:val="TableText0"/>
              <w:keepNext w:val="0"/>
              <w:keepLines/>
              <w:rPr>
                <w:b/>
              </w:rPr>
            </w:pPr>
            <w:r w:rsidRPr="000A33D2">
              <w:t>The treatment must not exceed a maximum total of 36 months in a lifetime for this condition.</w:t>
            </w:r>
          </w:p>
        </w:tc>
      </w:tr>
      <w:tr w:rsidR="000159F7" w:rsidRPr="000A33D2" w14:paraId="0B8A1126" w14:textId="77777777" w:rsidTr="000159F7">
        <w:trPr>
          <w:trHeight w:val="20"/>
        </w:trPr>
        <w:tc>
          <w:tcPr>
            <w:tcW w:w="5000" w:type="pct"/>
            <w:vAlign w:val="center"/>
          </w:tcPr>
          <w:p w14:paraId="60F29263" w14:textId="7CBF6D31" w:rsidR="000159F7" w:rsidRPr="000A33D2" w:rsidRDefault="000159F7" w:rsidP="000159F7">
            <w:pPr>
              <w:pStyle w:val="TableText0"/>
              <w:keepNext w:val="0"/>
              <w:keepLines/>
              <w:rPr>
                <w:bCs w:val="0"/>
              </w:rPr>
            </w:pPr>
            <w:r w:rsidRPr="000A33D2">
              <w:rPr>
                <w:b/>
              </w:rPr>
              <w:lastRenderedPageBreak/>
              <w:t xml:space="preserve">Administrative Advice: </w:t>
            </w:r>
            <w:r w:rsidRPr="000A33D2">
              <w:rPr>
                <w:bCs w:val="0"/>
              </w:rPr>
              <w:t>No increase in the maximum number of repeats may be authorised.</w:t>
            </w:r>
          </w:p>
          <w:p w14:paraId="546A429B" w14:textId="54E6C4E4" w:rsidR="000159F7" w:rsidRPr="000A33D2" w:rsidRDefault="000159F7" w:rsidP="000159F7">
            <w:pPr>
              <w:pStyle w:val="TableText0"/>
              <w:keepNext w:val="0"/>
              <w:keepLines/>
              <w:rPr>
                <w:b/>
              </w:rPr>
            </w:pPr>
            <w:r w:rsidRPr="000A33D2">
              <w:rPr>
                <w:bCs w:val="0"/>
              </w:rPr>
              <w:t>Special Pricing Arrangements apply.</w:t>
            </w:r>
          </w:p>
        </w:tc>
      </w:tr>
    </w:tbl>
    <w:p w14:paraId="54D04247" w14:textId="4D97C272" w:rsidR="00A44767" w:rsidRPr="000A33D2" w:rsidRDefault="00A44767" w:rsidP="008F2EF9">
      <w:pPr>
        <w:pStyle w:val="4-SubsectionHeading"/>
        <w:keepLines/>
        <w:spacing w:after="0"/>
        <w:rPr>
          <w:sz w:val="24"/>
          <w:szCs w:val="24"/>
          <w:lang w:eastAsia="en-US"/>
        </w:rPr>
      </w:pPr>
      <w:bookmarkStart w:id="10" w:name="_Toc145426892"/>
      <w:bookmarkEnd w:id="9"/>
      <w:r w:rsidRPr="000A33D2">
        <w:rPr>
          <w:sz w:val="24"/>
          <w:szCs w:val="24"/>
          <w:lang w:eastAsia="en-US"/>
        </w:rPr>
        <w:t>Requested restriction: grandfathered patients</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A44767" w:rsidRPr="000A33D2" w14:paraId="62868B89" w14:textId="77777777" w:rsidTr="00EB41AA">
        <w:trPr>
          <w:trHeight w:val="20"/>
        </w:trPr>
        <w:tc>
          <w:tcPr>
            <w:tcW w:w="5000" w:type="pct"/>
          </w:tcPr>
          <w:p w14:paraId="0A651295" w14:textId="77777777" w:rsidR="00A44767" w:rsidRPr="000A33D2" w:rsidRDefault="00A44767" w:rsidP="00EB41AA">
            <w:pPr>
              <w:pStyle w:val="TableText0"/>
              <w:keepNext w:val="0"/>
              <w:keepLines/>
            </w:pPr>
            <w:r w:rsidRPr="000A33D2">
              <w:rPr>
                <w:b/>
              </w:rPr>
              <w:t xml:space="preserve">Category / Program: </w:t>
            </w:r>
            <w:r w:rsidRPr="000A33D2">
              <w:t>Section 100 – Efficient Funding of Chemotherapy</w:t>
            </w:r>
          </w:p>
        </w:tc>
      </w:tr>
      <w:tr w:rsidR="00A44767" w:rsidRPr="000A33D2" w14:paraId="5059CD6E" w14:textId="77777777" w:rsidTr="00EB41AA">
        <w:trPr>
          <w:trHeight w:val="20"/>
        </w:trPr>
        <w:tc>
          <w:tcPr>
            <w:tcW w:w="5000" w:type="pct"/>
          </w:tcPr>
          <w:p w14:paraId="5EA3E374" w14:textId="77777777" w:rsidR="00A44767" w:rsidRPr="000A33D2" w:rsidRDefault="00A44767" w:rsidP="00EB41AA">
            <w:pPr>
              <w:pStyle w:val="TableText0"/>
              <w:keepNext w:val="0"/>
              <w:keepLines/>
              <w:rPr>
                <w:b/>
              </w:rPr>
            </w:pPr>
            <w:r w:rsidRPr="000A33D2">
              <w:rPr>
                <w:b/>
              </w:rPr>
              <w:t xml:space="preserve">Prescriber type: </w:t>
            </w:r>
            <w:r w:rsidRPr="000A33D2">
              <w:fldChar w:fldCharType="begin" w:fldLock="1">
                <w:ffData>
                  <w:name w:val=""/>
                  <w:enabled/>
                  <w:calcOnExit w:val="0"/>
                  <w:checkBox>
                    <w:sizeAuto/>
                    <w:default w:val="1"/>
                  </w:checkBox>
                </w:ffData>
              </w:fldChar>
            </w:r>
            <w:r w:rsidRPr="000A33D2">
              <w:instrText xml:space="preserve"> FORMCHECKBOX </w:instrText>
            </w:r>
            <w:r w:rsidR="00D03BA6">
              <w:fldChar w:fldCharType="separate"/>
            </w:r>
            <w:r w:rsidRPr="000A33D2">
              <w:fldChar w:fldCharType="end"/>
            </w:r>
            <w:r w:rsidRPr="000A33D2">
              <w:t xml:space="preserve">Medical Practitioners </w:t>
            </w:r>
          </w:p>
        </w:tc>
      </w:tr>
      <w:tr w:rsidR="00A44767" w:rsidRPr="000A33D2" w14:paraId="24C2665B" w14:textId="77777777" w:rsidTr="00EB41AA">
        <w:trPr>
          <w:trHeight w:val="20"/>
        </w:trPr>
        <w:tc>
          <w:tcPr>
            <w:tcW w:w="5000" w:type="pct"/>
          </w:tcPr>
          <w:p w14:paraId="202ACB35" w14:textId="77777777" w:rsidR="00A44767" w:rsidRPr="000A33D2" w:rsidRDefault="00A44767" w:rsidP="00EB41AA">
            <w:pPr>
              <w:pStyle w:val="TableText0"/>
              <w:keepNext w:val="0"/>
              <w:keepLines/>
              <w:rPr>
                <w:rFonts w:eastAsia="Times New Roman"/>
              </w:rPr>
            </w:pPr>
            <w:r w:rsidRPr="000A33D2">
              <w:rPr>
                <w:b/>
              </w:rPr>
              <w:t xml:space="preserve">Restriction type: </w:t>
            </w:r>
            <w:r w:rsidRPr="000A33D2">
              <w:rPr>
                <w:rFonts w:eastAsia="Times New Roman"/>
              </w:rPr>
              <w:fldChar w:fldCharType="begin" w:fldLock="1">
                <w:ffData>
                  <w:name w:val=""/>
                  <w:enabled/>
                  <w:calcOnExit w:val="0"/>
                  <w:checkBox>
                    <w:sizeAuto/>
                    <w:default w:val="1"/>
                  </w:checkBox>
                </w:ffData>
              </w:fldChar>
            </w:r>
            <w:r w:rsidRPr="000A33D2">
              <w:rPr>
                <w:rFonts w:eastAsia="Times New Roman"/>
              </w:rPr>
              <w:instrText xml:space="preserve"> FORMCHECKBOX </w:instrText>
            </w:r>
            <w:r w:rsidR="00D03BA6">
              <w:rPr>
                <w:rFonts w:eastAsia="Times New Roman"/>
              </w:rPr>
            </w:r>
            <w:r w:rsidR="00D03BA6">
              <w:rPr>
                <w:rFonts w:eastAsia="Times New Roman"/>
              </w:rPr>
              <w:fldChar w:fldCharType="separate"/>
            </w:r>
            <w:r w:rsidRPr="000A33D2">
              <w:rPr>
                <w:rFonts w:eastAsia="Times New Roman"/>
              </w:rPr>
              <w:fldChar w:fldCharType="end"/>
            </w:r>
            <w:r w:rsidRPr="000A33D2">
              <w:rPr>
                <w:rFonts w:eastAsia="Times New Roman"/>
              </w:rPr>
              <w:t xml:space="preserve">Authority Required (STREAMLINED) </w:t>
            </w:r>
          </w:p>
        </w:tc>
      </w:tr>
      <w:tr w:rsidR="00A44767" w:rsidRPr="000A33D2" w14:paraId="593B63DF" w14:textId="77777777" w:rsidTr="00EB41AA">
        <w:trPr>
          <w:trHeight w:val="20"/>
        </w:trPr>
        <w:tc>
          <w:tcPr>
            <w:tcW w:w="5000" w:type="pct"/>
            <w:vAlign w:val="center"/>
          </w:tcPr>
          <w:p w14:paraId="50DD6A14" w14:textId="77777777" w:rsidR="00A44767" w:rsidRPr="000A33D2" w:rsidRDefault="00A44767" w:rsidP="00EB41AA">
            <w:pPr>
              <w:pStyle w:val="TableText0"/>
              <w:keepNext w:val="0"/>
              <w:keepLines/>
              <w:rPr>
                <w:b/>
              </w:rPr>
            </w:pPr>
            <w:r w:rsidRPr="000A33D2">
              <w:rPr>
                <w:b/>
              </w:rPr>
              <w:t xml:space="preserve">Severity: </w:t>
            </w:r>
            <w:r w:rsidRPr="000A33D2">
              <w:rPr>
                <w:bCs w:val="0"/>
              </w:rPr>
              <w:t>Primary advanced or first recurrent</w:t>
            </w:r>
          </w:p>
        </w:tc>
      </w:tr>
      <w:tr w:rsidR="00A44767" w:rsidRPr="000A33D2" w14:paraId="1E056948" w14:textId="77777777" w:rsidTr="00EB41AA">
        <w:trPr>
          <w:trHeight w:val="20"/>
        </w:trPr>
        <w:tc>
          <w:tcPr>
            <w:tcW w:w="5000" w:type="pct"/>
            <w:vAlign w:val="center"/>
          </w:tcPr>
          <w:p w14:paraId="56733D59" w14:textId="77777777" w:rsidR="00A44767" w:rsidRPr="000A33D2" w:rsidRDefault="00A44767" w:rsidP="00EB41AA">
            <w:pPr>
              <w:pStyle w:val="TableText0"/>
              <w:keepNext w:val="0"/>
              <w:keepLines/>
              <w:rPr>
                <w:b/>
              </w:rPr>
            </w:pPr>
            <w:r w:rsidRPr="000A33D2">
              <w:rPr>
                <w:b/>
              </w:rPr>
              <w:t xml:space="preserve">Condition: </w:t>
            </w:r>
            <w:r w:rsidRPr="000A33D2">
              <w:rPr>
                <w:bCs w:val="0"/>
              </w:rPr>
              <w:t>Endometrial cancer</w:t>
            </w:r>
            <w:r w:rsidRPr="000A33D2">
              <w:rPr>
                <w:color w:val="0066FF"/>
              </w:rPr>
              <w:t xml:space="preserve"> </w:t>
            </w:r>
          </w:p>
        </w:tc>
      </w:tr>
      <w:tr w:rsidR="00A44767" w:rsidRPr="000A33D2" w14:paraId="5BD3FAE9" w14:textId="77777777" w:rsidTr="00EB41AA">
        <w:trPr>
          <w:trHeight w:val="20"/>
        </w:trPr>
        <w:tc>
          <w:tcPr>
            <w:tcW w:w="5000" w:type="pct"/>
            <w:vAlign w:val="center"/>
            <w:hideMark/>
          </w:tcPr>
          <w:p w14:paraId="50A4C2DA" w14:textId="77777777" w:rsidR="00A44767" w:rsidRPr="000A33D2" w:rsidRDefault="00A44767" w:rsidP="00EB41AA">
            <w:pPr>
              <w:pStyle w:val="TableText0"/>
              <w:keepNext w:val="0"/>
              <w:keepLines/>
            </w:pPr>
            <w:r w:rsidRPr="000A33D2">
              <w:rPr>
                <w:b/>
              </w:rPr>
              <w:t>Indication:</w:t>
            </w:r>
            <w:r w:rsidRPr="000A33D2">
              <w:t xml:space="preserve"> Primary advanced or first recurrent endometrial cancer</w:t>
            </w:r>
          </w:p>
        </w:tc>
      </w:tr>
      <w:tr w:rsidR="00A44767" w:rsidRPr="000A33D2" w14:paraId="4C49FEE7" w14:textId="77777777" w:rsidTr="00EB41AA">
        <w:trPr>
          <w:trHeight w:val="20"/>
        </w:trPr>
        <w:tc>
          <w:tcPr>
            <w:tcW w:w="5000" w:type="pct"/>
            <w:shd w:val="clear" w:color="auto" w:fill="D9D9D9" w:themeFill="background1" w:themeFillShade="D9"/>
            <w:vAlign w:val="center"/>
          </w:tcPr>
          <w:p w14:paraId="71B87413" w14:textId="77777777" w:rsidR="00A44767" w:rsidRPr="000A33D2" w:rsidRDefault="00A44767" w:rsidP="00EB41AA">
            <w:pPr>
              <w:pStyle w:val="TableText0"/>
              <w:keepNext w:val="0"/>
              <w:keepLines/>
              <w:rPr>
                <w:b/>
              </w:rPr>
            </w:pPr>
            <w:r w:rsidRPr="000A33D2">
              <w:rPr>
                <w:b/>
              </w:rPr>
              <w:t>Treatment Phase:</w:t>
            </w:r>
            <w:r w:rsidRPr="000A33D2">
              <w:t xml:space="preserve"> Transitioning from non-PBS to PBS subsidised treatment – ‘Grandfather’ treatment</w:t>
            </w:r>
          </w:p>
        </w:tc>
      </w:tr>
      <w:tr w:rsidR="00A44767" w:rsidRPr="000A33D2" w14:paraId="2B9CE013" w14:textId="77777777" w:rsidTr="00EB41AA">
        <w:trPr>
          <w:trHeight w:val="20"/>
        </w:trPr>
        <w:tc>
          <w:tcPr>
            <w:tcW w:w="5000" w:type="pct"/>
            <w:vAlign w:val="center"/>
          </w:tcPr>
          <w:p w14:paraId="4DC4C373" w14:textId="77777777" w:rsidR="00A44767" w:rsidRPr="000A33D2" w:rsidRDefault="00A44767" w:rsidP="00EB41AA">
            <w:pPr>
              <w:pStyle w:val="TableText0"/>
              <w:keepNext w:val="0"/>
              <w:keepLines/>
            </w:pPr>
            <w:r w:rsidRPr="000A33D2">
              <w:rPr>
                <w:b/>
              </w:rPr>
              <w:t xml:space="preserve">Clinical criteria: </w:t>
            </w:r>
            <w:r w:rsidRPr="000A33D2">
              <w:t xml:space="preserve">Patient must have received non-PBS subsidised treatment with this drug for this condition prior to [PBS listing date], </w:t>
            </w:r>
          </w:p>
          <w:p w14:paraId="108B0353" w14:textId="77777777" w:rsidR="00A44767" w:rsidRPr="000A33D2" w:rsidRDefault="00A44767" w:rsidP="00EB41AA">
            <w:pPr>
              <w:pStyle w:val="TableText0"/>
              <w:keepNext w:val="0"/>
              <w:keepLines/>
            </w:pPr>
            <w:r w:rsidRPr="000A33D2">
              <w:t>AND</w:t>
            </w:r>
          </w:p>
          <w:p w14:paraId="400B33E3" w14:textId="77777777" w:rsidR="00A44767" w:rsidRPr="000A33D2" w:rsidRDefault="00A44767" w:rsidP="00EB41AA">
            <w:pPr>
              <w:pStyle w:val="TableText0"/>
              <w:keepNext w:val="0"/>
              <w:keepLines/>
            </w:pPr>
            <w:r w:rsidRPr="000A33D2">
              <w:t xml:space="preserve">The condition must be, prior to initiation of non-PBS-subsidised treatment with this drug, unsuitable for (i) curative surgical resection, and/or (ii) curative radiotherapy, </w:t>
            </w:r>
          </w:p>
          <w:p w14:paraId="08D24FCE" w14:textId="77777777" w:rsidR="00A44767" w:rsidRPr="000A33D2" w:rsidRDefault="00A44767" w:rsidP="00EB41AA">
            <w:pPr>
              <w:pStyle w:val="TableText0"/>
              <w:keepNext w:val="0"/>
              <w:keepLines/>
            </w:pPr>
            <w:r w:rsidRPr="000A33D2">
              <w:t>AND</w:t>
            </w:r>
          </w:p>
          <w:p w14:paraId="074C3821" w14:textId="77777777" w:rsidR="00A44767" w:rsidRPr="000A33D2" w:rsidRDefault="00A44767" w:rsidP="00EB41AA">
            <w:pPr>
              <w:pStyle w:val="TableText0"/>
              <w:keepNext w:val="0"/>
              <w:keepLines/>
            </w:pPr>
            <w:r w:rsidRPr="000A33D2">
              <w:t>The condition must be, prior to initiation of non-PBS-subsidised treatment with this drug, either: (i) untreated with systemic therapy, or (ii) treated with neoadjuvant/adjuvant systemic therapy, but the cancer has recurred or progressed after more than 6 months from the last dose of systemic therapy,</w:t>
            </w:r>
          </w:p>
          <w:p w14:paraId="1211F680" w14:textId="77777777" w:rsidR="00A44767" w:rsidRPr="000A33D2" w:rsidRDefault="00A44767" w:rsidP="00EB41AA">
            <w:pPr>
              <w:pStyle w:val="TableText0"/>
              <w:keepNext w:val="0"/>
              <w:keepLines/>
            </w:pPr>
            <w:r w:rsidRPr="000A33D2">
              <w:t>AND</w:t>
            </w:r>
          </w:p>
          <w:p w14:paraId="562A3BEE" w14:textId="77777777" w:rsidR="00A44767" w:rsidRPr="000A33D2" w:rsidRDefault="00A44767" w:rsidP="00EB41AA">
            <w:pPr>
              <w:pStyle w:val="TableText0"/>
              <w:keepNext w:val="0"/>
              <w:keepLines/>
            </w:pPr>
            <w:r w:rsidRPr="000A33D2">
              <w:t>Patient must have an ECOG performance status of 0 or 1 prior to initiation of non-PBS-subsidised treatment with this drug for this condition,</w:t>
            </w:r>
          </w:p>
          <w:p w14:paraId="2D49F27A" w14:textId="77777777" w:rsidR="00A44767" w:rsidRPr="000A33D2" w:rsidRDefault="00A44767" w:rsidP="00EB41AA">
            <w:pPr>
              <w:pStyle w:val="TableText0"/>
              <w:keepNext w:val="0"/>
              <w:keepLines/>
            </w:pPr>
            <w:r w:rsidRPr="000A33D2">
              <w:t>AND</w:t>
            </w:r>
          </w:p>
          <w:p w14:paraId="08E80412" w14:textId="77777777" w:rsidR="00A44767" w:rsidRPr="000A33D2" w:rsidRDefault="00A44767" w:rsidP="00EB41AA">
            <w:pPr>
              <w:pStyle w:val="TableText0"/>
              <w:keepNext w:val="0"/>
              <w:keepLines/>
            </w:pPr>
            <w:r w:rsidRPr="000A33D2">
              <w:t>The treatment must be, at initiation of non-PBS-subsidised treatment with this drug, used in combination with platinum-containing chemotherapy for the first six cycles, unless contraindicated or not tolerated,</w:t>
            </w:r>
          </w:p>
          <w:p w14:paraId="47F0E089" w14:textId="77777777" w:rsidR="00A44767" w:rsidRPr="000A33D2" w:rsidRDefault="00A44767" w:rsidP="00EB41AA">
            <w:pPr>
              <w:pStyle w:val="TableText0"/>
              <w:keepNext w:val="0"/>
              <w:keepLines/>
            </w:pPr>
            <w:r w:rsidRPr="000A33D2">
              <w:t>AND</w:t>
            </w:r>
          </w:p>
          <w:p w14:paraId="7EE2B1DF" w14:textId="77777777" w:rsidR="00A44767" w:rsidRPr="000A33D2" w:rsidRDefault="00A44767" w:rsidP="00EB41AA">
            <w:pPr>
              <w:pStyle w:val="TableText0"/>
              <w:keepNext w:val="0"/>
              <w:keepLines/>
            </w:pPr>
            <w:r w:rsidRPr="000A33D2">
              <w:t>Patient must have deficient mismatch repair (dMMR) endometrial cancer, as determined by immunohistochemistry test,</w:t>
            </w:r>
          </w:p>
          <w:p w14:paraId="59CEAA80" w14:textId="77777777" w:rsidR="00A44767" w:rsidRPr="000A33D2" w:rsidRDefault="00A44767" w:rsidP="00EB41AA">
            <w:pPr>
              <w:pStyle w:val="TableText0"/>
              <w:keepNext w:val="0"/>
              <w:keepLines/>
            </w:pPr>
            <w:r w:rsidRPr="000A33D2">
              <w:t>AND</w:t>
            </w:r>
          </w:p>
          <w:p w14:paraId="686FDF51" w14:textId="77777777" w:rsidR="00A44767" w:rsidRPr="000A33D2" w:rsidRDefault="00A44767" w:rsidP="00EB41AA">
            <w:pPr>
              <w:pStyle w:val="TableText0"/>
              <w:keepNext w:val="0"/>
              <w:keepLines/>
            </w:pPr>
            <w:r w:rsidRPr="000A33D2">
              <w:t>Patient must not have developed disease progression while receiving non-PBS-subsidised treatment with this drug for this condition,</w:t>
            </w:r>
          </w:p>
          <w:p w14:paraId="26D71911" w14:textId="77777777" w:rsidR="00A44767" w:rsidRPr="000A33D2" w:rsidRDefault="00A44767" w:rsidP="00EB41AA">
            <w:pPr>
              <w:pStyle w:val="TableText0"/>
              <w:keepNext w:val="0"/>
              <w:keepLines/>
            </w:pPr>
            <w:r w:rsidRPr="000A33D2">
              <w:t>AND</w:t>
            </w:r>
          </w:p>
          <w:p w14:paraId="24E97792" w14:textId="77777777" w:rsidR="00A44767" w:rsidRPr="000A33D2" w:rsidRDefault="00A44767" w:rsidP="00EB41AA">
            <w:pPr>
              <w:pStyle w:val="TableText0"/>
              <w:keepNext w:val="0"/>
              <w:keepLines/>
              <w:rPr>
                <w:b/>
              </w:rPr>
            </w:pPr>
            <w:r w:rsidRPr="000A33D2">
              <w:t>The treatment must not exceed a maximum total of 36 months in a lifetime for this condition.</w:t>
            </w:r>
          </w:p>
        </w:tc>
      </w:tr>
      <w:tr w:rsidR="00A44767" w:rsidRPr="000A33D2" w14:paraId="1E31C217" w14:textId="77777777" w:rsidTr="00EB41AA">
        <w:trPr>
          <w:trHeight w:val="43"/>
        </w:trPr>
        <w:tc>
          <w:tcPr>
            <w:tcW w:w="5000" w:type="pct"/>
            <w:vAlign w:val="center"/>
          </w:tcPr>
          <w:p w14:paraId="736D5959" w14:textId="265F1290" w:rsidR="00A44767" w:rsidRPr="000A33D2" w:rsidRDefault="00A44767" w:rsidP="00EB41AA">
            <w:pPr>
              <w:pStyle w:val="TableText0"/>
              <w:keepNext w:val="0"/>
              <w:keepLines/>
              <w:rPr>
                <w:bCs w:val="0"/>
              </w:rPr>
            </w:pPr>
            <w:r w:rsidRPr="000A33D2">
              <w:rPr>
                <w:b/>
              </w:rPr>
              <w:t xml:space="preserve">Administrative Advice: </w:t>
            </w:r>
            <w:r w:rsidRPr="000A33D2">
              <w:rPr>
                <w:bCs w:val="0"/>
              </w:rPr>
              <w:t>No increase in the maximum number of repeats may be authorised.</w:t>
            </w:r>
          </w:p>
          <w:p w14:paraId="4509A5FD" w14:textId="77777777" w:rsidR="00A44767" w:rsidRPr="000A33D2" w:rsidRDefault="00A44767" w:rsidP="00EB41AA">
            <w:pPr>
              <w:pStyle w:val="TableText0"/>
              <w:keepNext w:val="0"/>
              <w:keepLines/>
              <w:rPr>
                <w:b/>
              </w:rPr>
            </w:pPr>
            <w:r w:rsidRPr="000A33D2">
              <w:rPr>
                <w:bCs w:val="0"/>
              </w:rPr>
              <w:t>Special Pricing Arrangements apply</w:t>
            </w:r>
          </w:p>
        </w:tc>
      </w:tr>
    </w:tbl>
    <w:p w14:paraId="31E7BA90" w14:textId="1F220F9E" w:rsidR="0043640B" w:rsidRPr="008F2EF9" w:rsidRDefault="0043640B" w:rsidP="008F2EF9">
      <w:pPr>
        <w:pStyle w:val="3-BodyText"/>
        <w:spacing w:before="120"/>
      </w:pPr>
      <w:r w:rsidRPr="008F2EF9">
        <w:t>The submission proposed a special pricing arrangement (SPA) for DOS, with the proposed published and effective ex-manufacturer price (EMP) per 500</w:t>
      </w:r>
      <w:r w:rsidR="008F2EF9">
        <w:t> </w:t>
      </w:r>
      <w:r w:rsidRPr="008F2EF9">
        <w:t>mg vial as $</w:t>
      </w:r>
      <w:r w:rsidR="007C10F8" w:rsidRPr="00D03BA6">
        <w:rPr>
          <w:color w:val="000000"/>
          <w:w w:val="15"/>
          <w:shd w:val="solid" w:color="000000" w:fill="000000"/>
          <w:fitText w:val="-20" w:id="-1032576250"/>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50"/>
          <w14:textFill>
            <w14:solidFill>
              <w14:srgbClr w14:val="000000">
                <w14:alpha w14:val="100000"/>
              </w14:srgbClr>
            </w14:solidFill>
          </w14:textFill>
        </w:rPr>
        <w:t>|</w:t>
      </w:r>
      <w:r w:rsidRPr="00D6786B">
        <w:t xml:space="preserve"> </w:t>
      </w:r>
      <w:r w:rsidRPr="008F2EF9">
        <w:t>and $</w:t>
      </w:r>
      <w:r w:rsidR="007C10F8" w:rsidRPr="00D03BA6">
        <w:rPr>
          <w:color w:val="000000"/>
          <w:w w:val="15"/>
          <w:shd w:val="solid" w:color="000000" w:fill="000000"/>
          <w:fitText w:val="-20" w:id="-1032576249"/>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49"/>
          <w14:textFill>
            <w14:solidFill>
              <w14:srgbClr w14:val="000000">
                <w14:alpha w14:val="100000"/>
              </w14:srgbClr>
            </w14:solidFill>
          </w14:textFill>
        </w:rPr>
        <w:t>|</w:t>
      </w:r>
      <w:r w:rsidRPr="008F2EF9">
        <w:t xml:space="preserve"> respectively.</w:t>
      </w:r>
      <w:r w:rsidR="007758A4" w:rsidRPr="008F2EF9">
        <w:t xml:space="preserve"> This was reduced to $</w:t>
      </w:r>
      <w:r w:rsidR="007C10F8" w:rsidRPr="00D03BA6">
        <w:rPr>
          <w:color w:val="000000"/>
          <w:w w:val="15"/>
          <w:shd w:val="solid" w:color="000000" w:fill="000000"/>
          <w:fitText w:val="-20" w:id="-1032576248"/>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248"/>
          <w14:textFill>
            <w14:solidFill>
              <w14:srgbClr w14:val="000000">
                <w14:alpha w14:val="100000"/>
              </w14:srgbClr>
            </w14:solidFill>
          </w14:textFill>
        </w:rPr>
        <w:t>|</w:t>
      </w:r>
      <w:r w:rsidR="007758A4" w:rsidRPr="008F2EF9">
        <w:t xml:space="preserve"> per 500</w:t>
      </w:r>
      <w:r w:rsidR="008F2EF9">
        <w:t> </w:t>
      </w:r>
      <w:r w:rsidR="007758A4" w:rsidRPr="008F2EF9">
        <w:t>mg vial in the Pre-PBAC response</w:t>
      </w:r>
      <w:r w:rsidR="000A33D2" w:rsidRPr="008F2EF9">
        <w:t xml:space="preserve">. </w:t>
      </w:r>
    </w:p>
    <w:p w14:paraId="244A98E9" w14:textId="7E80BCAF" w:rsidR="00FA69AB" w:rsidRPr="008F2EF9" w:rsidRDefault="00385F47" w:rsidP="008F2EF9">
      <w:pPr>
        <w:pStyle w:val="3-BodyText"/>
      </w:pPr>
      <w:r w:rsidRPr="008F2EF9">
        <w:t>The requested restrictions for the all-comers</w:t>
      </w:r>
      <w:r w:rsidR="0043640B" w:rsidRPr="008F2EF9">
        <w:t xml:space="preserve"> population</w:t>
      </w:r>
      <w:r w:rsidRPr="008F2EF9">
        <w:t xml:space="preserve"> </w:t>
      </w:r>
      <w:r w:rsidR="0043640B" w:rsidRPr="008F2EF9">
        <w:t>w</w:t>
      </w:r>
      <w:r w:rsidR="006C2915" w:rsidRPr="008F2EF9">
        <w:t>ere</w:t>
      </w:r>
      <w:r w:rsidR="0043640B" w:rsidRPr="008F2EF9">
        <w:t xml:space="preserve"> </w:t>
      </w:r>
      <w:r w:rsidRPr="008F2EF9">
        <w:t>identical</w:t>
      </w:r>
      <w:r w:rsidR="0043640B" w:rsidRPr="008F2EF9">
        <w:t xml:space="preserve"> to those proposed for the dMMR population</w:t>
      </w:r>
      <w:r w:rsidRPr="008F2EF9">
        <w:t>, with the exception of the clinical criterion that the “patient must have deficient mismatch repair (dMMR) endometrial cancer, as determined by immunohistochemistry test”.</w:t>
      </w:r>
      <w:r w:rsidR="00A36E8A" w:rsidRPr="008F2EF9">
        <w:t xml:space="preserve"> </w:t>
      </w:r>
    </w:p>
    <w:p w14:paraId="58CDA4C8" w14:textId="09249B33" w:rsidR="006B69F7" w:rsidRPr="008F2EF9" w:rsidRDefault="006B69F7" w:rsidP="008F2EF9">
      <w:pPr>
        <w:pStyle w:val="3-BodyText"/>
      </w:pPr>
      <w:r w:rsidRPr="008F2EF9">
        <w:t xml:space="preserve">The submission requested a grandfathering listing for </w:t>
      </w:r>
      <w:r w:rsidR="008F2EF9">
        <w:t>&lt; 500</w:t>
      </w:r>
      <w:r w:rsidRPr="008F2EF9">
        <w:t xml:space="preserve"> patients who were anticipated to be treated via an access program. The </w:t>
      </w:r>
      <w:r w:rsidR="0043640B" w:rsidRPr="008F2EF9">
        <w:t xml:space="preserve">sponsor stated </w:t>
      </w:r>
      <w:r w:rsidRPr="008F2EF9">
        <w:t xml:space="preserve">that all of these patients would have dMMR EC. </w:t>
      </w:r>
    </w:p>
    <w:p w14:paraId="238A23EC" w14:textId="5B06A2A4" w:rsidR="008D049C" w:rsidRPr="008F2EF9" w:rsidDel="0043640B" w:rsidRDefault="008D049C" w:rsidP="008F2EF9">
      <w:pPr>
        <w:pStyle w:val="3-BodyText"/>
      </w:pPr>
      <w:r w:rsidRPr="008F2EF9">
        <w:lastRenderedPageBreak/>
        <w:t>The PBAC noted that in the RUBY trial patients were treated with dostarlimab in combination with carboplatin and paclitaxel, and the TGA Delegate’s proposed indication also specified carboplatin and paclitaxel, whereas the proposed restrictions did not specify the platinum-</w:t>
      </w:r>
      <w:r w:rsidR="000A5F81" w:rsidRPr="008F2EF9">
        <w:t xml:space="preserve">containing </w:t>
      </w:r>
      <w:r w:rsidRPr="008F2EF9">
        <w:t xml:space="preserve">chemotherapy regimen. </w:t>
      </w:r>
      <w:r w:rsidR="00B811EC" w:rsidRPr="008F2EF9">
        <w:t xml:space="preserve">The PBAC considered </w:t>
      </w:r>
      <w:r w:rsidR="005B7B38" w:rsidRPr="008F2EF9">
        <w:t>this difference was reasonable and unlikely to impact on the patient population or clinical outcomes.</w:t>
      </w:r>
    </w:p>
    <w:p w14:paraId="4DC10E0B" w14:textId="753BE884" w:rsidR="00FC02A8" w:rsidRPr="008F2EF9" w:rsidRDefault="00FC02A8" w:rsidP="008F2EF9">
      <w:pPr>
        <w:pStyle w:val="3-BodyText"/>
      </w:pPr>
      <w:r w:rsidRPr="008F2EF9">
        <w:t xml:space="preserve">The </w:t>
      </w:r>
      <w:r w:rsidR="008D049C" w:rsidRPr="008F2EF9">
        <w:t xml:space="preserve">PBAC noted that </w:t>
      </w:r>
      <w:r w:rsidR="006025FC" w:rsidRPr="008F2EF9">
        <w:t xml:space="preserve">use of DOS monotherapy </w:t>
      </w:r>
      <w:r w:rsidR="003D276A" w:rsidRPr="008F2EF9">
        <w:t>where platinum-containing chemotherapy was contraindicated or not tolerated</w:t>
      </w:r>
      <w:r w:rsidR="0000061A" w:rsidRPr="008F2EF9">
        <w:t xml:space="preserve"> was </w:t>
      </w:r>
      <w:r w:rsidR="008D1C08" w:rsidRPr="008F2EF9">
        <w:t>broader than the proposed TGA indication</w:t>
      </w:r>
      <w:r w:rsidR="003752D0" w:rsidRPr="008F2EF9">
        <w:t xml:space="preserve"> and </w:t>
      </w:r>
      <w:r w:rsidR="00BA232B" w:rsidRPr="008F2EF9">
        <w:t>treatment</w:t>
      </w:r>
      <w:r w:rsidR="003752D0" w:rsidRPr="008F2EF9">
        <w:t xml:space="preserve"> in the RUBY trial</w:t>
      </w:r>
      <w:r w:rsidR="00DA6E9E" w:rsidRPr="008F2EF9">
        <w:t>.</w:t>
      </w:r>
      <w:r w:rsidR="0000061A" w:rsidRPr="008F2EF9">
        <w:t xml:space="preserve"> The PBAC considered that </w:t>
      </w:r>
      <w:r w:rsidR="00955A8B" w:rsidRPr="008F2EF9">
        <w:t>intolerance/contraindication should be removed and the c</w:t>
      </w:r>
      <w:r w:rsidR="008D049C" w:rsidRPr="008F2EF9">
        <w:t xml:space="preserve">linical criterion should be amended to “The treatment must be initiated in combination with platinum-containing chemotherapy”. </w:t>
      </w:r>
    </w:p>
    <w:p w14:paraId="07383FC4" w14:textId="5C62A5F4" w:rsidR="00B811EC" w:rsidRPr="008F2EF9" w:rsidRDefault="00B811EC" w:rsidP="008F2EF9">
      <w:pPr>
        <w:pStyle w:val="3-BodyText"/>
      </w:pPr>
      <w:bookmarkStart w:id="11" w:name="_Hlk149035849"/>
      <w:r w:rsidRPr="008F2EF9">
        <w:t>The proposed criteria were otherwise consistent with the patient population and treatment interventions in the RUBY trial and the PBAC considered they were appropriate.</w:t>
      </w:r>
    </w:p>
    <w:p w14:paraId="2D6EC3EB" w14:textId="4F8564D8" w:rsidR="00427449" w:rsidRPr="000A33D2" w:rsidRDefault="00427449" w:rsidP="000D66BE">
      <w:pPr>
        <w:pStyle w:val="3-BodyText"/>
        <w:numPr>
          <w:ilvl w:val="0"/>
          <w:numId w:val="0"/>
        </w:numPr>
        <w:ind w:left="720"/>
      </w:pPr>
      <w:r w:rsidRPr="000A33D2">
        <w:rPr>
          <w:i/>
          <w:iCs/>
        </w:rPr>
        <w:t>For more detail on PBAC’s view, see section 7 PBAC outcome.</w:t>
      </w:r>
      <w:bookmarkEnd w:id="11"/>
    </w:p>
    <w:p w14:paraId="7075B85C" w14:textId="62A47B7B" w:rsidR="00B50DB8" w:rsidRPr="000A33D2" w:rsidDel="00195452" w:rsidRDefault="00203181" w:rsidP="004E18E9">
      <w:pPr>
        <w:pStyle w:val="2-SectionHeading"/>
      </w:pPr>
      <w:bookmarkStart w:id="12" w:name="_Toc145426893"/>
      <w:r w:rsidRPr="000A33D2" w:rsidDel="00195452">
        <w:t xml:space="preserve">Population and </w:t>
      </w:r>
      <w:r w:rsidR="008E0D3C" w:rsidRPr="000A33D2" w:rsidDel="00195452">
        <w:t>d</w:t>
      </w:r>
      <w:r w:rsidRPr="000A33D2" w:rsidDel="00195452">
        <w:t>isease</w:t>
      </w:r>
      <w:bookmarkEnd w:id="12"/>
    </w:p>
    <w:p w14:paraId="3A5D0228" w14:textId="2701DB43" w:rsidR="00574AC1" w:rsidRPr="000A33D2" w:rsidRDefault="00574AC1" w:rsidP="004E18E9">
      <w:pPr>
        <w:pStyle w:val="3-BodyText"/>
      </w:pPr>
      <w:r w:rsidRPr="000A33D2">
        <w:t xml:space="preserve">EC is a malignancy of the endometrium, the inner lining of the uterus (uterine corpus). EC accounts for about 95% of all cases of uterine cancer, the most common gynaecological cancer diagnosed in Australian women (AIHW 2022a; Cancer Council 2021). The outcomes for advanced or recurrent disease remain poor, with 5-year </w:t>
      </w:r>
      <w:r w:rsidR="00204D5B" w:rsidRPr="000A33D2">
        <w:t>overall survival (</w:t>
      </w:r>
      <w:r w:rsidRPr="000A33D2">
        <w:t>OS</w:t>
      </w:r>
      <w:r w:rsidR="00204D5B" w:rsidRPr="000A33D2">
        <w:t>)</w:t>
      </w:r>
      <w:r w:rsidRPr="000A33D2">
        <w:t xml:space="preserve"> rates of 20-25% (Oaknin 2022).</w:t>
      </w:r>
    </w:p>
    <w:p w14:paraId="637159DB" w14:textId="47B46418" w:rsidR="00574AC1" w:rsidRPr="000A33D2" w:rsidRDefault="00400158" w:rsidP="004E18E9">
      <w:pPr>
        <w:pStyle w:val="3-BodyText"/>
      </w:pPr>
      <w:r w:rsidRPr="000A33D2">
        <w:t>Endometrial cancers may be classified based on the MMR status, as normal (pMMR) or dMMR tumours. EC is associated with dMMR in up to 33% of cases (Morona 2020; Scarpa 2016), though the PBAC and DUSC previously considered 27% to be an appropriate estimate for the prevalence of dMMR in A/R EC (paragraph 7.11, dostarlimab PSD, March 2022 PBAC meeting). dMMR tumours can develop microsatellite instability (MSI), which is a change in the length of repetitive sequences in tumour DNA compared with normal DNA. Therefore, MSI-H is the observable characteristic (phenotype) displayed when errors occur in the DNA MMR system (Luchini, 2019).</w:t>
      </w:r>
    </w:p>
    <w:p w14:paraId="309EE869" w14:textId="56B78D1E" w:rsidR="00400158" w:rsidRPr="000A33D2" w:rsidRDefault="00BF0EC5" w:rsidP="004E18E9">
      <w:pPr>
        <w:pStyle w:val="3-BodyText"/>
      </w:pPr>
      <w:r w:rsidRPr="000A33D2">
        <w:t>The submission noted that immunohistochemistry (IHC) MMR testing is now routine clinical and pathology practice in EC, and so the basis for requiring a co-dependent submission was not met</w:t>
      </w:r>
      <w:r w:rsidR="00187ED7" w:rsidRPr="000A33D2">
        <w:t>.</w:t>
      </w:r>
      <w:r w:rsidRPr="000A33D2">
        <w:t xml:space="preserve"> </w:t>
      </w:r>
    </w:p>
    <w:p w14:paraId="0861F5FC" w14:textId="62EDBD5B" w:rsidR="00254312" w:rsidRPr="000A33D2" w:rsidRDefault="00514ABD" w:rsidP="004E18E9">
      <w:pPr>
        <w:pStyle w:val="3-BodyText"/>
      </w:pPr>
      <w:r w:rsidRPr="000A33D2">
        <w:t xml:space="preserve">DOS+CP </w:t>
      </w:r>
      <w:r w:rsidR="00BA232B" w:rsidRPr="000A33D2">
        <w:t>i</w:t>
      </w:r>
      <w:r w:rsidRPr="000A33D2">
        <w:t xml:space="preserve">s intended for use in patients with A/R EC </w:t>
      </w:r>
      <w:r w:rsidR="00254312" w:rsidRPr="000A33D2">
        <w:t>who have not been previously treated with systemic therapy, or if treated with neoadjuvant/adjuvant systemic therapy, the cancer has recurred or progressed after more than 6 months from the last dose of systemic therapy</w:t>
      </w:r>
      <w:r w:rsidR="007758C1" w:rsidRPr="000A33D2">
        <w:t>.</w:t>
      </w:r>
    </w:p>
    <w:p w14:paraId="0EA17EEE" w14:textId="4E16B74F" w:rsidR="005D3F8D" w:rsidRPr="00FC4F6D" w:rsidRDefault="005D3F8D" w:rsidP="00FC4F6D">
      <w:pPr>
        <w:pStyle w:val="3-BodyText"/>
      </w:pPr>
      <w:r w:rsidRPr="00FC4F6D">
        <w:lastRenderedPageBreak/>
        <w:t>DOS is a humanised, monoclonal antibody of the immunoglobulin G4 isotype that binds with high affinity and specificity to PD-1, resulting in inhibition of binding to PD</w:t>
      </w:r>
      <w:r w:rsidR="00187ED7" w:rsidRPr="00FC4F6D">
        <w:noBreakHyphen/>
      </w:r>
      <w:r w:rsidRPr="00FC4F6D">
        <w:t>L1 and PD-L2. This blocks PD-1 pathway-mediated immune inhibition, resulting in immune reactivation, including reactivation of the anti-tumour immune response.</w:t>
      </w:r>
      <w:r w:rsidR="00623AF8" w:rsidRPr="00FC4F6D">
        <w:t xml:space="preserve"> The submission claimed that the combination of immune checkpoint inhibitors with chemotherapy can further synergise to enhance the anti-tumour response.</w:t>
      </w:r>
      <w:r w:rsidR="00EE104C" w:rsidRPr="00FC4F6D" w:rsidDel="00EE104C">
        <w:t xml:space="preserve"> </w:t>
      </w:r>
    </w:p>
    <w:p w14:paraId="65B96478" w14:textId="5EB1CAD9" w:rsidR="00427449" w:rsidRPr="000A33D2" w:rsidRDefault="00427449" w:rsidP="00427449">
      <w:pPr>
        <w:ind w:firstLine="720"/>
        <w:rPr>
          <w:i/>
          <w:iCs/>
        </w:rPr>
      </w:pPr>
      <w:r w:rsidRPr="000A33D2">
        <w:rPr>
          <w:i/>
          <w:iCs/>
        </w:rPr>
        <w:t>For more detail on PBAC’s view, see section 7 PBAC outcome.</w:t>
      </w:r>
    </w:p>
    <w:p w14:paraId="51E5AE96" w14:textId="136A63B1" w:rsidR="00B50DB8" w:rsidRPr="000A33D2" w:rsidRDefault="00B50DB8" w:rsidP="004E18E9">
      <w:pPr>
        <w:pStyle w:val="2-SectionHeading"/>
      </w:pPr>
      <w:bookmarkStart w:id="13" w:name="_Toc145426894"/>
      <w:r w:rsidRPr="000A33D2">
        <w:t>Comparator</w:t>
      </w:r>
      <w:bookmarkEnd w:id="13"/>
    </w:p>
    <w:p w14:paraId="2449E971" w14:textId="5B6A314A" w:rsidR="009277AA" w:rsidRPr="000A33D2" w:rsidRDefault="00623AF8" w:rsidP="00882E3C">
      <w:pPr>
        <w:pStyle w:val="3-BodyText"/>
        <w:rPr>
          <w:snapToGrid/>
        </w:rPr>
      </w:pPr>
      <w:r w:rsidRPr="000A33D2">
        <w:rPr>
          <w:snapToGrid/>
        </w:rPr>
        <w:t xml:space="preserve">The submission nominated CP as the main comparator. </w:t>
      </w:r>
      <w:r w:rsidR="00FB33BC" w:rsidRPr="000A33D2">
        <w:rPr>
          <w:snapToGrid/>
        </w:rPr>
        <w:t xml:space="preserve">This was </w:t>
      </w:r>
      <w:proofErr w:type="gramStart"/>
      <w:r w:rsidR="00FB33BC" w:rsidRPr="000A33D2">
        <w:rPr>
          <w:snapToGrid/>
        </w:rPr>
        <w:t>reasonable,</w:t>
      </w:r>
      <w:proofErr w:type="gramEnd"/>
      <w:r w:rsidR="00FB33BC" w:rsidRPr="000A33D2">
        <w:rPr>
          <w:snapToGrid/>
        </w:rPr>
        <w:t xml:space="preserve"> however CP may not be the only relevant comparator. </w:t>
      </w:r>
    </w:p>
    <w:p w14:paraId="1856240C" w14:textId="333A5D2D" w:rsidR="00CC7C81" w:rsidRPr="000A33D2" w:rsidRDefault="00623AF8" w:rsidP="00882E3C">
      <w:pPr>
        <w:pStyle w:val="3-BodyText"/>
        <w:rPr>
          <w:snapToGrid/>
        </w:rPr>
      </w:pPr>
      <w:bookmarkStart w:id="14" w:name="_Ref144382177"/>
      <w:r w:rsidRPr="000A33D2">
        <w:rPr>
          <w:snapToGrid/>
        </w:rPr>
        <w:t xml:space="preserve">At its March 2022 and March 2023 meetings, the PBAC recommended the listing of PEM+LEN for the treatment of 2L A/R EC regardless of biomarker status. Given PEM+LEN was listed on the PBS from 1 June 2023 with a requirement that the condition must be untreated with a PD-(L)1 inhibitor, the submission acknowledged that 1L DOS </w:t>
      </w:r>
      <w:r w:rsidR="00BA232B" w:rsidRPr="000A33D2">
        <w:rPr>
          <w:snapToGrid/>
        </w:rPr>
        <w:t>+ CP</w:t>
      </w:r>
      <w:r w:rsidRPr="000A33D2">
        <w:rPr>
          <w:snapToGrid/>
        </w:rPr>
        <w:t xml:space="preserve"> followed by 2L chemotherapy would replace 1L platinum-containing chemotherapy followed by 2L PEM+LEN in a proportion of patients.</w:t>
      </w:r>
      <w:r w:rsidR="00CC7C81" w:rsidRPr="000A33D2">
        <w:rPr>
          <w:snapToGrid/>
        </w:rPr>
        <w:t xml:space="preserve"> 2L immunotherapy </w:t>
      </w:r>
      <w:r w:rsidR="00B55159" w:rsidRPr="000A33D2">
        <w:rPr>
          <w:snapToGrid/>
        </w:rPr>
        <w:t xml:space="preserve">was </w:t>
      </w:r>
      <w:r w:rsidR="00CC7C81" w:rsidRPr="000A33D2">
        <w:rPr>
          <w:snapToGrid/>
        </w:rPr>
        <w:t>used by patients enrolled in RUBY and was considered in the economic analysis and financial estimates of the submission.</w:t>
      </w:r>
      <w:r w:rsidR="0085476C" w:rsidRPr="000A33D2">
        <w:rPr>
          <w:snapToGrid/>
        </w:rPr>
        <w:t xml:space="preserve"> A comparison of results from RUBY (1L DOS+CP compared to </w:t>
      </w:r>
      <w:r w:rsidR="005E2298" w:rsidRPr="000A33D2">
        <w:rPr>
          <w:snapToGrid/>
        </w:rPr>
        <w:t xml:space="preserve">1L </w:t>
      </w:r>
      <w:r w:rsidR="0085476C" w:rsidRPr="000A33D2">
        <w:rPr>
          <w:snapToGrid/>
        </w:rPr>
        <w:t xml:space="preserve">CP alone) and KN775 (2L PEM+LEN compared to </w:t>
      </w:r>
      <w:r w:rsidR="00402565" w:rsidRPr="000A33D2">
        <w:rPr>
          <w:snapToGrid/>
        </w:rPr>
        <w:t xml:space="preserve">the physician’s choice of </w:t>
      </w:r>
      <w:r w:rsidR="005E2298" w:rsidRPr="000A33D2">
        <w:rPr>
          <w:snapToGrid/>
        </w:rPr>
        <w:t xml:space="preserve">2L </w:t>
      </w:r>
      <w:r w:rsidR="00402565" w:rsidRPr="000A33D2">
        <w:rPr>
          <w:snapToGrid/>
        </w:rPr>
        <w:t>doxorubicin or paclitaxel</w:t>
      </w:r>
      <w:r w:rsidR="0085476C" w:rsidRPr="000A33D2">
        <w:rPr>
          <w:snapToGrid/>
        </w:rPr>
        <w:t xml:space="preserve"> alone)</w:t>
      </w:r>
      <w:r w:rsidR="005E2298" w:rsidRPr="000A33D2">
        <w:rPr>
          <w:snapToGrid/>
        </w:rPr>
        <w:t xml:space="preserve"> is presented in</w:t>
      </w:r>
      <w:r w:rsidR="00EB12E3" w:rsidRPr="000A33D2">
        <w:rPr>
          <w:snapToGrid/>
        </w:rPr>
        <w:t xml:space="preserve"> </w:t>
      </w:r>
      <w:r w:rsidR="00EB12E3" w:rsidRPr="000A33D2">
        <w:rPr>
          <w:snapToGrid/>
        </w:rPr>
        <w:fldChar w:fldCharType="begin" w:fldLock="1"/>
      </w:r>
      <w:r w:rsidR="00EB12E3" w:rsidRPr="000A33D2">
        <w:rPr>
          <w:snapToGrid/>
        </w:rPr>
        <w:instrText xml:space="preserve"> REF _Ref144580378 \h  \* MERGEFORMAT </w:instrText>
      </w:r>
      <w:r w:rsidR="00EB12E3" w:rsidRPr="000A33D2">
        <w:rPr>
          <w:snapToGrid/>
        </w:rPr>
      </w:r>
      <w:r w:rsidR="00EB12E3" w:rsidRPr="000A33D2">
        <w:rPr>
          <w:snapToGrid/>
        </w:rPr>
        <w:fldChar w:fldCharType="separate"/>
      </w:r>
      <w:r w:rsidR="00B62E71" w:rsidRPr="000A33D2">
        <w:t xml:space="preserve">Table </w:t>
      </w:r>
      <w:r w:rsidR="00B62E71">
        <w:t>7</w:t>
      </w:r>
      <w:r w:rsidR="00EB12E3" w:rsidRPr="000A33D2">
        <w:rPr>
          <w:snapToGrid/>
        </w:rPr>
        <w:fldChar w:fldCharType="end"/>
      </w:r>
      <w:r w:rsidR="00010EF4" w:rsidRPr="000A33D2">
        <w:rPr>
          <w:snapToGrid/>
        </w:rPr>
        <w:t xml:space="preserve"> below</w:t>
      </w:r>
      <w:r w:rsidR="005E2298" w:rsidRPr="000A33D2">
        <w:rPr>
          <w:snapToGrid/>
        </w:rPr>
        <w:t>.</w:t>
      </w:r>
      <w:bookmarkEnd w:id="14"/>
    </w:p>
    <w:p w14:paraId="30A067BB" w14:textId="5FC22727" w:rsidR="00B50DB8" w:rsidRPr="000A33D2" w:rsidRDefault="00623AF8" w:rsidP="00CC7C81">
      <w:pPr>
        <w:pStyle w:val="3-BodyText"/>
        <w:rPr>
          <w:snapToGrid/>
        </w:rPr>
      </w:pPr>
      <w:bookmarkStart w:id="15" w:name="_Ref144382179"/>
      <w:r w:rsidRPr="000A33D2">
        <w:rPr>
          <w:snapToGrid/>
        </w:rPr>
        <w:t>A near market comparator, PEM in combination with CP (PEM+CP) was</w:t>
      </w:r>
      <w:r w:rsidR="00D8538B" w:rsidRPr="000A33D2">
        <w:rPr>
          <w:snapToGrid/>
        </w:rPr>
        <w:t xml:space="preserve"> </w:t>
      </w:r>
      <w:r w:rsidRPr="000A33D2">
        <w:rPr>
          <w:snapToGrid/>
        </w:rPr>
        <w:t>identified during the evaluation</w:t>
      </w:r>
      <w:r w:rsidR="005E2298" w:rsidRPr="000A33D2">
        <w:rPr>
          <w:snapToGrid/>
        </w:rPr>
        <w:t>, with</w:t>
      </w:r>
      <w:r w:rsidRPr="000A33D2">
        <w:rPr>
          <w:snapToGrid/>
        </w:rPr>
        <w:t xml:space="preserve"> </w:t>
      </w:r>
      <w:r w:rsidR="005E2298" w:rsidRPr="000A33D2">
        <w:rPr>
          <w:snapToGrid/>
        </w:rPr>
        <w:t>a</w:t>
      </w:r>
      <w:r w:rsidRPr="000A33D2">
        <w:rPr>
          <w:snapToGrid/>
        </w:rPr>
        <w:t>n ongoing phase 3 trial (NCT03914612) in which patients with advanced-stage, metastatic, or recurrent EC were assigned to receive 1L PEM or placebo (PBO) along with combination therapy with CP.</w:t>
      </w:r>
      <w:r w:rsidR="00307A08" w:rsidRPr="000A33D2">
        <w:rPr>
          <w:snapToGrid/>
        </w:rPr>
        <w:t xml:space="preserve"> </w:t>
      </w:r>
      <w:r w:rsidR="00ED45D3" w:rsidRPr="000A33D2">
        <w:rPr>
          <w:snapToGrid/>
        </w:rPr>
        <w:t>Results from an early interim analysis</w:t>
      </w:r>
      <w:r w:rsidR="00A322AD" w:rsidRPr="000A33D2">
        <w:rPr>
          <w:snapToGrid/>
        </w:rPr>
        <w:t xml:space="preserve"> from NCT03914612 </w:t>
      </w:r>
      <w:r w:rsidR="00DA6E9E" w:rsidRPr="000A33D2">
        <w:rPr>
          <w:snapToGrid/>
        </w:rPr>
        <w:t xml:space="preserve">were </w:t>
      </w:r>
      <w:r w:rsidR="00A322AD" w:rsidRPr="000A33D2">
        <w:rPr>
          <w:snapToGrid/>
        </w:rPr>
        <w:t xml:space="preserve">extracted during the evaluation and </w:t>
      </w:r>
      <w:r w:rsidR="00DA6E9E" w:rsidRPr="000A33D2">
        <w:rPr>
          <w:snapToGrid/>
        </w:rPr>
        <w:t xml:space="preserve">are </w:t>
      </w:r>
      <w:r w:rsidR="00A322AD" w:rsidRPr="000A33D2">
        <w:rPr>
          <w:snapToGrid/>
        </w:rPr>
        <w:t xml:space="preserve">presented in </w:t>
      </w:r>
      <w:bookmarkEnd w:id="15"/>
      <w:r w:rsidR="00EB12E3" w:rsidRPr="000A33D2">
        <w:rPr>
          <w:snapToGrid/>
          <w:highlight w:val="yellow"/>
        </w:rPr>
        <w:fldChar w:fldCharType="begin" w:fldLock="1"/>
      </w:r>
      <w:r w:rsidR="00EB12E3" w:rsidRPr="000A33D2">
        <w:rPr>
          <w:snapToGrid/>
        </w:rPr>
        <w:instrText xml:space="preserve"> REF _Ref144580378 \h </w:instrText>
      </w:r>
      <w:r w:rsidR="00EB12E3" w:rsidRPr="000A33D2">
        <w:rPr>
          <w:snapToGrid/>
          <w:highlight w:val="yellow"/>
        </w:rPr>
        <w:instrText xml:space="preserve"> \* MERGEFORMAT </w:instrText>
      </w:r>
      <w:r w:rsidR="00EB12E3" w:rsidRPr="000A33D2">
        <w:rPr>
          <w:snapToGrid/>
          <w:highlight w:val="yellow"/>
        </w:rPr>
      </w:r>
      <w:r w:rsidR="00EB12E3" w:rsidRPr="000A33D2">
        <w:rPr>
          <w:snapToGrid/>
          <w:highlight w:val="yellow"/>
        </w:rPr>
        <w:fldChar w:fldCharType="separate"/>
      </w:r>
      <w:r w:rsidR="00B62E71" w:rsidRPr="000A33D2">
        <w:t xml:space="preserve">Table </w:t>
      </w:r>
      <w:r w:rsidR="00B62E71">
        <w:t>7</w:t>
      </w:r>
      <w:r w:rsidR="00EB12E3" w:rsidRPr="000A33D2">
        <w:rPr>
          <w:snapToGrid/>
          <w:highlight w:val="yellow"/>
        </w:rPr>
        <w:fldChar w:fldCharType="end"/>
      </w:r>
      <w:r w:rsidR="00010EF4" w:rsidRPr="000A33D2">
        <w:rPr>
          <w:snapToGrid/>
        </w:rPr>
        <w:t xml:space="preserve"> below</w:t>
      </w:r>
      <w:r w:rsidR="00EB12E3" w:rsidRPr="000A33D2">
        <w:rPr>
          <w:snapToGrid/>
        </w:rPr>
        <w:t>.</w:t>
      </w:r>
      <w:r w:rsidR="00BA232B" w:rsidRPr="000A33D2">
        <w:rPr>
          <w:snapToGrid/>
        </w:rPr>
        <w:t xml:space="preserve"> The PBAC noted that phase 3 trials in 1L treatment of advanced, metastatic or recurrent EC are also underway for atezolizumab </w:t>
      </w:r>
      <w:r w:rsidR="00BA232B" w:rsidRPr="000A33D2">
        <w:rPr>
          <w:rFonts w:cstheme="minorHAnsi"/>
          <w:snapToGrid/>
        </w:rPr>
        <w:t xml:space="preserve">± </w:t>
      </w:r>
      <w:r w:rsidR="00F661C8" w:rsidRPr="000A33D2">
        <w:rPr>
          <w:rFonts w:cstheme="minorHAnsi"/>
          <w:snapToGrid/>
        </w:rPr>
        <w:t>chemotherapy (ATTEND), durvalumab ± chemotherapy ± olaparib (DUO-E) and PEM + LEN (LEAP), with results recently published for DUO-E.</w:t>
      </w:r>
    </w:p>
    <w:p w14:paraId="3B89BC20" w14:textId="4B7A9F30" w:rsidR="00427449" w:rsidRPr="000A33D2" w:rsidRDefault="00427449" w:rsidP="00FC4F6D">
      <w:pPr>
        <w:ind w:firstLine="720"/>
      </w:pPr>
      <w:r w:rsidRPr="000A33D2">
        <w:rPr>
          <w:i/>
          <w:iCs/>
        </w:rPr>
        <w:t>For more detail on PBAC’s view, see section 7 PBAC outcome.</w:t>
      </w:r>
    </w:p>
    <w:p w14:paraId="7F9C27C8" w14:textId="77777777" w:rsidR="00223D5A" w:rsidRPr="000A33D2" w:rsidRDefault="00223D5A" w:rsidP="00223D5A">
      <w:pPr>
        <w:pStyle w:val="2-SectionHeading"/>
        <w:numPr>
          <w:ilvl w:val="0"/>
          <w:numId w:val="1"/>
        </w:numPr>
      </w:pPr>
      <w:bookmarkStart w:id="16" w:name="_Toc145426895"/>
      <w:bookmarkStart w:id="17" w:name="_Toc22897640"/>
      <w:r w:rsidRPr="000A33D2">
        <w:t>Consideration of the evidence</w:t>
      </w:r>
      <w:bookmarkEnd w:id="16"/>
    </w:p>
    <w:p w14:paraId="5D27C42E" w14:textId="77777777" w:rsidR="00325C70" w:rsidRPr="000A33D2" w:rsidRDefault="00325C70" w:rsidP="00325C70">
      <w:pPr>
        <w:pStyle w:val="4-SubsectionHeading"/>
      </w:pPr>
      <w:bookmarkStart w:id="18" w:name="_Hlk76375935"/>
      <w:bookmarkStart w:id="19" w:name="_Toc145426896"/>
      <w:r w:rsidRPr="000A33D2">
        <w:t>Sponsor hearing</w:t>
      </w:r>
    </w:p>
    <w:p w14:paraId="59925772" w14:textId="05BB79D7" w:rsidR="0007785E" w:rsidRPr="000A33D2" w:rsidRDefault="00325C70" w:rsidP="00FC4F6D">
      <w:pPr>
        <w:pStyle w:val="3-BodyText"/>
      </w:pPr>
      <w:bookmarkStart w:id="20" w:name="_Hlk76382586"/>
      <w:r w:rsidRPr="000A33D2">
        <w:t xml:space="preserve">The sponsor requested a hearing for this item. The clinician </w:t>
      </w:r>
      <w:r w:rsidR="00F4146F" w:rsidRPr="000A33D2">
        <w:t xml:space="preserve">noted that there are approximately </w:t>
      </w:r>
      <w:r w:rsidR="0007785E" w:rsidRPr="000A33D2">
        <w:t>7</w:t>
      </w:r>
      <w:r w:rsidR="00F4146F" w:rsidRPr="000A33D2">
        <w:t>,</w:t>
      </w:r>
      <w:r w:rsidR="0007785E" w:rsidRPr="000A33D2">
        <w:t>000 new cases</w:t>
      </w:r>
      <w:r w:rsidR="00F4146F" w:rsidRPr="000A33D2">
        <w:t xml:space="preserve"> of endometrial cancer</w:t>
      </w:r>
      <w:r w:rsidR="0007785E" w:rsidRPr="000A33D2">
        <w:t xml:space="preserve"> per year </w:t>
      </w:r>
      <w:r w:rsidR="00F4146F" w:rsidRPr="000A33D2">
        <w:t xml:space="preserve">and </w:t>
      </w:r>
      <w:r w:rsidR="0007785E" w:rsidRPr="000A33D2">
        <w:t>incidence and rates of death</w:t>
      </w:r>
      <w:r w:rsidR="00F4146F" w:rsidRPr="000A33D2">
        <w:t xml:space="preserve"> are continuing to rise. The clinician note</w:t>
      </w:r>
      <w:r w:rsidR="006C2915" w:rsidRPr="000A33D2">
        <w:t>d</w:t>
      </w:r>
      <w:r w:rsidR="00F4146F" w:rsidRPr="000A33D2">
        <w:t xml:space="preserve"> that </w:t>
      </w:r>
      <w:r w:rsidR="006C2915" w:rsidRPr="000A33D2">
        <w:t xml:space="preserve">whilst around 80% of patients with early endometrial cancer are cured, </w:t>
      </w:r>
      <w:r w:rsidR="00F4146F" w:rsidRPr="000A33D2">
        <w:t>there are</w:t>
      </w:r>
      <w:r w:rsidR="0007785E" w:rsidRPr="000A33D2">
        <w:t xml:space="preserve"> higher death rates in disadvantaged populations and </w:t>
      </w:r>
      <w:r w:rsidR="00F4146F" w:rsidRPr="000A33D2">
        <w:t xml:space="preserve">in </w:t>
      </w:r>
      <w:r w:rsidR="0007785E" w:rsidRPr="000A33D2">
        <w:t>indigenous women</w:t>
      </w:r>
      <w:r w:rsidR="00F4146F" w:rsidRPr="000A33D2">
        <w:t xml:space="preserve">, and there remains a high unmet </w:t>
      </w:r>
      <w:r w:rsidR="00F4146F" w:rsidRPr="000A33D2">
        <w:lastRenderedPageBreak/>
        <w:t>need for effective treatments</w:t>
      </w:r>
      <w:r w:rsidR="0007785E" w:rsidRPr="000A33D2">
        <w:t xml:space="preserve">. </w:t>
      </w:r>
      <w:r w:rsidR="00F4146F" w:rsidRPr="000A33D2">
        <w:t>The clinician noted that</w:t>
      </w:r>
      <w:r w:rsidR="0007785E" w:rsidRPr="000A33D2">
        <w:t xml:space="preserve"> </w:t>
      </w:r>
      <w:r w:rsidR="00F4146F" w:rsidRPr="000A33D2">
        <w:t xml:space="preserve">results of the </w:t>
      </w:r>
      <w:r w:rsidR="000870B2" w:rsidRPr="000A33D2">
        <w:t xml:space="preserve">RUBY </w:t>
      </w:r>
      <w:r w:rsidR="0007785E" w:rsidRPr="000A33D2">
        <w:t xml:space="preserve">trial show </w:t>
      </w:r>
      <w:r w:rsidR="00F4146F" w:rsidRPr="000A33D2">
        <w:t xml:space="preserve">that dostarlimab </w:t>
      </w:r>
      <w:r w:rsidR="0007785E" w:rsidRPr="000A33D2">
        <w:t>will benefit women</w:t>
      </w:r>
      <w:r w:rsidR="00F4146F" w:rsidRPr="000A33D2">
        <w:t xml:space="preserve"> with endometrial cancer and rapid access to treatment would be valuable. With a larger</w:t>
      </w:r>
      <w:r w:rsidR="0007785E" w:rsidRPr="000A33D2">
        <w:t xml:space="preserve"> benefit in the dMMR arm, but clinically meaningful result in the ITT population, </w:t>
      </w:r>
      <w:r w:rsidR="00F4146F" w:rsidRPr="000A33D2">
        <w:t xml:space="preserve">the clinician noted that there is an </w:t>
      </w:r>
      <w:r w:rsidR="0007785E" w:rsidRPr="000A33D2">
        <w:t xml:space="preserve">argument for </w:t>
      </w:r>
      <w:r w:rsidR="00F4146F" w:rsidRPr="000A33D2">
        <w:t xml:space="preserve">providing </w:t>
      </w:r>
      <w:r w:rsidR="0007785E" w:rsidRPr="000A33D2">
        <w:t xml:space="preserve">access for both groups. </w:t>
      </w:r>
    </w:p>
    <w:bookmarkEnd w:id="20"/>
    <w:p w14:paraId="43EE6469" w14:textId="77777777" w:rsidR="00325C70" w:rsidRPr="000A33D2" w:rsidRDefault="00325C70" w:rsidP="00325C70">
      <w:pPr>
        <w:pStyle w:val="4-SubsectionHeading"/>
      </w:pPr>
      <w:r w:rsidRPr="000A33D2">
        <w:t>Consumer comments</w:t>
      </w:r>
    </w:p>
    <w:p w14:paraId="238847AC" w14:textId="162B9431" w:rsidR="00325C70" w:rsidRPr="000A33D2" w:rsidRDefault="00325C70" w:rsidP="00FC4F6D">
      <w:pPr>
        <w:pStyle w:val="3-BodyText"/>
      </w:pPr>
      <w:bookmarkStart w:id="21" w:name="_Hlk76382618"/>
      <w:r w:rsidRPr="000A33D2">
        <w:t xml:space="preserve">The PBAC noted and welcomed the input from </w:t>
      </w:r>
      <w:r w:rsidR="002066F6" w:rsidRPr="000A33D2">
        <w:t>Rare Cancers Australia</w:t>
      </w:r>
      <w:r w:rsidRPr="000A33D2">
        <w:t xml:space="preserve"> via the Consumer Comments facility on the PBS website. The comments </w:t>
      </w:r>
      <w:r w:rsidR="002066F6" w:rsidRPr="000A33D2">
        <w:t>noted that patients living with endometrial cancer currently undergo a range of examinations, medical appointments and fertility treatments</w:t>
      </w:r>
      <w:r w:rsidR="00A3754A" w:rsidRPr="000A33D2">
        <w:t>,</w:t>
      </w:r>
      <w:r w:rsidR="002066F6" w:rsidRPr="000A33D2">
        <w:t xml:space="preserve"> and patients who self-fund treatment experience an added financial burden. The comments noted the high unmet medical need for effective and tolerable treatment options in this setting </w:t>
      </w:r>
      <w:r w:rsidR="009D134D" w:rsidRPr="000A33D2">
        <w:t xml:space="preserve">to </w:t>
      </w:r>
      <w:r w:rsidR="002066F6" w:rsidRPr="000A33D2">
        <w:t>provid</w:t>
      </w:r>
      <w:r w:rsidR="009D134D" w:rsidRPr="000A33D2">
        <w:t>e</w:t>
      </w:r>
      <w:r w:rsidR="002066F6" w:rsidRPr="000A33D2">
        <w:t xml:space="preserve"> a clinically relevant improvement in efficacy and a reduction of toxicity over that of chemotherapy and other treatment options. </w:t>
      </w:r>
    </w:p>
    <w:bookmarkEnd w:id="18"/>
    <w:bookmarkEnd w:id="21"/>
    <w:p w14:paraId="6748E1D0" w14:textId="3A39E3C8" w:rsidR="00325C70" w:rsidRPr="000A33D2" w:rsidRDefault="00F5542C" w:rsidP="00325C70">
      <w:pPr>
        <w:pStyle w:val="3-BodyText"/>
      </w:pPr>
      <w:r w:rsidRPr="000A33D2">
        <w:t>The</w:t>
      </w:r>
      <w:r w:rsidR="00325C70" w:rsidRPr="000A33D2">
        <w:t xml:space="preserve"> Medical Oncology Group of Australia (MOGA) also expressed its strong support for the </w:t>
      </w:r>
      <w:r w:rsidRPr="000A33D2">
        <w:t>dostarlimab</w:t>
      </w:r>
      <w:r w:rsidR="00325C70" w:rsidRPr="000A33D2">
        <w:t xml:space="preserve"> submission, categorising it as one of the therapies of “highest priority for PBS listing” on the basis of the </w:t>
      </w:r>
      <w:r w:rsidR="000870B2" w:rsidRPr="000A33D2">
        <w:t xml:space="preserve">RUBY </w:t>
      </w:r>
      <w:r w:rsidR="00325C70" w:rsidRPr="000A33D2">
        <w:t xml:space="preserve">trial. The PBAC noted that the MOGA presented a European Society for Medical Oncology Magnitude of Clinical Benefit Scale (ESMO-MCBS) for </w:t>
      </w:r>
      <w:r w:rsidRPr="000A33D2">
        <w:t>dostarlimab in combination with platinum-</w:t>
      </w:r>
      <w:r w:rsidR="000A5F81">
        <w:t>containing</w:t>
      </w:r>
      <w:r w:rsidR="000A5F81" w:rsidRPr="000A33D2">
        <w:t xml:space="preserve"> </w:t>
      </w:r>
      <w:r w:rsidRPr="000A33D2">
        <w:t>chemotherapy</w:t>
      </w:r>
      <w:r w:rsidR="00325C70" w:rsidRPr="000A33D2">
        <w:t xml:space="preserve">, which was limited to </w:t>
      </w:r>
      <w:r w:rsidRPr="000A33D2">
        <w:t>4</w:t>
      </w:r>
      <w:r w:rsidR="00325C70" w:rsidRPr="000A33D2">
        <w:t xml:space="preserve"> (out of a maximum of 5, where 5 and 4 represent the grades with substantial improvement)</w:t>
      </w:r>
      <w:r w:rsidRPr="000A33D2">
        <w:rPr>
          <w:rStyle w:val="FootnoteReference"/>
          <w:bCs/>
        </w:rPr>
        <w:footnoteReference w:id="2"/>
      </w:r>
      <w:r w:rsidR="00325C70" w:rsidRPr="000A33D2">
        <w:t xml:space="preserve">, based on a comparison with </w:t>
      </w:r>
      <w:r w:rsidRPr="000A33D2">
        <w:t>platinum-</w:t>
      </w:r>
      <w:r w:rsidR="000A5F81">
        <w:t>containing</w:t>
      </w:r>
      <w:r w:rsidR="000A5F81" w:rsidRPr="000A33D2">
        <w:t xml:space="preserve"> </w:t>
      </w:r>
      <w:r w:rsidRPr="000A33D2">
        <w:t>chemotherapy alone</w:t>
      </w:r>
      <w:r w:rsidR="00325C70" w:rsidRPr="000A33D2">
        <w:t xml:space="preserve">. </w:t>
      </w:r>
    </w:p>
    <w:p w14:paraId="609C0765" w14:textId="4F1EAFBE" w:rsidR="00B60939" w:rsidRPr="000A33D2" w:rsidRDefault="00B60939" w:rsidP="002E4F02">
      <w:pPr>
        <w:pStyle w:val="4-SubsectionHeading"/>
      </w:pPr>
      <w:r w:rsidRPr="000A33D2">
        <w:t>Clinical trial</w:t>
      </w:r>
      <w:bookmarkEnd w:id="17"/>
      <w:bookmarkEnd w:id="19"/>
    </w:p>
    <w:p w14:paraId="17DE34DC" w14:textId="244F5C3A" w:rsidR="007F1017" w:rsidRPr="00FC4F6D" w:rsidRDefault="00A73134" w:rsidP="00FC4F6D">
      <w:pPr>
        <w:pStyle w:val="3-BodyText"/>
      </w:pPr>
      <w:r w:rsidRPr="00FC4F6D">
        <w:t xml:space="preserve">The submission </w:t>
      </w:r>
      <w:r w:rsidR="00D5243B" w:rsidRPr="00FC4F6D">
        <w:t>wa</w:t>
      </w:r>
      <w:r w:rsidRPr="00FC4F6D">
        <w:t xml:space="preserve">s based on one head-to-head trial comparing </w:t>
      </w:r>
      <w:r w:rsidR="009665E1" w:rsidRPr="00FC4F6D">
        <w:t>DOS+CP</w:t>
      </w:r>
      <w:r w:rsidRPr="00FC4F6D">
        <w:t xml:space="preserve"> to </w:t>
      </w:r>
      <w:r w:rsidR="009665E1" w:rsidRPr="00FC4F6D">
        <w:t>CP alone</w:t>
      </w:r>
      <w:r w:rsidR="00010EF4" w:rsidRPr="00FC4F6D">
        <w:t xml:space="preserve"> (PBO+CP)</w:t>
      </w:r>
      <w:r w:rsidR="009665E1" w:rsidRPr="00FC4F6D">
        <w:t>: RUBY</w:t>
      </w:r>
      <w:r w:rsidRPr="00FC4F6D">
        <w:t xml:space="preserve"> (</w:t>
      </w:r>
      <w:r w:rsidR="009665E1" w:rsidRPr="00FC4F6D">
        <w:t>N=494</w:t>
      </w:r>
      <w:r w:rsidRPr="00FC4F6D">
        <w:t xml:space="preserve">). </w:t>
      </w:r>
      <w:r w:rsidR="00F9561E" w:rsidRPr="00FC4F6D">
        <w:t>A claim of superiority for both the dMMR cohort (Population 1) and all</w:t>
      </w:r>
      <w:r w:rsidR="00D177F9" w:rsidRPr="00FC4F6D">
        <w:noBreakHyphen/>
      </w:r>
      <w:r w:rsidR="00F9561E" w:rsidRPr="00FC4F6D">
        <w:t>comers (Population 2) was made on the outcome</w:t>
      </w:r>
      <w:r w:rsidR="00D177F9" w:rsidRPr="00FC4F6D">
        <w:t>s</w:t>
      </w:r>
      <w:r w:rsidR="00F9561E" w:rsidRPr="00FC4F6D">
        <w:t xml:space="preserve"> of OS and PFS.</w:t>
      </w:r>
      <w:r w:rsidR="006F6DCB" w:rsidRPr="00FC4F6D">
        <w:t xml:space="preserve"> </w:t>
      </w:r>
    </w:p>
    <w:p w14:paraId="2B59ABAC" w14:textId="2EF9E85C" w:rsidR="00862502" w:rsidRPr="00FC4F6D" w:rsidRDefault="00A73134" w:rsidP="00FC4F6D">
      <w:pPr>
        <w:pStyle w:val="3-BodyText"/>
      </w:pPr>
      <w:r w:rsidRPr="00FC4F6D">
        <w:t xml:space="preserve">Details of the trial presented in the submission are provided in </w:t>
      </w:r>
      <w:r w:rsidR="00696EF9" w:rsidRPr="00FC4F6D">
        <w:fldChar w:fldCharType="begin" w:fldLock="1"/>
      </w:r>
      <w:r w:rsidR="00696EF9" w:rsidRPr="00FC4F6D">
        <w:instrText xml:space="preserve"> REF _Ref104803956 \h </w:instrText>
      </w:r>
      <w:r w:rsidR="00FC4F6D">
        <w:instrText xml:space="preserve"> \* MERGEFORMAT </w:instrText>
      </w:r>
      <w:r w:rsidR="00696EF9" w:rsidRPr="00FC4F6D">
        <w:fldChar w:fldCharType="separate"/>
      </w:r>
      <w:r w:rsidR="00B62E71" w:rsidRPr="000A33D2">
        <w:t xml:space="preserve">Table </w:t>
      </w:r>
      <w:r w:rsidR="00B62E71">
        <w:t>2</w:t>
      </w:r>
      <w:r w:rsidR="00696EF9" w:rsidRPr="00FC4F6D">
        <w:fldChar w:fldCharType="end"/>
      </w:r>
      <w:r w:rsidRPr="00FC4F6D">
        <w:t>.</w:t>
      </w:r>
      <w:r w:rsidR="00BC591F" w:rsidRPr="00FC4F6D">
        <w:t xml:space="preserve"> </w:t>
      </w:r>
    </w:p>
    <w:p w14:paraId="7DE3A286" w14:textId="3FC5508C" w:rsidR="008E0D3C" w:rsidRPr="000A33D2" w:rsidRDefault="00696EF9" w:rsidP="002E4F02">
      <w:pPr>
        <w:pStyle w:val="TableFigureHeading"/>
        <w:rPr>
          <w:rStyle w:val="CommentReference"/>
          <w:b/>
          <w:szCs w:val="24"/>
        </w:rPr>
      </w:pPr>
      <w:bookmarkStart w:id="22" w:name="_Ref104803956"/>
      <w:r w:rsidRPr="000A33D2">
        <w:lastRenderedPageBreak/>
        <w:t xml:space="preserve">Table </w:t>
      </w:r>
      <w:r>
        <w:fldChar w:fldCharType="begin" w:fldLock="1"/>
      </w:r>
      <w:r>
        <w:instrText>SEQ Table \* ARABIC</w:instrText>
      </w:r>
      <w:r>
        <w:fldChar w:fldCharType="separate"/>
      </w:r>
      <w:r w:rsidR="00B62E71">
        <w:rPr>
          <w:noProof/>
        </w:rPr>
        <w:t>2</w:t>
      </w:r>
      <w:r>
        <w:fldChar w:fldCharType="end"/>
      </w:r>
      <w:bookmarkEnd w:id="22"/>
      <w:r w:rsidRPr="000A33D2">
        <w:t>:</w:t>
      </w:r>
      <w:r w:rsidR="00BC591F" w:rsidRPr="000A33D2">
        <w:rPr>
          <w:rStyle w:val="CommentReference"/>
          <w:b/>
          <w:szCs w:val="24"/>
        </w:rPr>
        <w:t xml:space="preserve"> </w:t>
      </w:r>
      <w:r w:rsidR="008E0D3C" w:rsidRPr="000A33D2">
        <w:rPr>
          <w:rStyle w:val="CommentReference"/>
          <w:b/>
          <w:szCs w:val="24"/>
        </w:rPr>
        <w:t>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3"/>
        <w:gridCol w:w="6191"/>
        <w:gridCol w:w="2123"/>
      </w:tblGrid>
      <w:tr w:rsidR="009665E1" w:rsidRPr="000A33D2" w14:paraId="48879F93" w14:textId="77777777" w:rsidTr="009D0EA2">
        <w:trPr>
          <w:tblHeader/>
        </w:trPr>
        <w:tc>
          <w:tcPr>
            <w:tcW w:w="390" w:type="pct"/>
            <w:tcBorders>
              <w:bottom w:val="single" w:sz="4" w:space="0" w:color="auto"/>
            </w:tcBorders>
            <w:vAlign w:val="center"/>
          </w:tcPr>
          <w:p w14:paraId="56EC4545" w14:textId="77777777" w:rsidR="009665E1" w:rsidRPr="000A33D2" w:rsidRDefault="009665E1" w:rsidP="009D0EA2">
            <w:pPr>
              <w:pStyle w:val="In-tableHeading"/>
              <w:jc w:val="center"/>
              <w:rPr>
                <w:lang w:val="en-AU"/>
              </w:rPr>
            </w:pPr>
            <w:r w:rsidRPr="000A33D2">
              <w:rPr>
                <w:lang w:val="en-AU"/>
              </w:rPr>
              <w:t>Trial ID</w:t>
            </w:r>
          </w:p>
        </w:tc>
        <w:tc>
          <w:tcPr>
            <w:tcW w:w="3432" w:type="pct"/>
            <w:tcBorders>
              <w:bottom w:val="single" w:sz="4" w:space="0" w:color="auto"/>
            </w:tcBorders>
            <w:vAlign w:val="center"/>
          </w:tcPr>
          <w:p w14:paraId="412A5DA1" w14:textId="77777777" w:rsidR="009665E1" w:rsidRPr="000A33D2" w:rsidRDefault="009665E1" w:rsidP="009D0EA2">
            <w:pPr>
              <w:pStyle w:val="In-tableHeading"/>
              <w:jc w:val="center"/>
              <w:rPr>
                <w:lang w:val="en-AU"/>
              </w:rPr>
            </w:pPr>
            <w:r w:rsidRPr="000A33D2">
              <w:rPr>
                <w:lang w:val="en-AU"/>
              </w:rPr>
              <w:t>Protocol title/ Publication title</w:t>
            </w:r>
          </w:p>
        </w:tc>
        <w:tc>
          <w:tcPr>
            <w:tcW w:w="1177" w:type="pct"/>
            <w:tcBorders>
              <w:bottom w:val="single" w:sz="4" w:space="0" w:color="auto"/>
            </w:tcBorders>
            <w:vAlign w:val="center"/>
          </w:tcPr>
          <w:p w14:paraId="1156C31B" w14:textId="77777777" w:rsidR="009665E1" w:rsidRPr="000A33D2" w:rsidRDefault="009665E1" w:rsidP="009D0EA2">
            <w:pPr>
              <w:pStyle w:val="In-tableHeading"/>
              <w:jc w:val="center"/>
              <w:rPr>
                <w:lang w:val="en-AU"/>
              </w:rPr>
            </w:pPr>
            <w:r w:rsidRPr="000A33D2">
              <w:rPr>
                <w:lang w:val="en-AU"/>
              </w:rPr>
              <w:t>Publication citation</w:t>
            </w:r>
          </w:p>
        </w:tc>
      </w:tr>
      <w:tr w:rsidR="009665E1" w:rsidRPr="000A33D2" w14:paraId="55661AFC" w14:textId="77777777" w:rsidTr="009D0EA2">
        <w:tc>
          <w:tcPr>
            <w:tcW w:w="390" w:type="pct"/>
            <w:vMerge w:val="restart"/>
            <w:vAlign w:val="center"/>
          </w:tcPr>
          <w:p w14:paraId="1601B028" w14:textId="77777777" w:rsidR="009665E1" w:rsidRPr="000A33D2" w:rsidRDefault="009665E1" w:rsidP="00DB2B5C">
            <w:pPr>
              <w:pStyle w:val="TableText0"/>
            </w:pPr>
            <w:r w:rsidRPr="000A33D2">
              <w:t>RUBY</w:t>
            </w:r>
          </w:p>
        </w:tc>
        <w:tc>
          <w:tcPr>
            <w:tcW w:w="3432" w:type="pct"/>
            <w:tcBorders>
              <w:top w:val="single" w:sz="4" w:space="0" w:color="auto"/>
              <w:left w:val="single" w:sz="4" w:space="0" w:color="auto"/>
              <w:bottom w:val="nil"/>
              <w:right w:val="single" w:sz="4" w:space="0" w:color="auto"/>
            </w:tcBorders>
            <w:vAlign w:val="center"/>
          </w:tcPr>
          <w:p w14:paraId="59CFBBA2" w14:textId="0D0E6C4A" w:rsidR="009665E1" w:rsidRPr="000A33D2" w:rsidRDefault="009665E1" w:rsidP="009D0EA2">
            <w:pPr>
              <w:jc w:val="left"/>
              <w:rPr>
                <w:rFonts w:ascii="Arial Narrow" w:hAnsi="Arial Narrow"/>
                <w:sz w:val="20"/>
                <w:szCs w:val="20"/>
              </w:rPr>
            </w:pPr>
            <w:r w:rsidRPr="000A33D2">
              <w:rPr>
                <w:rFonts w:ascii="Arial Narrow" w:hAnsi="Arial Narrow"/>
                <w:sz w:val="20"/>
                <w:szCs w:val="20"/>
              </w:rPr>
              <w:t>A Phase 3, Randomized, Double-blind, Multicenter Study of Dostarlimab (TSR-042) plus Carboplatin-paclitaxel versus Placebo plus Carboplatin-paclitaxel in Patients with Recurrent or Primary Advanced Endometrial Cancer (RUBY)</w:t>
            </w:r>
          </w:p>
        </w:tc>
        <w:tc>
          <w:tcPr>
            <w:tcW w:w="1177" w:type="pct"/>
            <w:tcBorders>
              <w:top w:val="single" w:sz="4" w:space="0" w:color="auto"/>
              <w:left w:val="single" w:sz="4" w:space="0" w:color="auto"/>
              <w:bottom w:val="nil"/>
              <w:right w:val="single" w:sz="4" w:space="0" w:color="auto"/>
            </w:tcBorders>
            <w:vAlign w:val="center"/>
          </w:tcPr>
          <w:p w14:paraId="115E0C2C"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 xml:space="preserve">Clinical study report. </w:t>
            </w:r>
          </w:p>
          <w:p w14:paraId="6005B10D"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7 March 2023</w:t>
            </w:r>
          </w:p>
        </w:tc>
      </w:tr>
      <w:tr w:rsidR="009665E1" w:rsidRPr="000A33D2" w14:paraId="64E81945" w14:textId="77777777" w:rsidTr="009D0EA2">
        <w:tc>
          <w:tcPr>
            <w:tcW w:w="390" w:type="pct"/>
            <w:vMerge/>
            <w:vAlign w:val="center"/>
          </w:tcPr>
          <w:p w14:paraId="49261887"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5587CADC"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A Phase 3, Randomized, Double-blind, Multicenter Study of Dostarlimab (TSR-042) plus Carboplatin-paclitaxel versus Placebo plus Carboplatin-paclitaxel in Patients with Recurrent or Primary Advanced Endometrial Cancer (RUBY)</w:t>
            </w:r>
          </w:p>
        </w:tc>
        <w:tc>
          <w:tcPr>
            <w:tcW w:w="1177" w:type="pct"/>
            <w:tcBorders>
              <w:top w:val="nil"/>
              <w:left w:val="single" w:sz="4" w:space="0" w:color="auto"/>
              <w:bottom w:val="nil"/>
              <w:right w:val="single" w:sz="4" w:space="0" w:color="auto"/>
            </w:tcBorders>
            <w:vAlign w:val="center"/>
          </w:tcPr>
          <w:p w14:paraId="557E2F44" w14:textId="5DFA5AD3" w:rsidR="009665E1" w:rsidRPr="000A33D2" w:rsidRDefault="009665E1" w:rsidP="009D0EA2">
            <w:pPr>
              <w:jc w:val="left"/>
              <w:rPr>
                <w:rFonts w:ascii="Arial Narrow" w:hAnsi="Arial Narrow"/>
                <w:sz w:val="20"/>
                <w:szCs w:val="20"/>
              </w:rPr>
            </w:pPr>
            <w:r w:rsidRPr="000A33D2">
              <w:rPr>
                <w:rFonts w:ascii="Arial Narrow" w:hAnsi="Arial Narrow"/>
                <w:sz w:val="20"/>
                <w:szCs w:val="20"/>
              </w:rPr>
              <w:t>Clinical study protocol v4.0</w:t>
            </w:r>
            <w:r w:rsidR="000A33D2">
              <w:rPr>
                <w:rFonts w:ascii="Arial Narrow" w:hAnsi="Arial Narrow"/>
                <w:sz w:val="20"/>
                <w:szCs w:val="20"/>
              </w:rPr>
              <w:t xml:space="preserve">. </w:t>
            </w:r>
            <w:r w:rsidRPr="000A33D2">
              <w:rPr>
                <w:rFonts w:ascii="Arial Narrow" w:hAnsi="Arial Narrow"/>
                <w:sz w:val="20"/>
                <w:szCs w:val="20"/>
              </w:rPr>
              <w:t>31 March 2022</w:t>
            </w:r>
          </w:p>
        </w:tc>
      </w:tr>
      <w:tr w:rsidR="009665E1" w:rsidRPr="000A33D2" w14:paraId="7EA67D05" w14:textId="77777777" w:rsidTr="009D0EA2">
        <w:tc>
          <w:tcPr>
            <w:tcW w:w="390" w:type="pct"/>
            <w:vMerge/>
            <w:vAlign w:val="center"/>
          </w:tcPr>
          <w:p w14:paraId="371E568A"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21EACA3F" w14:textId="5F9B1BDC" w:rsidR="009665E1" w:rsidRPr="000A33D2" w:rsidRDefault="009665E1" w:rsidP="009D0EA2">
            <w:pPr>
              <w:jc w:val="left"/>
              <w:rPr>
                <w:rFonts w:ascii="Arial Narrow" w:hAnsi="Arial Narrow"/>
                <w:sz w:val="20"/>
                <w:szCs w:val="20"/>
              </w:rPr>
            </w:pPr>
            <w:r w:rsidRPr="000A33D2">
              <w:rPr>
                <w:rFonts w:ascii="Arial Narrow" w:hAnsi="Arial Narrow"/>
                <w:sz w:val="20"/>
                <w:szCs w:val="20"/>
              </w:rPr>
              <w:t xml:space="preserve">Mirza, M. R., Chase, D. M., </w:t>
            </w:r>
            <w:proofErr w:type="spellStart"/>
            <w:r w:rsidRPr="000A33D2">
              <w:rPr>
                <w:rFonts w:ascii="Arial Narrow" w:hAnsi="Arial Narrow"/>
                <w:sz w:val="20"/>
                <w:szCs w:val="20"/>
              </w:rPr>
              <w:t>Slomovitz</w:t>
            </w:r>
            <w:proofErr w:type="spellEnd"/>
            <w:r w:rsidRPr="000A33D2">
              <w:rPr>
                <w:rFonts w:ascii="Arial Narrow" w:hAnsi="Arial Narrow"/>
                <w:sz w:val="20"/>
                <w:szCs w:val="20"/>
              </w:rPr>
              <w:t xml:space="preserve">, B. M. et al. Dostarlimab for Primary Advanced or Recurrent Endometrial Cancer </w:t>
            </w:r>
            <w:hyperlink r:id="rId8" w:history="1">
              <w:r w:rsidRPr="000A33D2">
                <w:rPr>
                  <w:rStyle w:val="Hyperlink"/>
                  <w:rFonts w:ascii="Arial Narrow" w:hAnsi="Arial Narrow"/>
                  <w:sz w:val="20"/>
                  <w:szCs w:val="20"/>
                </w:rPr>
                <w:t>https://doi.org/10.1056/NEJMoa2216334</w:t>
              </w:r>
            </w:hyperlink>
            <w:r w:rsidRPr="000A33D2">
              <w:rPr>
                <w:rFonts w:ascii="Arial Narrow" w:hAnsi="Arial Narrow"/>
                <w:sz w:val="20"/>
                <w:szCs w:val="20"/>
              </w:rPr>
              <w:t xml:space="preserve"> </w:t>
            </w:r>
            <w:r w:rsidRPr="000A33D2">
              <w:rPr>
                <w:rFonts w:ascii="Arial Narrow" w:hAnsi="Arial Narrow"/>
                <w:sz w:val="20"/>
                <w:szCs w:val="20"/>
              </w:rPr>
              <w:fldChar w:fldCharType="begin" w:fldLock="1">
                <w:fldData xml:space="preserve">PEVuZE5vdGU+PENpdGUgSGlkZGVuPSIxIj48QXV0aG9yPk1pcnphPC9BdXRob3I+PFllYXI+MjAy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</w:fldData>
              </w:fldChar>
            </w:r>
            <w:r w:rsidRPr="000A33D2">
              <w:rPr>
                <w:rFonts w:ascii="Arial Narrow" w:hAnsi="Arial Narrow"/>
                <w:sz w:val="20"/>
                <w:szCs w:val="20"/>
              </w:rPr>
              <w:instrText xml:space="preserve"> ADDIN EN.CITE </w:instrText>
            </w:r>
            <w:r w:rsidRPr="000A33D2">
              <w:rPr>
                <w:rFonts w:ascii="Arial Narrow" w:hAnsi="Arial Narrow"/>
                <w:sz w:val="20"/>
                <w:szCs w:val="20"/>
              </w:rPr>
              <w:fldChar w:fldCharType="begin" w:fldLock="1">
                <w:fldData xml:space="preserve">PEVuZE5vdGU+PENpdGUgSGlkZGVuPSIxIj48QXV0aG9yPk1pcnphPC9BdXRob3I+PFllYXI+MjAy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</w:fldData>
              </w:fldChar>
            </w:r>
            <w:r w:rsidRPr="000A33D2">
              <w:rPr>
                <w:rFonts w:ascii="Arial Narrow" w:hAnsi="Arial Narrow"/>
                <w:sz w:val="20"/>
                <w:szCs w:val="20"/>
              </w:rPr>
              <w:instrText xml:space="preserve"> ADDIN EN.CITE.DATA </w:instrText>
            </w:r>
            <w:r w:rsidRPr="000A33D2">
              <w:rPr>
                <w:rFonts w:ascii="Arial Narrow" w:hAnsi="Arial Narrow"/>
                <w:sz w:val="20"/>
                <w:szCs w:val="20"/>
              </w:rPr>
            </w:r>
            <w:r w:rsidRPr="000A33D2">
              <w:rPr>
                <w:rFonts w:ascii="Arial Narrow" w:hAnsi="Arial Narrow"/>
                <w:sz w:val="20"/>
                <w:szCs w:val="20"/>
              </w:rPr>
              <w:fldChar w:fldCharType="end"/>
            </w:r>
            <w:r w:rsidRPr="000A33D2">
              <w:rPr>
                <w:rFonts w:ascii="Arial Narrow" w:hAnsi="Arial Narrow"/>
                <w:sz w:val="20"/>
                <w:szCs w:val="20"/>
              </w:rPr>
            </w:r>
            <w:r w:rsidRPr="000A33D2">
              <w:rPr>
                <w:rFonts w:ascii="Arial Narrow" w:hAnsi="Arial Narrow"/>
                <w:sz w:val="20"/>
                <w:szCs w:val="20"/>
              </w:rPr>
              <w:fldChar w:fldCharType="end"/>
            </w:r>
          </w:p>
        </w:tc>
        <w:tc>
          <w:tcPr>
            <w:tcW w:w="1177" w:type="pct"/>
            <w:tcBorders>
              <w:top w:val="nil"/>
              <w:left w:val="single" w:sz="4" w:space="0" w:color="auto"/>
              <w:bottom w:val="nil"/>
              <w:right w:val="single" w:sz="4" w:space="0" w:color="auto"/>
            </w:tcBorders>
            <w:vAlign w:val="center"/>
          </w:tcPr>
          <w:p w14:paraId="6AC76625" w14:textId="77777777" w:rsidR="009665E1" w:rsidRPr="000A33D2" w:rsidRDefault="009665E1" w:rsidP="009D0EA2">
            <w:pPr>
              <w:jc w:val="left"/>
              <w:rPr>
                <w:rFonts w:ascii="Arial Narrow" w:hAnsi="Arial Narrow"/>
                <w:sz w:val="20"/>
                <w:szCs w:val="20"/>
              </w:rPr>
            </w:pPr>
            <w:r w:rsidRPr="000A33D2">
              <w:rPr>
                <w:rFonts w:ascii="Arial Narrow" w:hAnsi="Arial Narrow"/>
                <w:i/>
                <w:iCs/>
                <w:sz w:val="20"/>
                <w:szCs w:val="20"/>
              </w:rPr>
              <w:t xml:space="preserve">N Engl J Med </w:t>
            </w:r>
            <w:r w:rsidRPr="000A33D2">
              <w:rPr>
                <w:rFonts w:ascii="Arial Narrow" w:hAnsi="Arial Narrow"/>
                <w:sz w:val="20"/>
                <w:szCs w:val="20"/>
              </w:rPr>
              <w:t xml:space="preserve">2023; 388: 2145-2158 </w:t>
            </w:r>
          </w:p>
        </w:tc>
      </w:tr>
      <w:tr w:rsidR="009665E1" w:rsidRPr="000A33D2" w14:paraId="4AE8B012" w14:textId="77777777" w:rsidTr="009D0EA2">
        <w:tc>
          <w:tcPr>
            <w:tcW w:w="390" w:type="pct"/>
            <w:vMerge/>
            <w:vAlign w:val="center"/>
          </w:tcPr>
          <w:p w14:paraId="54171217"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141DDE24" w14:textId="7D5D1DA8" w:rsidR="009665E1" w:rsidRPr="000A33D2" w:rsidRDefault="009665E1" w:rsidP="009D0EA2">
            <w:pPr>
              <w:jc w:val="left"/>
              <w:rPr>
                <w:rFonts w:ascii="Arial Narrow" w:hAnsi="Arial Narrow"/>
                <w:sz w:val="20"/>
                <w:szCs w:val="20"/>
              </w:rPr>
            </w:pPr>
            <w:r w:rsidRPr="000A33D2">
              <w:rPr>
                <w:rFonts w:ascii="Arial Narrow" w:hAnsi="Arial Narrow"/>
                <w:sz w:val="20"/>
                <w:szCs w:val="20"/>
              </w:rPr>
              <w:t>Hanker, L., Mirza, M. R., Coleman, R. L. et al. ENGOT-EN6/GOG-3031/NSGO-RUBY: A phase 3, randomized, double-blind, multicenter study of dostarlimab + carboplatin-paclitaxel versus placebo + carboplatin-paclitaxel in recurrent or primary advanced endometrial cancer (EC).</w:t>
            </w:r>
          </w:p>
        </w:tc>
        <w:tc>
          <w:tcPr>
            <w:tcW w:w="1177" w:type="pct"/>
            <w:tcBorders>
              <w:top w:val="nil"/>
              <w:left w:val="single" w:sz="4" w:space="0" w:color="auto"/>
              <w:bottom w:val="nil"/>
              <w:right w:val="single" w:sz="4" w:space="0" w:color="auto"/>
            </w:tcBorders>
            <w:vAlign w:val="center"/>
          </w:tcPr>
          <w:p w14:paraId="58DFC020"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Conference abstract</w:t>
            </w:r>
          </w:p>
          <w:p w14:paraId="1ADA7C8B" w14:textId="77777777" w:rsidR="009665E1" w:rsidRPr="000A33D2" w:rsidRDefault="009665E1" w:rsidP="009D0EA2">
            <w:pPr>
              <w:jc w:val="left"/>
              <w:rPr>
                <w:rFonts w:ascii="Arial Narrow" w:hAnsi="Arial Narrow"/>
                <w:sz w:val="20"/>
                <w:szCs w:val="20"/>
              </w:rPr>
            </w:pPr>
            <w:r w:rsidRPr="000A33D2">
              <w:rPr>
                <w:rFonts w:ascii="Arial Narrow" w:hAnsi="Arial Narrow"/>
                <w:i/>
                <w:iCs/>
                <w:sz w:val="20"/>
                <w:szCs w:val="20"/>
              </w:rPr>
              <w:t>Oncology Research and Treatment</w:t>
            </w:r>
            <w:r w:rsidRPr="000A33D2">
              <w:rPr>
                <w:rFonts w:ascii="Arial Narrow" w:hAnsi="Arial Narrow"/>
                <w:sz w:val="20"/>
                <w:szCs w:val="20"/>
              </w:rPr>
              <w:t xml:space="preserve"> 2020, 43:122</w:t>
            </w:r>
          </w:p>
        </w:tc>
      </w:tr>
      <w:tr w:rsidR="009665E1" w:rsidRPr="000A33D2" w14:paraId="5D61D096" w14:textId="77777777" w:rsidTr="009D0EA2">
        <w:tc>
          <w:tcPr>
            <w:tcW w:w="390" w:type="pct"/>
            <w:vMerge/>
            <w:vAlign w:val="center"/>
          </w:tcPr>
          <w:p w14:paraId="5BB778A1"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289BAD61" w14:textId="48CAF215" w:rsidR="009665E1" w:rsidRPr="000A33D2" w:rsidRDefault="009665E1" w:rsidP="009D0EA2">
            <w:pPr>
              <w:jc w:val="left"/>
              <w:rPr>
                <w:rFonts w:ascii="Arial Narrow" w:hAnsi="Arial Narrow"/>
                <w:sz w:val="20"/>
                <w:szCs w:val="20"/>
              </w:rPr>
            </w:pPr>
            <w:r w:rsidRPr="000A33D2">
              <w:rPr>
                <w:rFonts w:ascii="Arial Narrow" w:hAnsi="Arial Narrow"/>
                <w:sz w:val="20"/>
                <w:szCs w:val="20"/>
              </w:rPr>
              <w:t>Mirza, M. R., Coleman, R. L., Hanker, L. C. et al. ENGOT-EN6/NSGO-RUBY: A phase III, randomized, double</w:t>
            </w:r>
            <w:r w:rsidR="002300E6" w:rsidRPr="000A33D2">
              <w:rPr>
                <w:rFonts w:ascii="Arial Narrow" w:hAnsi="Arial Narrow"/>
                <w:sz w:val="20"/>
                <w:szCs w:val="20"/>
              </w:rPr>
              <w:t>-</w:t>
            </w:r>
            <w:r w:rsidRPr="000A33D2">
              <w:rPr>
                <w:rFonts w:ascii="Arial Narrow" w:hAnsi="Arial Narrow"/>
                <w:sz w:val="20"/>
                <w:szCs w:val="20"/>
              </w:rPr>
              <w:t>blind, multicenter study of dostarlimab + carboplatin</w:t>
            </w:r>
            <w:r w:rsidR="001968CE" w:rsidRPr="000A33D2">
              <w:rPr>
                <w:rFonts w:ascii="Arial Narrow" w:hAnsi="Arial Narrow"/>
                <w:sz w:val="20"/>
                <w:szCs w:val="20"/>
              </w:rPr>
              <w:t>-</w:t>
            </w:r>
            <w:r w:rsidRPr="000A33D2">
              <w:rPr>
                <w:rFonts w:ascii="Arial Narrow" w:hAnsi="Arial Narrow"/>
                <w:sz w:val="20"/>
                <w:szCs w:val="20"/>
              </w:rPr>
              <w:t>paclitaxel versus placebo + carboplatin-paclitaxel in recurrent or primary advanced endometrial cancer (EC).</w:t>
            </w:r>
          </w:p>
        </w:tc>
        <w:tc>
          <w:tcPr>
            <w:tcW w:w="1177" w:type="pct"/>
            <w:tcBorders>
              <w:top w:val="nil"/>
              <w:left w:val="single" w:sz="4" w:space="0" w:color="auto"/>
              <w:bottom w:val="nil"/>
              <w:right w:val="single" w:sz="4" w:space="0" w:color="auto"/>
            </w:tcBorders>
            <w:vAlign w:val="center"/>
          </w:tcPr>
          <w:p w14:paraId="7757237F"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Conference abstract</w:t>
            </w:r>
          </w:p>
          <w:p w14:paraId="64F9C75B" w14:textId="77777777" w:rsidR="009665E1" w:rsidRPr="000A33D2" w:rsidRDefault="009665E1" w:rsidP="009D0EA2">
            <w:pPr>
              <w:jc w:val="left"/>
              <w:rPr>
                <w:rFonts w:ascii="Arial Narrow" w:hAnsi="Arial Narrow"/>
                <w:sz w:val="20"/>
                <w:szCs w:val="20"/>
              </w:rPr>
            </w:pPr>
            <w:r w:rsidRPr="000A33D2">
              <w:rPr>
                <w:rFonts w:ascii="Arial Narrow" w:hAnsi="Arial Narrow"/>
                <w:i/>
                <w:iCs/>
                <w:sz w:val="20"/>
                <w:szCs w:val="20"/>
              </w:rPr>
              <w:t xml:space="preserve">Journal of Clinical Oncology </w:t>
            </w:r>
            <w:r w:rsidRPr="000A33D2">
              <w:rPr>
                <w:rFonts w:ascii="Arial Narrow" w:hAnsi="Arial Narrow"/>
                <w:sz w:val="20"/>
                <w:szCs w:val="20"/>
              </w:rPr>
              <w:t>2020, 38(15).</w:t>
            </w:r>
          </w:p>
        </w:tc>
      </w:tr>
      <w:tr w:rsidR="009665E1" w:rsidRPr="000A33D2" w14:paraId="32593E15" w14:textId="77777777" w:rsidTr="009D0EA2">
        <w:tc>
          <w:tcPr>
            <w:tcW w:w="390" w:type="pct"/>
            <w:vMerge/>
            <w:vAlign w:val="center"/>
          </w:tcPr>
          <w:p w14:paraId="0C8C053A"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72B149C6" w14:textId="73BF1B2D" w:rsidR="009665E1" w:rsidRPr="000A33D2" w:rsidRDefault="009665E1" w:rsidP="009D0EA2">
            <w:pPr>
              <w:jc w:val="left"/>
              <w:rPr>
                <w:rFonts w:ascii="Arial Narrow" w:hAnsi="Arial Narrow"/>
                <w:sz w:val="20"/>
                <w:szCs w:val="20"/>
              </w:rPr>
            </w:pPr>
            <w:r w:rsidRPr="000A33D2">
              <w:rPr>
                <w:rFonts w:ascii="Arial Narrow" w:hAnsi="Arial Narrow"/>
                <w:sz w:val="20"/>
                <w:szCs w:val="20"/>
              </w:rPr>
              <w:t>Mirza, M. R., Coleman, R. L., Hanker, L. et al. ENGOT-EN6/GOG-3031/</w:t>
            </w:r>
            <w:proofErr w:type="spellStart"/>
            <w:r w:rsidRPr="000A33D2">
              <w:rPr>
                <w:rFonts w:ascii="Arial Narrow" w:hAnsi="Arial Narrow"/>
                <w:sz w:val="20"/>
                <w:szCs w:val="20"/>
              </w:rPr>
              <w:t>nsgo</w:t>
            </w:r>
            <w:proofErr w:type="spellEnd"/>
            <w:r w:rsidRPr="000A33D2">
              <w:rPr>
                <w:rFonts w:ascii="Arial Narrow" w:hAnsi="Arial Narrow"/>
                <w:sz w:val="20"/>
                <w:szCs w:val="20"/>
              </w:rPr>
              <w:t>-ruby: A phase 3, randomised, double-blind, multicenter study of dostarlimab + carboplatin-paclitaxel versus placebo + carboplatin-paclitaxel in recurrent or primary advanced endometrial cancer (EC).</w:t>
            </w:r>
          </w:p>
        </w:tc>
        <w:tc>
          <w:tcPr>
            <w:tcW w:w="1177" w:type="pct"/>
            <w:tcBorders>
              <w:top w:val="nil"/>
              <w:left w:val="single" w:sz="4" w:space="0" w:color="auto"/>
              <w:bottom w:val="nil"/>
              <w:right w:val="single" w:sz="4" w:space="0" w:color="auto"/>
            </w:tcBorders>
            <w:vAlign w:val="center"/>
          </w:tcPr>
          <w:p w14:paraId="16682A9E"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 xml:space="preserve">Conference abstract </w:t>
            </w:r>
          </w:p>
          <w:p w14:paraId="3537A247" w14:textId="77777777" w:rsidR="009665E1" w:rsidRPr="000A33D2" w:rsidRDefault="009665E1" w:rsidP="009D0EA2">
            <w:pPr>
              <w:jc w:val="left"/>
              <w:rPr>
                <w:rFonts w:ascii="Arial Narrow" w:hAnsi="Arial Narrow"/>
                <w:sz w:val="20"/>
                <w:szCs w:val="20"/>
              </w:rPr>
            </w:pPr>
            <w:r w:rsidRPr="000A33D2">
              <w:rPr>
                <w:rFonts w:ascii="Arial Narrow" w:hAnsi="Arial Narrow"/>
                <w:i/>
                <w:iCs/>
                <w:sz w:val="20"/>
                <w:szCs w:val="20"/>
              </w:rPr>
              <w:t xml:space="preserve">International Journal of </w:t>
            </w:r>
            <w:proofErr w:type="spellStart"/>
            <w:r w:rsidRPr="000A33D2">
              <w:rPr>
                <w:rFonts w:ascii="Arial Narrow" w:hAnsi="Arial Narrow"/>
                <w:i/>
                <w:iCs/>
                <w:sz w:val="20"/>
                <w:szCs w:val="20"/>
              </w:rPr>
              <w:t>Gynecological</w:t>
            </w:r>
            <w:proofErr w:type="spellEnd"/>
            <w:r w:rsidRPr="000A33D2">
              <w:rPr>
                <w:rFonts w:ascii="Arial Narrow" w:hAnsi="Arial Narrow"/>
                <w:i/>
                <w:iCs/>
                <w:sz w:val="20"/>
                <w:szCs w:val="20"/>
              </w:rPr>
              <w:t xml:space="preserve"> Cancer</w:t>
            </w:r>
            <w:r w:rsidRPr="000A33D2">
              <w:rPr>
                <w:rFonts w:ascii="Arial Narrow" w:hAnsi="Arial Narrow"/>
                <w:sz w:val="20"/>
                <w:szCs w:val="20"/>
              </w:rPr>
              <w:t xml:space="preserve"> 2020, 30:A112-A113.</w:t>
            </w:r>
          </w:p>
        </w:tc>
      </w:tr>
      <w:tr w:rsidR="009665E1" w:rsidRPr="000A33D2" w14:paraId="4E882734" w14:textId="77777777" w:rsidTr="009D0EA2">
        <w:tc>
          <w:tcPr>
            <w:tcW w:w="390" w:type="pct"/>
            <w:vMerge/>
            <w:vAlign w:val="center"/>
          </w:tcPr>
          <w:p w14:paraId="24AF7FA0"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7BBFE85A"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NCT03981796. A Study of Dostarlimab (TSR-042) Plus Carboplatin-paclitaxel Versus Placebo Plus Carboplatin-paclitaxel in Patients With Recurrent or Primary Advanced Endometrial Cancer.</w:t>
            </w:r>
          </w:p>
        </w:tc>
        <w:tc>
          <w:tcPr>
            <w:tcW w:w="1177" w:type="pct"/>
            <w:tcBorders>
              <w:top w:val="nil"/>
              <w:left w:val="single" w:sz="4" w:space="0" w:color="auto"/>
              <w:bottom w:val="nil"/>
              <w:right w:val="single" w:sz="4" w:space="0" w:color="auto"/>
            </w:tcBorders>
            <w:vAlign w:val="center"/>
          </w:tcPr>
          <w:p w14:paraId="0C41ACA0"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NCT record 2019</w:t>
            </w:r>
          </w:p>
        </w:tc>
      </w:tr>
      <w:tr w:rsidR="009665E1" w:rsidRPr="000A33D2" w14:paraId="22604F9E" w14:textId="77777777" w:rsidTr="009D0EA2">
        <w:tc>
          <w:tcPr>
            <w:tcW w:w="390" w:type="pct"/>
            <w:vMerge/>
            <w:vAlign w:val="center"/>
          </w:tcPr>
          <w:p w14:paraId="5854CEC1" w14:textId="77777777" w:rsidR="009665E1" w:rsidRPr="000A33D2" w:rsidRDefault="009665E1" w:rsidP="00DB2B5C">
            <w:pPr>
              <w:pStyle w:val="TableText0"/>
            </w:pPr>
          </w:p>
        </w:tc>
        <w:tc>
          <w:tcPr>
            <w:tcW w:w="3432" w:type="pct"/>
            <w:tcBorders>
              <w:top w:val="nil"/>
              <w:left w:val="single" w:sz="4" w:space="0" w:color="auto"/>
              <w:bottom w:val="nil"/>
              <w:right w:val="single" w:sz="4" w:space="0" w:color="auto"/>
            </w:tcBorders>
            <w:vAlign w:val="center"/>
          </w:tcPr>
          <w:p w14:paraId="488CAC49"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EUCTR2019-001576-11-FI. A study to determine whether the addition of Dostarlimab (TSR-042) delays recurrence of advanced endometrial cancer.</w:t>
            </w:r>
          </w:p>
        </w:tc>
        <w:tc>
          <w:tcPr>
            <w:tcW w:w="1177" w:type="pct"/>
            <w:tcBorders>
              <w:top w:val="nil"/>
              <w:left w:val="single" w:sz="4" w:space="0" w:color="auto"/>
              <w:bottom w:val="nil"/>
              <w:right w:val="single" w:sz="4" w:space="0" w:color="auto"/>
            </w:tcBorders>
            <w:vAlign w:val="center"/>
          </w:tcPr>
          <w:p w14:paraId="57BA551E"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EUCTR record 2019</w:t>
            </w:r>
          </w:p>
        </w:tc>
      </w:tr>
      <w:tr w:rsidR="009665E1" w:rsidRPr="000A33D2" w14:paraId="45B424BF" w14:textId="77777777" w:rsidTr="009D0EA2">
        <w:tc>
          <w:tcPr>
            <w:tcW w:w="390" w:type="pct"/>
            <w:vMerge/>
            <w:tcBorders>
              <w:bottom w:val="single" w:sz="4" w:space="0" w:color="auto"/>
            </w:tcBorders>
            <w:vAlign w:val="center"/>
          </w:tcPr>
          <w:p w14:paraId="63DB3391" w14:textId="77777777" w:rsidR="009665E1" w:rsidRPr="000A33D2" w:rsidRDefault="009665E1" w:rsidP="00DB2B5C">
            <w:pPr>
              <w:pStyle w:val="TableText0"/>
            </w:pPr>
          </w:p>
        </w:tc>
        <w:tc>
          <w:tcPr>
            <w:tcW w:w="3432" w:type="pct"/>
            <w:tcBorders>
              <w:top w:val="nil"/>
              <w:left w:val="single" w:sz="4" w:space="0" w:color="auto"/>
              <w:bottom w:val="single" w:sz="4" w:space="0" w:color="auto"/>
              <w:right w:val="single" w:sz="4" w:space="0" w:color="auto"/>
            </w:tcBorders>
            <w:vAlign w:val="center"/>
          </w:tcPr>
          <w:p w14:paraId="6B563357"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EUCTR2019-001576-11-HU. A Phase 3, Randomized, Double-blind, Multicenter Study of Dostarlimab (TSR-042) plus Carboplatin-paclitaxel versus Placebo Plus Carboplatin-paclitaxel in Patients with Recurrent or Primary Advanced Endometrial Cancer (RUBY)—RUBY.</w:t>
            </w:r>
          </w:p>
        </w:tc>
        <w:tc>
          <w:tcPr>
            <w:tcW w:w="1177" w:type="pct"/>
            <w:tcBorders>
              <w:top w:val="nil"/>
              <w:left w:val="single" w:sz="4" w:space="0" w:color="auto"/>
              <w:bottom w:val="single" w:sz="4" w:space="0" w:color="auto"/>
              <w:right w:val="single" w:sz="4" w:space="0" w:color="auto"/>
            </w:tcBorders>
            <w:vAlign w:val="center"/>
          </w:tcPr>
          <w:p w14:paraId="64FC7F7F" w14:textId="77777777" w:rsidR="009665E1" w:rsidRPr="000A33D2" w:rsidRDefault="009665E1" w:rsidP="009D0EA2">
            <w:pPr>
              <w:jc w:val="left"/>
              <w:rPr>
                <w:rFonts w:ascii="Arial Narrow" w:hAnsi="Arial Narrow"/>
                <w:sz w:val="20"/>
                <w:szCs w:val="20"/>
              </w:rPr>
            </w:pPr>
            <w:r w:rsidRPr="000A33D2">
              <w:rPr>
                <w:rFonts w:ascii="Arial Narrow" w:hAnsi="Arial Narrow"/>
                <w:sz w:val="20"/>
                <w:szCs w:val="20"/>
              </w:rPr>
              <w:t>EUCTR record 2019</w:t>
            </w:r>
          </w:p>
        </w:tc>
      </w:tr>
    </w:tbl>
    <w:p w14:paraId="51D8173A" w14:textId="3D62AA78" w:rsidR="008E0D3C" w:rsidRPr="000A33D2" w:rsidRDefault="008E0D3C" w:rsidP="00CB5959">
      <w:pPr>
        <w:pStyle w:val="TableFooter"/>
        <w:spacing w:after="120"/>
        <w:rPr>
          <w:sz w:val="20"/>
        </w:rPr>
      </w:pPr>
      <w:r w:rsidRPr="000A33D2">
        <w:t xml:space="preserve">Source: </w:t>
      </w:r>
      <w:r w:rsidR="00070FE6" w:rsidRPr="000A33D2">
        <w:t>Table 14, p43 of the submission.</w:t>
      </w:r>
    </w:p>
    <w:p w14:paraId="7FCF1951" w14:textId="33E7A17F" w:rsidR="00DC5000" w:rsidRPr="000A33D2" w:rsidRDefault="00DC5000" w:rsidP="00DC5000">
      <w:pPr>
        <w:pStyle w:val="3-BodyText"/>
      </w:pPr>
      <w:r w:rsidRPr="000A33D2">
        <w:t>RUBY is an ongoing phase 3</w:t>
      </w:r>
      <w:r w:rsidR="00F50D2C" w:rsidRPr="000A33D2">
        <w:t xml:space="preserve"> trial</w:t>
      </w:r>
      <w:r w:rsidR="00AA5908" w:rsidRPr="000A33D2">
        <w:t xml:space="preserve"> consisting of two parts. Part 1 aimed to evaluate the efficacy and safety of treatment with DOS+CP </w:t>
      </w:r>
      <w:r w:rsidR="001968CE" w:rsidRPr="000A33D2">
        <w:t xml:space="preserve">and </w:t>
      </w:r>
      <w:r w:rsidR="002300E6" w:rsidRPr="000A33D2">
        <w:t xml:space="preserve">PBO+CP </w:t>
      </w:r>
      <w:r w:rsidR="00AA5908" w:rsidRPr="000A33D2">
        <w:t>in patients with A/R EC</w:t>
      </w:r>
      <w:r w:rsidR="009721D0" w:rsidRPr="000A33D2">
        <w:t xml:space="preserve">. </w:t>
      </w:r>
      <w:r w:rsidR="00A770B2" w:rsidRPr="000A33D2">
        <w:t>In part 1, e</w:t>
      </w:r>
      <w:r w:rsidRPr="000A33D2">
        <w:t>ligible patients were randomised in a 1:1 ratio to the following treatment arms:</w:t>
      </w:r>
    </w:p>
    <w:p w14:paraId="470B2D59" w14:textId="206BBF09" w:rsidR="00DC5000" w:rsidRPr="000A33D2" w:rsidRDefault="00DC5000" w:rsidP="00FC4F6D">
      <w:pPr>
        <w:pStyle w:val="3-BodyText"/>
        <w:numPr>
          <w:ilvl w:val="0"/>
          <w:numId w:val="12"/>
        </w:numPr>
        <w:ind w:left="1134"/>
      </w:pPr>
      <w:r w:rsidRPr="000A33D2">
        <w:t>Arm 1: DOS intravenous (IV) in combination with CP every 3 weeks (Q3W) for 6</w:t>
      </w:r>
      <w:r w:rsidR="00CB5959">
        <w:t> </w:t>
      </w:r>
      <w:r w:rsidRPr="000A33D2">
        <w:t>cycles; followed by DOS IV every 6 weeks (Q6W), referred to as the DOS+CP arm; or</w:t>
      </w:r>
    </w:p>
    <w:p w14:paraId="64A7B62C" w14:textId="0ED28A33" w:rsidR="00DC5000" w:rsidRPr="000A33D2" w:rsidRDefault="00DC5000" w:rsidP="00FC4F6D">
      <w:pPr>
        <w:pStyle w:val="3-BodyText"/>
        <w:numPr>
          <w:ilvl w:val="0"/>
          <w:numId w:val="12"/>
        </w:numPr>
        <w:ind w:left="1134"/>
      </w:pPr>
      <w:r w:rsidRPr="000A33D2">
        <w:t>Arm 2: PBO IV in combination with CP Q3W for 6 cycles; followed by PBO IV Q6W, referred to as the PBO+CP arm.</w:t>
      </w:r>
    </w:p>
    <w:p w14:paraId="1230929B" w14:textId="77777777" w:rsidR="00A770B2" w:rsidRPr="000A33D2" w:rsidRDefault="00A770B2" w:rsidP="00A770B2">
      <w:pPr>
        <w:pStyle w:val="3-BodyText"/>
        <w:numPr>
          <w:ilvl w:val="0"/>
          <w:numId w:val="0"/>
        </w:numPr>
        <w:ind w:left="720"/>
      </w:pPr>
      <w:r w:rsidRPr="000A33D2">
        <w:t>Part 2 aimed to evaluate the efficacy and safety of treatment with DOS+CP followed by DOS plus niraparib (Arm 3) versus treatment with PBO+CP followed by double PBO (Arm 4) in patients with A/R EC. Only part 1 of RUBY was included in the submission, as part 2 included treatment with niraparib, it was not considered relevant.</w:t>
      </w:r>
      <w:r w:rsidRPr="000A33D2">
        <w:rPr>
          <w:i/>
          <w:iCs/>
        </w:rPr>
        <w:t xml:space="preserve"> </w:t>
      </w:r>
    </w:p>
    <w:p w14:paraId="1DD06D7D" w14:textId="436C17D8" w:rsidR="007F1017" w:rsidRPr="000A33D2" w:rsidRDefault="000B4F95" w:rsidP="00EC5836">
      <w:pPr>
        <w:pStyle w:val="3-BodyText"/>
      </w:pPr>
      <w:r w:rsidRPr="000A33D2">
        <w:lastRenderedPageBreak/>
        <w:t xml:space="preserve">The key features of the direct randomised trial are summarised in </w:t>
      </w:r>
      <w:r w:rsidRPr="000A33D2">
        <w:fldChar w:fldCharType="begin" w:fldLock="1"/>
      </w:r>
      <w:r w:rsidRPr="000A33D2">
        <w:instrText xml:space="preserve"> REF _Ref104804098 \h  \* MERGEFORMAT </w:instrText>
      </w:r>
      <w:r w:rsidRPr="000A33D2">
        <w:fldChar w:fldCharType="separate"/>
      </w:r>
      <w:r w:rsidR="00B62E71" w:rsidRPr="00B62E71">
        <w:t>Table 3</w:t>
      </w:r>
      <w:r w:rsidRPr="000A33D2">
        <w:fldChar w:fldCharType="end"/>
      </w:r>
      <w:r w:rsidRPr="000A33D2">
        <w:t xml:space="preserve">. </w:t>
      </w:r>
      <w:r w:rsidR="00F50D2C" w:rsidRPr="000A33D2">
        <w:t xml:space="preserve">RUBY trial data presented in the submission </w:t>
      </w:r>
      <w:r w:rsidR="00DA6E9E" w:rsidRPr="000A33D2">
        <w:t xml:space="preserve">were </w:t>
      </w:r>
      <w:r w:rsidR="00F50D2C" w:rsidRPr="000A33D2">
        <w:t>from the first interim analysis</w:t>
      </w:r>
      <w:r w:rsidRPr="000A33D2">
        <w:t xml:space="preserve"> (data cut off 28</w:t>
      </w:r>
      <w:r w:rsidR="007A3F43">
        <w:t> </w:t>
      </w:r>
      <w:r w:rsidRPr="000A33D2">
        <w:t>September</w:t>
      </w:r>
      <w:r w:rsidR="007A3F43">
        <w:t> </w:t>
      </w:r>
      <w:r w:rsidRPr="000A33D2">
        <w:t>202</w:t>
      </w:r>
      <w:r w:rsidR="002F4F5C" w:rsidRPr="000A33D2">
        <w:t>2</w:t>
      </w:r>
      <w:r w:rsidRPr="000A33D2">
        <w:t>)</w:t>
      </w:r>
      <w:r w:rsidR="00F50D2C" w:rsidRPr="000A33D2">
        <w:t>.</w:t>
      </w:r>
      <w:r w:rsidR="00BC591F" w:rsidRPr="000A33D2">
        <w:t xml:space="preserve"> </w:t>
      </w:r>
    </w:p>
    <w:p w14:paraId="355E2F15" w14:textId="54E593CC" w:rsidR="007F1017" w:rsidRPr="000A33D2" w:rsidRDefault="00696EF9" w:rsidP="00074950">
      <w:pPr>
        <w:pStyle w:val="Caption"/>
        <w:rPr>
          <w:rStyle w:val="CommentReference"/>
          <w:rFonts w:eastAsiaTheme="majorEastAsia" w:cstheme="majorBidi"/>
          <w:b/>
          <w:szCs w:val="24"/>
        </w:rPr>
      </w:pPr>
      <w:bookmarkStart w:id="23" w:name="_Ref104804098"/>
      <w:r w:rsidRPr="000A33D2">
        <w:rPr>
          <w:rStyle w:val="CommentReference"/>
          <w:rFonts w:eastAsiaTheme="majorEastAsia" w:cstheme="majorBidi"/>
          <w:b/>
          <w:szCs w:val="24"/>
        </w:rPr>
        <w:t xml:space="preserve">Table </w:t>
      </w:r>
      <w:r w:rsidRPr="000A33D2">
        <w:rPr>
          <w:rStyle w:val="CommentReference"/>
          <w:rFonts w:eastAsiaTheme="majorEastAsia" w:cstheme="majorBidi"/>
          <w:b/>
          <w:szCs w:val="24"/>
        </w:rPr>
        <w:fldChar w:fldCharType="begin" w:fldLock="1"/>
      </w:r>
      <w:r w:rsidRPr="000A33D2">
        <w:rPr>
          <w:rStyle w:val="CommentReference"/>
          <w:rFonts w:eastAsiaTheme="majorEastAsia" w:cstheme="majorBidi"/>
          <w:b/>
          <w:szCs w:val="24"/>
        </w:rPr>
        <w:instrText xml:space="preserve"> SEQ Table \* ARABIC </w:instrText>
      </w:r>
      <w:r w:rsidRPr="000A33D2">
        <w:rPr>
          <w:rStyle w:val="CommentReference"/>
          <w:rFonts w:eastAsiaTheme="majorEastAsia" w:cstheme="majorBidi"/>
          <w:b/>
          <w:szCs w:val="24"/>
        </w:rPr>
        <w:fldChar w:fldCharType="separate"/>
      </w:r>
      <w:r w:rsidR="00B62E71">
        <w:rPr>
          <w:rStyle w:val="CommentReference"/>
          <w:rFonts w:eastAsiaTheme="majorEastAsia" w:cstheme="majorBidi"/>
          <w:b/>
          <w:noProof/>
          <w:szCs w:val="24"/>
        </w:rPr>
        <w:t>3</w:t>
      </w:r>
      <w:r w:rsidRPr="000A33D2">
        <w:rPr>
          <w:rStyle w:val="CommentReference"/>
          <w:rFonts w:eastAsiaTheme="majorEastAsia" w:cstheme="majorBidi"/>
          <w:b/>
          <w:szCs w:val="24"/>
        </w:rPr>
        <w:fldChar w:fldCharType="end"/>
      </w:r>
      <w:bookmarkEnd w:id="23"/>
      <w:r w:rsidR="00D6076E" w:rsidRPr="000A33D2">
        <w:rPr>
          <w:rStyle w:val="CommentReference"/>
          <w:rFonts w:eastAsiaTheme="majorEastAsia" w:cstheme="majorBidi"/>
          <w:b/>
          <w:szCs w:val="24"/>
        </w:rPr>
        <w:t xml:space="preserve">: </w:t>
      </w:r>
      <w:r w:rsidR="007F1017" w:rsidRPr="000A33D2">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562"/>
        <w:gridCol w:w="1104"/>
        <w:gridCol w:w="1122"/>
        <w:gridCol w:w="1693"/>
      </w:tblGrid>
      <w:tr w:rsidR="00B41614" w:rsidRPr="000A33D2" w14:paraId="53DD7CC6" w14:textId="77777777" w:rsidTr="00074950">
        <w:trPr>
          <w:cantSplit/>
          <w:tblHeader/>
        </w:trPr>
        <w:tc>
          <w:tcPr>
            <w:tcW w:w="713" w:type="pct"/>
            <w:shd w:val="clear" w:color="auto" w:fill="auto"/>
            <w:vAlign w:val="center"/>
          </w:tcPr>
          <w:p w14:paraId="794116BC" w14:textId="02647E57" w:rsidR="007F1017" w:rsidRPr="000A33D2" w:rsidRDefault="007F1017" w:rsidP="00074950">
            <w:pPr>
              <w:pStyle w:val="In-tableHeading"/>
              <w:keepLines/>
              <w:rPr>
                <w:lang w:val="en-AU"/>
              </w:rPr>
            </w:pPr>
            <w:r w:rsidRPr="000A33D2">
              <w:rPr>
                <w:lang w:val="en-AU"/>
              </w:rPr>
              <w:t>Trial</w:t>
            </w:r>
            <w:r w:rsidR="002A75F6" w:rsidRPr="000A33D2">
              <w:rPr>
                <w:lang w:val="en-AU"/>
              </w:rPr>
              <w:t xml:space="preserve"> (population)</w:t>
            </w:r>
          </w:p>
        </w:tc>
        <w:tc>
          <w:tcPr>
            <w:tcW w:w="466" w:type="pct"/>
            <w:shd w:val="clear" w:color="auto" w:fill="auto"/>
            <w:vAlign w:val="center"/>
          </w:tcPr>
          <w:p w14:paraId="51122FE5" w14:textId="77777777" w:rsidR="007F1017" w:rsidRPr="000A33D2" w:rsidRDefault="007F1017" w:rsidP="00074950">
            <w:pPr>
              <w:pStyle w:val="In-tableHeading"/>
              <w:keepLines/>
              <w:jc w:val="center"/>
              <w:rPr>
                <w:lang w:val="en-AU"/>
              </w:rPr>
            </w:pPr>
            <w:r w:rsidRPr="000A33D2">
              <w:rPr>
                <w:lang w:val="en-AU"/>
              </w:rPr>
              <w:t>N</w:t>
            </w:r>
          </w:p>
        </w:tc>
        <w:tc>
          <w:tcPr>
            <w:tcW w:w="782" w:type="pct"/>
            <w:shd w:val="clear" w:color="auto" w:fill="auto"/>
            <w:vAlign w:val="center"/>
          </w:tcPr>
          <w:p w14:paraId="41C438EF" w14:textId="0D7E8ED2" w:rsidR="007F1017" w:rsidRPr="000A33D2" w:rsidRDefault="007F1017" w:rsidP="00074950">
            <w:pPr>
              <w:pStyle w:val="In-tableHeading"/>
              <w:keepLines/>
              <w:jc w:val="center"/>
              <w:rPr>
                <w:lang w:val="en-AU"/>
              </w:rPr>
            </w:pPr>
            <w:r w:rsidRPr="000A33D2">
              <w:rPr>
                <w:lang w:val="en-AU"/>
              </w:rPr>
              <w:t xml:space="preserve">Design/ </w:t>
            </w:r>
            <w:r w:rsidR="00074950" w:rsidRPr="000A33D2">
              <w:rPr>
                <w:lang w:val="en-AU"/>
              </w:rPr>
              <w:t xml:space="preserve">median </w:t>
            </w:r>
            <w:r w:rsidR="00A9141F" w:rsidRPr="000A33D2">
              <w:rPr>
                <w:lang w:val="en-AU"/>
              </w:rPr>
              <w:t>follow up</w:t>
            </w:r>
          </w:p>
        </w:tc>
        <w:tc>
          <w:tcPr>
            <w:tcW w:w="866" w:type="pct"/>
            <w:shd w:val="clear" w:color="auto" w:fill="auto"/>
            <w:vAlign w:val="center"/>
          </w:tcPr>
          <w:p w14:paraId="1FC91360" w14:textId="77777777" w:rsidR="007F1017" w:rsidRPr="000A33D2" w:rsidRDefault="007F1017" w:rsidP="00074950">
            <w:pPr>
              <w:pStyle w:val="In-tableHeading"/>
              <w:keepLines/>
              <w:jc w:val="center"/>
              <w:rPr>
                <w:lang w:val="en-AU"/>
              </w:rPr>
            </w:pPr>
            <w:r w:rsidRPr="000A33D2">
              <w:rPr>
                <w:lang w:val="en-AU"/>
              </w:rPr>
              <w:t>Risk of bias</w:t>
            </w:r>
          </w:p>
        </w:tc>
        <w:tc>
          <w:tcPr>
            <w:tcW w:w="612" w:type="pct"/>
            <w:shd w:val="clear" w:color="auto" w:fill="auto"/>
            <w:vAlign w:val="center"/>
          </w:tcPr>
          <w:p w14:paraId="7FF90896" w14:textId="77777777" w:rsidR="007F1017" w:rsidRPr="000A33D2" w:rsidRDefault="007F1017" w:rsidP="00074950">
            <w:pPr>
              <w:pStyle w:val="In-tableHeading"/>
              <w:keepLines/>
              <w:jc w:val="center"/>
              <w:rPr>
                <w:lang w:val="en-AU"/>
              </w:rPr>
            </w:pPr>
            <w:r w:rsidRPr="000A33D2">
              <w:rPr>
                <w:lang w:val="en-AU"/>
              </w:rPr>
              <w:t>Patient population</w:t>
            </w:r>
          </w:p>
        </w:tc>
        <w:tc>
          <w:tcPr>
            <w:tcW w:w="622" w:type="pct"/>
            <w:shd w:val="clear" w:color="auto" w:fill="auto"/>
            <w:vAlign w:val="center"/>
          </w:tcPr>
          <w:p w14:paraId="0FCB63F9" w14:textId="77777777" w:rsidR="007F1017" w:rsidRPr="000A33D2" w:rsidRDefault="007F1017" w:rsidP="00074950">
            <w:pPr>
              <w:pStyle w:val="In-tableHeading"/>
              <w:keepLines/>
              <w:jc w:val="center"/>
              <w:rPr>
                <w:lang w:val="en-AU"/>
              </w:rPr>
            </w:pPr>
            <w:r w:rsidRPr="000A33D2">
              <w:rPr>
                <w:lang w:val="en-AU"/>
              </w:rPr>
              <w:t>Outcome(s)</w:t>
            </w:r>
          </w:p>
        </w:tc>
        <w:tc>
          <w:tcPr>
            <w:tcW w:w="939" w:type="pct"/>
            <w:shd w:val="clear" w:color="auto" w:fill="auto"/>
            <w:vAlign w:val="center"/>
          </w:tcPr>
          <w:p w14:paraId="08C6F624" w14:textId="77777777" w:rsidR="007F1017" w:rsidRPr="000A33D2" w:rsidRDefault="007F1017" w:rsidP="00074950">
            <w:pPr>
              <w:pStyle w:val="In-tableHeading"/>
              <w:keepLines/>
              <w:jc w:val="center"/>
              <w:rPr>
                <w:lang w:val="en-AU"/>
              </w:rPr>
            </w:pPr>
            <w:r w:rsidRPr="000A33D2">
              <w:rPr>
                <w:lang w:val="en-AU"/>
              </w:rPr>
              <w:t>Use in modelled evaluation</w:t>
            </w:r>
          </w:p>
        </w:tc>
      </w:tr>
      <w:tr w:rsidR="007F1017" w:rsidRPr="000A33D2" w14:paraId="2A03CD4B" w14:textId="77777777" w:rsidTr="00B26184">
        <w:trPr>
          <w:cantSplit/>
        </w:trPr>
        <w:tc>
          <w:tcPr>
            <w:tcW w:w="5000" w:type="pct"/>
            <w:gridSpan w:val="7"/>
            <w:shd w:val="clear" w:color="auto" w:fill="auto"/>
            <w:vAlign w:val="center"/>
          </w:tcPr>
          <w:p w14:paraId="73088C85" w14:textId="2F6FD973" w:rsidR="007F1017" w:rsidRPr="000A33D2" w:rsidRDefault="000B4F95" w:rsidP="00074950">
            <w:pPr>
              <w:pStyle w:val="In-tableHeading"/>
              <w:keepLines/>
              <w:rPr>
                <w:lang w:val="en-AU"/>
              </w:rPr>
            </w:pPr>
            <w:r w:rsidRPr="000A33D2">
              <w:rPr>
                <w:lang w:val="en-AU"/>
              </w:rPr>
              <w:t>DOS+CP vs PBO+CP</w:t>
            </w:r>
          </w:p>
        </w:tc>
      </w:tr>
      <w:tr w:rsidR="0037704E" w:rsidRPr="000A33D2" w14:paraId="7CF67144" w14:textId="77777777" w:rsidTr="00074950">
        <w:trPr>
          <w:cantSplit/>
          <w:trHeight w:val="414"/>
        </w:trPr>
        <w:tc>
          <w:tcPr>
            <w:tcW w:w="713" w:type="pct"/>
            <w:tcBorders>
              <w:bottom w:val="single" w:sz="4" w:space="0" w:color="auto"/>
            </w:tcBorders>
            <w:shd w:val="clear" w:color="auto" w:fill="auto"/>
            <w:vAlign w:val="center"/>
          </w:tcPr>
          <w:p w14:paraId="2DC65C36" w14:textId="77777777" w:rsidR="0037704E" w:rsidRPr="000A33D2" w:rsidRDefault="0037704E" w:rsidP="00074950">
            <w:pPr>
              <w:pStyle w:val="TableText0"/>
              <w:keepLines/>
            </w:pPr>
            <w:r w:rsidRPr="000A33D2">
              <w:t xml:space="preserve">RUBY </w:t>
            </w:r>
          </w:p>
          <w:p w14:paraId="366F8196" w14:textId="2DCC43FB" w:rsidR="0037704E" w:rsidRPr="000A33D2" w:rsidRDefault="0037704E" w:rsidP="00074950">
            <w:pPr>
              <w:pStyle w:val="TableText0"/>
              <w:keepLines/>
            </w:pPr>
            <w:r w:rsidRPr="000A33D2">
              <w:t>(all-comers)</w:t>
            </w:r>
          </w:p>
        </w:tc>
        <w:tc>
          <w:tcPr>
            <w:tcW w:w="466" w:type="pct"/>
            <w:tcBorders>
              <w:bottom w:val="single" w:sz="4" w:space="0" w:color="auto"/>
            </w:tcBorders>
            <w:shd w:val="clear" w:color="auto" w:fill="auto"/>
            <w:vAlign w:val="center"/>
          </w:tcPr>
          <w:p w14:paraId="6ECB3513" w14:textId="1058CF26" w:rsidR="0037704E" w:rsidRPr="000A33D2" w:rsidRDefault="0037704E" w:rsidP="00074950">
            <w:pPr>
              <w:pStyle w:val="TableText0"/>
              <w:keepLines/>
              <w:jc w:val="center"/>
            </w:pPr>
            <w:r w:rsidRPr="000A33D2">
              <w:t>494</w:t>
            </w:r>
          </w:p>
        </w:tc>
        <w:tc>
          <w:tcPr>
            <w:tcW w:w="782" w:type="pct"/>
            <w:tcBorders>
              <w:bottom w:val="single" w:sz="4" w:space="0" w:color="auto"/>
            </w:tcBorders>
            <w:shd w:val="clear" w:color="auto" w:fill="auto"/>
            <w:vAlign w:val="center"/>
          </w:tcPr>
          <w:p w14:paraId="3A0FABEA" w14:textId="77777777" w:rsidR="0037704E" w:rsidRPr="000A33D2" w:rsidRDefault="0037704E" w:rsidP="00074950">
            <w:pPr>
              <w:pStyle w:val="TableText0"/>
              <w:keepLines/>
              <w:jc w:val="center"/>
            </w:pPr>
            <w:r w:rsidRPr="000A33D2">
              <w:t>R, DB, MC</w:t>
            </w:r>
          </w:p>
          <w:p w14:paraId="04C01517" w14:textId="0642F1F3" w:rsidR="0037704E" w:rsidRPr="000A33D2" w:rsidRDefault="0037704E" w:rsidP="00074950">
            <w:pPr>
              <w:pStyle w:val="TableText0"/>
              <w:keepLines/>
              <w:jc w:val="center"/>
            </w:pPr>
            <w:r w:rsidRPr="000A33D2">
              <w:t>25.4 mths</w:t>
            </w:r>
          </w:p>
        </w:tc>
        <w:tc>
          <w:tcPr>
            <w:tcW w:w="866" w:type="pct"/>
            <w:tcBorders>
              <w:bottom w:val="single" w:sz="4" w:space="0" w:color="auto"/>
            </w:tcBorders>
            <w:shd w:val="clear" w:color="auto" w:fill="auto"/>
            <w:vAlign w:val="center"/>
          </w:tcPr>
          <w:p w14:paraId="57F5B825" w14:textId="5148A4C2" w:rsidR="0037704E" w:rsidRPr="000A33D2" w:rsidRDefault="0037704E" w:rsidP="00074950">
            <w:pPr>
              <w:pStyle w:val="TableText0"/>
              <w:keepLines/>
              <w:jc w:val="center"/>
              <w:rPr>
                <w:iCs/>
              </w:rPr>
            </w:pPr>
            <w:r w:rsidRPr="000A33D2">
              <w:rPr>
                <w:iCs/>
              </w:rPr>
              <w:t>Low</w:t>
            </w:r>
          </w:p>
        </w:tc>
        <w:tc>
          <w:tcPr>
            <w:tcW w:w="612" w:type="pct"/>
            <w:vMerge w:val="restart"/>
            <w:shd w:val="clear" w:color="auto" w:fill="auto"/>
            <w:vAlign w:val="center"/>
          </w:tcPr>
          <w:p w14:paraId="08A64467" w14:textId="2DAABF19" w:rsidR="0037704E" w:rsidRPr="000A33D2" w:rsidRDefault="0037704E" w:rsidP="00074950">
            <w:pPr>
              <w:pStyle w:val="TableText0"/>
              <w:keepLines/>
              <w:jc w:val="center"/>
            </w:pPr>
            <w:r w:rsidRPr="000A33D2">
              <w:t>1L A/R EC</w:t>
            </w:r>
          </w:p>
        </w:tc>
        <w:tc>
          <w:tcPr>
            <w:tcW w:w="622" w:type="pct"/>
            <w:tcBorders>
              <w:bottom w:val="single" w:sz="4" w:space="0" w:color="auto"/>
            </w:tcBorders>
            <w:shd w:val="clear" w:color="auto" w:fill="auto"/>
            <w:vAlign w:val="center"/>
          </w:tcPr>
          <w:p w14:paraId="6D9AD88A" w14:textId="23CCDE6F" w:rsidR="0037704E" w:rsidRPr="000A33D2" w:rsidRDefault="0037704E" w:rsidP="00074950">
            <w:pPr>
              <w:pStyle w:val="TableText0"/>
              <w:keepLines/>
              <w:jc w:val="center"/>
              <w:rPr>
                <w:vertAlign w:val="superscript"/>
              </w:rPr>
            </w:pPr>
            <w:r w:rsidRPr="000A33D2">
              <w:t xml:space="preserve">PFS by IA, OS </w:t>
            </w:r>
            <w:r w:rsidRPr="000A33D2">
              <w:rPr>
                <w:vertAlign w:val="superscript"/>
              </w:rPr>
              <w:t>b</w:t>
            </w:r>
          </w:p>
        </w:tc>
        <w:tc>
          <w:tcPr>
            <w:tcW w:w="939" w:type="pct"/>
            <w:vMerge w:val="restart"/>
            <w:shd w:val="clear" w:color="auto" w:fill="auto"/>
            <w:vAlign w:val="center"/>
          </w:tcPr>
          <w:p w14:paraId="68721E04" w14:textId="579D94C5" w:rsidR="0037704E" w:rsidRPr="000A33D2" w:rsidRDefault="0037704E" w:rsidP="00074950">
            <w:pPr>
              <w:pStyle w:val="TableText0"/>
              <w:keepLines/>
              <w:jc w:val="center"/>
            </w:pPr>
            <w:r w:rsidRPr="000A33D2">
              <w:t xml:space="preserve">Proportion progression </w:t>
            </w:r>
            <w:r w:rsidR="00A44767" w:rsidRPr="000A33D2">
              <w:t>f</w:t>
            </w:r>
            <w:r w:rsidRPr="000A33D2">
              <w:t>ree, overall survival, utilities.</w:t>
            </w:r>
          </w:p>
        </w:tc>
      </w:tr>
      <w:tr w:rsidR="0037704E" w:rsidRPr="000A33D2" w14:paraId="4E222B61" w14:textId="77777777" w:rsidTr="00074950">
        <w:trPr>
          <w:cantSplit/>
          <w:trHeight w:val="414"/>
        </w:trPr>
        <w:tc>
          <w:tcPr>
            <w:tcW w:w="713" w:type="pct"/>
            <w:tcBorders>
              <w:bottom w:val="single" w:sz="4" w:space="0" w:color="auto"/>
            </w:tcBorders>
            <w:shd w:val="clear" w:color="auto" w:fill="auto"/>
            <w:vAlign w:val="center"/>
          </w:tcPr>
          <w:p w14:paraId="368AEC3B" w14:textId="77777777" w:rsidR="0042544E" w:rsidRPr="000A33D2" w:rsidRDefault="0037704E" w:rsidP="00074950">
            <w:pPr>
              <w:pStyle w:val="TableText0"/>
              <w:keepLines/>
            </w:pPr>
            <w:r w:rsidRPr="000A33D2">
              <w:t xml:space="preserve">RUBY </w:t>
            </w:r>
          </w:p>
          <w:p w14:paraId="3CD0B0C1" w14:textId="3191843D" w:rsidR="0037704E" w:rsidRPr="000A33D2" w:rsidRDefault="0037704E" w:rsidP="00074950">
            <w:pPr>
              <w:pStyle w:val="TableText0"/>
              <w:keepLines/>
            </w:pPr>
            <w:r w:rsidRPr="000A33D2">
              <w:t>(dMMR</w:t>
            </w:r>
            <w:r w:rsidR="0042544E" w:rsidRPr="000A33D2">
              <w:t>/MSI-H</w:t>
            </w:r>
            <w:r w:rsidRPr="000A33D2">
              <w:t>)</w:t>
            </w:r>
          </w:p>
        </w:tc>
        <w:tc>
          <w:tcPr>
            <w:tcW w:w="466" w:type="pct"/>
            <w:tcBorders>
              <w:bottom w:val="single" w:sz="4" w:space="0" w:color="auto"/>
            </w:tcBorders>
            <w:shd w:val="clear" w:color="auto" w:fill="auto"/>
            <w:vAlign w:val="center"/>
          </w:tcPr>
          <w:p w14:paraId="2D19B056" w14:textId="7E1DFB4D" w:rsidR="0037704E" w:rsidRPr="000A33D2" w:rsidRDefault="0037704E" w:rsidP="00074950">
            <w:pPr>
              <w:pStyle w:val="TableText0"/>
              <w:keepLines/>
              <w:jc w:val="center"/>
            </w:pPr>
            <w:r w:rsidRPr="000A33D2">
              <w:t>118</w:t>
            </w:r>
          </w:p>
        </w:tc>
        <w:tc>
          <w:tcPr>
            <w:tcW w:w="782" w:type="pct"/>
            <w:tcBorders>
              <w:bottom w:val="single" w:sz="4" w:space="0" w:color="auto"/>
            </w:tcBorders>
            <w:shd w:val="clear" w:color="auto" w:fill="auto"/>
            <w:vAlign w:val="center"/>
          </w:tcPr>
          <w:p w14:paraId="0774C9E2" w14:textId="77777777" w:rsidR="0037704E" w:rsidRPr="000A33D2" w:rsidRDefault="0037704E" w:rsidP="00074950">
            <w:pPr>
              <w:pStyle w:val="TableText0"/>
              <w:keepLines/>
              <w:jc w:val="center"/>
            </w:pPr>
            <w:r w:rsidRPr="000A33D2">
              <w:t>R, DB, MC</w:t>
            </w:r>
          </w:p>
          <w:p w14:paraId="4D8E8D03" w14:textId="664B2CED" w:rsidR="0037704E" w:rsidRPr="000A33D2" w:rsidRDefault="0037704E" w:rsidP="00074950">
            <w:pPr>
              <w:pStyle w:val="TableText0"/>
              <w:keepLines/>
              <w:jc w:val="center"/>
            </w:pPr>
            <w:r w:rsidRPr="000A33D2">
              <w:t>24.8 mths</w:t>
            </w:r>
          </w:p>
        </w:tc>
        <w:tc>
          <w:tcPr>
            <w:tcW w:w="866" w:type="pct"/>
            <w:tcBorders>
              <w:bottom w:val="single" w:sz="4" w:space="0" w:color="auto"/>
            </w:tcBorders>
            <w:shd w:val="clear" w:color="auto" w:fill="auto"/>
            <w:vAlign w:val="center"/>
          </w:tcPr>
          <w:p w14:paraId="70C487A6" w14:textId="309FBDB7" w:rsidR="0037704E" w:rsidRPr="000A33D2" w:rsidRDefault="0037704E" w:rsidP="00074950">
            <w:pPr>
              <w:pStyle w:val="TableText0"/>
              <w:keepLines/>
              <w:jc w:val="center"/>
              <w:rPr>
                <w:iCs/>
                <w:vertAlign w:val="superscript"/>
              </w:rPr>
            </w:pPr>
            <w:r w:rsidRPr="000A33D2">
              <w:rPr>
                <w:iCs/>
              </w:rPr>
              <w:t>Low</w:t>
            </w:r>
            <w:r w:rsidRPr="000A33D2">
              <w:rPr>
                <w:iCs/>
                <w:vertAlign w:val="superscript"/>
              </w:rPr>
              <w:t xml:space="preserve"> a</w:t>
            </w:r>
          </w:p>
        </w:tc>
        <w:tc>
          <w:tcPr>
            <w:tcW w:w="612" w:type="pct"/>
            <w:vMerge/>
            <w:shd w:val="clear" w:color="auto" w:fill="auto"/>
            <w:vAlign w:val="center"/>
          </w:tcPr>
          <w:p w14:paraId="3E94EA29" w14:textId="7ECF5322" w:rsidR="0037704E" w:rsidRPr="000A33D2" w:rsidRDefault="0037704E" w:rsidP="00074950">
            <w:pPr>
              <w:pStyle w:val="TableText0"/>
              <w:keepLines/>
              <w:jc w:val="center"/>
            </w:pPr>
          </w:p>
        </w:tc>
        <w:tc>
          <w:tcPr>
            <w:tcW w:w="622" w:type="pct"/>
            <w:tcBorders>
              <w:bottom w:val="single" w:sz="4" w:space="0" w:color="auto"/>
            </w:tcBorders>
            <w:shd w:val="clear" w:color="auto" w:fill="auto"/>
            <w:vAlign w:val="center"/>
          </w:tcPr>
          <w:p w14:paraId="71E7EE4C" w14:textId="7A45049F" w:rsidR="0037704E" w:rsidRPr="000A33D2" w:rsidRDefault="0037704E" w:rsidP="00074950">
            <w:pPr>
              <w:pStyle w:val="TableText0"/>
              <w:keepLines/>
              <w:jc w:val="center"/>
              <w:rPr>
                <w:vertAlign w:val="superscript"/>
              </w:rPr>
            </w:pPr>
            <w:r w:rsidRPr="000A33D2">
              <w:t xml:space="preserve">PFS by IA </w:t>
            </w:r>
            <w:r w:rsidRPr="000A33D2">
              <w:rPr>
                <w:vertAlign w:val="superscript"/>
              </w:rPr>
              <w:t>a</w:t>
            </w:r>
            <w:r w:rsidRPr="000A33D2">
              <w:t xml:space="preserve">, OS </w:t>
            </w:r>
            <w:r w:rsidRPr="000A33D2">
              <w:rPr>
                <w:vertAlign w:val="superscript"/>
              </w:rPr>
              <w:t>c</w:t>
            </w:r>
          </w:p>
        </w:tc>
        <w:tc>
          <w:tcPr>
            <w:tcW w:w="939" w:type="pct"/>
            <w:vMerge/>
            <w:shd w:val="clear" w:color="auto" w:fill="auto"/>
            <w:vAlign w:val="center"/>
          </w:tcPr>
          <w:p w14:paraId="69ADDDC8" w14:textId="25B7064D" w:rsidR="0037704E" w:rsidRPr="000A33D2" w:rsidRDefault="0037704E" w:rsidP="00074950">
            <w:pPr>
              <w:pStyle w:val="TableText0"/>
              <w:keepLines/>
              <w:jc w:val="center"/>
            </w:pPr>
          </w:p>
        </w:tc>
      </w:tr>
      <w:tr w:rsidR="0037704E" w:rsidRPr="000A33D2" w14:paraId="4EE88DCB" w14:textId="77777777" w:rsidTr="00074950">
        <w:trPr>
          <w:cantSplit/>
          <w:trHeight w:val="414"/>
        </w:trPr>
        <w:tc>
          <w:tcPr>
            <w:tcW w:w="713" w:type="pct"/>
            <w:tcBorders>
              <w:bottom w:val="single" w:sz="4" w:space="0" w:color="auto"/>
            </w:tcBorders>
            <w:shd w:val="clear" w:color="auto" w:fill="auto"/>
            <w:vAlign w:val="center"/>
          </w:tcPr>
          <w:p w14:paraId="6EE77D33" w14:textId="7E6DC1C8" w:rsidR="0037704E" w:rsidRPr="000A33D2" w:rsidRDefault="0037704E" w:rsidP="00074950">
            <w:pPr>
              <w:pStyle w:val="TableText0"/>
              <w:keepLines/>
            </w:pPr>
            <w:r w:rsidRPr="000A33D2">
              <w:t>RUBY (pMMR</w:t>
            </w:r>
            <w:r w:rsidR="0042544E" w:rsidRPr="000A33D2">
              <w:t>/MSS</w:t>
            </w:r>
            <w:r w:rsidRPr="000A33D2">
              <w:t>)</w:t>
            </w:r>
          </w:p>
        </w:tc>
        <w:tc>
          <w:tcPr>
            <w:tcW w:w="466" w:type="pct"/>
            <w:tcBorders>
              <w:bottom w:val="single" w:sz="4" w:space="0" w:color="auto"/>
            </w:tcBorders>
            <w:shd w:val="clear" w:color="auto" w:fill="auto"/>
            <w:vAlign w:val="center"/>
          </w:tcPr>
          <w:p w14:paraId="41BB0E41" w14:textId="102283EF" w:rsidR="0037704E" w:rsidRPr="000A33D2" w:rsidRDefault="0037704E" w:rsidP="00074950">
            <w:pPr>
              <w:pStyle w:val="TableText0"/>
              <w:keepLines/>
              <w:jc w:val="center"/>
            </w:pPr>
            <w:r w:rsidRPr="000A33D2">
              <w:t>376</w:t>
            </w:r>
          </w:p>
        </w:tc>
        <w:tc>
          <w:tcPr>
            <w:tcW w:w="782" w:type="pct"/>
            <w:tcBorders>
              <w:bottom w:val="single" w:sz="4" w:space="0" w:color="auto"/>
            </w:tcBorders>
            <w:shd w:val="clear" w:color="auto" w:fill="auto"/>
            <w:vAlign w:val="center"/>
          </w:tcPr>
          <w:p w14:paraId="7A09288C" w14:textId="77777777" w:rsidR="0037704E" w:rsidRPr="000A33D2" w:rsidRDefault="0037704E" w:rsidP="00074950">
            <w:pPr>
              <w:pStyle w:val="TableText0"/>
              <w:keepLines/>
              <w:jc w:val="center"/>
            </w:pPr>
            <w:r w:rsidRPr="000A33D2">
              <w:t>R, DB, MC</w:t>
            </w:r>
          </w:p>
          <w:p w14:paraId="744D08AC" w14:textId="26C97BB6" w:rsidR="0037704E" w:rsidRPr="000A33D2" w:rsidRDefault="0037704E" w:rsidP="00074950">
            <w:pPr>
              <w:pStyle w:val="TableText0"/>
              <w:keepLines/>
              <w:jc w:val="center"/>
            </w:pPr>
            <w:r w:rsidRPr="000A33D2">
              <w:t>25.7 mths</w:t>
            </w:r>
          </w:p>
        </w:tc>
        <w:tc>
          <w:tcPr>
            <w:tcW w:w="866" w:type="pct"/>
            <w:tcBorders>
              <w:bottom w:val="single" w:sz="4" w:space="0" w:color="auto"/>
            </w:tcBorders>
            <w:shd w:val="clear" w:color="auto" w:fill="auto"/>
            <w:vAlign w:val="center"/>
          </w:tcPr>
          <w:p w14:paraId="4A529D74" w14:textId="6A90B313" w:rsidR="0037704E" w:rsidRPr="000A33D2" w:rsidRDefault="0037704E" w:rsidP="00074950">
            <w:pPr>
              <w:pStyle w:val="TableText0"/>
              <w:keepLines/>
              <w:jc w:val="center"/>
              <w:rPr>
                <w:iCs/>
              </w:rPr>
            </w:pPr>
            <w:r w:rsidRPr="000A33D2">
              <w:rPr>
                <w:iCs/>
              </w:rPr>
              <w:t>High</w:t>
            </w:r>
          </w:p>
        </w:tc>
        <w:tc>
          <w:tcPr>
            <w:tcW w:w="612" w:type="pct"/>
            <w:vMerge/>
            <w:tcBorders>
              <w:bottom w:val="single" w:sz="4" w:space="0" w:color="auto"/>
            </w:tcBorders>
            <w:shd w:val="clear" w:color="auto" w:fill="auto"/>
            <w:vAlign w:val="center"/>
          </w:tcPr>
          <w:p w14:paraId="5E6F456D" w14:textId="06FD729F" w:rsidR="0037704E" w:rsidRPr="000A33D2" w:rsidRDefault="0037704E" w:rsidP="00074950">
            <w:pPr>
              <w:pStyle w:val="TableText0"/>
              <w:keepLines/>
              <w:jc w:val="center"/>
            </w:pPr>
          </w:p>
        </w:tc>
        <w:tc>
          <w:tcPr>
            <w:tcW w:w="622" w:type="pct"/>
            <w:tcBorders>
              <w:bottom w:val="single" w:sz="4" w:space="0" w:color="auto"/>
            </w:tcBorders>
            <w:shd w:val="clear" w:color="auto" w:fill="auto"/>
            <w:vAlign w:val="center"/>
          </w:tcPr>
          <w:p w14:paraId="6DC76214" w14:textId="17CAF44F" w:rsidR="0037704E" w:rsidRPr="000A33D2" w:rsidRDefault="0037704E" w:rsidP="00074950">
            <w:pPr>
              <w:pStyle w:val="TableText0"/>
              <w:keepLines/>
              <w:jc w:val="center"/>
            </w:pPr>
            <w:r w:rsidRPr="000A33D2">
              <w:t>PFS by IA, OS</w:t>
            </w:r>
            <w:r w:rsidRPr="000A33D2" w:rsidDel="00B26184">
              <w:t xml:space="preserve"> </w:t>
            </w:r>
            <w:r w:rsidRPr="000A33D2">
              <w:rPr>
                <w:vertAlign w:val="superscript"/>
              </w:rPr>
              <w:t>c</w:t>
            </w:r>
          </w:p>
        </w:tc>
        <w:tc>
          <w:tcPr>
            <w:tcW w:w="939" w:type="pct"/>
            <w:vMerge/>
            <w:tcBorders>
              <w:bottom w:val="single" w:sz="4" w:space="0" w:color="auto"/>
            </w:tcBorders>
            <w:shd w:val="clear" w:color="auto" w:fill="auto"/>
            <w:vAlign w:val="center"/>
          </w:tcPr>
          <w:p w14:paraId="150A804C" w14:textId="24BC29EE" w:rsidR="0037704E" w:rsidRPr="000A33D2" w:rsidRDefault="0037704E" w:rsidP="00074950">
            <w:pPr>
              <w:pStyle w:val="TableText0"/>
              <w:keepLines/>
              <w:jc w:val="center"/>
            </w:pPr>
          </w:p>
        </w:tc>
      </w:tr>
    </w:tbl>
    <w:p w14:paraId="560080D2" w14:textId="180F1F58" w:rsidR="00045017" w:rsidRPr="000A33D2" w:rsidRDefault="00EB12E3" w:rsidP="00074950">
      <w:pPr>
        <w:pStyle w:val="FooterTableFigure"/>
        <w:keepNext/>
        <w:keepLines/>
      </w:pPr>
      <w:r w:rsidRPr="000A33D2">
        <w:t xml:space="preserve">Source: Constructed during the evaluation using information sourced from Table 19&amp;24, pp52,59-60 of the submission, </w:t>
      </w:r>
    </w:p>
    <w:p w14:paraId="1095487C" w14:textId="6B569B57" w:rsidR="00620C25" w:rsidRPr="000A33D2" w:rsidRDefault="00620C25" w:rsidP="00074950">
      <w:pPr>
        <w:pStyle w:val="FooterTableFigure"/>
        <w:keepNext/>
        <w:keepLines/>
      </w:pPr>
      <w:r w:rsidRPr="000A33D2">
        <w:t xml:space="preserve">DB = double blind; </w:t>
      </w:r>
      <w:r w:rsidR="00484C14" w:rsidRPr="000A33D2">
        <w:t xml:space="preserve">dMMR = </w:t>
      </w:r>
      <w:r w:rsidR="00164F5A" w:rsidRPr="000A33D2">
        <w:t xml:space="preserve">mismatch repair deficient; </w:t>
      </w:r>
      <w:r w:rsidR="00A111CB" w:rsidRPr="000A33D2">
        <w:t xml:space="preserve">IA = Investigator assessment; </w:t>
      </w:r>
      <w:r w:rsidRPr="000A33D2">
        <w:t>MC = multi-centre; OS = overall survival; PFS = progression-free survival;</w:t>
      </w:r>
      <w:r w:rsidR="0042544E" w:rsidRPr="000A33D2">
        <w:t xml:space="preserve"> pMMR =</w:t>
      </w:r>
      <w:r w:rsidR="00164F5A" w:rsidRPr="000A33D2">
        <w:t xml:space="preserve"> mismatch repair proficient;</w:t>
      </w:r>
      <w:r w:rsidRPr="000A33D2">
        <w:t xml:space="preserve"> R = randomised.</w:t>
      </w:r>
    </w:p>
    <w:p w14:paraId="0344570B" w14:textId="639A9A36" w:rsidR="00451CDF" w:rsidRPr="000A33D2" w:rsidRDefault="00451CDF" w:rsidP="00074950">
      <w:pPr>
        <w:pStyle w:val="FooterTableFigure"/>
        <w:keepNext/>
        <w:keepLines/>
      </w:pPr>
      <w:r w:rsidRPr="000A33D2">
        <w:t xml:space="preserve">a PFS in dMMR </w:t>
      </w:r>
      <w:r w:rsidR="00960B92" w:rsidRPr="000A33D2">
        <w:t xml:space="preserve">was </w:t>
      </w:r>
      <w:r w:rsidR="001D619B" w:rsidRPr="000A33D2">
        <w:t xml:space="preserve">part of the statistical analysis plan as </w:t>
      </w:r>
      <w:r w:rsidR="00960B92" w:rsidRPr="000A33D2">
        <w:t xml:space="preserve">hypothesis </w:t>
      </w:r>
      <w:r w:rsidR="002A2C0C" w:rsidRPr="000A33D2">
        <w:t>1</w:t>
      </w:r>
      <w:r w:rsidR="0037704E" w:rsidRPr="000A33D2">
        <w:t xml:space="preserve"> therefore being a subgroup, risk of bias was </w:t>
      </w:r>
      <w:r w:rsidR="002F626D" w:rsidRPr="000A33D2">
        <w:t>low</w:t>
      </w:r>
      <w:r w:rsidR="00484C14" w:rsidRPr="000A33D2">
        <w:t>er than in pMMR but higher than in all-comers.</w:t>
      </w:r>
    </w:p>
    <w:p w14:paraId="719B6E14" w14:textId="2ECE0789" w:rsidR="009C2D40" w:rsidRPr="000A33D2" w:rsidRDefault="009C2D40" w:rsidP="00074950">
      <w:pPr>
        <w:pStyle w:val="FooterTableFigure"/>
        <w:keepNext/>
        <w:keepLines/>
      </w:pPr>
      <w:r w:rsidRPr="000A33D2">
        <w:t xml:space="preserve">b PFS and OS in all-comers were </w:t>
      </w:r>
      <w:r w:rsidR="002A2C0C" w:rsidRPr="000A33D2">
        <w:t>part of the statistical analysis plan as hypotheses 2 and 3</w:t>
      </w:r>
    </w:p>
    <w:p w14:paraId="53F38725" w14:textId="6562095E" w:rsidR="002A2C0C" w:rsidRPr="000A33D2" w:rsidRDefault="002A2C0C" w:rsidP="00074950">
      <w:pPr>
        <w:pStyle w:val="FooterTableFigure"/>
        <w:keepNext/>
        <w:keepLines/>
        <w:rPr>
          <w:sz w:val="20"/>
        </w:rPr>
      </w:pPr>
      <w:r w:rsidRPr="000A33D2">
        <w:t>c OS in dMMR, PFS and OS in pMMR were not part of the statistical analysis plan and not formally tested</w:t>
      </w:r>
    </w:p>
    <w:p w14:paraId="4B83BBF3" w14:textId="436235F9" w:rsidR="00045017" w:rsidRPr="000A33D2" w:rsidRDefault="006F6DCB" w:rsidP="00EC5836">
      <w:pPr>
        <w:pStyle w:val="3-BodyText"/>
      </w:pPr>
      <w:r w:rsidRPr="000A33D2">
        <w:t xml:space="preserve">While it was reasonable to conclude a low risk of bias for the all-comers population, the requested </w:t>
      </w:r>
      <w:r w:rsidR="00A9141F" w:rsidRPr="000A33D2">
        <w:t xml:space="preserve">dMMR </w:t>
      </w:r>
      <w:r w:rsidR="00151C94" w:rsidRPr="000A33D2">
        <w:t xml:space="preserve">population </w:t>
      </w:r>
      <w:r w:rsidRPr="000A33D2">
        <w:t>(Population 1) was prone to a higher risk of bias given the smaller sample size (23.9% of the all-comers population</w:t>
      </w:r>
      <w:r w:rsidR="00151C94" w:rsidRPr="000A33D2">
        <w:t>, n=118</w:t>
      </w:r>
      <w:r w:rsidRPr="000A33D2">
        <w:t xml:space="preserve">) and </w:t>
      </w:r>
      <w:r w:rsidR="00151C94" w:rsidRPr="000A33D2">
        <w:t xml:space="preserve">RUBY </w:t>
      </w:r>
      <w:r w:rsidRPr="000A33D2">
        <w:t>was not powered for the outcome of OS in this subgroup.</w:t>
      </w:r>
    </w:p>
    <w:p w14:paraId="40753F5B" w14:textId="002D3B23" w:rsidR="001B1FEC" w:rsidRPr="000A33D2" w:rsidRDefault="001B1FEC" w:rsidP="00EC5836">
      <w:pPr>
        <w:pStyle w:val="3-BodyText"/>
      </w:pPr>
      <w:bookmarkStart w:id="24" w:name="_Ref144388127"/>
      <w:bookmarkStart w:id="25" w:name="_Ref144385686"/>
      <w:r w:rsidRPr="000A33D2">
        <w:t xml:space="preserve">Randomisation in RUBY was stratified by three stratification factors: MMR/MSI status, </w:t>
      </w:r>
      <w:r w:rsidR="00420168" w:rsidRPr="000A33D2">
        <w:t>prior external radiotherapy (yes or no) and disease status (recurrent, primary stage III or primary stage IV).</w:t>
      </w:r>
      <w:r w:rsidR="00280205" w:rsidRPr="000A33D2">
        <w:t xml:space="preserve"> </w:t>
      </w:r>
      <w:r w:rsidR="000F4D3F" w:rsidRPr="000A33D2">
        <w:t>However, some patients were incorrectly stratified at randomisation</w:t>
      </w:r>
      <w:r w:rsidR="001B683F" w:rsidRPr="000A33D2">
        <w:t xml:space="preserve">, with discrepancies between </w:t>
      </w:r>
      <w:r w:rsidR="00E217F5" w:rsidRPr="000A33D2">
        <w:t>the values used to randomise patients with the source verified values in the electronic case report form (eCRF)</w:t>
      </w:r>
      <w:r w:rsidR="00E701E6" w:rsidRPr="000A33D2">
        <w:t>.</w:t>
      </w:r>
      <w:r w:rsidR="001B683F" w:rsidRPr="000A33D2">
        <w:t xml:space="preserve"> </w:t>
      </w:r>
      <w:r w:rsidR="00A40995" w:rsidRPr="000A33D2">
        <w:t xml:space="preserve">In the base case, patients were </w:t>
      </w:r>
      <w:r w:rsidR="009240F6" w:rsidRPr="000A33D2">
        <w:t xml:space="preserve">analysed and presented according to the stratum assigned at randomisation for prior external radiotherapy and disease status, but </w:t>
      </w:r>
      <w:r w:rsidR="004D3D6A" w:rsidRPr="000A33D2">
        <w:t xml:space="preserve">actual MMR/MSI status from the source verified values in the eCRF </w:t>
      </w:r>
      <w:r w:rsidR="00830F3E" w:rsidRPr="000A33D2">
        <w:t>was used</w:t>
      </w:r>
      <w:bookmarkEnd w:id="24"/>
      <w:r w:rsidR="000A33D2">
        <w:t xml:space="preserve">. </w:t>
      </w:r>
    </w:p>
    <w:p w14:paraId="59849A11" w14:textId="163C148C" w:rsidR="00974203" w:rsidRPr="000A33D2" w:rsidRDefault="009F7841" w:rsidP="00EC5836">
      <w:pPr>
        <w:pStyle w:val="3-BodyText"/>
      </w:pPr>
      <w:bookmarkStart w:id="26" w:name="_Ref144388615"/>
      <w:r w:rsidRPr="000A33D2">
        <w:t xml:space="preserve">Therefore, </w:t>
      </w:r>
      <w:r w:rsidR="00096600" w:rsidRPr="000A33D2">
        <w:t xml:space="preserve">there was an imbalance in the number of patients between the two treatment arms </w:t>
      </w:r>
      <w:r w:rsidRPr="000A33D2">
        <w:t xml:space="preserve">with respect to MMR/MSI status </w:t>
      </w:r>
      <w:r w:rsidR="00096600" w:rsidRPr="000A33D2">
        <w:t xml:space="preserve">in the subsets (n=22; 9 and </w:t>
      </w:r>
      <w:r w:rsidR="00A241B7" w:rsidRPr="000A33D2">
        <w:t>13</w:t>
      </w:r>
      <w:r w:rsidR="00A241B7">
        <w:t> </w:t>
      </w:r>
      <w:r w:rsidR="00096600" w:rsidRPr="000A33D2">
        <w:t>patients were miscategorised as pMMR/MSS and dMMR/MSI-H at randomisation, respectively)</w:t>
      </w:r>
      <w:r w:rsidR="008541AA" w:rsidRPr="000A33D2">
        <w:t>.</w:t>
      </w:r>
      <w:r w:rsidR="00942845" w:rsidRPr="000A33D2">
        <w:t xml:space="preserve"> </w:t>
      </w:r>
      <w:r w:rsidR="00CC5D82" w:rsidRPr="000A33D2">
        <w:t>P</w:t>
      </w:r>
      <w:r w:rsidR="00A76F05" w:rsidRPr="000A33D2">
        <w:t>aired</w:t>
      </w:r>
      <w:r w:rsidR="00096600" w:rsidRPr="000A33D2">
        <w:t xml:space="preserve"> sensitivity analys</w:t>
      </w:r>
      <w:r w:rsidR="00A76F05" w:rsidRPr="000A33D2">
        <w:t>e</w:t>
      </w:r>
      <w:r w:rsidR="00096600" w:rsidRPr="000A33D2">
        <w:t xml:space="preserve">s using </w:t>
      </w:r>
      <w:r w:rsidR="0089634E" w:rsidRPr="000A33D2">
        <w:t xml:space="preserve">population classification based on </w:t>
      </w:r>
      <w:r w:rsidR="00D44C21" w:rsidRPr="000A33D2">
        <w:t xml:space="preserve">the </w:t>
      </w:r>
      <w:r w:rsidR="0089634E" w:rsidRPr="000A33D2">
        <w:t xml:space="preserve">value entered at randomisation compared to population classification based on source verified value was </w:t>
      </w:r>
      <w:r w:rsidR="00A76F05" w:rsidRPr="000A33D2">
        <w:t>performed</w:t>
      </w:r>
      <w:r w:rsidR="008B4C79" w:rsidRPr="000A33D2">
        <w:t>.</w:t>
      </w:r>
      <w:r w:rsidR="00A76F05" w:rsidRPr="000A33D2">
        <w:t xml:space="preserve"> </w:t>
      </w:r>
      <w:r w:rsidR="00BC1D88" w:rsidRPr="000A33D2">
        <w:t xml:space="preserve">Results based on MMR/MSI status classification by value entered at randomisation were </w:t>
      </w:r>
      <w:r w:rsidR="001F3FBF" w:rsidRPr="000A33D2">
        <w:t xml:space="preserve">numerically </w:t>
      </w:r>
      <w:r w:rsidR="00BC1D88" w:rsidRPr="000A33D2">
        <w:t>less favourable for the DOS+CP arm</w:t>
      </w:r>
      <w:r w:rsidR="00672415" w:rsidRPr="000A33D2">
        <w:t xml:space="preserve"> (except for OS in the dMMR/MSI-H subgroup)</w:t>
      </w:r>
      <w:r w:rsidR="00BC1D88" w:rsidRPr="000A33D2">
        <w:t>, compared to results based on classification by source verified value</w:t>
      </w:r>
      <w:r w:rsidR="0091104A" w:rsidRPr="000A33D2">
        <w:t>,</w:t>
      </w:r>
      <w:r w:rsidR="001F3FBF" w:rsidRPr="000A33D2">
        <w:t xml:space="preserve"> however the differences were small and not expected to be </w:t>
      </w:r>
      <w:r w:rsidR="00FF2887" w:rsidRPr="000A33D2">
        <w:t>meaningfully different</w:t>
      </w:r>
      <w:r w:rsidR="00BC1D88" w:rsidRPr="000A33D2">
        <w:t>.</w:t>
      </w:r>
      <w:bookmarkEnd w:id="25"/>
      <w:bookmarkEnd w:id="26"/>
    </w:p>
    <w:p w14:paraId="65348B0F" w14:textId="1C3D247F" w:rsidR="000B24F4" w:rsidRPr="000A33D2" w:rsidRDefault="000B24F4" w:rsidP="00EC5836">
      <w:pPr>
        <w:pStyle w:val="3-BodyText"/>
      </w:pPr>
      <w:bookmarkStart w:id="27" w:name="_Ref144719362"/>
      <w:r w:rsidRPr="000A33D2">
        <w:t xml:space="preserve">The PBAC noted that </w:t>
      </w:r>
      <w:r w:rsidR="00B51E91" w:rsidRPr="000A33D2">
        <w:t>just under</w:t>
      </w:r>
      <w:r w:rsidRPr="000A33D2">
        <w:t xml:space="preserve"> half </w:t>
      </w:r>
      <w:r w:rsidR="00B51E91" w:rsidRPr="000A33D2">
        <w:t xml:space="preserve">of </w:t>
      </w:r>
      <w:r w:rsidRPr="000A33D2">
        <w:t xml:space="preserve">the patients included in the RUBY trial had recurrent disease, </w:t>
      </w:r>
      <w:r w:rsidR="00B51E91" w:rsidRPr="000A33D2">
        <w:t xml:space="preserve">a third had </w:t>
      </w:r>
      <w:r w:rsidR="00993602" w:rsidRPr="000A33D2">
        <w:t>p</w:t>
      </w:r>
      <w:r w:rsidR="00B51E91" w:rsidRPr="000A33D2">
        <w:t xml:space="preserve">rimary </w:t>
      </w:r>
      <w:r w:rsidR="00993602" w:rsidRPr="000A33D2">
        <w:t>s</w:t>
      </w:r>
      <w:r w:rsidR="00B51E91" w:rsidRPr="000A33D2">
        <w:t xml:space="preserve">tage IV disease and the remainder had </w:t>
      </w:r>
      <w:r w:rsidR="00993602" w:rsidRPr="000A33D2">
        <w:t>p</w:t>
      </w:r>
      <w:r w:rsidR="00B51E91" w:rsidRPr="000A33D2">
        <w:t>rimar</w:t>
      </w:r>
      <w:r w:rsidR="00E228F6" w:rsidRPr="000A33D2">
        <w:t>y</w:t>
      </w:r>
      <w:r w:rsidR="00B51E91" w:rsidRPr="000A33D2">
        <w:t xml:space="preserve"> </w:t>
      </w:r>
      <w:r w:rsidR="00993602" w:rsidRPr="000A33D2">
        <w:lastRenderedPageBreak/>
        <w:t>s</w:t>
      </w:r>
      <w:r w:rsidR="00B51E91" w:rsidRPr="000A33D2">
        <w:t>tage III disease. J</w:t>
      </w:r>
      <w:r w:rsidRPr="000A33D2">
        <w:t>ust over half</w:t>
      </w:r>
      <w:r w:rsidR="00B51E91" w:rsidRPr="000A33D2">
        <w:t xml:space="preserve"> of the patients in RUBY</w:t>
      </w:r>
      <w:r w:rsidRPr="000A33D2">
        <w:t xml:space="preserve"> had endometrioid histologic type, though the trial included patients with a range of histologic type</w:t>
      </w:r>
      <w:r w:rsidR="00B51E91" w:rsidRPr="000A33D2">
        <w:t>s</w:t>
      </w:r>
      <w:r w:rsidRPr="000A33D2">
        <w:t xml:space="preserve">. </w:t>
      </w:r>
    </w:p>
    <w:p w14:paraId="3EE0C077" w14:textId="52D8E0CA" w:rsidR="00480C68" w:rsidRPr="000A33D2" w:rsidRDefault="00480C68" w:rsidP="00EC5836">
      <w:pPr>
        <w:pStyle w:val="3-BodyText"/>
      </w:pPr>
      <w:bookmarkStart w:id="28" w:name="_Ref150245073"/>
      <w:r w:rsidRPr="000A33D2">
        <w:t xml:space="preserve">A substantial number of patients in RUBY received subsequent immunotherapy following progression. In the all-comers population, 38/115 (33%) and </w:t>
      </w:r>
      <w:r w:rsidR="00830EA7" w:rsidRPr="000A33D2">
        <w:t xml:space="preserve">86/163 (53%) </w:t>
      </w:r>
      <w:r w:rsidRPr="000A33D2">
        <w:t xml:space="preserve">of patients who </w:t>
      </w:r>
      <w:r w:rsidR="002F4F5C" w:rsidRPr="000A33D2">
        <w:t xml:space="preserve">received any follow-up anti-cancer therapy </w:t>
      </w:r>
      <w:r w:rsidR="00830EA7" w:rsidRPr="000A33D2">
        <w:t>were treated with subsequent immunotherapy in the DOS+CP and PBO+CP arm</w:t>
      </w:r>
      <w:r w:rsidR="00635273" w:rsidRPr="000A33D2">
        <w:t>s</w:t>
      </w:r>
      <w:r w:rsidR="00830EA7" w:rsidRPr="000A33D2">
        <w:t xml:space="preserve">, respectively. In the dMMR subgroup, </w:t>
      </w:r>
      <w:r w:rsidR="002F4F5C" w:rsidRPr="000A33D2">
        <w:t>of patients who received any follow up anticancer therapy</w:t>
      </w:r>
      <w:r w:rsidR="002F4F5C" w:rsidRPr="000A33D2">
        <w:rPr>
          <w:i/>
          <w:iCs/>
        </w:rPr>
        <w:t>,</w:t>
      </w:r>
      <w:r w:rsidR="002F4F5C" w:rsidRPr="000A33D2">
        <w:t xml:space="preserve"> </w:t>
      </w:r>
      <w:r w:rsidR="00830EA7" w:rsidRPr="000A33D2">
        <w:t xml:space="preserve">the number of patients who used subsequent immunotherapy </w:t>
      </w:r>
      <w:r w:rsidR="00576578" w:rsidRPr="000A33D2">
        <w:t xml:space="preserve">was </w:t>
      </w:r>
      <w:r w:rsidR="00830EA7" w:rsidRPr="000A33D2">
        <w:t>8/15 (53%) and 25/38 (66%) in the DOS+CP and PBO+CP arm</w:t>
      </w:r>
      <w:r w:rsidR="00635273" w:rsidRPr="000A33D2">
        <w:t>s</w:t>
      </w:r>
      <w:r w:rsidR="00830EA7" w:rsidRPr="000A33D2">
        <w:t>, respectively.</w:t>
      </w:r>
      <w:bookmarkEnd w:id="27"/>
      <w:bookmarkEnd w:id="28"/>
    </w:p>
    <w:p w14:paraId="578C1E14" w14:textId="5B88105D" w:rsidR="00404372" w:rsidRPr="000A33D2" w:rsidRDefault="00C63639" w:rsidP="00EC5836">
      <w:pPr>
        <w:pStyle w:val="3-BodyText"/>
      </w:pPr>
      <w:bookmarkStart w:id="29" w:name="_Ref145359147"/>
      <w:r w:rsidRPr="000A33D2">
        <w:t xml:space="preserve">In </w:t>
      </w:r>
      <w:r w:rsidR="00993602" w:rsidRPr="000A33D2">
        <w:t>RUBY</w:t>
      </w:r>
      <w:r w:rsidRPr="000A33D2">
        <w:t>, t</w:t>
      </w:r>
      <w:r w:rsidR="00404372" w:rsidRPr="000A33D2">
        <w:t xml:space="preserve">he graphical method was used for multiplicity control of multiple hypotheses </w:t>
      </w:r>
      <w:r w:rsidR="000529D2" w:rsidRPr="000A33D2">
        <w:t xml:space="preserve">(H1, H2 and H3) </w:t>
      </w:r>
      <w:r w:rsidR="00404372" w:rsidRPr="000A33D2">
        <w:t xml:space="preserve">of primary end points, and family-wise one-sided type I error (alpha) was controlled at 0.025. </w:t>
      </w:r>
      <w:r w:rsidR="00635273" w:rsidRPr="000A33D2">
        <w:t>A</w:t>
      </w:r>
      <w:r w:rsidR="00404372" w:rsidRPr="000A33D2">
        <w:t xml:space="preserve">n alpha level of 0.02 was initially allocated to hypotheses regarding PFS by </w:t>
      </w:r>
      <w:r w:rsidR="004467CD" w:rsidRPr="000A33D2">
        <w:t>investigator assessment (</w:t>
      </w:r>
      <w:r w:rsidR="00404372" w:rsidRPr="000A33D2">
        <w:t>IA</w:t>
      </w:r>
      <w:r w:rsidR="004467CD" w:rsidRPr="000A33D2">
        <w:t>)</w:t>
      </w:r>
      <w:r w:rsidR="00404372" w:rsidRPr="000A33D2">
        <w:t xml:space="preserve"> and an alpha level of 0.005 was initially allocated to hypotheses regarding OS. Scheduling of the interim analysis data cut-off was driven by time from the commencement of the trial (~36 months), with the efficacy stopping boundaries adjusted to account for the actual number of events. For PFS, hypotheses were hierarchically tested in the dMMR/MSI</w:t>
      </w:r>
      <w:r w:rsidR="000529D2" w:rsidRPr="000A33D2">
        <w:noBreakHyphen/>
      </w:r>
      <w:r w:rsidR="00404372" w:rsidRPr="000A33D2">
        <w:t xml:space="preserve">H population and then in the </w:t>
      </w:r>
      <w:r w:rsidRPr="000A33D2">
        <w:t>all-comers</w:t>
      </w:r>
      <w:r w:rsidR="00404372" w:rsidRPr="000A33D2">
        <w:t xml:space="preserve"> population; OS was tested </w:t>
      </w:r>
      <w:r w:rsidR="00ED61C6" w:rsidRPr="000A33D2">
        <w:t xml:space="preserve">only </w:t>
      </w:r>
      <w:r w:rsidR="00404372" w:rsidRPr="000A33D2">
        <w:t xml:space="preserve">in the </w:t>
      </w:r>
      <w:r w:rsidR="00ED61C6" w:rsidRPr="000A33D2">
        <w:t>all-comers</w:t>
      </w:r>
      <w:r w:rsidR="00404372" w:rsidRPr="000A33D2">
        <w:t xml:space="preserve"> population. Based on the rejection of the null hypothesis for both H1 (PFS in dMMR/MSI-H) and H2 (PFS in all-comers) at </w:t>
      </w:r>
      <w:r w:rsidR="00515A9E" w:rsidRPr="000A33D2">
        <w:t xml:space="preserve">the first </w:t>
      </w:r>
      <w:r w:rsidR="00404372" w:rsidRPr="000A33D2">
        <w:t>interim analysis, the next interim analysis for H3 (OS in all</w:t>
      </w:r>
      <w:r w:rsidR="00B62E71">
        <w:noBreakHyphen/>
      </w:r>
      <w:r w:rsidR="00404372" w:rsidRPr="000A33D2">
        <w:t>comers) is expected to occur ~48 months from the commencement of the trial or at ~69% information fraction (221 events).</w:t>
      </w:r>
      <w:bookmarkEnd w:id="29"/>
      <w:r w:rsidR="00404372" w:rsidRPr="000A33D2">
        <w:t xml:space="preserve"> </w:t>
      </w:r>
      <w:r w:rsidR="00635273" w:rsidRPr="000A33D2">
        <w:t xml:space="preserve">The </w:t>
      </w:r>
      <w:r w:rsidR="00B114C6" w:rsidRPr="000A33D2">
        <w:t xml:space="preserve">sponsor </w:t>
      </w:r>
      <w:r w:rsidR="00635273" w:rsidRPr="000A33D2">
        <w:t xml:space="preserve">did not provide any </w:t>
      </w:r>
      <w:r w:rsidR="00B114C6" w:rsidRPr="000A33D2">
        <w:t xml:space="preserve">further </w:t>
      </w:r>
      <w:r w:rsidR="00635273" w:rsidRPr="000A33D2">
        <w:t>information regarding when the next interim analysis is likely to be available.</w:t>
      </w:r>
    </w:p>
    <w:p w14:paraId="4A4FE085" w14:textId="1C5613CC" w:rsidR="00B60939" w:rsidRPr="000A33D2" w:rsidRDefault="00B60939" w:rsidP="00EC5836">
      <w:pPr>
        <w:pStyle w:val="4-SubsectionHeading"/>
      </w:pPr>
      <w:bookmarkStart w:id="30" w:name="_Toc22897641"/>
      <w:bookmarkStart w:id="31" w:name="_Toc145426897"/>
      <w:r w:rsidRPr="000A33D2">
        <w:t>Comparative effectiveness</w:t>
      </w:r>
      <w:bookmarkEnd w:id="30"/>
      <w:bookmarkEnd w:id="31"/>
    </w:p>
    <w:p w14:paraId="19E6ABA6" w14:textId="7B3A0B0C" w:rsidR="00FE6BE4" w:rsidRPr="000A33D2" w:rsidRDefault="00FE6BE4" w:rsidP="00B62E71">
      <w:pPr>
        <w:pStyle w:val="Heading3"/>
        <w:spacing w:after="120"/>
      </w:pPr>
      <w:r w:rsidRPr="000A33D2">
        <w:t>Primary outcomes</w:t>
      </w:r>
    </w:p>
    <w:p w14:paraId="2F5BDB81" w14:textId="3C86AB31" w:rsidR="00BD65EF" w:rsidRPr="000A33D2" w:rsidRDefault="006B1DF3" w:rsidP="00BD65EF">
      <w:pPr>
        <w:pStyle w:val="3-BodyText"/>
      </w:pPr>
      <w:r w:rsidRPr="000A33D2">
        <w:fldChar w:fldCharType="begin" w:fldLock="1"/>
      </w:r>
      <w:r w:rsidRPr="000A33D2">
        <w:instrText xml:space="preserve"> REF _Ref144239929 \h </w:instrText>
      </w:r>
      <w:r w:rsidRPr="000A33D2">
        <w:fldChar w:fldCharType="separate"/>
      </w:r>
      <w:r w:rsidR="00B62E71" w:rsidRPr="000A33D2">
        <w:t xml:space="preserve">Figure </w:t>
      </w:r>
      <w:r w:rsidR="00B62E71">
        <w:rPr>
          <w:noProof/>
        </w:rPr>
        <w:t>1</w:t>
      </w:r>
      <w:r w:rsidRPr="000A33D2">
        <w:fldChar w:fldCharType="end"/>
      </w:r>
      <w:r w:rsidRPr="000A33D2">
        <w:t>,</w:t>
      </w:r>
      <w:r w:rsidR="00F35AC5" w:rsidRPr="000A33D2">
        <w:t xml:space="preserve"> </w:t>
      </w:r>
      <w:r w:rsidR="00F35AC5" w:rsidRPr="000A33D2">
        <w:fldChar w:fldCharType="begin" w:fldLock="1"/>
      </w:r>
      <w:r w:rsidR="00F35AC5" w:rsidRPr="000A33D2">
        <w:instrText xml:space="preserve"> REF _Ref144280795 \h </w:instrText>
      </w:r>
      <w:r w:rsidR="00F35AC5" w:rsidRPr="000A33D2">
        <w:fldChar w:fldCharType="separate"/>
      </w:r>
      <w:r w:rsidR="00B62E71" w:rsidRPr="000A33D2">
        <w:t xml:space="preserve">Figure </w:t>
      </w:r>
      <w:r w:rsidR="00B62E71">
        <w:rPr>
          <w:noProof/>
        </w:rPr>
        <w:t>2</w:t>
      </w:r>
      <w:r w:rsidR="00F35AC5" w:rsidRPr="000A33D2">
        <w:fldChar w:fldCharType="end"/>
      </w:r>
      <w:r w:rsidR="00F35AC5" w:rsidRPr="000A33D2">
        <w:t xml:space="preserve"> and </w:t>
      </w:r>
      <w:r w:rsidR="00F35AC5" w:rsidRPr="000A33D2">
        <w:fldChar w:fldCharType="begin" w:fldLock="1"/>
      </w:r>
      <w:r w:rsidR="00F35AC5" w:rsidRPr="000A33D2">
        <w:instrText xml:space="preserve"> REF _Ref144280801 \h </w:instrText>
      </w:r>
      <w:r w:rsidR="00F35AC5" w:rsidRPr="000A33D2">
        <w:fldChar w:fldCharType="separate"/>
      </w:r>
      <w:r w:rsidR="00B62E71" w:rsidRPr="000A33D2">
        <w:t xml:space="preserve">Figure </w:t>
      </w:r>
      <w:r w:rsidR="00B62E71">
        <w:rPr>
          <w:noProof/>
        </w:rPr>
        <w:t>3</w:t>
      </w:r>
      <w:r w:rsidR="00F35AC5" w:rsidRPr="000A33D2">
        <w:fldChar w:fldCharType="end"/>
      </w:r>
      <w:r w:rsidR="00BD65EF" w:rsidRPr="000A33D2">
        <w:t xml:space="preserve"> show the OS Kaplan-Meier </w:t>
      </w:r>
      <w:r w:rsidR="00F56F22" w:rsidRPr="000A33D2">
        <w:t xml:space="preserve">(KM) results for the all-comers population, dMMR/MSI-H and pMMR/MSS cohorts respectively. </w:t>
      </w:r>
      <w:r w:rsidR="00CA0A1D" w:rsidRPr="000A33D2">
        <w:fldChar w:fldCharType="begin" w:fldLock="1"/>
      </w:r>
      <w:r w:rsidR="00CA0A1D" w:rsidRPr="000A33D2">
        <w:instrText xml:space="preserve"> REF _Ref144380297 \h </w:instrText>
      </w:r>
      <w:r w:rsidR="00CA0A1D" w:rsidRPr="000A33D2">
        <w:fldChar w:fldCharType="separate"/>
      </w:r>
      <w:r w:rsidR="00B62E71" w:rsidRPr="000A33D2">
        <w:t xml:space="preserve">Table </w:t>
      </w:r>
      <w:r w:rsidR="00B62E71">
        <w:rPr>
          <w:noProof/>
        </w:rPr>
        <w:t>4</w:t>
      </w:r>
      <w:r w:rsidR="00CA0A1D" w:rsidRPr="000A33D2">
        <w:fldChar w:fldCharType="end"/>
      </w:r>
      <w:r w:rsidR="00C24022" w:rsidRPr="000A33D2">
        <w:t xml:space="preserve"> </w:t>
      </w:r>
      <w:r w:rsidR="00BD65EF" w:rsidRPr="000A33D2">
        <w:t xml:space="preserve">summarises the OS statistics </w:t>
      </w:r>
      <w:r w:rsidR="00FE6BE4" w:rsidRPr="000A33D2">
        <w:t xml:space="preserve">across the all-comers population, and the </w:t>
      </w:r>
      <w:proofErr w:type="spellStart"/>
      <w:r w:rsidR="00FE6BE4" w:rsidRPr="000A33D2">
        <w:t>dMMR</w:t>
      </w:r>
      <w:proofErr w:type="spellEnd"/>
      <w:r w:rsidR="00FE6BE4" w:rsidRPr="000A33D2">
        <w:t xml:space="preserve">/MSI-H and </w:t>
      </w:r>
      <w:proofErr w:type="spellStart"/>
      <w:r w:rsidR="00FE6BE4" w:rsidRPr="000A33D2">
        <w:t>pMMR</w:t>
      </w:r>
      <w:proofErr w:type="spellEnd"/>
      <w:r w:rsidR="00FE6BE4" w:rsidRPr="000A33D2">
        <w:t>/MSS cohorts.</w:t>
      </w:r>
    </w:p>
    <w:p w14:paraId="6FCA24F1" w14:textId="68162A82" w:rsidR="008B5E6F" w:rsidRPr="000A33D2" w:rsidRDefault="006B1DF3" w:rsidP="00B62E71">
      <w:pPr>
        <w:pStyle w:val="Caption"/>
      </w:pPr>
      <w:bookmarkStart w:id="32" w:name="_Ref144239929"/>
      <w:r w:rsidRPr="000A33D2">
        <w:lastRenderedPageBreak/>
        <w:t xml:space="preserve">Figure </w:t>
      </w:r>
      <w:r>
        <w:fldChar w:fldCharType="begin" w:fldLock="1"/>
      </w:r>
      <w:r>
        <w:instrText>SEQ Figure \* ARABIC</w:instrText>
      </w:r>
      <w:r>
        <w:fldChar w:fldCharType="separate"/>
      </w:r>
      <w:r w:rsidR="00B62E71">
        <w:rPr>
          <w:noProof/>
        </w:rPr>
        <w:t>1</w:t>
      </w:r>
      <w:r>
        <w:fldChar w:fldCharType="end"/>
      </w:r>
      <w:bookmarkEnd w:id="32"/>
      <w:r w:rsidR="008B5E6F" w:rsidRPr="000A33D2">
        <w:rPr>
          <w:rStyle w:val="CommentReference"/>
          <w:b/>
          <w:szCs w:val="24"/>
        </w:rPr>
        <w:t xml:space="preserve">: KM plot for overall survival in all-comers population </w:t>
      </w:r>
    </w:p>
    <w:p w14:paraId="38F82372" w14:textId="77777777" w:rsidR="008B5E6F" w:rsidRPr="000A33D2" w:rsidRDefault="008B5E6F" w:rsidP="00B62E71">
      <w:pPr>
        <w:keepNext/>
        <w:keepLines/>
      </w:pPr>
      <w:r w:rsidRPr="000A33D2">
        <w:rPr>
          <w:noProof/>
        </w:rPr>
        <w:drawing>
          <wp:inline distT="0" distB="0" distL="0" distR="0" wp14:anchorId="35696350" wp14:editId="2713D313">
            <wp:extent cx="5731510" cy="2733040"/>
            <wp:effectExtent l="0" t="0" r="0" b="0"/>
            <wp:docPr id="343505109" name="Picture 343505109"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a number of patients&#10;&#10;Description automatically generated"/>
                    <pic:cNvPicPr/>
                  </pic:nvPicPr>
                  <pic:blipFill>
                    <a:blip r:embed="rId9"/>
                    <a:stretch>
                      <a:fillRect/>
                    </a:stretch>
                  </pic:blipFill>
                  <pic:spPr>
                    <a:xfrm>
                      <a:off x="0" y="0"/>
                      <a:ext cx="5731510" cy="2733040"/>
                    </a:xfrm>
                    <a:prstGeom prst="rect">
                      <a:avLst/>
                    </a:prstGeom>
                  </pic:spPr>
                </pic:pic>
              </a:graphicData>
            </a:graphic>
          </wp:inline>
        </w:drawing>
      </w:r>
    </w:p>
    <w:p w14:paraId="22749A91" w14:textId="77777777" w:rsidR="008B5E6F" w:rsidRPr="000A33D2" w:rsidRDefault="008B5E6F" w:rsidP="00B62E71">
      <w:pPr>
        <w:pStyle w:val="FooterTableFigure"/>
        <w:keepNext/>
        <w:keepLines/>
        <w:spacing w:after="0"/>
        <w:rPr>
          <w:sz w:val="20"/>
        </w:rPr>
      </w:pPr>
      <w:r w:rsidRPr="000A33D2">
        <w:t>Source: Figure 7, p68 of the submission.</w:t>
      </w:r>
    </w:p>
    <w:p w14:paraId="53BDEB66" w14:textId="6C343BC5" w:rsidR="00F56F22" w:rsidRPr="000A33D2" w:rsidRDefault="008B5E6F" w:rsidP="00B62E71">
      <w:pPr>
        <w:pStyle w:val="FooterTableFigure"/>
        <w:rPr>
          <w:rFonts w:eastAsia="Calibri"/>
        </w:rPr>
      </w:pPr>
      <w:r w:rsidRPr="000A33D2">
        <w:rPr>
          <w:rFonts w:eastAsia="Calibri"/>
        </w:rPr>
        <w:t>CI = confidence interval</w:t>
      </w:r>
    </w:p>
    <w:p w14:paraId="7F3AEA74" w14:textId="580E7FD6" w:rsidR="008B5E6F" w:rsidRPr="000A33D2" w:rsidRDefault="006B1DF3" w:rsidP="00B62E71">
      <w:pPr>
        <w:pStyle w:val="Caption"/>
      </w:pPr>
      <w:bookmarkStart w:id="33" w:name="_Ref144280795"/>
      <w:r w:rsidRPr="000A33D2">
        <w:t xml:space="preserve">Figure </w:t>
      </w:r>
      <w:r>
        <w:fldChar w:fldCharType="begin" w:fldLock="1"/>
      </w:r>
      <w:r>
        <w:instrText>SEQ Figure \* ARABIC</w:instrText>
      </w:r>
      <w:r>
        <w:fldChar w:fldCharType="separate"/>
      </w:r>
      <w:r w:rsidR="00B62E71">
        <w:rPr>
          <w:noProof/>
        </w:rPr>
        <w:t>2</w:t>
      </w:r>
      <w:r>
        <w:fldChar w:fldCharType="end"/>
      </w:r>
      <w:bookmarkEnd w:id="33"/>
      <w:r w:rsidR="008B5E6F" w:rsidRPr="000A33D2">
        <w:rPr>
          <w:rStyle w:val="CommentReference"/>
          <w:b/>
          <w:szCs w:val="24"/>
        </w:rPr>
        <w:t xml:space="preserve">: KM plot for overall survival in dMMR/MSI-H cohort </w:t>
      </w:r>
    </w:p>
    <w:p w14:paraId="12416266" w14:textId="77777777" w:rsidR="008B5E6F" w:rsidRPr="000A33D2" w:rsidRDefault="008B5E6F" w:rsidP="00B62E71">
      <w:pPr>
        <w:keepNext/>
        <w:keepLines/>
      </w:pPr>
      <w:r w:rsidRPr="000A33D2">
        <w:rPr>
          <w:noProof/>
        </w:rPr>
        <w:drawing>
          <wp:inline distT="0" distB="0" distL="0" distR="0" wp14:anchorId="720D8172" wp14:editId="0B2BF13C">
            <wp:extent cx="5731510" cy="2742565"/>
            <wp:effectExtent l="0" t="0" r="0" b="0"/>
            <wp:docPr id="1517129722" name="Picture 1517129722"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number of patients&#10;&#10;Description automatically generated"/>
                    <pic:cNvPicPr/>
                  </pic:nvPicPr>
                  <pic:blipFill>
                    <a:blip r:embed="rId10"/>
                    <a:stretch>
                      <a:fillRect/>
                    </a:stretch>
                  </pic:blipFill>
                  <pic:spPr>
                    <a:xfrm>
                      <a:off x="0" y="0"/>
                      <a:ext cx="5731510" cy="2742565"/>
                    </a:xfrm>
                    <a:prstGeom prst="rect">
                      <a:avLst/>
                    </a:prstGeom>
                  </pic:spPr>
                </pic:pic>
              </a:graphicData>
            </a:graphic>
          </wp:inline>
        </w:drawing>
      </w:r>
    </w:p>
    <w:p w14:paraId="71689913" w14:textId="77777777" w:rsidR="008B5E6F" w:rsidRPr="000A33D2" w:rsidRDefault="008B5E6F" w:rsidP="00B62E71">
      <w:pPr>
        <w:pStyle w:val="FooterTableFigure"/>
        <w:keepNext/>
        <w:keepLines/>
        <w:spacing w:after="0"/>
        <w:rPr>
          <w:sz w:val="20"/>
        </w:rPr>
      </w:pPr>
      <w:r w:rsidRPr="000A33D2">
        <w:t>Source: Figure 8, p68 of the submission.</w:t>
      </w:r>
    </w:p>
    <w:p w14:paraId="34E735F0" w14:textId="1ED41A60" w:rsidR="008B5E6F" w:rsidRPr="000A33D2" w:rsidRDefault="008B5E6F" w:rsidP="00B62E71">
      <w:pPr>
        <w:pStyle w:val="FooterTableFigure"/>
      </w:pPr>
      <w:r w:rsidRPr="000A33D2">
        <w:rPr>
          <w:rFonts w:eastAsia="Calibri"/>
        </w:rPr>
        <w:t>CI = confidence interval</w:t>
      </w:r>
    </w:p>
    <w:p w14:paraId="250D1327" w14:textId="7BB84515" w:rsidR="008B5E6F" w:rsidRPr="000A33D2" w:rsidRDefault="00F35AC5" w:rsidP="00B62E71">
      <w:pPr>
        <w:pStyle w:val="Caption"/>
      </w:pPr>
      <w:bookmarkStart w:id="34" w:name="_Ref144280801"/>
      <w:r w:rsidRPr="000A33D2">
        <w:lastRenderedPageBreak/>
        <w:t xml:space="preserve">Figure </w:t>
      </w:r>
      <w:r>
        <w:fldChar w:fldCharType="begin" w:fldLock="1"/>
      </w:r>
      <w:r>
        <w:instrText>SEQ Figure \* ARABIC</w:instrText>
      </w:r>
      <w:r>
        <w:fldChar w:fldCharType="separate"/>
      </w:r>
      <w:r w:rsidR="00B62E71">
        <w:rPr>
          <w:noProof/>
        </w:rPr>
        <w:t>3</w:t>
      </w:r>
      <w:r>
        <w:fldChar w:fldCharType="end"/>
      </w:r>
      <w:bookmarkEnd w:id="34"/>
      <w:r w:rsidR="008B5E6F" w:rsidRPr="000A33D2">
        <w:rPr>
          <w:rStyle w:val="CommentReference"/>
          <w:b/>
          <w:szCs w:val="24"/>
        </w:rPr>
        <w:t xml:space="preserve">: KM plot for overall survival in pMMR/MSS cohort </w:t>
      </w:r>
    </w:p>
    <w:p w14:paraId="01A48647" w14:textId="77777777" w:rsidR="008B5E6F" w:rsidRPr="000A33D2" w:rsidRDefault="008B5E6F" w:rsidP="00B62E71">
      <w:pPr>
        <w:keepNext/>
        <w:keepLines/>
      </w:pPr>
      <w:r w:rsidRPr="000A33D2">
        <w:rPr>
          <w:noProof/>
        </w:rPr>
        <w:drawing>
          <wp:inline distT="0" distB="0" distL="0" distR="0" wp14:anchorId="2FD23B94" wp14:editId="2F4459C2">
            <wp:extent cx="5731510" cy="2686050"/>
            <wp:effectExtent l="0" t="0" r="0" b="0"/>
            <wp:docPr id="652626633" name="Picture 652626633"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number of patients&#10;&#10;Description automatically generated"/>
                    <pic:cNvPicPr/>
                  </pic:nvPicPr>
                  <pic:blipFill>
                    <a:blip r:embed="rId11"/>
                    <a:stretch>
                      <a:fillRect/>
                    </a:stretch>
                  </pic:blipFill>
                  <pic:spPr>
                    <a:xfrm>
                      <a:off x="0" y="0"/>
                      <a:ext cx="5731510" cy="2686050"/>
                    </a:xfrm>
                    <a:prstGeom prst="rect">
                      <a:avLst/>
                    </a:prstGeom>
                  </pic:spPr>
                </pic:pic>
              </a:graphicData>
            </a:graphic>
          </wp:inline>
        </w:drawing>
      </w:r>
    </w:p>
    <w:p w14:paraId="1FC013BB" w14:textId="77777777" w:rsidR="008B5E6F" w:rsidRPr="000A33D2" w:rsidRDefault="008B5E6F" w:rsidP="00B62E71">
      <w:pPr>
        <w:pStyle w:val="FooterTableFigure"/>
        <w:keepNext/>
        <w:keepLines/>
        <w:spacing w:after="0"/>
        <w:rPr>
          <w:sz w:val="20"/>
        </w:rPr>
      </w:pPr>
      <w:r w:rsidRPr="000A33D2">
        <w:t>Source: Figure 9, p69 of the submission.</w:t>
      </w:r>
    </w:p>
    <w:p w14:paraId="26C1C0C8" w14:textId="77777777" w:rsidR="008B5E6F" w:rsidRPr="000A33D2" w:rsidRDefault="008B5E6F" w:rsidP="00B62E71">
      <w:pPr>
        <w:pStyle w:val="FooterTableFigure"/>
        <w:rPr>
          <w:rFonts w:eastAsia="Calibri"/>
        </w:rPr>
      </w:pPr>
      <w:r w:rsidRPr="000A33D2">
        <w:rPr>
          <w:rFonts w:eastAsia="Calibri"/>
        </w:rPr>
        <w:t>CI = confidence interval</w:t>
      </w:r>
    </w:p>
    <w:p w14:paraId="7CA4B4F9" w14:textId="2627E4E0" w:rsidR="008B5E6F" w:rsidRPr="000A33D2" w:rsidRDefault="0040594B" w:rsidP="00B62E71">
      <w:pPr>
        <w:pStyle w:val="Caption"/>
      </w:pPr>
      <w:bookmarkStart w:id="35" w:name="_Ref144380297"/>
      <w:r w:rsidRPr="000A33D2">
        <w:t xml:space="preserve">Table </w:t>
      </w:r>
      <w:r>
        <w:fldChar w:fldCharType="begin" w:fldLock="1"/>
      </w:r>
      <w:r>
        <w:instrText>SEQ Table \* ARABIC</w:instrText>
      </w:r>
      <w:r>
        <w:fldChar w:fldCharType="separate"/>
      </w:r>
      <w:r w:rsidR="00B62E71">
        <w:rPr>
          <w:noProof/>
        </w:rPr>
        <w:t>4</w:t>
      </w:r>
      <w:r>
        <w:fldChar w:fldCharType="end"/>
      </w:r>
      <w:bookmarkEnd w:id="35"/>
      <w:r w:rsidR="008B5E6F" w:rsidRPr="000A33D2">
        <w:rPr>
          <w:rStyle w:val="CommentReference"/>
          <w:b/>
          <w:szCs w:val="24"/>
        </w:rPr>
        <w:t>: KM analysis of overall survival in RUBY</w:t>
      </w:r>
    </w:p>
    <w:tbl>
      <w:tblPr>
        <w:tblStyle w:val="TableGrid"/>
        <w:tblW w:w="0" w:type="auto"/>
        <w:tblLook w:val="04A0" w:firstRow="1" w:lastRow="0" w:firstColumn="1" w:lastColumn="0" w:noHBand="0" w:noVBand="1"/>
      </w:tblPr>
      <w:tblGrid>
        <w:gridCol w:w="1555"/>
        <w:gridCol w:w="1243"/>
        <w:gridCol w:w="1244"/>
        <w:gridCol w:w="1244"/>
        <w:gridCol w:w="1243"/>
        <w:gridCol w:w="1244"/>
        <w:gridCol w:w="1244"/>
      </w:tblGrid>
      <w:tr w:rsidR="008B5E6F" w:rsidRPr="000A33D2" w14:paraId="1DF4DA92" w14:textId="77777777" w:rsidTr="004E203B">
        <w:tc>
          <w:tcPr>
            <w:tcW w:w="1555" w:type="dxa"/>
            <w:vMerge w:val="restart"/>
            <w:shd w:val="clear" w:color="auto" w:fill="auto"/>
            <w:vAlign w:val="center"/>
          </w:tcPr>
          <w:p w14:paraId="55BFAF1D" w14:textId="77777777" w:rsidR="008B5E6F" w:rsidRPr="000A33D2" w:rsidRDefault="008B5E6F" w:rsidP="00B62E71">
            <w:pPr>
              <w:keepNext/>
              <w:keepLines/>
              <w:rPr>
                <w:rFonts w:ascii="Arial Narrow" w:hAnsi="Arial Narrow"/>
                <w:b/>
                <w:bCs/>
                <w:sz w:val="20"/>
                <w:szCs w:val="20"/>
              </w:rPr>
            </w:pPr>
            <w:r w:rsidRPr="000A33D2">
              <w:rPr>
                <w:rFonts w:ascii="Arial Narrow" w:hAnsi="Arial Narrow"/>
                <w:b/>
                <w:bCs/>
                <w:sz w:val="20"/>
                <w:szCs w:val="20"/>
              </w:rPr>
              <w:t>OS</w:t>
            </w:r>
          </w:p>
        </w:tc>
        <w:tc>
          <w:tcPr>
            <w:tcW w:w="2487" w:type="dxa"/>
            <w:gridSpan w:val="2"/>
            <w:shd w:val="clear" w:color="auto" w:fill="auto"/>
            <w:vAlign w:val="center"/>
          </w:tcPr>
          <w:p w14:paraId="35ADD2B6"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All-comers</w:t>
            </w:r>
          </w:p>
        </w:tc>
        <w:tc>
          <w:tcPr>
            <w:tcW w:w="2487" w:type="dxa"/>
            <w:gridSpan w:val="2"/>
            <w:shd w:val="clear" w:color="auto" w:fill="auto"/>
            <w:vAlign w:val="center"/>
          </w:tcPr>
          <w:p w14:paraId="68796E86"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dMMR/MSI-H</w:t>
            </w:r>
          </w:p>
        </w:tc>
        <w:tc>
          <w:tcPr>
            <w:tcW w:w="2488" w:type="dxa"/>
            <w:gridSpan w:val="2"/>
            <w:shd w:val="clear" w:color="auto" w:fill="auto"/>
            <w:vAlign w:val="center"/>
          </w:tcPr>
          <w:p w14:paraId="159205CA"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pMMR/MSS</w:t>
            </w:r>
          </w:p>
        </w:tc>
      </w:tr>
      <w:tr w:rsidR="008B5E6F" w:rsidRPr="000A33D2" w14:paraId="1A3329E7" w14:textId="77777777" w:rsidTr="004E203B">
        <w:tc>
          <w:tcPr>
            <w:tcW w:w="1555" w:type="dxa"/>
            <w:vMerge/>
            <w:shd w:val="clear" w:color="auto" w:fill="auto"/>
          </w:tcPr>
          <w:p w14:paraId="5571D1C1" w14:textId="77777777" w:rsidR="008B5E6F" w:rsidRPr="000A33D2" w:rsidRDefault="008B5E6F" w:rsidP="00B62E71">
            <w:pPr>
              <w:keepNext/>
              <w:keepLines/>
              <w:rPr>
                <w:rFonts w:ascii="Arial Narrow" w:hAnsi="Arial Narrow"/>
                <w:sz w:val="20"/>
                <w:szCs w:val="20"/>
              </w:rPr>
            </w:pPr>
          </w:p>
        </w:tc>
        <w:tc>
          <w:tcPr>
            <w:tcW w:w="1243" w:type="dxa"/>
            <w:shd w:val="clear" w:color="auto" w:fill="auto"/>
            <w:vAlign w:val="center"/>
          </w:tcPr>
          <w:p w14:paraId="0A88B43B"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DOS+CP (N=245)</w:t>
            </w:r>
          </w:p>
        </w:tc>
        <w:tc>
          <w:tcPr>
            <w:tcW w:w="1244" w:type="dxa"/>
            <w:shd w:val="clear" w:color="auto" w:fill="auto"/>
            <w:vAlign w:val="center"/>
          </w:tcPr>
          <w:p w14:paraId="3976EA1D"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PBO+CP</w:t>
            </w:r>
          </w:p>
          <w:p w14:paraId="22003A98"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(N=249)</w:t>
            </w:r>
          </w:p>
        </w:tc>
        <w:tc>
          <w:tcPr>
            <w:tcW w:w="1244" w:type="dxa"/>
            <w:shd w:val="clear" w:color="auto" w:fill="auto"/>
            <w:vAlign w:val="center"/>
          </w:tcPr>
          <w:p w14:paraId="7DD4ADCF"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DOS+CP (N=53)</w:t>
            </w:r>
          </w:p>
        </w:tc>
        <w:tc>
          <w:tcPr>
            <w:tcW w:w="1243" w:type="dxa"/>
            <w:shd w:val="clear" w:color="auto" w:fill="auto"/>
            <w:vAlign w:val="center"/>
          </w:tcPr>
          <w:p w14:paraId="631CE12C"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PBO+CP</w:t>
            </w:r>
          </w:p>
          <w:p w14:paraId="65F7424E"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(N=65)</w:t>
            </w:r>
          </w:p>
        </w:tc>
        <w:tc>
          <w:tcPr>
            <w:tcW w:w="1244" w:type="dxa"/>
            <w:shd w:val="clear" w:color="auto" w:fill="auto"/>
            <w:vAlign w:val="center"/>
          </w:tcPr>
          <w:p w14:paraId="59B784B3"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DOS+CP (N=192)</w:t>
            </w:r>
          </w:p>
        </w:tc>
        <w:tc>
          <w:tcPr>
            <w:tcW w:w="1244" w:type="dxa"/>
            <w:shd w:val="clear" w:color="auto" w:fill="auto"/>
            <w:vAlign w:val="center"/>
          </w:tcPr>
          <w:p w14:paraId="706AA31D"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PBO+CP</w:t>
            </w:r>
          </w:p>
          <w:p w14:paraId="46007271" w14:textId="77777777" w:rsidR="008B5E6F" w:rsidRPr="000A33D2" w:rsidRDefault="008B5E6F" w:rsidP="00B62E71">
            <w:pPr>
              <w:keepNext/>
              <w:keepLines/>
              <w:jc w:val="center"/>
              <w:rPr>
                <w:rFonts w:ascii="Arial Narrow" w:hAnsi="Arial Narrow"/>
                <w:b/>
                <w:bCs/>
                <w:sz w:val="20"/>
                <w:szCs w:val="20"/>
              </w:rPr>
            </w:pPr>
            <w:r w:rsidRPr="000A33D2">
              <w:rPr>
                <w:rFonts w:ascii="Arial Narrow" w:hAnsi="Arial Narrow"/>
                <w:b/>
                <w:bCs/>
                <w:sz w:val="20"/>
                <w:szCs w:val="20"/>
              </w:rPr>
              <w:t>(N=184)</w:t>
            </w:r>
          </w:p>
        </w:tc>
      </w:tr>
      <w:tr w:rsidR="008B5E6F" w:rsidRPr="000A33D2" w14:paraId="0032BE48" w14:textId="77777777" w:rsidTr="004E203B">
        <w:tc>
          <w:tcPr>
            <w:tcW w:w="1555" w:type="dxa"/>
            <w:shd w:val="clear" w:color="auto" w:fill="auto"/>
            <w:vAlign w:val="center"/>
          </w:tcPr>
          <w:p w14:paraId="37DB3605" w14:textId="77777777" w:rsidR="008B5E6F" w:rsidRPr="000A33D2" w:rsidRDefault="008B5E6F" w:rsidP="00B62E71">
            <w:pPr>
              <w:keepNext/>
              <w:keepLines/>
              <w:jc w:val="left"/>
              <w:rPr>
                <w:rFonts w:ascii="Arial Narrow" w:hAnsi="Arial Narrow"/>
                <w:sz w:val="20"/>
                <w:szCs w:val="20"/>
                <w:highlight w:val="magenta"/>
              </w:rPr>
            </w:pPr>
            <w:r w:rsidRPr="000A33D2">
              <w:rPr>
                <w:rFonts w:ascii="Arial Narrow" w:hAnsi="Arial Narrow"/>
                <w:sz w:val="20"/>
                <w:szCs w:val="20"/>
              </w:rPr>
              <w:t>Median FU, months</w:t>
            </w:r>
          </w:p>
        </w:tc>
        <w:tc>
          <w:tcPr>
            <w:tcW w:w="1243" w:type="dxa"/>
            <w:shd w:val="clear" w:color="auto" w:fill="auto"/>
            <w:vAlign w:val="center"/>
          </w:tcPr>
          <w:p w14:paraId="6FB4330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25.5</w:t>
            </w:r>
          </w:p>
        </w:tc>
        <w:tc>
          <w:tcPr>
            <w:tcW w:w="1244" w:type="dxa"/>
            <w:shd w:val="clear" w:color="auto" w:fill="auto"/>
            <w:vAlign w:val="center"/>
          </w:tcPr>
          <w:p w14:paraId="6F15C1B8"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25.3</w:t>
            </w:r>
          </w:p>
        </w:tc>
        <w:tc>
          <w:tcPr>
            <w:tcW w:w="1244" w:type="dxa"/>
            <w:shd w:val="clear" w:color="auto" w:fill="auto"/>
            <w:vAlign w:val="center"/>
          </w:tcPr>
          <w:p w14:paraId="30B5A28F"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24.6</w:t>
            </w:r>
          </w:p>
        </w:tc>
        <w:tc>
          <w:tcPr>
            <w:tcW w:w="1243" w:type="dxa"/>
            <w:shd w:val="clear" w:color="auto" w:fill="auto"/>
            <w:vAlign w:val="center"/>
          </w:tcPr>
          <w:p w14:paraId="432A2563"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25.1</w:t>
            </w:r>
          </w:p>
        </w:tc>
        <w:tc>
          <w:tcPr>
            <w:tcW w:w="1244" w:type="dxa"/>
            <w:shd w:val="clear" w:color="auto" w:fill="auto"/>
            <w:vAlign w:val="center"/>
          </w:tcPr>
          <w:p w14:paraId="42E90DD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25.8</w:t>
            </w:r>
          </w:p>
        </w:tc>
        <w:tc>
          <w:tcPr>
            <w:tcW w:w="1244" w:type="dxa"/>
            <w:shd w:val="clear" w:color="auto" w:fill="auto"/>
            <w:vAlign w:val="center"/>
          </w:tcPr>
          <w:p w14:paraId="01C5113B"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25.4</w:t>
            </w:r>
          </w:p>
        </w:tc>
      </w:tr>
      <w:tr w:rsidR="008B5E6F" w:rsidRPr="000A33D2" w14:paraId="05A43B67" w14:textId="77777777" w:rsidTr="004E203B">
        <w:tc>
          <w:tcPr>
            <w:tcW w:w="1555" w:type="dxa"/>
            <w:shd w:val="clear" w:color="auto" w:fill="auto"/>
            <w:vAlign w:val="center"/>
          </w:tcPr>
          <w:p w14:paraId="35BA8C54" w14:textId="77777777" w:rsidR="008B5E6F" w:rsidRPr="000A33D2" w:rsidRDefault="008B5E6F" w:rsidP="00B62E71">
            <w:pPr>
              <w:keepNext/>
              <w:keepLines/>
              <w:jc w:val="left"/>
              <w:rPr>
                <w:rFonts w:ascii="Arial Narrow" w:hAnsi="Arial Narrow"/>
                <w:sz w:val="20"/>
                <w:szCs w:val="20"/>
              </w:rPr>
            </w:pPr>
            <w:r w:rsidRPr="000A33D2">
              <w:rPr>
                <w:rFonts w:ascii="Arial Narrow" w:hAnsi="Arial Narrow"/>
                <w:sz w:val="20"/>
                <w:szCs w:val="20"/>
              </w:rPr>
              <w:t>Events, n (%)</w:t>
            </w:r>
          </w:p>
        </w:tc>
        <w:tc>
          <w:tcPr>
            <w:tcW w:w="1243" w:type="dxa"/>
            <w:shd w:val="clear" w:color="auto" w:fill="auto"/>
            <w:vAlign w:val="center"/>
          </w:tcPr>
          <w:p w14:paraId="50A63785"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65 (26.5)</w:t>
            </w:r>
          </w:p>
        </w:tc>
        <w:tc>
          <w:tcPr>
            <w:tcW w:w="1244" w:type="dxa"/>
            <w:shd w:val="clear" w:color="auto" w:fill="auto"/>
            <w:vAlign w:val="center"/>
          </w:tcPr>
          <w:p w14:paraId="13ACBE10"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100 (40.2)</w:t>
            </w:r>
          </w:p>
        </w:tc>
        <w:tc>
          <w:tcPr>
            <w:tcW w:w="1244" w:type="dxa"/>
            <w:shd w:val="clear" w:color="auto" w:fill="auto"/>
            <w:vAlign w:val="center"/>
          </w:tcPr>
          <w:p w14:paraId="65042FFF"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 (13.2)</w:t>
            </w:r>
          </w:p>
        </w:tc>
        <w:tc>
          <w:tcPr>
            <w:tcW w:w="1243" w:type="dxa"/>
            <w:shd w:val="clear" w:color="auto" w:fill="auto"/>
            <w:vAlign w:val="center"/>
          </w:tcPr>
          <w:p w14:paraId="6CB22EB6"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24 (36.9)</w:t>
            </w:r>
          </w:p>
        </w:tc>
        <w:tc>
          <w:tcPr>
            <w:tcW w:w="1244" w:type="dxa"/>
            <w:shd w:val="clear" w:color="auto" w:fill="auto"/>
            <w:vAlign w:val="center"/>
          </w:tcPr>
          <w:p w14:paraId="0AB6FD9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58 (30.2)</w:t>
            </w:r>
          </w:p>
        </w:tc>
        <w:tc>
          <w:tcPr>
            <w:tcW w:w="1244" w:type="dxa"/>
            <w:shd w:val="clear" w:color="auto" w:fill="auto"/>
            <w:vAlign w:val="center"/>
          </w:tcPr>
          <w:p w14:paraId="292B854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76 (41.3)</w:t>
            </w:r>
          </w:p>
        </w:tc>
      </w:tr>
      <w:tr w:rsidR="008B5E6F" w:rsidRPr="000A33D2" w14:paraId="6A94D155" w14:textId="77777777" w:rsidTr="004E203B">
        <w:tc>
          <w:tcPr>
            <w:tcW w:w="1555" w:type="dxa"/>
            <w:shd w:val="clear" w:color="auto" w:fill="auto"/>
            <w:vAlign w:val="center"/>
          </w:tcPr>
          <w:p w14:paraId="08878CA7" w14:textId="77777777" w:rsidR="008B5E6F" w:rsidRPr="000A33D2" w:rsidRDefault="008B5E6F" w:rsidP="00B62E71">
            <w:pPr>
              <w:keepNext/>
              <w:keepLines/>
              <w:jc w:val="left"/>
              <w:rPr>
                <w:rFonts w:ascii="Arial Narrow" w:hAnsi="Arial Narrow"/>
                <w:sz w:val="20"/>
                <w:szCs w:val="20"/>
              </w:rPr>
            </w:pPr>
            <w:r w:rsidRPr="000A33D2">
              <w:rPr>
                <w:rFonts w:ascii="Arial Narrow" w:hAnsi="Arial Narrow"/>
                <w:sz w:val="20"/>
                <w:szCs w:val="20"/>
              </w:rPr>
              <w:t>Censored, n (%)</w:t>
            </w:r>
          </w:p>
        </w:tc>
        <w:tc>
          <w:tcPr>
            <w:tcW w:w="1243" w:type="dxa"/>
            <w:shd w:val="clear" w:color="auto" w:fill="auto"/>
            <w:vAlign w:val="center"/>
          </w:tcPr>
          <w:p w14:paraId="532B98EA"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180 (73.5)</w:t>
            </w:r>
          </w:p>
        </w:tc>
        <w:tc>
          <w:tcPr>
            <w:tcW w:w="1244" w:type="dxa"/>
            <w:shd w:val="clear" w:color="auto" w:fill="auto"/>
            <w:vAlign w:val="center"/>
          </w:tcPr>
          <w:p w14:paraId="4A96365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149 (59.8)</w:t>
            </w:r>
          </w:p>
        </w:tc>
        <w:tc>
          <w:tcPr>
            <w:tcW w:w="1244" w:type="dxa"/>
            <w:shd w:val="clear" w:color="auto" w:fill="auto"/>
            <w:vAlign w:val="center"/>
          </w:tcPr>
          <w:p w14:paraId="7FAF0EE0"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46 (86.8)</w:t>
            </w:r>
          </w:p>
        </w:tc>
        <w:tc>
          <w:tcPr>
            <w:tcW w:w="1243" w:type="dxa"/>
            <w:shd w:val="clear" w:color="auto" w:fill="auto"/>
            <w:vAlign w:val="center"/>
          </w:tcPr>
          <w:p w14:paraId="79DAA9D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41 (63.1)</w:t>
            </w:r>
          </w:p>
        </w:tc>
        <w:tc>
          <w:tcPr>
            <w:tcW w:w="1244" w:type="dxa"/>
            <w:shd w:val="clear" w:color="auto" w:fill="auto"/>
            <w:vAlign w:val="center"/>
          </w:tcPr>
          <w:p w14:paraId="54B1E6A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134 (69.8)</w:t>
            </w:r>
          </w:p>
        </w:tc>
        <w:tc>
          <w:tcPr>
            <w:tcW w:w="1244" w:type="dxa"/>
            <w:shd w:val="clear" w:color="auto" w:fill="auto"/>
            <w:vAlign w:val="center"/>
          </w:tcPr>
          <w:p w14:paraId="47E9ACBE"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108 (58.7)</w:t>
            </w:r>
          </w:p>
        </w:tc>
      </w:tr>
      <w:tr w:rsidR="008B5E6F" w:rsidRPr="000A33D2" w14:paraId="4AE2FE0B" w14:textId="77777777" w:rsidTr="004E203B">
        <w:tc>
          <w:tcPr>
            <w:tcW w:w="1555" w:type="dxa"/>
            <w:shd w:val="clear" w:color="auto" w:fill="auto"/>
            <w:vAlign w:val="center"/>
          </w:tcPr>
          <w:p w14:paraId="405AC7C9" w14:textId="13303150" w:rsidR="008B5E6F" w:rsidRPr="000A33D2" w:rsidRDefault="008B5E6F" w:rsidP="00B62E71">
            <w:pPr>
              <w:keepNext/>
              <w:keepLines/>
              <w:jc w:val="left"/>
              <w:rPr>
                <w:rFonts w:ascii="Arial Narrow" w:hAnsi="Arial Narrow"/>
                <w:sz w:val="20"/>
                <w:szCs w:val="20"/>
              </w:rPr>
            </w:pPr>
            <w:r w:rsidRPr="000A33D2">
              <w:rPr>
                <w:rFonts w:ascii="Arial Narrow" w:hAnsi="Arial Narrow"/>
                <w:sz w:val="20"/>
                <w:szCs w:val="20"/>
              </w:rPr>
              <w:t>Median OS, months (95% CI)</w:t>
            </w:r>
          </w:p>
        </w:tc>
        <w:tc>
          <w:tcPr>
            <w:tcW w:w="1243" w:type="dxa"/>
            <w:shd w:val="clear" w:color="auto" w:fill="auto"/>
            <w:vAlign w:val="center"/>
          </w:tcPr>
          <w:p w14:paraId="75AF449B"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w:t>
            </w:r>
          </w:p>
          <w:p w14:paraId="5FE7DF4D"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 NR)</w:t>
            </w:r>
          </w:p>
        </w:tc>
        <w:tc>
          <w:tcPr>
            <w:tcW w:w="1244" w:type="dxa"/>
            <w:shd w:val="clear" w:color="auto" w:fill="auto"/>
            <w:vAlign w:val="center"/>
          </w:tcPr>
          <w:p w14:paraId="5D6E6383"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w:t>
            </w:r>
          </w:p>
          <w:p w14:paraId="6EEC90EC"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(23.2, NR)</w:t>
            </w:r>
          </w:p>
        </w:tc>
        <w:tc>
          <w:tcPr>
            <w:tcW w:w="1244" w:type="dxa"/>
            <w:shd w:val="clear" w:color="auto" w:fill="auto"/>
            <w:vAlign w:val="center"/>
          </w:tcPr>
          <w:p w14:paraId="0480A300"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w:t>
            </w:r>
          </w:p>
          <w:p w14:paraId="55F9F4D1"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 NR)</w:t>
            </w:r>
          </w:p>
        </w:tc>
        <w:tc>
          <w:tcPr>
            <w:tcW w:w="1243" w:type="dxa"/>
            <w:shd w:val="clear" w:color="auto" w:fill="auto"/>
            <w:vAlign w:val="center"/>
          </w:tcPr>
          <w:p w14:paraId="7131CA2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w:t>
            </w:r>
          </w:p>
          <w:p w14:paraId="1E24CD9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(23.2, NR)</w:t>
            </w:r>
          </w:p>
        </w:tc>
        <w:tc>
          <w:tcPr>
            <w:tcW w:w="1244" w:type="dxa"/>
            <w:shd w:val="clear" w:color="auto" w:fill="auto"/>
            <w:vAlign w:val="center"/>
          </w:tcPr>
          <w:p w14:paraId="04EF5C0B"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NR</w:t>
            </w:r>
          </w:p>
          <w:p w14:paraId="6DAACB17"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(29.8, NR)</w:t>
            </w:r>
          </w:p>
        </w:tc>
        <w:tc>
          <w:tcPr>
            <w:tcW w:w="1244" w:type="dxa"/>
            <w:shd w:val="clear" w:color="auto" w:fill="auto"/>
            <w:vAlign w:val="center"/>
          </w:tcPr>
          <w:p w14:paraId="4C3E1AEE"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29.8</w:t>
            </w:r>
          </w:p>
          <w:p w14:paraId="059BF3C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(21.9, NR)</w:t>
            </w:r>
          </w:p>
        </w:tc>
      </w:tr>
      <w:tr w:rsidR="008B5E6F" w:rsidRPr="000A33D2" w14:paraId="13162202" w14:textId="77777777" w:rsidTr="004E203B">
        <w:tc>
          <w:tcPr>
            <w:tcW w:w="1555" w:type="dxa"/>
            <w:shd w:val="clear" w:color="auto" w:fill="auto"/>
            <w:vAlign w:val="center"/>
          </w:tcPr>
          <w:p w14:paraId="0138B80D" w14:textId="77777777" w:rsidR="008B5E6F" w:rsidRPr="000A33D2" w:rsidRDefault="008B5E6F" w:rsidP="00B62E71">
            <w:pPr>
              <w:keepNext/>
              <w:keepLines/>
              <w:jc w:val="left"/>
              <w:rPr>
                <w:rFonts w:ascii="Arial Narrow" w:hAnsi="Arial Narrow"/>
                <w:sz w:val="20"/>
                <w:szCs w:val="20"/>
              </w:rPr>
            </w:pPr>
            <w:r w:rsidRPr="000A33D2">
              <w:rPr>
                <w:rFonts w:ascii="Arial Narrow" w:hAnsi="Arial Narrow"/>
                <w:sz w:val="20"/>
                <w:szCs w:val="20"/>
              </w:rPr>
              <w:t xml:space="preserve">Hazard Ratio </w:t>
            </w:r>
          </w:p>
          <w:p w14:paraId="77F98C35" w14:textId="77777777" w:rsidR="008B5E6F" w:rsidRPr="000A33D2" w:rsidRDefault="008B5E6F" w:rsidP="00B62E71">
            <w:pPr>
              <w:keepNext/>
              <w:keepLines/>
              <w:jc w:val="left"/>
              <w:rPr>
                <w:rFonts w:ascii="Arial Narrow" w:hAnsi="Arial Narrow"/>
                <w:sz w:val="20"/>
                <w:szCs w:val="20"/>
              </w:rPr>
            </w:pPr>
            <w:r w:rsidRPr="000A33D2">
              <w:rPr>
                <w:rFonts w:ascii="Arial Narrow" w:hAnsi="Arial Narrow"/>
                <w:sz w:val="20"/>
                <w:szCs w:val="20"/>
              </w:rPr>
              <w:t>(95% CI)</w:t>
            </w:r>
          </w:p>
        </w:tc>
        <w:tc>
          <w:tcPr>
            <w:tcW w:w="2487" w:type="dxa"/>
            <w:gridSpan w:val="2"/>
            <w:shd w:val="clear" w:color="auto" w:fill="auto"/>
            <w:vAlign w:val="center"/>
          </w:tcPr>
          <w:p w14:paraId="3B84C40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0.64</w:t>
            </w:r>
          </w:p>
          <w:p w14:paraId="6F60AF15"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(0.46, 0.87)</w:t>
            </w:r>
          </w:p>
        </w:tc>
        <w:tc>
          <w:tcPr>
            <w:tcW w:w="2487" w:type="dxa"/>
            <w:gridSpan w:val="2"/>
            <w:shd w:val="clear" w:color="auto" w:fill="auto"/>
            <w:vAlign w:val="center"/>
          </w:tcPr>
          <w:p w14:paraId="6B29AC77"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0.30</w:t>
            </w:r>
          </w:p>
          <w:p w14:paraId="38CA4A8A"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(0.13, 0.70)</w:t>
            </w:r>
          </w:p>
        </w:tc>
        <w:tc>
          <w:tcPr>
            <w:tcW w:w="2488" w:type="dxa"/>
            <w:gridSpan w:val="2"/>
            <w:shd w:val="clear" w:color="auto" w:fill="auto"/>
            <w:vAlign w:val="center"/>
          </w:tcPr>
          <w:p w14:paraId="439A6CF8"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0.73</w:t>
            </w:r>
          </w:p>
          <w:p w14:paraId="165341F5"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(0.52, 1.02)</w:t>
            </w:r>
          </w:p>
        </w:tc>
      </w:tr>
      <w:tr w:rsidR="008B5E6F" w:rsidRPr="000A33D2" w14:paraId="2441BAC2" w14:textId="77777777" w:rsidTr="004E203B">
        <w:tc>
          <w:tcPr>
            <w:tcW w:w="1555" w:type="dxa"/>
            <w:shd w:val="clear" w:color="auto" w:fill="auto"/>
            <w:vAlign w:val="center"/>
          </w:tcPr>
          <w:p w14:paraId="53235D93" w14:textId="77777777" w:rsidR="008B5E6F" w:rsidRPr="000A33D2" w:rsidRDefault="008B5E6F" w:rsidP="00B62E71">
            <w:pPr>
              <w:keepNext/>
              <w:keepLines/>
              <w:rPr>
                <w:rFonts w:ascii="Arial Narrow" w:hAnsi="Arial Narrow"/>
                <w:sz w:val="20"/>
                <w:szCs w:val="20"/>
              </w:rPr>
            </w:pPr>
            <w:r w:rsidRPr="000A33D2">
              <w:rPr>
                <w:rFonts w:ascii="Arial Narrow" w:hAnsi="Arial Narrow"/>
                <w:sz w:val="20"/>
                <w:szCs w:val="20"/>
              </w:rPr>
              <w:t>p-value</w:t>
            </w:r>
          </w:p>
        </w:tc>
        <w:tc>
          <w:tcPr>
            <w:tcW w:w="2487" w:type="dxa"/>
            <w:gridSpan w:val="2"/>
            <w:shd w:val="clear" w:color="auto" w:fill="auto"/>
            <w:vAlign w:val="center"/>
          </w:tcPr>
          <w:p w14:paraId="0EC9A8BF"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0.0021</w:t>
            </w:r>
          </w:p>
        </w:tc>
        <w:tc>
          <w:tcPr>
            <w:tcW w:w="2487" w:type="dxa"/>
            <w:gridSpan w:val="2"/>
            <w:shd w:val="clear" w:color="auto" w:fill="auto"/>
            <w:vAlign w:val="center"/>
          </w:tcPr>
          <w:p w14:paraId="695B60C8"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0.0016</w:t>
            </w:r>
          </w:p>
        </w:tc>
        <w:tc>
          <w:tcPr>
            <w:tcW w:w="2488" w:type="dxa"/>
            <w:gridSpan w:val="2"/>
            <w:shd w:val="clear" w:color="auto" w:fill="auto"/>
            <w:vAlign w:val="center"/>
          </w:tcPr>
          <w:p w14:paraId="719CB7BD"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0.0333</w:t>
            </w:r>
          </w:p>
        </w:tc>
      </w:tr>
      <w:tr w:rsidR="008B5E6F" w:rsidRPr="000A33D2" w14:paraId="733ADE45" w14:textId="77777777" w:rsidTr="00DB2B5C">
        <w:tc>
          <w:tcPr>
            <w:tcW w:w="9017" w:type="dxa"/>
            <w:gridSpan w:val="7"/>
            <w:shd w:val="clear" w:color="auto" w:fill="auto"/>
            <w:vAlign w:val="center"/>
          </w:tcPr>
          <w:p w14:paraId="08A669F0" w14:textId="77777777" w:rsidR="008B5E6F" w:rsidRPr="000A33D2" w:rsidRDefault="008B5E6F" w:rsidP="00B62E71">
            <w:pPr>
              <w:keepNext/>
              <w:keepLines/>
              <w:rPr>
                <w:rFonts w:ascii="Arial Narrow" w:hAnsi="Arial Narrow"/>
                <w:b/>
                <w:bCs/>
                <w:sz w:val="20"/>
                <w:szCs w:val="20"/>
              </w:rPr>
            </w:pPr>
            <w:r w:rsidRPr="000A33D2">
              <w:rPr>
                <w:rFonts w:ascii="Arial Narrow" w:hAnsi="Arial Narrow"/>
                <w:b/>
                <w:bCs/>
                <w:sz w:val="20"/>
                <w:szCs w:val="20"/>
              </w:rPr>
              <w:t>Landmark survival estimates, probability (95% CI)</w:t>
            </w:r>
          </w:p>
        </w:tc>
      </w:tr>
      <w:tr w:rsidR="008B5E6F" w:rsidRPr="000A33D2" w14:paraId="747E5B6F" w14:textId="77777777" w:rsidTr="004E203B">
        <w:tc>
          <w:tcPr>
            <w:tcW w:w="1555" w:type="dxa"/>
            <w:shd w:val="clear" w:color="auto" w:fill="auto"/>
            <w:vAlign w:val="center"/>
          </w:tcPr>
          <w:p w14:paraId="346E0536" w14:textId="77777777" w:rsidR="008B5E6F" w:rsidRPr="000A33D2" w:rsidRDefault="008B5E6F" w:rsidP="00B62E71">
            <w:pPr>
              <w:keepNext/>
              <w:keepLines/>
              <w:rPr>
                <w:rFonts w:ascii="Arial Narrow" w:hAnsi="Arial Narrow"/>
                <w:sz w:val="20"/>
                <w:szCs w:val="20"/>
              </w:rPr>
            </w:pPr>
            <w:r w:rsidRPr="000A33D2">
              <w:rPr>
                <w:rFonts w:ascii="Arial Narrow" w:hAnsi="Arial Narrow"/>
                <w:sz w:val="20"/>
                <w:szCs w:val="20"/>
              </w:rPr>
              <w:t>12 months</w:t>
            </w:r>
          </w:p>
        </w:tc>
        <w:tc>
          <w:tcPr>
            <w:tcW w:w="1243" w:type="dxa"/>
            <w:shd w:val="clear" w:color="auto" w:fill="auto"/>
            <w:vAlign w:val="center"/>
          </w:tcPr>
          <w:p w14:paraId="7BCAC41A"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84.6</w:t>
            </w:r>
          </w:p>
          <w:p w14:paraId="2CD21155"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(79.2, 88.7)</w:t>
            </w:r>
          </w:p>
        </w:tc>
        <w:tc>
          <w:tcPr>
            <w:tcW w:w="1244" w:type="dxa"/>
            <w:shd w:val="clear" w:color="auto" w:fill="auto"/>
            <w:vAlign w:val="center"/>
          </w:tcPr>
          <w:p w14:paraId="11EFB556"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81.3</w:t>
            </w:r>
          </w:p>
          <w:p w14:paraId="340C545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(75.7, 85.7)</w:t>
            </w:r>
          </w:p>
        </w:tc>
        <w:tc>
          <w:tcPr>
            <w:tcW w:w="1244" w:type="dxa"/>
            <w:shd w:val="clear" w:color="auto" w:fill="auto"/>
            <w:vAlign w:val="center"/>
          </w:tcPr>
          <w:p w14:paraId="580CA556"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90.1</w:t>
            </w:r>
          </w:p>
          <w:p w14:paraId="782FA74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(77.8, 95.7)</w:t>
            </w:r>
          </w:p>
        </w:tc>
        <w:tc>
          <w:tcPr>
            <w:tcW w:w="1243" w:type="dxa"/>
            <w:shd w:val="clear" w:color="auto" w:fill="auto"/>
            <w:vAlign w:val="center"/>
          </w:tcPr>
          <w:p w14:paraId="57309911"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79.6</w:t>
            </w:r>
          </w:p>
          <w:p w14:paraId="7E6D186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(67.5, 87.6)</w:t>
            </w:r>
          </w:p>
        </w:tc>
        <w:tc>
          <w:tcPr>
            <w:tcW w:w="1244" w:type="dxa"/>
            <w:shd w:val="clear" w:color="auto" w:fill="auto"/>
            <w:vAlign w:val="center"/>
          </w:tcPr>
          <w:p w14:paraId="3A4D676E"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83.1</w:t>
            </w:r>
          </w:p>
          <w:p w14:paraId="4685BC4E"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(76.7, 87.9)</w:t>
            </w:r>
          </w:p>
        </w:tc>
        <w:tc>
          <w:tcPr>
            <w:tcW w:w="1244" w:type="dxa"/>
            <w:shd w:val="clear" w:color="auto" w:fill="auto"/>
            <w:vAlign w:val="center"/>
          </w:tcPr>
          <w:p w14:paraId="1395D1E8"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81.8</w:t>
            </w:r>
          </w:p>
          <w:p w14:paraId="75A27563"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(75.3, 86.8)</w:t>
            </w:r>
          </w:p>
        </w:tc>
      </w:tr>
      <w:tr w:rsidR="008B5E6F" w:rsidRPr="000A33D2" w14:paraId="66463E90" w14:textId="77777777" w:rsidTr="004E203B">
        <w:tc>
          <w:tcPr>
            <w:tcW w:w="1555" w:type="dxa"/>
            <w:shd w:val="clear" w:color="auto" w:fill="auto"/>
            <w:vAlign w:val="center"/>
          </w:tcPr>
          <w:p w14:paraId="2E86B6EC" w14:textId="77777777" w:rsidR="008B5E6F" w:rsidRPr="000A33D2" w:rsidRDefault="008B5E6F" w:rsidP="00B62E71">
            <w:pPr>
              <w:keepNext/>
              <w:keepLines/>
              <w:rPr>
                <w:rFonts w:ascii="Arial Narrow" w:hAnsi="Arial Narrow"/>
                <w:sz w:val="20"/>
                <w:szCs w:val="20"/>
              </w:rPr>
            </w:pPr>
            <w:r w:rsidRPr="000A33D2">
              <w:rPr>
                <w:rFonts w:ascii="Arial Narrow" w:hAnsi="Arial Narrow"/>
                <w:sz w:val="20"/>
                <w:szCs w:val="20"/>
              </w:rPr>
              <w:t>18 months</w:t>
            </w:r>
          </w:p>
        </w:tc>
        <w:tc>
          <w:tcPr>
            <w:tcW w:w="1243" w:type="dxa"/>
            <w:shd w:val="clear" w:color="auto" w:fill="auto"/>
            <w:vAlign w:val="center"/>
          </w:tcPr>
          <w:p w14:paraId="0124507C"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79.0</w:t>
            </w:r>
          </w:p>
          <w:p w14:paraId="693042DE"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(73.0, 83.8)</w:t>
            </w:r>
          </w:p>
        </w:tc>
        <w:tc>
          <w:tcPr>
            <w:tcW w:w="1244" w:type="dxa"/>
            <w:shd w:val="clear" w:color="auto" w:fill="auto"/>
            <w:vAlign w:val="center"/>
          </w:tcPr>
          <w:p w14:paraId="7B8223B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66.9</w:t>
            </w:r>
          </w:p>
          <w:p w14:paraId="4AA17D26"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(60.4, 72.5)</w:t>
            </w:r>
          </w:p>
        </w:tc>
        <w:tc>
          <w:tcPr>
            <w:tcW w:w="1244" w:type="dxa"/>
            <w:shd w:val="clear" w:color="auto" w:fill="auto"/>
            <w:vAlign w:val="center"/>
          </w:tcPr>
          <w:p w14:paraId="304AE7E8"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 xml:space="preserve">90.1 </w:t>
            </w:r>
          </w:p>
          <w:p w14:paraId="44AF859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(77.8, 95.7)</w:t>
            </w:r>
          </w:p>
        </w:tc>
        <w:tc>
          <w:tcPr>
            <w:tcW w:w="1243" w:type="dxa"/>
            <w:shd w:val="clear" w:color="auto" w:fill="auto"/>
            <w:vAlign w:val="center"/>
          </w:tcPr>
          <w:p w14:paraId="1CA5220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69.6</w:t>
            </w:r>
          </w:p>
          <w:p w14:paraId="0616A85B"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(56.5, 79.4)</w:t>
            </w:r>
          </w:p>
        </w:tc>
        <w:tc>
          <w:tcPr>
            <w:tcW w:w="1244" w:type="dxa"/>
            <w:shd w:val="clear" w:color="auto" w:fill="auto"/>
            <w:vAlign w:val="center"/>
          </w:tcPr>
          <w:p w14:paraId="2E4567AD"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75.8</w:t>
            </w:r>
          </w:p>
          <w:p w14:paraId="37A72FAA"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(68.7, 81.5)</w:t>
            </w:r>
          </w:p>
        </w:tc>
        <w:tc>
          <w:tcPr>
            <w:tcW w:w="1244" w:type="dxa"/>
            <w:shd w:val="clear" w:color="auto" w:fill="auto"/>
            <w:vAlign w:val="center"/>
          </w:tcPr>
          <w:p w14:paraId="23DC621A"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66.0</w:t>
            </w:r>
          </w:p>
          <w:p w14:paraId="58AC5503"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(58.4, 72.5)</w:t>
            </w:r>
          </w:p>
        </w:tc>
      </w:tr>
      <w:tr w:rsidR="008B5E6F" w:rsidRPr="000A33D2" w14:paraId="4616D520" w14:textId="77777777" w:rsidTr="004E203B">
        <w:tc>
          <w:tcPr>
            <w:tcW w:w="1555" w:type="dxa"/>
            <w:shd w:val="clear" w:color="auto" w:fill="auto"/>
            <w:vAlign w:val="center"/>
          </w:tcPr>
          <w:p w14:paraId="2FDAF86C" w14:textId="77777777" w:rsidR="008B5E6F" w:rsidRPr="000A33D2" w:rsidRDefault="008B5E6F" w:rsidP="00B62E71">
            <w:pPr>
              <w:keepNext/>
              <w:keepLines/>
              <w:rPr>
                <w:rFonts w:ascii="Arial Narrow" w:hAnsi="Arial Narrow"/>
                <w:sz w:val="20"/>
                <w:szCs w:val="20"/>
              </w:rPr>
            </w:pPr>
            <w:r w:rsidRPr="000A33D2">
              <w:rPr>
                <w:rFonts w:ascii="Arial Narrow" w:hAnsi="Arial Narrow"/>
                <w:sz w:val="20"/>
                <w:szCs w:val="20"/>
              </w:rPr>
              <w:t>24 months</w:t>
            </w:r>
          </w:p>
        </w:tc>
        <w:tc>
          <w:tcPr>
            <w:tcW w:w="1243" w:type="dxa"/>
            <w:shd w:val="clear" w:color="auto" w:fill="auto"/>
            <w:vAlign w:val="center"/>
          </w:tcPr>
          <w:p w14:paraId="7E792677"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71.3</w:t>
            </w:r>
          </w:p>
          <w:p w14:paraId="08C59E4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(64.5, 77.1)</w:t>
            </w:r>
          </w:p>
        </w:tc>
        <w:tc>
          <w:tcPr>
            <w:tcW w:w="1244" w:type="dxa"/>
            <w:shd w:val="clear" w:color="auto" w:fill="auto"/>
            <w:vAlign w:val="center"/>
          </w:tcPr>
          <w:p w14:paraId="2055541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56.0</w:t>
            </w:r>
          </w:p>
          <w:p w14:paraId="04870751"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(48.9, 62.5)</w:t>
            </w:r>
          </w:p>
        </w:tc>
        <w:tc>
          <w:tcPr>
            <w:tcW w:w="1244" w:type="dxa"/>
            <w:shd w:val="clear" w:color="auto" w:fill="auto"/>
            <w:vAlign w:val="center"/>
          </w:tcPr>
          <w:p w14:paraId="4B305A8F"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83.3</w:t>
            </w:r>
          </w:p>
          <w:p w14:paraId="190EF94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(66.8, 92.0)</w:t>
            </w:r>
          </w:p>
        </w:tc>
        <w:tc>
          <w:tcPr>
            <w:tcW w:w="1243" w:type="dxa"/>
            <w:shd w:val="clear" w:color="auto" w:fill="auto"/>
            <w:vAlign w:val="center"/>
          </w:tcPr>
          <w:p w14:paraId="6E7D6CF5"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58.7</w:t>
            </w:r>
          </w:p>
          <w:p w14:paraId="5CC9E93D"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(43.4, 71.2)</w:t>
            </w:r>
          </w:p>
        </w:tc>
        <w:tc>
          <w:tcPr>
            <w:tcW w:w="1244" w:type="dxa"/>
            <w:shd w:val="clear" w:color="auto" w:fill="auto"/>
            <w:vAlign w:val="center"/>
          </w:tcPr>
          <w:p w14:paraId="4905BB47"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67.7</w:t>
            </w:r>
          </w:p>
          <w:p w14:paraId="7BEE5EC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(59.8, 74.4)</w:t>
            </w:r>
          </w:p>
        </w:tc>
        <w:tc>
          <w:tcPr>
            <w:tcW w:w="1244" w:type="dxa"/>
            <w:shd w:val="clear" w:color="auto" w:fill="auto"/>
            <w:vAlign w:val="center"/>
          </w:tcPr>
          <w:p w14:paraId="02B68C74"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55.1</w:t>
            </w:r>
          </w:p>
          <w:p w14:paraId="3036EC5F"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(46.8, 62.5)</w:t>
            </w:r>
          </w:p>
        </w:tc>
      </w:tr>
      <w:tr w:rsidR="008B5E6F" w:rsidRPr="000A33D2" w14:paraId="3FF9DFCE" w14:textId="77777777" w:rsidTr="004E203B">
        <w:tc>
          <w:tcPr>
            <w:tcW w:w="1555" w:type="dxa"/>
            <w:shd w:val="clear" w:color="auto" w:fill="auto"/>
            <w:vAlign w:val="center"/>
          </w:tcPr>
          <w:p w14:paraId="74FB0A95" w14:textId="77777777" w:rsidR="008B5E6F" w:rsidRPr="000A33D2" w:rsidRDefault="008B5E6F" w:rsidP="00B62E71">
            <w:pPr>
              <w:keepNext/>
              <w:keepLines/>
              <w:rPr>
                <w:rFonts w:ascii="Arial Narrow" w:hAnsi="Arial Narrow"/>
                <w:sz w:val="20"/>
                <w:szCs w:val="20"/>
              </w:rPr>
            </w:pPr>
            <w:r w:rsidRPr="000A33D2">
              <w:rPr>
                <w:rFonts w:ascii="Arial Narrow" w:hAnsi="Arial Narrow"/>
                <w:sz w:val="20"/>
                <w:szCs w:val="20"/>
              </w:rPr>
              <w:t>30 months</w:t>
            </w:r>
          </w:p>
        </w:tc>
        <w:tc>
          <w:tcPr>
            <w:tcW w:w="1243" w:type="dxa"/>
            <w:shd w:val="clear" w:color="auto" w:fill="auto"/>
            <w:vAlign w:val="center"/>
          </w:tcPr>
          <w:p w14:paraId="5DD1EDCA"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64.7</w:t>
            </w:r>
          </w:p>
          <w:p w14:paraId="599C3B5E"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(55.6, 72.3)</w:t>
            </w:r>
          </w:p>
        </w:tc>
        <w:tc>
          <w:tcPr>
            <w:tcW w:w="1244" w:type="dxa"/>
            <w:shd w:val="clear" w:color="auto" w:fill="auto"/>
            <w:vAlign w:val="center"/>
          </w:tcPr>
          <w:p w14:paraId="599E6EF2"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50.6</w:t>
            </w:r>
          </w:p>
          <w:p w14:paraId="2E13260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(41.0, 59.4)</w:t>
            </w:r>
          </w:p>
        </w:tc>
        <w:tc>
          <w:tcPr>
            <w:tcW w:w="1244" w:type="dxa"/>
            <w:shd w:val="clear" w:color="auto" w:fill="auto"/>
            <w:vAlign w:val="center"/>
          </w:tcPr>
          <w:p w14:paraId="2FA7053B"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83.3</w:t>
            </w:r>
          </w:p>
          <w:p w14:paraId="358079BB"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(66.8, 92.0)</w:t>
            </w:r>
          </w:p>
        </w:tc>
        <w:tc>
          <w:tcPr>
            <w:tcW w:w="1243" w:type="dxa"/>
            <w:shd w:val="clear" w:color="auto" w:fill="auto"/>
            <w:vAlign w:val="center"/>
          </w:tcPr>
          <w:p w14:paraId="1CCAD7D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55.1</w:t>
            </w:r>
          </w:p>
          <w:p w14:paraId="2CC75C4D"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(39.1, 68.4)</w:t>
            </w:r>
          </w:p>
        </w:tc>
        <w:tc>
          <w:tcPr>
            <w:tcW w:w="1244" w:type="dxa"/>
            <w:shd w:val="clear" w:color="auto" w:fill="auto"/>
            <w:vAlign w:val="center"/>
          </w:tcPr>
          <w:p w14:paraId="772CBFD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59.1</w:t>
            </w:r>
          </w:p>
          <w:p w14:paraId="0AC8EBC9"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(48.2, 68.4)</w:t>
            </w:r>
          </w:p>
        </w:tc>
        <w:tc>
          <w:tcPr>
            <w:tcW w:w="1244" w:type="dxa"/>
            <w:shd w:val="clear" w:color="auto" w:fill="auto"/>
            <w:vAlign w:val="center"/>
          </w:tcPr>
          <w:p w14:paraId="590A2C8C"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48.7</w:t>
            </w:r>
          </w:p>
          <w:p w14:paraId="765BEF57" w14:textId="77777777" w:rsidR="008B5E6F" w:rsidRPr="000A33D2" w:rsidRDefault="008B5E6F" w:rsidP="00B62E71">
            <w:pPr>
              <w:keepNext/>
              <w:keepLines/>
              <w:jc w:val="center"/>
              <w:rPr>
                <w:rFonts w:ascii="Arial Narrow" w:hAnsi="Arial Narrow"/>
                <w:sz w:val="20"/>
                <w:szCs w:val="20"/>
              </w:rPr>
            </w:pPr>
            <w:r w:rsidRPr="000A33D2">
              <w:rPr>
                <w:rFonts w:ascii="Arial Narrow" w:hAnsi="Arial Narrow"/>
                <w:sz w:val="20"/>
                <w:szCs w:val="20"/>
              </w:rPr>
              <w:t>(36.5, 59.7)</w:t>
            </w:r>
          </w:p>
        </w:tc>
      </w:tr>
    </w:tbl>
    <w:p w14:paraId="700BBDC5" w14:textId="77777777" w:rsidR="008B5E6F" w:rsidRPr="000A33D2" w:rsidRDefault="008B5E6F" w:rsidP="00B62E71">
      <w:pPr>
        <w:pStyle w:val="FooterTableFigure"/>
        <w:keepNext/>
        <w:keepLines/>
        <w:spacing w:after="0"/>
        <w:rPr>
          <w:sz w:val="20"/>
        </w:rPr>
      </w:pPr>
      <w:r w:rsidRPr="000A33D2">
        <w:t>Source: Table 30, p67 of the submission.</w:t>
      </w:r>
    </w:p>
    <w:p w14:paraId="0A06B157" w14:textId="67BD6953" w:rsidR="008B5E6F" w:rsidRPr="000A33D2" w:rsidRDefault="008B5E6F" w:rsidP="00B62E71">
      <w:pPr>
        <w:keepLines/>
        <w:spacing w:after="120"/>
        <w:rPr>
          <w:rFonts w:ascii="Arial Narrow" w:eastAsia="Calibri" w:hAnsi="Arial Narrow"/>
          <w:snapToGrid w:val="0"/>
          <w:sz w:val="18"/>
          <w:szCs w:val="22"/>
        </w:rPr>
      </w:pPr>
      <w:r w:rsidRPr="000A33D2">
        <w:rPr>
          <w:rFonts w:ascii="Arial Narrow" w:eastAsia="Calibri" w:hAnsi="Arial Narrow"/>
          <w:snapToGrid w:val="0"/>
          <w:sz w:val="18"/>
          <w:szCs w:val="22"/>
        </w:rPr>
        <w:t>CI=confidence interval; CP=carboplatin-paclitaxel; dMMR=mismatch repair deficient; DOS=dostarlimab; FU=follow-up;; pMMR=mismatch repair proficient; MSI-H=high microsatellite instability; MSS=microsatellite stable; NR=not reached; PBO=placebo; OS=overall survival</w:t>
      </w:r>
    </w:p>
    <w:p w14:paraId="2E2BB474" w14:textId="1726F680" w:rsidR="00C67F55" w:rsidRPr="000A33D2" w:rsidRDefault="000454C5" w:rsidP="00C67F55">
      <w:pPr>
        <w:pStyle w:val="3-BodyText"/>
      </w:pPr>
      <w:r w:rsidRPr="000A33D2">
        <w:t xml:space="preserve">In the all-comers population (33% overall OS maturity), there was a trend in favour of the DOS+CP arm with a 36% reduction in deaths compared to the PBO+CP arm (HR=0.64; 95% CI 0.46, 0.87; median OS not reached for either arm). A separation of the KM survival curves from approximately 10 months was observed. However, the submission noted that the stratified log-rank test p-value (p=0.0021) was outside the </w:t>
      </w:r>
      <w:r w:rsidRPr="000A33D2">
        <w:lastRenderedPageBreak/>
        <w:t>stopping boundary for declaring statistical significance (p≤0.00177) at the first interim analysis therefore statistically significant differences could not be claimed.</w:t>
      </w:r>
    </w:p>
    <w:p w14:paraId="63F9F346" w14:textId="4914A4D3" w:rsidR="00C67F55" w:rsidRPr="000A33D2" w:rsidRDefault="00C67F55" w:rsidP="00C67F55">
      <w:pPr>
        <w:pStyle w:val="3-BodyText"/>
      </w:pPr>
      <w:r w:rsidRPr="000A33D2">
        <w:t>With an overall 26% OS maturity in the dMMR/MSI-H cohort, a 70% reduction in deaths was observed for patients enrolled in the DOS+CP arm of RUBY compared to patients enrolled in the PBO+CP arm (HR=0.30; 95% CI 0.13, 0.70; median OS not reached for either arm). OS in the dMMR/MSI-H population was not a pre-specified primary endpoint and no formal statistical test was performed; therefore, these results should be interpreted with caution.</w:t>
      </w:r>
      <w:r w:rsidRPr="000A33D2">
        <w:rPr>
          <w:i/>
          <w:iCs/>
        </w:rPr>
        <w:t xml:space="preserve"> </w:t>
      </w:r>
      <w:r w:rsidRPr="000A33D2">
        <w:t xml:space="preserve">A separation of the KM survival curves from approximately 6 months was observed, driven by mortality in the control arm and a relative plateau in the DOS+CP arm. </w:t>
      </w:r>
    </w:p>
    <w:p w14:paraId="6F19F864" w14:textId="0482A456" w:rsidR="001C5139" w:rsidRPr="000A33D2" w:rsidRDefault="00400B6F" w:rsidP="00320134">
      <w:pPr>
        <w:pStyle w:val="3-BodyText"/>
      </w:pPr>
      <w:r w:rsidRPr="000A33D2">
        <w:t xml:space="preserve">In the pMMR/MSS cohort (36% overall OS maturity), there was a trend in favour of the DOS+CP arm, with a 27% reduction in deaths compared to PBO+CP (HR=0.73; 95% CI 0.52, 1.02; median OS was not reached for the DOS+CP arm versus 29.8 months for the PBO+CP arm). However, the upper bound of the 95% CI was </w:t>
      </w:r>
      <w:r w:rsidR="00204D5B" w:rsidRPr="000A33D2">
        <w:t>greater than one</w:t>
      </w:r>
      <w:r w:rsidR="00D260E3" w:rsidRPr="000A33D2">
        <w:t>, suggesting there may be no difference between the two treatment arms</w:t>
      </w:r>
      <w:r w:rsidR="003322D1" w:rsidRPr="000A33D2">
        <w:t xml:space="preserve">, and no formal statistical testing was performed for OS in the pMMR/MSS </w:t>
      </w:r>
      <w:r w:rsidR="006A42A7" w:rsidRPr="000A33D2">
        <w:t>cohort</w:t>
      </w:r>
      <w:r w:rsidRPr="000A33D2">
        <w:t xml:space="preserve">. A separation of the KM survival curves from approximately 12 months was observed. </w:t>
      </w:r>
    </w:p>
    <w:p w14:paraId="581A134B" w14:textId="4A04A978" w:rsidR="00C67F55" w:rsidRPr="000A33D2" w:rsidRDefault="0040594B" w:rsidP="00EC5836">
      <w:pPr>
        <w:pStyle w:val="3-BodyText"/>
      </w:pPr>
      <w:r w:rsidRPr="000A33D2">
        <w:fldChar w:fldCharType="begin" w:fldLock="1"/>
      </w:r>
      <w:r w:rsidRPr="000A33D2">
        <w:instrText xml:space="preserve"> REF _Ref144281134 \h </w:instrText>
      </w:r>
      <w:r w:rsidRPr="000A33D2">
        <w:fldChar w:fldCharType="separate"/>
      </w:r>
      <w:r w:rsidR="00B62E71" w:rsidRPr="000A33D2">
        <w:t xml:space="preserve">Figure </w:t>
      </w:r>
      <w:r w:rsidR="00B62E71">
        <w:rPr>
          <w:noProof/>
        </w:rPr>
        <w:t>4</w:t>
      </w:r>
      <w:r w:rsidRPr="000A33D2">
        <w:fldChar w:fldCharType="end"/>
      </w:r>
      <w:r w:rsidRPr="000A33D2">
        <w:t xml:space="preserve">, </w:t>
      </w:r>
      <w:r w:rsidRPr="000A33D2">
        <w:fldChar w:fldCharType="begin" w:fldLock="1"/>
      </w:r>
      <w:r w:rsidRPr="000A33D2">
        <w:instrText xml:space="preserve"> REF _Ref144281140 \h </w:instrText>
      </w:r>
      <w:r w:rsidRPr="000A33D2">
        <w:fldChar w:fldCharType="separate"/>
      </w:r>
      <w:r w:rsidR="00B62E71" w:rsidRPr="000A33D2">
        <w:t xml:space="preserve">Figure </w:t>
      </w:r>
      <w:r w:rsidR="00B62E71">
        <w:rPr>
          <w:noProof/>
        </w:rPr>
        <w:t>5</w:t>
      </w:r>
      <w:r w:rsidRPr="000A33D2">
        <w:fldChar w:fldCharType="end"/>
      </w:r>
      <w:r w:rsidRPr="000A33D2">
        <w:t xml:space="preserve"> and </w:t>
      </w:r>
      <w:r w:rsidRPr="000A33D2">
        <w:fldChar w:fldCharType="begin" w:fldLock="1"/>
      </w:r>
      <w:r w:rsidRPr="000A33D2">
        <w:instrText xml:space="preserve"> REF _Ref144281142 \h </w:instrText>
      </w:r>
      <w:r w:rsidRPr="000A33D2">
        <w:fldChar w:fldCharType="separate"/>
      </w:r>
      <w:r w:rsidR="00B62E71" w:rsidRPr="000A33D2">
        <w:t xml:space="preserve">Figure </w:t>
      </w:r>
      <w:r w:rsidR="00B62E71">
        <w:rPr>
          <w:noProof/>
        </w:rPr>
        <w:t>6</w:t>
      </w:r>
      <w:r w:rsidRPr="000A33D2">
        <w:fldChar w:fldCharType="end"/>
      </w:r>
      <w:r w:rsidRPr="000A33D2">
        <w:t xml:space="preserve"> </w:t>
      </w:r>
      <w:r w:rsidR="00A111CB" w:rsidRPr="000A33D2">
        <w:t xml:space="preserve">show the PFS by IA KM results for the all-comers population, and the dMMR/MSI-H and pMMR/MSS cohorts respectively. </w:t>
      </w:r>
      <w:r w:rsidR="00B62E71" w:rsidRPr="000A33D2">
        <w:fldChar w:fldCharType="begin" w:fldLock="1"/>
      </w:r>
      <w:r w:rsidR="00B62E71" w:rsidRPr="000A33D2">
        <w:instrText xml:space="preserve"> REF _Ref144281351 \h </w:instrText>
      </w:r>
      <w:r w:rsidR="00B62E71" w:rsidRPr="000A33D2">
        <w:fldChar w:fldCharType="separate"/>
      </w:r>
      <w:r w:rsidR="00B62E71" w:rsidRPr="000A33D2">
        <w:t>Table</w:t>
      </w:r>
      <w:r w:rsidR="00B62E71">
        <w:t> </w:t>
      </w:r>
      <w:r w:rsidR="00B62E71">
        <w:rPr>
          <w:noProof/>
        </w:rPr>
        <w:t>5</w:t>
      </w:r>
      <w:r w:rsidR="00B62E71" w:rsidRPr="000A33D2">
        <w:fldChar w:fldCharType="end"/>
      </w:r>
      <w:r w:rsidR="00A111CB" w:rsidRPr="000A33D2">
        <w:t xml:space="preserve"> summarises the PFS statistics for the all-comers population, and the </w:t>
      </w:r>
      <w:proofErr w:type="spellStart"/>
      <w:r w:rsidR="00A111CB" w:rsidRPr="000A33D2">
        <w:t>dMMR</w:t>
      </w:r>
      <w:proofErr w:type="spellEnd"/>
      <w:r w:rsidR="00A111CB" w:rsidRPr="000A33D2">
        <w:t xml:space="preserve">/MSI-H and </w:t>
      </w:r>
      <w:proofErr w:type="spellStart"/>
      <w:r w:rsidR="00A111CB" w:rsidRPr="000A33D2">
        <w:t>pMMR</w:t>
      </w:r>
      <w:proofErr w:type="spellEnd"/>
      <w:r w:rsidR="00A111CB" w:rsidRPr="000A33D2">
        <w:t>/MSS cohorts.</w:t>
      </w:r>
    </w:p>
    <w:p w14:paraId="015616C2" w14:textId="547EC175" w:rsidR="00A111CB" w:rsidRPr="000A33D2" w:rsidRDefault="0040594B" w:rsidP="00B62E71">
      <w:pPr>
        <w:pStyle w:val="Caption"/>
      </w:pPr>
      <w:bookmarkStart w:id="36" w:name="_Ref144281134"/>
      <w:r w:rsidRPr="000A33D2">
        <w:t xml:space="preserve">Figure </w:t>
      </w:r>
      <w:r>
        <w:fldChar w:fldCharType="begin" w:fldLock="1"/>
      </w:r>
      <w:r>
        <w:instrText>SEQ Figure \* ARABIC</w:instrText>
      </w:r>
      <w:r>
        <w:fldChar w:fldCharType="separate"/>
      </w:r>
      <w:r w:rsidR="00B62E71">
        <w:rPr>
          <w:noProof/>
        </w:rPr>
        <w:t>4</w:t>
      </w:r>
      <w:r>
        <w:fldChar w:fldCharType="end"/>
      </w:r>
      <w:bookmarkEnd w:id="36"/>
      <w:r w:rsidR="00A111CB" w:rsidRPr="000A33D2">
        <w:rPr>
          <w:rStyle w:val="CommentReference"/>
          <w:b/>
          <w:szCs w:val="24"/>
        </w:rPr>
        <w:t xml:space="preserve">: KM plot for progression-free survival per investigator assessment in all-comers population </w:t>
      </w:r>
    </w:p>
    <w:p w14:paraId="5EB3BF9B" w14:textId="77777777" w:rsidR="00A111CB" w:rsidRPr="000A33D2" w:rsidRDefault="00A111CB" w:rsidP="00B62E71">
      <w:pPr>
        <w:keepLines/>
      </w:pPr>
      <w:r w:rsidRPr="000A33D2">
        <w:rPr>
          <w:noProof/>
        </w:rPr>
        <w:drawing>
          <wp:inline distT="0" distB="0" distL="0" distR="0" wp14:anchorId="4B2FE164" wp14:editId="06E687B5">
            <wp:extent cx="5731510" cy="2733040"/>
            <wp:effectExtent l="0" t="0" r="0" b="0"/>
            <wp:docPr id="1410428275" name="Picture 1410428275"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number of patients&#10;&#10;Description automatically generated"/>
                    <pic:cNvPicPr/>
                  </pic:nvPicPr>
                  <pic:blipFill>
                    <a:blip r:embed="rId12"/>
                    <a:stretch>
                      <a:fillRect/>
                    </a:stretch>
                  </pic:blipFill>
                  <pic:spPr>
                    <a:xfrm>
                      <a:off x="0" y="0"/>
                      <a:ext cx="5731510" cy="2733040"/>
                    </a:xfrm>
                    <a:prstGeom prst="rect">
                      <a:avLst/>
                    </a:prstGeom>
                  </pic:spPr>
                </pic:pic>
              </a:graphicData>
            </a:graphic>
          </wp:inline>
        </w:drawing>
      </w:r>
    </w:p>
    <w:p w14:paraId="30CA80D1" w14:textId="77777777" w:rsidR="00A111CB" w:rsidRPr="000A33D2" w:rsidRDefault="00A111CB" w:rsidP="00B62E71">
      <w:pPr>
        <w:pStyle w:val="FooterTableFigure"/>
        <w:keepNext/>
        <w:keepLines/>
        <w:spacing w:after="0"/>
        <w:rPr>
          <w:sz w:val="20"/>
        </w:rPr>
      </w:pPr>
      <w:r w:rsidRPr="000A33D2">
        <w:t>Source: Figure 10, p70 of the submission.</w:t>
      </w:r>
    </w:p>
    <w:p w14:paraId="63BC9941" w14:textId="77777777" w:rsidR="00A111CB" w:rsidRPr="000A33D2" w:rsidRDefault="00A111CB" w:rsidP="00B62E71">
      <w:pPr>
        <w:spacing w:after="120"/>
        <w:rPr>
          <w:rFonts w:ascii="Arial Narrow" w:eastAsia="Calibri" w:hAnsi="Arial Narrow"/>
          <w:snapToGrid w:val="0"/>
          <w:sz w:val="18"/>
          <w:szCs w:val="22"/>
        </w:rPr>
      </w:pPr>
      <w:r w:rsidRPr="000A33D2">
        <w:rPr>
          <w:rFonts w:ascii="Arial Narrow" w:eastAsia="Calibri" w:hAnsi="Arial Narrow"/>
          <w:snapToGrid w:val="0"/>
          <w:sz w:val="18"/>
          <w:szCs w:val="22"/>
        </w:rPr>
        <w:t>CI=confidence interval</w:t>
      </w:r>
    </w:p>
    <w:p w14:paraId="0512F2C6" w14:textId="2405EA67" w:rsidR="00A111CB" w:rsidRPr="000A33D2" w:rsidRDefault="0040594B" w:rsidP="00B62E71">
      <w:pPr>
        <w:pStyle w:val="Caption"/>
      </w:pPr>
      <w:bookmarkStart w:id="37" w:name="_Ref144281140"/>
      <w:r w:rsidRPr="000A33D2">
        <w:lastRenderedPageBreak/>
        <w:t xml:space="preserve">Figure </w:t>
      </w:r>
      <w:r>
        <w:fldChar w:fldCharType="begin" w:fldLock="1"/>
      </w:r>
      <w:r>
        <w:instrText>SEQ Figure \* ARABIC</w:instrText>
      </w:r>
      <w:r>
        <w:fldChar w:fldCharType="separate"/>
      </w:r>
      <w:r w:rsidR="00B62E71">
        <w:rPr>
          <w:noProof/>
        </w:rPr>
        <w:t>5</w:t>
      </w:r>
      <w:r>
        <w:fldChar w:fldCharType="end"/>
      </w:r>
      <w:bookmarkEnd w:id="37"/>
      <w:r w:rsidR="00A111CB" w:rsidRPr="000A33D2">
        <w:rPr>
          <w:rStyle w:val="CommentReference"/>
          <w:b/>
          <w:szCs w:val="24"/>
        </w:rPr>
        <w:t>: KM plot for progression-free survival per investigator assessment in dMMR/MSI-H cohort</w:t>
      </w:r>
    </w:p>
    <w:p w14:paraId="42F85458" w14:textId="77777777" w:rsidR="00A111CB" w:rsidRPr="000A33D2" w:rsidRDefault="00A111CB" w:rsidP="00B62E71">
      <w:pPr>
        <w:keepNext/>
        <w:keepLines/>
      </w:pPr>
      <w:r w:rsidRPr="000A33D2">
        <w:rPr>
          <w:noProof/>
        </w:rPr>
        <w:drawing>
          <wp:inline distT="0" distB="0" distL="0" distR="0" wp14:anchorId="54F0DE14" wp14:editId="37848F5D">
            <wp:extent cx="5731510" cy="2727960"/>
            <wp:effectExtent l="0" t="0" r="0" b="0"/>
            <wp:docPr id="149139819" name="Picture 149139819" descr="A graph of patients with different lev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patients with different levels&#10;&#10;Description automatically generated"/>
                    <pic:cNvPicPr/>
                  </pic:nvPicPr>
                  <pic:blipFill>
                    <a:blip r:embed="rId13"/>
                    <a:stretch>
                      <a:fillRect/>
                    </a:stretch>
                  </pic:blipFill>
                  <pic:spPr>
                    <a:xfrm>
                      <a:off x="0" y="0"/>
                      <a:ext cx="5731510" cy="2727960"/>
                    </a:xfrm>
                    <a:prstGeom prst="rect">
                      <a:avLst/>
                    </a:prstGeom>
                  </pic:spPr>
                </pic:pic>
              </a:graphicData>
            </a:graphic>
          </wp:inline>
        </w:drawing>
      </w:r>
    </w:p>
    <w:p w14:paraId="4BC89992" w14:textId="77777777" w:rsidR="00A111CB" w:rsidRPr="000A33D2" w:rsidRDefault="00A111CB" w:rsidP="00B62E71">
      <w:pPr>
        <w:pStyle w:val="FooterTableFigure"/>
        <w:keepNext/>
        <w:keepLines/>
        <w:spacing w:after="0"/>
        <w:rPr>
          <w:sz w:val="20"/>
        </w:rPr>
      </w:pPr>
      <w:r w:rsidRPr="000A33D2">
        <w:t>Source: Figure 11, p71 of the submission.</w:t>
      </w:r>
    </w:p>
    <w:p w14:paraId="609DA83C" w14:textId="7EA735BF" w:rsidR="00A111CB" w:rsidRPr="000A33D2" w:rsidRDefault="00A111CB" w:rsidP="00B62E71">
      <w:pPr>
        <w:keepNext/>
        <w:spacing w:after="120"/>
        <w:rPr>
          <w:rFonts w:ascii="Arial Narrow" w:eastAsia="Calibri" w:hAnsi="Arial Narrow"/>
          <w:snapToGrid w:val="0"/>
          <w:sz w:val="18"/>
          <w:szCs w:val="22"/>
        </w:rPr>
      </w:pPr>
      <w:r w:rsidRPr="000A33D2">
        <w:rPr>
          <w:rFonts w:ascii="Arial Narrow" w:eastAsia="Calibri" w:hAnsi="Arial Narrow"/>
          <w:snapToGrid w:val="0"/>
          <w:sz w:val="18"/>
          <w:szCs w:val="22"/>
        </w:rPr>
        <w:t>CI=confidence interval</w:t>
      </w:r>
    </w:p>
    <w:p w14:paraId="4A2272A0" w14:textId="2EE257AD" w:rsidR="00A111CB" w:rsidRPr="000A33D2" w:rsidRDefault="0040594B" w:rsidP="00B62E71">
      <w:pPr>
        <w:pStyle w:val="Caption"/>
      </w:pPr>
      <w:bookmarkStart w:id="38" w:name="_Ref144281142"/>
      <w:r w:rsidRPr="000A33D2">
        <w:t xml:space="preserve">Figure </w:t>
      </w:r>
      <w:r>
        <w:fldChar w:fldCharType="begin" w:fldLock="1"/>
      </w:r>
      <w:r>
        <w:instrText>SEQ Figure \* ARABIC</w:instrText>
      </w:r>
      <w:r>
        <w:fldChar w:fldCharType="separate"/>
      </w:r>
      <w:r w:rsidR="00B62E71">
        <w:rPr>
          <w:noProof/>
        </w:rPr>
        <w:t>6</w:t>
      </w:r>
      <w:r>
        <w:fldChar w:fldCharType="end"/>
      </w:r>
      <w:bookmarkEnd w:id="38"/>
      <w:r w:rsidR="00A111CB" w:rsidRPr="000A33D2">
        <w:rPr>
          <w:rStyle w:val="CommentReference"/>
          <w:b/>
          <w:szCs w:val="24"/>
        </w:rPr>
        <w:t xml:space="preserve">: KM plot for progression-free survival per investigator assessment in pMMR/MSS cohort </w:t>
      </w:r>
    </w:p>
    <w:p w14:paraId="269449F4" w14:textId="77777777" w:rsidR="00A111CB" w:rsidRPr="000A33D2" w:rsidRDefault="00A111CB" w:rsidP="00B62E71">
      <w:pPr>
        <w:keepNext/>
        <w:keepLines/>
      </w:pPr>
      <w:r w:rsidRPr="000A33D2">
        <w:rPr>
          <w:noProof/>
        </w:rPr>
        <w:drawing>
          <wp:inline distT="0" distB="0" distL="0" distR="0" wp14:anchorId="737CC46A" wp14:editId="14880A5A">
            <wp:extent cx="5731510" cy="2694940"/>
            <wp:effectExtent l="0" t="0" r="0" b="0"/>
            <wp:docPr id="1465503035" name="Picture 1465503035"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of a number of patients&#10;&#10;Description automatically generated"/>
                    <pic:cNvPicPr/>
                  </pic:nvPicPr>
                  <pic:blipFill>
                    <a:blip r:embed="rId14"/>
                    <a:stretch>
                      <a:fillRect/>
                    </a:stretch>
                  </pic:blipFill>
                  <pic:spPr>
                    <a:xfrm>
                      <a:off x="0" y="0"/>
                      <a:ext cx="5731510" cy="2694940"/>
                    </a:xfrm>
                    <a:prstGeom prst="rect">
                      <a:avLst/>
                    </a:prstGeom>
                  </pic:spPr>
                </pic:pic>
              </a:graphicData>
            </a:graphic>
          </wp:inline>
        </w:drawing>
      </w:r>
    </w:p>
    <w:p w14:paraId="21E5E9B6" w14:textId="77777777" w:rsidR="00A111CB" w:rsidRPr="000A33D2" w:rsidRDefault="00A111CB" w:rsidP="00B62E71">
      <w:pPr>
        <w:pStyle w:val="FooterTableFigure"/>
        <w:keepNext/>
        <w:keepLines/>
        <w:spacing w:after="0"/>
        <w:rPr>
          <w:sz w:val="20"/>
        </w:rPr>
      </w:pPr>
      <w:r w:rsidRPr="000A33D2">
        <w:t>Source: Figure 12, p71 of the submission.</w:t>
      </w:r>
    </w:p>
    <w:p w14:paraId="0C43BD51" w14:textId="77777777" w:rsidR="00A111CB" w:rsidRPr="000A33D2" w:rsidRDefault="00A111CB" w:rsidP="00B62E71">
      <w:pPr>
        <w:spacing w:after="120"/>
        <w:rPr>
          <w:rFonts w:ascii="Arial Narrow" w:eastAsia="Calibri" w:hAnsi="Arial Narrow"/>
          <w:snapToGrid w:val="0"/>
          <w:sz w:val="18"/>
          <w:szCs w:val="22"/>
        </w:rPr>
      </w:pPr>
      <w:r w:rsidRPr="000A33D2">
        <w:rPr>
          <w:rFonts w:ascii="Arial Narrow" w:eastAsia="Calibri" w:hAnsi="Arial Narrow"/>
          <w:snapToGrid w:val="0"/>
          <w:sz w:val="18"/>
          <w:szCs w:val="22"/>
        </w:rPr>
        <w:t>CI=confidence interval</w:t>
      </w:r>
    </w:p>
    <w:p w14:paraId="0022F459" w14:textId="12262B9E" w:rsidR="005F3F3E" w:rsidRPr="000A33D2" w:rsidRDefault="00F87C9C" w:rsidP="00F87C9C">
      <w:pPr>
        <w:pStyle w:val="Caption"/>
      </w:pPr>
      <w:bookmarkStart w:id="39" w:name="_Ref144281351"/>
      <w:r w:rsidRPr="000A33D2">
        <w:lastRenderedPageBreak/>
        <w:t xml:space="preserve">Table </w:t>
      </w:r>
      <w:r>
        <w:fldChar w:fldCharType="begin" w:fldLock="1"/>
      </w:r>
      <w:r>
        <w:instrText>SEQ Table \* ARABIC</w:instrText>
      </w:r>
      <w:r>
        <w:fldChar w:fldCharType="separate"/>
      </w:r>
      <w:r w:rsidR="00B62E71">
        <w:rPr>
          <w:noProof/>
        </w:rPr>
        <w:t>5</w:t>
      </w:r>
      <w:r>
        <w:fldChar w:fldCharType="end"/>
      </w:r>
      <w:bookmarkEnd w:id="39"/>
      <w:r w:rsidR="005F3F3E" w:rsidRPr="000A33D2">
        <w:rPr>
          <w:rStyle w:val="CommentReference"/>
          <w:b/>
          <w:szCs w:val="24"/>
        </w:rPr>
        <w:t xml:space="preserve">: KM analysis of progression-free survival per investigator assessment in RUBY </w:t>
      </w:r>
    </w:p>
    <w:tbl>
      <w:tblPr>
        <w:tblStyle w:val="TableGrid"/>
        <w:tblW w:w="0" w:type="auto"/>
        <w:tblLook w:val="04A0" w:firstRow="1" w:lastRow="0" w:firstColumn="1" w:lastColumn="0" w:noHBand="0" w:noVBand="1"/>
      </w:tblPr>
      <w:tblGrid>
        <w:gridCol w:w="1673"/>
        <w:gridCol w:w="1224"/>
        <w:gridCol w:w="1224"/>
        <w:gridCol w:w="1224"/>
        <w:gridCol w:w="1224"/>
        <w:gridCol w:w="1224"/>
        <w:gridCol w:w="1224"/>
      </w:tblGrid>
      <w:tr w:rsidR="005F3F3E" w:rsidRPr="000A33D2" w14:paraId="2CC4089E" w14:textId="77777777" w:rsidTr="00DB2B5C">
        <w:tc>
          <w:tcPr>
            <w:tcW w:w="1673" w:type="dxa"/>
            <w:vMerge w:val="restart"/>
            <w:shd w:val="clear" w:color="auto" w:fill="auto"/>
            <w:vAlign w:val="center"/>
          </w:tcPr>
          <w:p w14:paraId="5804A26B" w14:textId="77777777" w:rsidR="005F3F3E" w:rsidRPr="000A33D2" w:rsidRDefault="005F3F3E" w:rsidP="00DB2B5C">
            <w:pPr>
              <w:keepNext/>
              <w:keepLines/>
              <w:rPr>
                <w:rFonts w:ascii="Arial Narrow" w:hAnsi="Arial Narrow"/>
                <w:b/>
                <w:bCs/>
                <w:sz w:val="20"/>
                <w:szCs w:val="20"/>
              </w:rPr>
            </w:pPr>
            <w:r w:rsidRPr="000A33D2">
              <w:rPr>
                <w:rFonts w:ascii="Arial Narrow" w:hAnsi="Arial Narrow"/>
                <w:b/>
                <w:bCs/>
                <w:sz w:val="20"/>
                <w:szCs w:val="20"/>
              </w:rPr>
              <w:t>PFS</w:t>
            </w:r>
          </w:p>
        </w:tc>
        <w:tc>
          <w:tcPr>
            <w:tcW w:w="2448" w:type="dxa"/>
            <w:gridSpan w:val="2"/>
            <w:shd w:val="clear" w:color="auto" w:fill="auto"/>
            <w:vAlign w:val="center"/>
          </w:tcPr>
          <w:p w14:paraId="44D7C388"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All-comers</w:t>
            </w:r>
          </w:p>
        </w:tc>
        <w:tc>
          <w:tcPr>
            <w:tcW w:w="2448" w:type="dxa"/>
            <w:gridSpan w:val="2"/>
            <w:shd w:val="clear" w:color="auto" w:fill="auto"/>
            <w:vAlign w:val="center"/>
          </w:tcPr>
          <w:p w14:paraId="24750669"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dMMR/MSI-H</w:t>
            </w:r>
          </w:p>
        </w:tc>
        <w:tc>
          <w:tcPr>
            <w:tcW w:w="2448" w:type="dxa"/>
            <w:gridSpan w:val="2"/>
            <w:shd w:val="clear" w:color="auto" w:fill="auto"/>
            <w:vAlign w:val="center"/>
          </w:tcPr>
          <w:p w14:paraId="3883A0FE"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pMMR/MSS</w:t>
            </w:r>
          </w:p>
        </w:tc>
      </w:tr>
      <w:tr w:rsidR="005F3F3E" w:rsidRPr="000A33D2" w14:paraId="31262BFF" w14:textId="77777777" w:rsidTr="00DB2B5C">
        <w:tc>
          <w:tcPr>
            <w:tcW w:w="1673" w:type="dxa"/>
            <w:vMerge/>
            <w:shd w:val="clear" w:color="auto" w:fill="auto"/>
          </w:tcPr>
          <w:p w14:paraId="778B4ECA" w14:textId="77777777" w:rsidR="005F3F3E" w:rsidRPr="000A33D2" w:rsidRDefault="005F3F3E" w:rsidP="00DB2B5C">
            <w:pPr>
              <w:keepNext/>
              <w:keepLines/>
              <w:rPr>
                <w:rFonts w:ascii="Arial Narrow" w:hAnsi="Arial Narrow"/>
                <w:sz w:val="20"/>
                <w:szCs w:val="20"/>
              </w:rPr>
            </w:pPr>
          </w:p>
        </w:tc>
        <w:tc>
          <w:tcPr>
            <w:tcW w:w="1224" w:type="dxa"/>
            <w:shd w:val="clear" w:color="auto" w:fill="auto"/>
            <w:vAlign w:val="center"/>
          </w:tcPr>
          <w:p w14:paraId="365AA0D5"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DOS+CP (N=245)</w:t>
            </w:r>
          </w:p>
        </w:tc>
        <w:tc>
          <w:tcPr>
            <w:tcW w:w="1224" w:type="dxa"/>
            <w:shd w:val="clear" w:color="auto" w:fill="auto"/>
            <w:vAlign w:val="center"/>
          </w:tcPr>
          <w:p w14:paraId="4DD8D230"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PBO+CP</w:t>
            </w:r>
          </w:p>
          <w:p w14:paraId="120447DE"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(N=249)</w:t>
            </w:r>
          </w:p>
        </w:tc>
        <w:tc>
          <w:tcPr>
            <w:tcW w:w="1224" w:type="dxa"/>
            <w:shd w:val="clear" w:color="auto" w:fill="auto"/>
            <w:vAlign w:val="center"/>
          </w:tcPr>
          <w:p w14:paraId="4945CD9D"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DOS+CP (N=53)</w:t>
            </w:r>
          </w:p>
        </w:tc>
        <w:tc>
          <w:tcPr>
            <w:tcW w:w="1224" w:type="dxa"/>
            <w:shd w:val="clear" w:color="auto" w:fill="auto"/>
            <w:vAlign w:val="center"/>
          </w:tcPr>
          <w:p w14:paraId="15EDE232"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PBO+CP</w:t>
            </w:r>
          </w:p>
          <w:p w14:paraId="620B49B1"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(N=65)</w:t>
            </w:r>
          </w:p>
        </w:tc>
        <w:tc>
          <w:tcPr>
            <w:tcW w:w="1224" w:type="dxa"/>
            <w:shd w:val="clear" w:color="auto" w:fill="auto"/>
            <w:vAlign w:val="center"/>
          </w:tcPr>
          <w:p w14:paraId="6616E79C"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DOS+CP (N=192)</w:t>
            </w:r>
          </w:p>
        </w:tc>
        <w:tc>
          <w:tcPr>
            <w:tcW w:w="1224" w:type="dxa"/>
            <w:shd w:val="clear" w:color="auto" w:fill="auto"/>
            <w:vAlign w:val="center"/>
          </w:tcPr>
          <w:p w14:paraId="17C0437C"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PBO+CP</w:t>
            </w:r>
          </w:p>
          <w:p w14:paraId="45E9B088"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(N=184)</w:t>
            </w:r>
          </w:p>
        </w:tc>
      </w:tr>
      <w:tr w:rsidR="005F3F3E" w:rsidRPr="000A33D2" w14:paraId="2911192D" w14:textId="77777777" w:rsidTr="00DB2B5C">
        <w:tc>
          <w:tcPr>
            <w:tcW w:w="1673" w:type="dxa"/>
            <w:shd w:val="clear" w:color="auto" w:fill="auto"/>
            <w:vAlign w:val="center"/>
          </w:tcPr>
          <w:p w14:paraId="2072A044"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Median FU, months</w:t>
            </w:r>
          </w:p>
        </w:tc>
        <w:tc>
          <w:tcPr>
            <w:tcW w:w="1224" w:type="dxa"/>
            <w:shd w:val="clear" w:color="auto" w:fill="auto"/>
            <w:vAlign w:val="center"/>
          </w:tcPr>
          <w:p w14:paraId="687B273E"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25.5</w:t>
            </w:r>
          </w:p>
        </w:tc>
        <w:tc>
          <w:tcPr>
            <w:tcW w:w="1224" w:type="dxa"/>
            <w:shd w:val="clear" w:color="auto" w:fill="auto"/>
            <w:vAlign w:val="center"/>
          </w:tcPr>
          <w:p w14:paraId="579D6DDB"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25.3</w:t>
            </w:r>
          </w:p>
        </w:tc>
        <w:tc>
          <w:tcPr>
            <w:tcW w:w="1224" w:type="dxa"/>
            <w:shd w:val="clear" w:color="auto" w:fill="auto"/>
            <w:vAlign w:val="center"/>
          </w:tcPr>
          <w:p w14:paraId="4D8C5FD2"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24.6</w:t>
            </w:r>
          </w:p>
        </w:tc>
        <w:tc>
          <w:tcPr>
            <w:tcW w:w="1224" w:type="dxa"/>
            <w:shd w:val="clear" w:color="auto" w:fill="auto"/>
            <w:vAlign w:val="center"/>
          </w:tcPr>
          <w:p w14:paraId="1D44DF65"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25.1</w:t>
            </w:r>
          </w:p>
        </w:tc>
        <w:tc>
          <w:tcPr>
            <w:tcW w:w="1224" w:type="dxa"/>
            <w:shd w:val="clear" w:color="auto" w:fill="auto"/>
            <w:vAlign w:val="center"/>
          </w:tcPr>
          <w:p w14:paraId="763AF2F1"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25.8</w:t>
            </w:r>
          </w:p>
        </w:tc>
        <w:tc>
          <w:tcPr>
            <w:tcW w:w="1224" w:type="dxa"/>
            <w:shd w:val="clear" w:color="auto" w:fill="auto"/>
            <w:vAlign w:val="center"/>
          </w:tcPr>
          <w:p w14:paraId="4E86EBCE"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25.4</w:t>
            </w:r>
          </w:p>
        </w:tc>
      </w:tr>
      <w:tr w:rsidR="005F3F3E" w:rsidRPr="000A33D2" w14:paraId="432B942F" w14:textId="77777777" w:rsidTr="00DB2B5C">
        <w:tc>
          <w:tcPr>
            <w:tcW w:w="1673" w:type="dxa"/>
            <w:shd w:val="clear" w:color="auto" w:fill="auto"/>
            <w:vAlign w:val="center"/>
          </w:tcPr>
          <w:p w14:paraId="0FFF96F0"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Events, n (%)</w:t>
            </w:r>
          </w:p>
        </w:tc>
        <w:tc>
          <w:tcPr>
            <w:tcW w:w="1224" w:type="dxa"/>
            <w:shd w:val="clear" w:color="auto" w:fill="auto"/>
            <w:vAlign w:val="center"/>
          </w:tcPr>
          <w:p w14:paraId="5B4E2285"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135 (55.1)</w:t>
            </w:r>
          </w:p>
        </w:tc>
        <w:tc>
          <w:tcPr>
            <w:tcW w:w="1224" w:type="dxa"/>
            <w:shd w:val="clear" w:color="auto" w:fill="auto"/>
            <w:vAlign w:val="center"/>
          </w:tcPr>
          <w:p w14:paraId="5F8F1E08"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177 (71.1)</w:t>
            </w:r>
          </w:p>
        </w:tc>
        <w:tc>
          <w:tcPr>
            <w:tcW w:w="1224" w:type="dxa"/>
            <w:shd w:val="clear" w:color="auto" w:fill="auto"/>
            <w:vAlign w:val="center"/>
          </w:tcPr>
          <w:p w14:paraId="10801152"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19 (35.8)</w:t>
            </w:r>
          </w:p>
        </w:tc>
        <w:tc>
          <w:tcPr>
            <w:tcW w:w="1224" w:type="dxa"/>
            <w:shd w:val="clear" w:color="auto" w:fill="auto"/>
            <w:vAlign w:val="center"/>
          </w:tcPr>
          <w:p w14:paraId="1C25264C"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47 (72.3)</w:t>
            </w:r>
          </w:p>
        </w:tc>
        <w:tc>
          <w:tcPr>
            <w:tcW w:w="1224" w:type="dxa"/>
            <w:shd w:val="clear" w:color="auto" w:fill="auto"/>
            <w:vAlign w:val="center"/>
          </w:tcPr>
          <w:p w14:paraId="583AEB3A"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116 (60.4)</w:t>
            </w:r>
          </w:p>
        </w:tc>
        <w:tc>
          <w:tcPr>
            <w:tcW w:w="1224" w:type="dxa"/>
            <w:shd w:val="clear" w:color="auto" w:fill="auto"/>
            <w:vAlign w:val="center"/>
          </w:tcPr>
          <w:p w14:paraId="675F040F"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130 (70.7)</w:t>
            </w:r>
          </w:p>
        </w:tc>
      </w:tr>
      <w:tr w:rsidR="005F3F3E" w:rsidRPr="000A33D2" w14:paraId="0A27E846" w14:textId="77777777" w:rsidTr="00DB2B5C">
        <w:tc>
          <w:tcPr>
            <w:tcW w:w="1673" w:type="dxa"/>
            <w:shd w:val="clear" w:color="auto" w:fill="auto"/>
            <w:vAlign w:val="center"/>
          </w:tcPr>
          <w:p w14:paraId="79E095A7"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Disease progression</w:t>
            </w:r>
          </w:p>
        </w:tc>
        <w:tc>
          <w:tcPr>
            <w:tcW w:w="1224" w:type="dxa"/>
            <w:shd w:val="clear" w:color="auto" w:fill="auto"/>
            <w:vAlign w:val="center"/>
          </w:tcPr>
          <w:p w14:paraId="37DA2BEB"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125 (51.0)</w:t>
            </w:r>
          </w:p>
        </w:tc>
        <w:tc>
          <w:tcPr>
            <w:tcW w:w="1224" w:type="dxa"/>
            <w:shd w:val="clear" w:color="auto" w:fill="auto"/>
            <w:vAlign w:val="center"/>
          </w:tcPr>
          <w:p w14:paraId="47D3A0C6"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169 (67.9)</w:t>
            </w:r>
          </w:p>
        </w:tc>
        <w:tc>
          <w:tcPr>
            <w:tcW w:w="1224" w:type="dxa"/>
            <w:shd w:val="clear" w:color="auto" w:fill="auto"/>
            <w:vAlign w:val="center"/>
          </w:tcPr>
          <w:p w14:paraId="1CCBB3EF"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16 (30.2)</w:t>
            </w:r>
          </w:p>
        </w:tc>
        <w:tc>
          <w:tcPr>
            <w:tcW w:w="1224" w:type="dxa"/>
            <w:shd w:val="clear" w:color="auto" w:fill="auto"/>
            <w:vAlign w:val="center"/>
          </w:tcPr>
          <w:p w14:paraId="4DC28FCC"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44 (67.7)</w:t>
            </w:r>
          </w:p>
        </w:tc>
        <w:tc>
          <w:tcPr>
            <w:tcW w:w="1224" w:type="dxa"/>
            <w:shd w:val="clear" w:color="auto" w:fill="auto"/>
            <w:vAlign w:val="center"/>
          </w:tcPr>
          <w:p w14:paraId="3C1352E3"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109 (56.8)</w:t>
            </w:r>
          </w:p>
        </w:tc>
        <w:tc>
          <w:tcPr>
            <w:tcW w:w="1224" w:type="dxa"/>
            <w:shd w:val="clear" w:color="auto" w:fill="auto"/>
            <w:vAlign w:val="center"/>
          </w:tcPr>
          <w:p w14:paraId="4C5F96C5"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125 (67.9)</w:t>
            </w:r>
          </w:p>
        </w:tc>
      </w:tr>
      <w:tr w:rsidR="005F3F3E" w:rsidRPr="000A33D2" w14:paraId="5856A2C1" w14:textId="77777777" w:rsidTr="00DB2B5C">
        <w:tc>
          <w:tcPr>
            <w:tcW w:w="1673" w:type="dxa"/>
            <w:shd w:val="clear" w:color="auto" w:fill="auto"/>
            <w:vAlign w:val="center"/>
          </w:tcPr>
          <w:p w14:paraId="38067DB4"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Death</w:t>
            </w:r>
          </w:p>
        </w:tc>
        <w:tc>
          <w:tcPr>
            <w:tcW w:w="1224" w:type="dxa"/>
            <w:shd w:val="clear" w:color="auto" w:fill="auto"/>
            <w:vAlign w:val="center"/>
          </w:tcPr>
          <w:p w14:paraId="6C1125AD"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10 (4.1)</w:t>
            </w:r>
          </w:p>
        </w:tc>
        <w:tc>
          <w:tcPr>
            <w:tcW w:w="1224" w:type="dxa"/>
            <w:shd w:val="clear" w:color="auto" w:fill="auto"/>
            <w:vAlign w:val="center"/>
          </w:tcPr>
          <w:p w14:paraId="68DF3C08"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8 (3.2)</w:t>
            </w:r>
          </w:p>
        </w:tc>
        <w:tc>
          <w:tcPr>
            <w:tcW w:w="1224" w:type="dxa"/>
            <w:shd w:val="clear" w:color="auto" w:fill="auto"/>
            <w:vAlign w:val="center"/>
          </w:tcPr>
          <w:p w14:paraId="570EE52F"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3 (5.7)</w:t>
            </w:r>
          </w:p>
        </w:tc>
        <w:tc>
          <w:tcPr>
            <w:tcW w:w="1224" w:type="dxa"/>
            <w:shd w:val="clear" w:color="auto" w:fill="auto"/>
            <w:vAlign w:val="center"/>
          </w:tcPr>
          <w:p w14:paraId="717B1396"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3 (4.6)</w:t>
            </w:r>
          </w:p>
        </w:tc>
        <w:tc>
          <w:tcPr>
            <w:tcW w:w="1224" w:type="dxa"/>
            <w:shd w:val="clear" w:color="auto" w:fill="auto"/>
            <w:vAlign w:val="center"/>
          </w:tcPr>
          <w:p w14:paraId="19AB67B1"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 (3.6)</w:t>
            </w:r>
          </w:p>
        </w:tc>
        <w:tc>
          <w:tcPr>
            <w:tcW w:w="1224" w:type="dxa"/>
            <w:shd w:val="clear" w:color="auto" w:fill="auto"/>
            <w:vAlign w:val="center"/>
          </w:tcPr>
          <w:p w14:paraId="5FB5B110"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5 (2.7)</w:t>
            </w:r>
          </w:p>
        </w:tc>
      </w:tr>
      <w:tr w:rsidR="005F3F3E" w:rsidRPr="000A33D2" w14:paraId="3541EFD0" w14:textId="77777777" w:rsidTr="00DB2B5C">
        <w:tc>
          <w:tcPr>
            <w:tcW w:w="1673" w:type="dxa"/>
            <w:shd w:val="clear" w:color="auto" w:fill="auto"/>
            <w:vAlign w:val="center"/>
          </w:tcPr>
          <w:p w14:paraId="0EAEAE31"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Censored, n (%)</w:t>
            </w:r>
          </w:p>
        </w:tc>
        <w:tc>
          <w:tcPr>
            <w:tcW w:w="1224" w:type="dxa"/>
            <w:shd w:val="clear" w:color="auto" w:fill="auto"/>
            <w:vAlign w:val="center"/>
          </w:tcPr>
          <w:p w14:paraId="5E5D4CBD"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110 (44.9)</w:t>
            </w:r>
          </w:p>
        </w:tc>
        <w:tc>
          <w:tcPr>
            <w:tcW w:w="1224" w:type="dxa"/>
            <w:shd w:val="clear" w:color="auto" w:fill="auto"/>
            <w:vAlign w:val="center"/>
          </w:tcPr>
          <w:p w14:paraId="3C55DEAE"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72 (28.9)</w:t>
            </w:r>
          </w:p>
        </w:tc>
        <w:tc>
          <w:tcPr>
            <w:tcW w:w="1224" w:type="dxa"/>
            <w:shd w:val="clear" w:color="auto" w:fill="auto"/>
            <w:vAlign w:val="center"/>
          </w:tcPr>
          <w:p w14:paraId="454C81E4"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34 (64.2)</w:t>
            </w:r>
          </w:p>
        </w:tc>
        <w:tc>
          <w:tcPr>
            <w:tcW w:w="1224" w:type="dxa"/>
            <w:shd w:val="clear" w:color="auto" w:fill="auto"/>
            <w:vAlign w:val="center"/>
          </w:tcPr>
          <w:p w14:paraId="231FE903"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18 (27.7)</w:t>
            </w:r>
          </w:p>
        </w:tc>
        <w:tc>
          <w:tcPr>
            <w:tcW w:w="1224" w:type="dxa"/>
            <w:shd w:val="clear" w:color="auto" w:fill="auto"/>
            <w:vAlign w:val="center"/>
          </w:tcPr>
          <w:p w14:paraId="1A3AE21F"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76 (39.6)</w:t>
            </w:r>
          </w:p>
        </w:tc>
        <w:tc>
          <w:tcPr>
            <w:tcW w:w="1224" w:type="dxa"/>
            <w:shd w:val="clear" w:color="auto" w:fill="auto"/>
            <w:vAlign w:val="center"/>
          </w:tcPr>
          <w:p w14:paraId="6001846B"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54 (29.3)</w:t>
            </w:r>
          </w:p>
        </w:tc>
      </w:tr>
      <w:tr w:rsidR="005F3F3E" w:rsidRPr="000A33D2" w14:paraId="702B4728" w14:textId="77777777" w:rsidTr="00DB2B5C">
        <w:tc>
          <w:tcPr>
            <w:tcW w:w="1673" w:type="dxa"/>
            <w:shd w:val="clear" w:color="auto" w:fill="auto"/>
            <w:vAlign w:val="center"/>
          </w:tcPr>
          <w:p w14:paraId="3D99CA77"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Median PFS, months (95% CI)</w:t>
            </w:r>
          </w:p>
        </w:tc>
        <w:tc>
          <w:tcPr>
            <w:tcW w:w="1224" w:type="dxa"/>
            <w:shd w:val="clear" w:color="auto" w:fill="auto"/>
            <w:vAlign w:val="center"/>
          </w:tcPr>
          <w:p w14:paraId="4FF91125"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11.8</w:t>
            </w:r>
          </w:p>
          <w:p w14:paraId="21139115"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(9.6, 7.1)</w:t>
            </w:r>
          </w:p>
        </w:tc>
        <w:tc>
          <w:tcPr>
            <w:tcW w:w="1224" w:type="dxa"/>
            <w:shd w:val="clear" w:color="auto" w:fill="auto"/>
            <w:vAlign w:val="center"/>
          </w:tcPr>
          <w:p w14:paraId="06B1A7E7"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7.9</w:t>
            </w:r>
          </w:p>
          <w:p w14:paraId="6882F127"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(7.6, 9.5)</w:t>
            </w:r>
          </w:p>
        </w:tc>
        <w:tc>
          <w:tcPr>
            <w:tcW w:w="1224" w:type="dxa"/>
            <w:shd w:val="clear" w:color="auto" w:fill="auto"/>
            <w:vAlign w:val="center"/>
          </w:tcPr>
          <w:p w14:paraId="026A53C4"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NR</w:t>
            </w:r>
          </w:p>
          <w:p w14:paraId="441C3D93"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(11.8, NR)</w:t>
            </w:r>
          </w:p>
        </w:tc>
        <w:tc>
          <w:tcPr>
            <w:tcW w:w="1224" w:type="dxa"/>
            <w:shd w:val="clear" w:color="auto" w:fill="auto"/>
            <w:vAlign w:val="center"/>
          </w:tcPr>
          <w:p w14:paraId="0A73132A"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7.7</w:t>
            </w:r>
          </w:p>
          <w:p w14:paraId="7BB2E5CE"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(5.6, 9.7)</w:t>
            </w:r>
          </w:p>
        </w:tc>
        <w:tc>
          <w:tcPr>
            <w:tcW w:w="1224" w:type="dxa"/>
            <w:shd w:val="clear" w:color="auto" w:fill="auto"/>
            <w:vAlign w:val="center"/>
          </w:tcPr>
          <w:p w14:paraId="19270ED8"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9.9</w:t>
            </w:r>
          </w:p>
          <w:p w14:paraId="0A712374"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(9.0, 13.3)</w:t>
            </w:r>
          </w:p>
        </w:tc>
        <w:tc>
          <w:tcPr>
            <w:tcW w:w="1224" w:type="dxa"/>
            <w:shd w:val="clear" w:color="auto" w:fill="auto"/>
            <w:vAlign w:val="center"/>
          </w:tcPr>
          <w:p w14:paraId="3169C859"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7.9</w:t>
            </w:r>
          </w:p>
          <w:p w14:paraId="4237C271"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(7.6, 9.8)</w:t>
            </w:r>
          </w:p>
        </w:tc>
      </w:tr>
      <w:tr w:rsidR="005F3F3E" w:rsidRPr="000A33D2" w14:paraId="2707FBEB" w14:textId="77777777" w:rsidTr="00DB2B5C">
        <w:tc>
          <w:tcPr>
            <w:tcW w:w="1673" w:type="dxa"/>
            <w:shd w:val="clear" w:color="auto" w:fill="auto"/>
            <w:vAlign w:val="center"/>
          </w:tcPr>
          <w:p w14:paraId="4755CF21"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 xml:space="preserve">Hazard Ratio </w:t>
            </w:r>
          </w:p>
          <w:p w14:paraId="41F7F9BB"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(95% CI)</w:t>
            </w:r>
          </w:p>
        </w:tc>
        <w:tc>
          <w:tcPr>
            <w:tcW w:w="2448" w:type="dxa"/>
            <w:gridSpan w:val="2"/>
            <w:shd w:val="clear" w:color="auto" w:fill="auto"/>
            <w:vAlign w:val="center"/>
          </w:tcPr>
          <w:p w14:paraId="6134657B"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0.64</w:t>
            </w:r>
          </w:p>
          <w:p w14:paraId="322604C3"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b/>
                <w:bCs/>
                <w:sz w:val="20"/>
                <w:szCs w:val="20"/>
              </w:rPr>
              <w:t>(0.51, 0.80)</w:t>
            </w:r>
          </w:p>
        </w:tc>
        <w:tc>
          <w:tcPr>
            <w:tcW w:w="2448" w:type="dxa"/>
            <w:gridSpan w:val="2"/>
            <w:shd w:val="clear" w:color="auto" w:fill="auto"/>
            <w:vAlign w:val="center"/>
          </w:tcPr>
          <w:p w14:paraId="779187F3" w14:textId="77777777" w:rsidR="005F3F3E" w:rsidRPr="000A33D2" w:rsidRDefault="005F3F3E" w:rsidP="00DB2B5C">
            <w:pPr>
              <w:keepNext/>
              <w:keepLines/>
              <w:jc w:val="center"/>
              <w:rPr>
                <w:rFonts w:ascii="Arial Narrow" w:hAnsi="Arial Narrow"/>
                <w:b/>
                <w:bCs/>
                <w:sz w:val="20"/>
                <w:szCs w:val="20"/>
              </w:rPr>
            </w:pPr>
            <w:r w:rsidRPr="000A33D2">
              <w:rPr>
                <w:rFonts w:ascii="Arial Narrow" w:hAnsi="Arial Narrow"/>
                <w:b/>
                <w:bCs/>
                <w:sz w:val="20"/>
                <w:szCs w:val="20"/>
              </w:rPr>
              <w:t>0.28</w:t>
            </w:r>
          </w:p>
          <w:p w14:paraId="251970B0"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b/>
                <w:bCs/>
                <w:sz w:val="20"/>
                <w:szCs w:val="20"/>
              </w:rPr>
              <w:t>(0.16, 0.50)</w:t>
            </w:r>
          </w:p>
        </w:tc>
        <w:tc>
          <w:tcPr>
            <w:tcW w:w="2448" w:type="dxa"/>
            <w:gridSpan w:val="2"/>
            <w:shd w:val="clear" w:color="auto" w:fill="auto"/>
            <w:vAlign w:val="center"/>
          </w:tcPr>
          <w:p w14:paraId="5C04C9B5"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0.76</w:t>
            </w:r>
          </w:p>
          <w:p w14:paraId="3EBB0051"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(0.59, 0.98)</w:t>
            </w:r>
          </w:p>
        </w:tc>
      </w:tr>
      <w:tr w:rsidR="005F3F3E" w:rsidRPr="000A33D2" w14:paraId="1D0D1289" w14:textId="77777777" w:rsidTr="00DB2B5C">
        <w:tc>
          <w:tcPr>
            <w:tcW w:w="1673" w:type="dxa"/>
            <w:shd w:val="clear" w:color="auto" w:fill="auto"/>
            <w:vAlign w:val="center"/>
          </w:tcPr>
          <w:p w14:paraId="78582DB3" w14:textId="77777777" w:rsidR="005F3F3E" w:rsidRPr="000A33D2" w:rsidRDefault="005F3F3E" w:rsidP="009C1C94">
            <w:pPr>
              <w:keepNext/>
              <w:keepLines/>
              <w:jc w:val="left"/>
              <w:rPr>
                <w:rFonts w:ascii="Arial Narrow" w:hAnsi="Arial Narrow"/>
                <w:sz w:val="20"/>
                <w:szCs w:val="20"/>
              </w:rPr>
            </w:pPr>
            <w:r w:rsidRPr="000A33D2">
              <w:rPr>
                <w:rFonts w:ascii="Arial Narrow" w:hAnsi="Arial Narrow"/>
                <w:sz w:val="20"/>
                <w:szCs w:val="20"/>
              </w:rPr>
              <w:t>p-value</w:t>
            </w:r>
          </w:p>
        </w:tc>
        <w:tc>
          <w:tcPr>
            <w:tcW w:w="2448" w:type="dxa"/>
            <w:gridSpan w:val="2"/>
            <w:shd w:val="clear" w:color="auto" w:fill="auto"/>
            <w:vAlign w:val="center"/>
          </w:tcPr>
          <w:p w14:paraId="69DE293B"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&lt;0.0001</w:t>
            </w:r>
          </w:p>
        </w:tc>
        <w:tc>
          <w:tcPr>
            <w:tcW w:w="2448" w:type="dxa"/>
            <w:gridSpan w:val="2"/>
            <w:shd w:val="clear" w:color="auto" w:fill="auto"/>
            <w:vAlign w:val="center"/>
          </w:tcPr>
          <w:p w14:paraId="0AE0AA5B" w14:textId="77777777" w:rsidR="005F3F3E" w:rsidRPr="000A33D2" w:rsidRDefault="005F3F3E" w:rsidP="00DB2B5C">
            <w:pPr>
              <w:keepNext/>
              <w:keepLines/>
              <w:jc w:val="center"/>
              <w:rPr>
                <w:rFonts w:ascii="Arial Narrow" w:hAnsi="Arial Narrow"/>
                <w:sz w:val="20"/>
                <w:szCs w:val="20"/>
                <w:highlight w:val="yellow"/>
              </w:rPr>
            </w:pPr>
            <w:r w:rsidRPr="000A33D2">
              <w:rPr>
                <w:rFonts w:ascii="Arial Narrow" w:hAnsi="Arial Narrow"/>
                <w:sz w:val="20"/>
                <w:szCs w:val="20"/>
              </w:rPr>
              <w:t>&lt;0.0001</w:t>
            </w:r>
          </w:p>
        </w:tc>
        <w:tc>
          <w:tcPr>
            <w:tcW w:w="2448" w:type="dxa"/>
            <w:gridSpan w:val="2"/>
            <w:shd w:val="clear" w:color="auto" w:fill="auto"/>
            <w:vAlign w:val="center"/>
          </w:tcPr>
          <w:p w14:paraId="67F42A71" w14:textId="77777777" w:rsidR="005F3F3E" w:rsidRPr="000A33D2" w:rsidRDefault="005F3F3E" w:rsidP="00DB2B5C">
            <w:pPr>
              <w:keepNext/>
              <w:keepLines/>
              <w:jc w:val="center"/>
              <w:rPr>
                <w:rFonts w:ascii="Arial Narrow" w:hAnsi="Arial Narrow"/>
                <w:sz w:val="20"/>
                <w:szCs w:val="20"/>
              </w:rPr>
            </w:pPr>
            <w:r w:rsidRPr="000A33D2">
              <w:rPr>
                <w:rFonts w:ascii="Arial Narrow" w:hAnsi="Arial Narrow"/>
                <w:sz w:val="20"/>
                <w:szCs w:val="20"/>
              </w:rPr>
              <w:t>0.0177</w:t>
            </w:r>
          </w:p>
        </w:tc>
      </w:tr>
    </w:tbl>
    <w:p w14:paraId="786A2A0B" w14:textId="77777777" w:rsidR="005F3F3E" w:rsidRPr="000A33D2" w:rsidRDefault="005F3F3E" w:rsidP="005F3F3E">
      <w:pPr>
        <w:pStyle w:val="FooterTableFigure"/>
        <w:keepNext/>
        <w:keepLines/>
        <w:spacing w:after="0"/>
        <w:rPr>
          <w:sz w:val="20"/>
        </w:rPr>
      </w:pPr>
      <w:r w:rsidRPr="000A33D2">
        <w:t>Source: Table 31, pp69-70 of the submission.</w:t>
      </w:r>
    </w:p>
    <w:p w14:paraId="1BDBCE33" w14:textId="77777777" w:rsidR="005F3F3E" w:rsidRPr="000A33D2" w:rsidRDefault="005F3F3E" w:rsidP="005F3F3E">
      <w:pPr>
        <w:keepNext/>
        <w:keepLines/>
        <w:rPr>
          <w:rFonts w:ascii="Arial Narrow" w:eastAsia="Calibri" w:hAnsi="Arial Narrow"/>
          <w:snapToGrid w:val="0"/>
          <w:sz w:val="18"/>
          <w:szCs w:val="22"/>
        </w:rPr>
      </w:pPr>
      <w:r w:rsidRPr="000A33D2">
        <w:rPr>
          <w:rFonts w:ascii="Arial Narrow" w:eastAsia="Calibri" w:hAnsi="Arial Narrow"/>
          <w:snapToGrid w:val="0"/>
          <w:sz w:val="18"/>
          <w:szCs w:val="22"/>
        </w:rPr>
        <w:t>CI=confidence interval</w:t>
      </w:r>
    </w:p>
    <w:p w14:paraId="5A824B13" w14:textId="77777777" w:rsidR="005F3F3E" w:rsidRPr="000A33D2" w:rsidRDefault="005F3F3E" w:rsidP="00B62E71">
      <w:pPr>
        <w:keepLines/>
        <w:spacing w:after="120"/>
        <w:rPr>
          <w:rFonts w:ascii="Arial Narrow" w:eastAsia="Calibri" w:hAnsi="Arial Narrow"/>
          <w:snapToGrid w:val="0"/>
          <w:sz w:val="18"/>
          <w:szCs w:val="22"/>
        </w:rPr>
      </w:pPr>
      <w:r w:rsidRPr="000A33D2">
        <w:rPr>
          <w:rFonts w:ascii="Arial Narrow" w:eastAsia="Calibri" w:hAnsi="Arial Narrow"/>
          <w:snapToGrid w:val="0"/>
          <w:sz w:val="18"/>
          <w:szCs w:val="22"/>
        </w:rPr>
        <w:t>Values in bold indicate statistically significant differences.</w:t>
      </w:r>
    </w:p>
    <w:p w14:paraId="3C0ACE13" w14:textId="2CDA9B37" w:rsidR="00BC3FD4" w:rsidRPr="000A33D2" w:rsidRDefault="00BC3FD4" w:rsidP="00EC5836">
      <w:pPr>
        <w:pStyle w:val="3-BodyText"/>
      </w:pPr>
      <w:r w:rsidRPr="000A33D2">
        <w:t>With 63% PFS maturity in the all-comers population, DOS+CP was associated with a 36% lower risk of progression or death compared to the PBO+CP arm (HR=0.64; 95% CI 0.51, 0.80, stratified log-rank test p-value &lt;0.0001; median PFS 11.8 months versus 7.9 months). A separation of the KM curves occurring from approximately 5 months was observed. The stopping boundary (p=0.02) for claiming superiority of DOS+CP over PBO+CP in prolonging PFS in the all-comers population was crossed</w:t>
      </w:r>
      <w:r w:rsidR="00D046FC" w:rsidRPr="000A33D2">
        <w:t xml:space="preserve">, </w:t>
      </w:r>
      <w:r w:rsidR="006A42A7" w:rsidRPr="000A33D2">
        <w:t xml:space="preserve">and a statistically significant </w:t>
      </w:r>
      <w:r w:rsidR="00D046FC" w:rsidRPr="000A33D2">
        <w:t xml:space="preserve">PFS benefit </w:t>
      </w:r>
      <w:r w:rsidR="006A42A7" w:rsidRPr="000A33D2">
        <w:t>could be concluded</w:t>
      </w:r>
      <w:r w:rsidR="00D046FC" w:rsidRPr="000A33D2">
        <w:t>.</w:t>
      </w:r>
    </w:p>
    <w:p w14:paraId="6E9C5079" w14:textId="2FE63D35" w:rsidR="00BC3FD4" w:rsidRPr="000A33D2" w:rsidRDefault="00BD379B" w:rsidP="00EC5836">
      <w:pPr>
        <w:pStyle w:val="3-BodyText"/>
      </w:pPr>
      <w:r w:rsidRPr="000A33D2">
        <w:t>With 56% PFS maturity in the dMMR/MSI-H cohort, patients enrolled in the DOS+CP arm were observed to have a 72% lower risk of progression or death than patients enrolled in the PBO+CP arm (HR=0.28; 95% CI 0.16, 0.50, stratified log-rank test p</w:t>
      </w:r>
      <w:r w:rsidR="00B62E71">
        <w:noBreakHyphen/>
      </w:r>
      <w:r w:rsidRPr="000A33D2">
        <w:t>value &lt;</w:t>
      </w:r>
      <w:r w:rsidR="00B62E71">
        <w:t> </w:t>
      </w:r>
      <w:r w:rsidRPr="000A33D2">
        <w:t>0.0001; median PFS not reached versus 7.7 months, respectively). The KM plot showed similar PFS between the two treatment arms over the first 4 months, after which there is a notable divergence as the curve for DOS+CP plateaued and the curve for PBO+CP continued to decline. The stopping boundary (p=0.00630) for claiming superiority of DOS+CP over PBO+CP in prolonging PFS in the dMMR/MSI-H population at the interim analysis was crossed</w:t>
      </w:r>
      <w:r w:rsidR="00C9797C" w:rsidRPr="000A33D2">
        <w:t xml:space="preserve">, </w:t>
      </w:r>
      <w:r w:rsidR="006A42A7" w:rsidRPr="000A33D2">
        <w:t>and a statistically significant PFS benefit could be concluded</w:t>
      </w:r>
      <w:r w:rsidRPr="000A33D2">
        <w:t>.</w:t>
      </w:r>
    </w:p>
    <w:p w14:paraId="7728FE6C" w14:textId="0AE070D7" w:rsidR="001C36EE" w:rsidRPr="000A33D2" w:rsidRDefault="001C36EE" w:rsidP="00EC5836">
      <w:pPr>
        <w:pStyle w:val="3-BodyText"/>
      </w:pPr>
      <w:r w:rsidRPr="000A33D2">
        <w:t>With 65% PFS maturity in the pMMR/MSS population, DOS+CP was associated with a 24% lower risk of progression or death compared to the PBO+CP arm</w:t>
      </w:r>
      <w:r w:rsidR="001F4613" w:rsidRPr="000A33D2">
        <w:t xml:space="preserve"> based on the point estimate</w:t>
      </w:r>
      <w:r w:rsidRPr="000A33D2">
        <w:t xml:space="preserve"> (HR=0.76; 95% CI 0.59, 0.98; median PFS 9.9 months versus 7.9</w:t>
      </w:r>
      <w:r w:rsidR="00B62E71">
        <w:t> </w:t>
      </w:r>
      <w:r w:rsidRPr="000A33D2">
        <w:t xml:space="preserve">months). No formal statistical testing was conducted for PFS in the pMMR/MSS population, </w:t>
      </w:r>
      <w:r w:rsidR="00035404" w:rsidRPr="000A33D2">
        <w:t>and</w:t>
      </w:r>
      <w:r w:rsidRPr="000A33D2">
        <w:t xml:space="preserve"> </w:t>
      </w:r>
      <w:r w:rsidR="00035404" w:rsidRPr="000A33D2">
        <w:t xml:space="preserve">the </w:t>
      </w:r>
      <w:r w:rsidRPr="000A33D2">
        <w:t>upper bound of the 95%</w:t>
      </w:r>
      <w:r w:rsidR="00E41FAF" w:rsidRPr="000A33D2">
        <w:t xml:space="preserve"> </w:t>
      </w:r>
      <w:r w:rsidRPr="000A33D2">
        <w:t xml:space="preserve">CI </w:t>
      </w:r>
      <w:r w:rsidR="00035404" w:rsidRPr="000A33D2">
        <w:t xml:space="preserve">was </w:t>
      </w:r>
      <w:r w:rsidRPr="000A33D2">
        <w:t xml:space="preserve">close to </w:t>
      </w:r>
      <w:r w:rsidR="008449D7" w:rsidRPr="000A33D2">
        <w:t>one</w:t>
      </w:r>
      <w:r w:rsidRPr="000A33D2">
        <w:t>. A separation of KM curves was observed from around 8</w:t>
      </w:r>
      <w:r w:rsidR="00B51E91" w:rsidRPr="000A33D2">
        <w:t xml:space="preserve"> </w:t>
      </w:r>
      <w:proofErr w:type="gramStart"/>
      <w:r w:rsidRPr="000A33D2">
        <w:t>month</w:t>
      </w:r>
      <w:r w:rsidR="00B51E91" w:rsidRPr="000A33D2">
        <w:t>s</w:t>
      </w:r>
      <w:r w:rsidR="008316AC" w:rsidRPr="000A33D2">
        <w:t>,</w:t>
      </w:r>
      <w:proofErr w:type="gramEnd"/>
      <w:r w:rsidRPr="000A33D2">
        <w:t xml:space="preserve"> however the curves did not continue to diverge. </w:t>
      </w:r>
    </w:p>
    <w:p w14:paraId="42302E9F" w14:textId="195BE346" w:rsidR="004C0AC6" w:rsidRPr="000A33D2" w:rsidRDefault="00664FE0" w:rsidP="00EC5836">
      <w:pPr>
        <w:pStyle w:val="3-BodyText"/>
      </w:pPr>
      <w:r w:rsidRPr="000A33D2">
        <w:t>O</w:t>
      </w:r>
      <w:r w:rsidR="004C0AC6" w:rsidRPr="000A33D2">
        <w:t>nly three hypotheses were formally tested in RUBY (PFS in the dMMR/MSI</w:t>
      </w:r>
      <w:r w:rsidR="00B92B35" w:rsidRPr="000A33D2">
        <w:noBreakHyphen/>
      </w:r>
      <w:r w:rsidR="004C0AC6" w:rsidRPr="000A33D2">
        <w:t xml:space="preserve">H cohort; PFS and OS in the all-comers population). Therefore, analyses performed outside of these hypotheses, which the trial was neither powered nor designed for, should be </w:t>
      </w:r>
      <w:r w:rsidR="004C0AC6" w:rsidRPr="000A33D2">
        <w:lastRenderedPageBreak/>
        <w:t>interpreted with caution</w:t>
      </w:r>
      <w:r w:rsidR="00782D88" w:rsidRPr="000A33D2">
        <w:t>. S</w:t>
      </w:r>
      <w:r w:rsidR="004C0AC6" w:rsidRPr="000A33D2">
        <w:t>tatistical significance was achieved for PFS by IA for the dMMR/MSI-H cohort and the all-comers population, but not OS.</w:t>
      </w:r>
    </w:p>
    <w:p w14:paraId="2F255D83" w14:textId="5A25A18B" w:rsidR="00B92B35" w:rsidRPr="000A33D2" w:rsidRDefault="00B92B35" w:rsidP="00EC5836">
      <w:pPr>
        <w:pStyle w:val="3-BodyText"/>
      </w:pPr>
      <w:bookmarkStart w:id="40" w:name="_Ref144381439"/>
      <w:r w:rsidRPr="000A33D2">
        <w:t xml:space="preserve">In the pMMR/MSS cohort, </w:t>
      </w:r>
      <w:r w:rsidR="00D501D8" w:rsidRPr="000A33D2">
        <w:t xml:space="preserve">OS results in RUBY </w:t>
      </w:r>
      <w:r w:rsidR="008C30D4" w:rsidRPr="000A33D2">
        <w:t>suggested</w:t>
      </w:r>
      <w:r w:rsidR="00D50B6B" w:rsidRPr="000A33D2">
        <w:t xml:space="preserve"> that there may be no difference </w:t>
      </w:r>
      <w:r w:rsidR="00D501D8" w:rsidRPr="000A33D2">
        <w:t xml:space="preserve">between treatments (upper 95% </w:t>
      </w:r>
      <w:r w:rsidR="00D22EC1" w:rsidRPr="000A33D2">
        <w:t>CI</w:t>
      </w:r>
      <w:r w:rsidR="00D501D8" w:rsidRPr="000A33D2">
        <w:t xml:space="preserve"> exceeded one) </w:t>
      </w:r>
      <w:r w:rsidR="00E25482" w:rsidRPr="000A33D2">
        <w:t xml:space="preserve">and </w:t>
      </w:r>
      <w:r w:rsidR="001A10F0" w:rsidRPr="000A33D2">
        <w:t xml:space="preserve">while </w:t>
      </w:r>
      <w:r w:rsidR="00E25482" w:rsidRPr="000A33D2">
        <w:t xml:space="preserve">PFS by IA results favoured DOS+CP, the upper 95% </w:t>
      </w:r>
      <w:r w:rsidR="00D22EC1" w:rsidRPr="000A33D2">
        <w:t>CI</w:t>
      </w:r>
      <w:r w:rsidR="00E25482" w:rsidRPr="000A33D2">
        <w:t xml:space="preserve"> was close to one. </w:t>
      </w:r>
      <w:r w:rsidR="00FF0C31" w:rsidRPr="000A33D2">
        <w:t xml:space="preserve">Notably, the pMMR/MSS cohort </w:t>
      </w:r>
      <w:r w:rsidR="00D22EC1" w:rsidRPr="000A33D2">
        <w:t xml:space="preserve">made </w:t>
      </w:r>
      <w:r w:rsidR="00FF0C31" w:rsidRPr="000A33D2">
        <w:t>up the majority of both RUBY (</w:t>
      </w:r>
      <w:r w:rsidR="00A42F1F" w:rsidRPr="000A33D2">
        <w:t>76.1% of all enrolled) and the proposed PBS population (73% expected), and</w:t>
      </w:r>
      <w:r w:rsidR="00AD0CC5" w:rsidRPr="000A33D2">
        <w:t xml:space="preserve"> while</w:t>
      </w:r>
      <w:r w:rsidR="00A42F1F" w:rsidRPr="000A33D2">
        <w:t xml:space="preserve"> </w:t>
      </w:r>
      <w:r w:rsidR="00AD0CC5" w:rsidRPr="000A33D2">
        <w:t xml:space="preserve">a </w:t>
      </w:r>
      <w:r w:rsidR="001B6B7F" w:rsidRPr="000A33D2">
        <w:t>beneficial result</w:t>
      </w:r>
      <w:r w:rsidR="00AD0CC5" w:rsidRPr="000A33D2">
        <w:t xml:space="preserve"> was</w:t>
      </w:r>
      <w:r w:rsidR="001B6B7F" w:rsidRPr="000A33D2">
        <w:t xml:space="preserve"> observed </w:t>
      </w:r>
      <w:r w:rsidR="00AD0CC5" w:rsidRPr="000A33D2">
        <w:t>for</w:t>
      </w:r>
      <w:r w:rsidR="001B6B7F" w:rsidRPr="000A33D2">
        <w:t xml:space="preserve"> PFS by IA in the all-comers population</w:t>
      </w:r>
      <w:r w:rsidR="00AD0CC5" w:rsidRPr="000A33D2">
        <w:t>, this</w:t>
      </w:r>
      <w:r w:rsidR="001B6B7F" w:rsidRPr="000A33D2">
        <w:t xml:space="preserve"> was likely driven by the</w:t>
      </w:r>
      <w:r w:rsidR="0038623D" w:rsidRPr="000A33D2">
        <w:t xml:space="preserve"> high benefit observed in the dMMR/MSI-H subgroup (PFS HR=0.28; 95% CI 0.16, 0.50)</w:t>
      </w:r>
      <w:r w:rsidR="00A42F1F" w:rsidRPr="000A33D2">
        <w:t>.</w:t>
      </w:r>
      <w:bookmarkEnd w:id="40"/>
      <w:r w:rsidR="00A42F1F" w:rsidRPr="000A33D2">
        <w:t xml:space="preserve"> </w:t>
      </w:r>
    </w:p>
    <w:p w14:paraId="22267FD9" w14:textId="1BAAF7E1" w:rsidR="00B53B34" w:rsidRPr="000A33D2" w:rsidRDefault="00B53B34" w:rsidP="00B616B1">
      <w:pPr>
        <w:pStyle w:val="3-BodyText"/>
      </w:pPr>
      <w:r w:rsidRPr="000A33D2">
        <w:t>A test for interaction for the outcomes of OS and PFS by IA, between the two subgroups was performed during the evaluation</w:t>
      </w:r>
      <w:r w:rsidR="006173E4">
        <w:rPr>
          <w:rStyle w:val="FootnoteReference"/>
        </w:rPr>
        <w:footnoteReference w:id="3"/>
      </w:r>
      <w:r w:rsidRPr="000A33D2">
        <w:t xml:space="preserve"> (</w:t>
      </w:r>
      <w:r w:rsidR="00164F5A" w:rsidRPr="000A33D2">
        <w:fldChar w:fldCharType="begin" w:fldLock="1"/>
      </w:r>
      <w:r w:rsidR="00164F5A" w:rsidRPr="000A33D2">
        <w:instrText xml:space="preserve"> REF _Ref144735892 \h  \* MERGEFORMAT </w:instrText>
      </w:r>
      <w:r w:rsidR="00164F5A" w:rsidRPr="000A33D2">
        <w:fldChar w:fldCharType="separate"/>
      </w:r>
      <w:r w:rsidR="00B62E71" w:rsidRPr="000A33D2">
        <w:t xml:space="preserve">Table </w:t>
      </w:r>
      <w:r w:rsidR="00B62E71">
        <w:t>6</w:t>
      </w:r>
      <w:r w:rsidR="00164F5A" w:rsidRPr="000A33D2">
        <w:fldChar w:fldCharType="end"/>
      </w:r>
      <w:r w:rsidRPr="000A33D2">
        <w:t xml:space="preserve">). The results suggested that MMR status (based on the eCRF) may be a treatment effect modifier for DOS in A/R EC when considering the outcome of PFS by IA. </w:t>
      </w:r>
      <w:r w:rsidR="009C1C94" w:rsidRPr="000A33D2">
        <w:t>The PSCR argued that while the</w:t>
      </w:r>
      <w:r w:rsidR="00B616B1" w:rsidRPr="000A33D2">
        <w:t>se</w:t>
      </w:r>
      <w:r w:rsidR="009C1C94" w:rsidRPr="000A33D2">
        <w:t xml:space="preserve"> tests for interaction indicated MMR/MSI status may act as a treatment effect modifier for PFS (nominal p=0.0061), no treatment modification effect was demonstrated for OS (nominal p=0.076). The PSCR claimed that as such, there was no conclusive evidence to suggest that MMR status was a treatment effect modifier in RUBY. </w:t>
      </w:r>
      <w:r w:rsidR="00B616B1" w:rsidRPr="000A33D2">
        <w:t>However, g</w:t>
      </w:r>
      <w:r w:rsidR="009C1C94" w:rsidRPr="000A33D2">
        <w:t xml:space="preserve">iven the </w:t>
      </w:r>
      <w:r w:rsidR="00B616B1" w:rsidRPr="000A33D2">
        <w:t>immaturity of</w:t>
      </w:r>
      <w:r w:rsidR="009C1C94" w:rsidRPr="000A33D2">
        <w:t xml:space="preserve"> OS, it was unreasonable to make any claims regarding treatment effect modification based on O</w:t>
      </w:r>
      <w:r w:rsidR="00B616B1" w:rsidRPr="000A33D2">
        <w:t>S.</w:t>
      </w:r>
      <w:r w:rsidR="0047408B" w:rsidRPr="000A33D2">
        <w:t xml:space="preserve"> The ESC considered that </w:t>
      </w:r>
      <w:r w:rsidR="008A4468" w:rsidRPr="000A33D2">
        <w:t xml:space="preserve">based on the test for interaction with p=0.0061 for PFS, and a clear difference in response between the pMMR and dMMR subgroups, </w:t>
      </w:r>
      <w:r w:rsidR="0047408B" w:rsidRPr="000A33D2">
        <w:t>MMR status was likely to be a treatment effect modifier</w:t>
      </w:r>
      <w:r w:rsidR="008A4468" w:rsidRPr="000A33D2">
        <w:t>.</w:t>
      </w:r>
    </w:p>
    <w:p w14:paraId="17188FC6" w14:textId="0934FD2D" w:rsidR="0066555A" w:rsidRPr="000A33D2" w:rsidRDefault="0066555A" w:rsidP="00A912EC">
      <w:pPr>
        <w:pStyle w:val="Caption"/>
        <w:rPr>
          <w:rStyle w:val="CommentReference"/>
          <w:bCs w:val="0"/>
          <w:snapToGrid w:val="0"/>
          <w:szCs w:val="24"/>
        </w:rPr>
      </w:pPr>
      <w:bookmarkStart w:id="41" w:name="_Ref144735892"/>
      <w:r w:rsidRPr="000A33D2">
        <w:t xml:space="preserve">Table </w:t>
      </w:r>
      <w:r>
        <w:fldChar w:fldCharType="begin" w:fldLock="1"/>
      </w:r>
      <w:r>
        <w:instrText>SEQ Table \* ARABIC</w:instrText>
      </w:r>
      <w:r>
        <w:fldChar w:fldCharType="separate"/>
      </w:r>
      <w:r w:rsidR="00B62E71">
        <w:rPr>
          <w:noProof/>
        </w:rPr>
        <w:t>6</w:t>
      </w:r>
      <w:r>
        <w:fldChar w:fldCharType="end"/>
      </w:r>
      <w:bookmarkEnd w:id="41"/>
      <w:r w:rsidRPr="000A33D2">
        <w:rPr>
          <w:rStyle w:val="CommentReference"/>
          <w:b/>
          <w:snapToGrid w:val="0"/>
          <w:szCs w:val="24"/>
        </w:rPr>
        <w:t>: Outcomes for the dMMR/MSI-H subgroup and the complement (pMMR/MSS)</w:t>
      </w:r>
    </w:p>
    <w:tbl>
      <w:tblPr>
        <w:tblStyle w:val="TableGrid"/>
        <w:tblW w:w="0" w:type="auto"/>
        <w:tblLook w:val="04A0" w:firstRow="1" w:lastRow="0" w:firstColumn="1" w:lastColumn="0" w:noHBand="0" w:noVBand="1"/>
      </w:tblPr>
      <w:tblGrid>
        <w:gridCol w:w="984"/>
        <w:gridCol w:w="895"/>
        <w:gridCol w:w="895"/>
        <w:gridCol w:w="1737"/>
        <w:gridCol w:w="895"/>
        <w:gridCol w:w="968"/>
        <w:gridCol w:w="1705"/>
        <w:gridCol w:w="938"/>
      </w:tblGrid>
      <w:tr w:rsidR="0066555A" w:rsidRPr="000A33D2" w14:paraId="0593BA63" w14:textId="77777777" w:rsidTr="00A60462">
        <w:tc>
          <w:tcPr>
            <w:tcW w:w="984" w:type="dxa"/>
            <w:vMerge w:val="restart"/>
            <w:vAlign w:val="center"/>
          </w:tcPr>
          <w:p w14:paraId="24504A3E" w14:textId="77777777" w:rsidR="0066555A" w:rsidRPr="000A33D2" w:rsidRDefault="0066555A" w:rsidP="00A912EC">
            <w:pPr>
              <w:keepNext/>
              <w:keepLines/>
              <w:jc w:val="left"/>
              <w:rPr>
                <w:rFonts w:ascii="Arial Narrow" w:hAnsi="Arial Narrow"/>
                <w:b/>
                <w:bCs/>
                <w:sz w:val="20"/>
                <w:szCs w:val="20"/>
              </w:rPr>
            </w:pPr>
            <w:r w:rsidRPr="000A33D2">
              <w:rPr>
                <w:rFonts w:ascii="Arial Narrow" w:hAnsi="Arial Narrow"/>
                <w:b/>
                <w:bCs/>
                <w:sz w:val="20"/>
                <w:szCs w:val="20"/>
              </w:rPr>
              <w:t>Outcome</w:t>
            </w:r>
          </w:p>
        </w:tc>
        <w:tc>
          <w:tcPr>
            <w:tcW w:w="3527" w:type="dxa"/>
            <w:gridSpan w:val="3"/>
          </w:tcPr>
          <w:p w14:paraId="373CDF8D"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dMMR/MSI-H</w:t>
            </w:r>
          </w:p>
        </w:tc>
        <w:tc>
          <w:tcPr>
            <w:tcW w:w="3568" w:type="dxa"/>
            <w:gridSpan w:val="3"/>
          </w:tcPr>
          <w:p w14:paraId="3558F273"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pMMR/MSS</w:t>
            </w:r>
          </w:p>
        </w:tc>
        <w:tc>
          <w:tcPr>
            <w:tcW w:w="938" w:type="dxa"/>
            <w:vMerge w:val="restart"/>
            <w:vAlign w:val="center"/>
          </w:tcPr>
          <w:p w14:paraId="3059F188"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b/>
                <w:bCs/>
                <w:sz w:val="20"/>
                <w:szCs w:val="20"/>
              </w:rPr>
              <w:t>Test for p-value</w:t>
            </w:r>
          </w:p>
        </w:tc>
      </w:tr>
      <w:tr w:rsidR="0066555A" w:rsidRPr="000A33D2" w14:paraId="0D4ABF7D" w14:textId="77777777" w:rsidTr="00A60462">
        <w:tc>
          <w:tcPr>
            <w:tcW w:w="984" w:type="dxa"/>
            <w:vMerge/>
            <w:vAlign w:val="center"/>
          </w:tcPr>
          <w:p w14:paraId="0F62227D" w14:textId="77777777" w:rsidR="0066555A" w:rsidRPr="000A33D2" w:rsidRDefault="0066555A" w:rsidP="00A912EC">
            <w:pPr>
              <w:keepNext/>
              <w:keepLines/>
              <w:jc w:val="left"/>
              <w:rPr>
                <w:rFonts w:ascii="Arial Narrow" w:hAnsi="Arial Narrow"/>
                <w:b/>
                <w:bCs/>
                <w:sz w:val="20"/>
                <w:szCs w:val="20"/>
              </w:rPr>
            </w:pPr>
          </w:p>
        </w:tc>
        <w:tc>
          <w:tcPr>
            <w:tcW w:w="895" w:type="dxa"/>
            <w:vAlign w:val="center"/>
          </w:tcPr>
          <w:p w14:paraId="42D1C391"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DOS+CP (n/N)</w:t>
            </w:r>
          </w:p>
        </w:tc>
        <w:tc>
          <w:tcPr>
            <w:tcW w:w="895" w:type="dxa"/>
            <w:vAlign w:val="center"/>
          </w:tcPr>
          <w:p w14:paraId="04486753"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PBO+CP (n/N)</w:t>
            </w:r>
          </w:p>
        </w:tc>
        <w:tc>
          <w:tcPr>
            <w:tcW w:w="1737" w:type="dxa"/>
            <w:vAlign w:val="center"/>
          </w:tcPr>
          <w:p w14:paraId="68B07FDD"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HR (95% CI)</w:t>
            </w:r>
          </w:p>
        </w:tc>
        <w:tc>
          <w:tcPr>
            <w:tcW w:w="895" w:type="dxa"/>
            <w:vAlign w:val="center"/>
          </w:tcPr>
          <w:p w14:paraId="562641A3"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DOS+CP (n/N)</w:t>
            </w:r>
          </w:p>
        </w:tc>
        <w:tc>
          <w:tcPr>
            <w:tcW w:w="968" w:type="dxa"/>
            <w:vAlign w:val="center"/>
          </w:tcPr>
          <w:p w14:paraId="14B0E9D4"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PBO+CP (n/N)</w:t>
            </w:r>
          </w:p>
        </w:tc>
        <w:tc>
          <w:tcPr>
            <w:tcW w:w="1705" w:type="dxa"/>
            <w:vAlign w:val="center"/>
          </w:tcPr>
          <w:p w14:paraId="620714CC" w14:textId="77777777"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HR (95% CI)</w:t>
            </w:r>
          </w:p>
        </w:tc>
        <w:tc>
          <w:tcPr>
            <w:tcW w:w="938" w:type="dxa"/>
            <w:vMerge/>
            <w:vAlign w:val="center"/>
          </w:tcPr>
          <w:p w14:paraId="44B5CB72" w14:textId="77777777" w:rsidR="0066555A" w:rsidRPr="000A33D2" w:rsidRDefault="0066555A" w:rsidP="00A912EC">
            <w:pPr>
              <w:keepNext/>
              <w:keepLines/>
              <w:jc w:val="center"/>
              <w:rPr>
                <w:rFonts w:ascii="Arial Narrow" w:hAnsi="Arial Narrow"/>
                <w:b/>
                <w:bCs/>
                <w:sz w:val="20"/>
                <w:szCs w:val="20"/>
              </w:rPr>
            </w:pPr>
          </w:p>
        </w:tc>
      </w:tr>
      <w:tr w:rsidR="0066555A" w:rsidRPr="000A33D2" w14:paraId="62C9F404" w14:textId="77777777" w:rsidTr="00A60462">
        <w:tc>
          <w:tcPr>
            <w:tcW w:w="984" w:type="dxa"/>
            <w:vAlign w:val="center"/>
          </w:tcPr>
          <w:p w14:paraId="07A0E78B" w14:textId="77777777" w:rsidR="0066555A" w:rsidRPr="000A33D2" w:rsidRDefault="0066555A" w:rsidP="00A912EC">
            <w:pPr>
              <w:keepNext/>
              <w:keepLines/>
              <w:jc w:val="left"/>
              <w:rPr>
                <w:rFonts w:ascii="Arial Narrow" w:hAnsi="Arial Narrow"/>
                <w:b/>
                <w:bCs/>
                <w:sz w:val="20"/>
                <w:szCs w:val="20"/>
              </w:rPr>
            </w:pPr>
            <w:r w:rsidRPr="000A33D2">
              <w:rPr>
                <w:rFonts w:ascii="Arial Narrow" w:hAnsi="Arial Narrow"/>
                <w:b/>
                <w:bCs/>
                <w:sz w:val="20"/>
                <w:szCs w:val="20"/>
              </w:rPr>
              <w:t>OS</w:t>
            </w:r>
          </w:p>
        </w:tc>
        <w:tc>
          <w:tcPr>
            <w:tcW w:w="895" w:type="dxa"/>
            <w:vAlign w:val="center"/>
          </w:tcPr>
          <w:p w14:paraId="42DF7DC3"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7/53</w:t>
            </w:r>
          </w:p>
        </w:tc>
        <w:tc>
          <w:tcPr>
            <w:tcW w:w="895" w:type="dxa"/>
            <w:vAlign w:val="center"/>
          </w:tcPr>
          <w:p w14:paraId="12E87982"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24/65</w:t>
            </w:r>
          </w:p>
        </w:tc>
        <w:tc>
          <w:tcPr>
            <w:tcW w:w="1737" w:type="dxa"/>
            <w:vAlign w:val="center"/>
          </w:tcPr>
          <w:p w14:paraId="7B8A37A1"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0.32 (0.14, 0.74)</w:t>
            </w:r>
          </w:p>
        </w:tc>
        <w:tc>
          <w:tcPr>
            <w:tcW w:w="895" w:type="dxa"/>
            <w:vAlign w:val="center"/>
          </w:tcPr>
          <w:p w14:paraId="00851FAA"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58/192</w:t>
            </w:r>
          </w:p>
        </w:tc>
        <w:tc>
          <w:tcPr>
            <w:tcW w:w="968" w:type="dxa"/>
            <w:vAlign w:val="center"/>
          </w:tcPr>
          <w:p w14:paraId="0E1C801F"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76/184</w:t>
            </w:r>
          </w:p>
        </w:tc>
        <w:tc>
          <w:tcPr>
            <w:tcW w:w="1705" w:type="dxa"/>
            <w:vAlign w:val="center"/>
          </w:tcPr>
          <w:p w14:paraId="766BE40D" w14:textId="7676BA34"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0.73 (0.52, 1.0</w:t>
            </w:r>
            <w:r w:rsidR="00A74272" w:rsidRPr="000A33D2">
              <w:rPr>
                <w:rFonts w:ascii="Arial Narrow" w:hAnsi="Arial Narrow"/>
                <w:sz w:val="20"/>
                <w:szCs w:val="20"/>
              </w:rPr>
              <w:t>3</w:t>
            </w:r>
            <w:r w:rsidRPr="000A33D2">
              <w:rPr>
                <w:rFonts w:ascii="Arial Narrow" w:hAnsi="Arial Narrow"/>
                <w:sz w:val="20"/>
                <w:szCs w:val="20"/>
              </w:rPr>
              <w:t>)</w:t>
            </w:r>
          </w:p>
        </w:tc>
        <w:tc>
          <w:tcPr>
            <w:tcW w:w="938" w:type="dxa"/>
            <w:vAlign w:val="center"/>
          </w:tcPr>
          <w:p w14:paraId="2418B44F" w14:textId="5A552B05"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0.0760</w:t>
            </w:r>
            <w:r w:rsidR="009226E1">
              <w:rPr>
                <w:rFonts w:ascii="Arial Narrow" w:hAnsi="Arial Narrow"/>
                <w:sz w:val="20"/>
                <w:szCs w:val="20"/>
              </w:rPr>
              <w:t>*</w:t>
            </w:r>
          </w:p>
        </w:tc>
      </w:tr>
      <w:tr w:rsidR="0066555A" w:rsidRPr="000A33D2" w14:paraId="28202243" w14:textId="77777777" w:rsidTr="00A60462">
        <w:tc>
          <w:tcPr>
            <w:tcW w:w="984" w:type="dxa"/>
            <w:vAlign w:val="center"/>
          </w:tcPr>
          <w:p w14:paraId="78A33BEE" w14:textId="77777777" w:rsidR="0066555A" w:rsidRPr="000A33D2" w:rsidRDefault="0066555A" w:rsidP="00A912EC">
            <w:pPr>
              <w:keepNext/>
              <w:keepLines/>
              <w:jc w:val="left"/>
              <w:rPr>
                <w:rFonts w:ascii="Arial Narrow" w:hAnsi="Arial Narrow"/>
                <w:b/>
                <w:bCs/>
                <w:sz w:val="20"/>
                <w:szCs w:val="20"/>
              </w:rPr>
            </w:pPr>
            <w:r w:rsidRPr="000A33D2">
              <w:rPr>
                <w:rFonts w:ascii="Arial Narrow" w:hAnsi="Arial Narrow"/>
                <w:b/>
                <w:bCs/>
                <w:sz w:val="20"/>
                <w:szCs w:val="20"/>
              </w:rPr>
              <w:t>PFS by IA</w:t>
            </w:r>
          </w:p>
        </w:tc>
        <w:tc>
          <w:tcPr>
            <w:tcW w:w="895" w:type="dxa"/>
            <w:vAlign w:val="center"/>
          </w:tcPr>
          <w:p w14:paraId="293F0AAE"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19/53</w:t>
            </w:r>
          </w:p>
        </w:tc>
        <w:tc>
          <w:tcPr>
            <w:tcW w:w="895" w:type="dxa"/>
            <w:vAlign w:val="center"/>
          </w:tcPr>
          <w:p w14:paraId="72897A5E"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47/65</w:t>
            </w:r>
          </w:p>
        </w:tc>
        <w:tc>
          <w:tcPr>
            <w:tcW w:w="1737" w:type="dxa"/>
            <w:vAlign w:val="center"/>
          </w:tcPr>
          <w:p w14:paraId="1F285B17"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0.33 (0.19, 0.57)</w:t>
            </w:r>
          </w:p>
        </w:tc>
        <w:tc>
          <w:tcPr>
            <w:tcW w:w="895" w:type="dxa"/>
            <w:vAlign w:val="center"/>
          </w:tcPr>
          <w:p w14:paraId="6A3B4D68"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116/192</w:t>
            </w:r>
          </w:p>
        </w:tc>
        <w:tc>
          <w:tcPr>
            <w:tcW w:w="968" w:type="dxa"/>
            <w:vAlign w:val="center"/>
          </w:tcPr>
          <w:p w14:paraId="001576A3" w14:textId="77777777"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130/184</w:t>
            </w:r>
          </w:p>
        </w:tc>
        <w:tc>
          <w:tcPr>
            <w:tcW w:w="1705" w:type="dxa"/>
            <w:vAlign w:val="center"/>
          </w:tcPr>
          <w:p w14:paraId="5274F540" w14:textId="392466F5" w:rsidR="0066555A" w:rsidRPr="000A33D2" w:rsidRDefault="0066555A" w:rsidP="00A912EC">
            <w:pPr>
              <w:keepNext/>
              <w:keepLines/>
              <w:jc w:val="center"/>
              <w:rPr>
                <w:rFonts w:ascii="Arial Narrow" w:hAnsi="Arial Narrow"/>
                <w:sz w:val="20"/>
                <w:szCs w:val="20"/>
              </w:rPr>
            </w:pPr>
            <w:r w:rsidRPr="000A33D2">
              <w:rPr>
                <w:rFonts w:ascii="Arial Narrow" w:hAnsi="Arial Narrow"/>
                <w:sz w:val="20"/>
                <w:szCs w:val="20"/>
              </w:rPr>
              <w:t>0.76 (0.60, 0.98)</w:t>
            </w:r>
          </w:p>
        </w:tc>
        <w:tc>
          <w:tcPr>
            <w:tcW w:w="938" w:type="dxa"/>
            <w:vAlign w:val="center"/>
          </w:tcPr>
          <w:p w14:paraId="6BF16E44" w14:textId="4E17D099" w:rsidR="0066555A" w:rsidRPr="000A33D2" w:rsidRDefault="0066555A" w:rsidP="00A912EC">
            <w:pPr>
              <w:keepNext/>
              <w:keepLines/>
              <w:jc w:val="center"/>
              <w:rPr>
                <w:rFonts w:ascii="Arial Narrow" w:hAnsi="Arial Narrow"/>
                <w:b/>
                <w:bCs/>
                <w:sz w:val="20"/>
                <w:szCs w:val="20"/>
              </w:rPr>
            </w:pPr>
            <w:r w:rsidRPr="000A33D2">
              <w:rPr>
                <w:rFonts w:ascii="Arial Narrow" w:hAnsi="Arial Narrow"/>
                <w:b/>
                <w:bCs/>
                <w:sz w:val="20"/>
                <w:szCs w:val="20"/>
              </w:rPr>
              <w:t>0.0061</w:t>
            </w:r>
            <w:r w:rsidR="009226E1">
              <w:rPr>
                <w:rFonts w:ascii="Arial Narrow" w:hAnsi="Arial Narrow"/>
                <w:b/>
                <w:bCs/>
                <w:sz w:val="20"/>
                <w:szCs w:val="20"/>
              </w:rPr>
              <w:t>*</w:t>
            </w:r>
          </w:p>
        </w:tc>
      </w:tr>
    </w:tbl>
    <w:p w14:paraId="73CF2C0B" w14:textId="68E2803B" w:rsidR="0066555A" w:rsidRPr="000A33D2" w:rsidRDefault="0066555A" w:rsidP="00A912EC">
      <w:pPr>
        <w:pStyle w:val="FooterTableFigure"/>
        <w:keepNext/>
        <w:keepLines/>
      </w:pPr>
      <w:r w:rsidRPr="000A33D2">
        <w:t>Source: Constructed during evaluation</w:t>
      </w:r>
      <w:r w:rsidR="00365620" w:rsidRPr="000A33D2">
        <w:t xml:space="preserve">, extracted from figures </w:t>
      </w:r>
      <w:r w:rsidR="00A74272" w:rsidRPr="000A33D2">
        <w:t xml:space="preserve">15.2.1 and </w:t>
      </w:r>
      <w:r w:rsidR="00365620" w:rsidRPr="000A33D2">
        <w:t>15.2</w:t>
      </w:r>
      <w:r w:rsidR="00A74272" w:rsidRPr="000A33D2">
        <w:t>.</w:t>
      </w:r>
      <w:r w:rsidR="00365620" w:rsidRPr="000A33D2">
        <w:t>2</w:t>
      </w:r>
      <w:r w:rsidR="00A74272" w:rsidRPr="000A33D2">
        <w:t xml:space="preserve"> of the RUBY CSR (all-comers, categorised by MMR/MSI status, HR based on </w:t>
      </w:r>
      <w:r w:rsidR="00C9304B" w:rsidRPr="000A33D2">
        <w:t>un</w:t>
      </w:r>
      <w:r w:rsidR="00A74272" w:rsidRPr="000A33D2">
        <w:t>stratified cox model)</w:t>
      </w:r>
      <w:r w:rsidR="00C9304B" w:rsidRPr="000A33D2">
        <w:t>.</w:t>
      </w:r>
    </w:p>
    <w:p w14:paraId="6DD99BAD" w14:textId="77777777" w:rsidR="0066555A" w:rsidRPr="000A33D2" w:rsidRDefault="0066555A" w:rsidP="00A912EC">
      <w:pPr>
        <w:pStyle w:val="FooterTableFigure"/>
        <w:keepNext/>
        <w:keepLines/>
        <w:spacing w:after="0"/>
      </w:pPr>
      <w:r w:rsidRPr="000A33D2">
        <w:rPr>
          <w:rFonts w:eastAsia="Calibri"/>
        </w:rPr>
        <w:t>CI = confidence interval; CP=carboplatin-paclitaxel; DOS=dostarlimab; HR = hazard ratio; IA = Investigator assessment; n = number of participants reporting data; N = total participants in group; OS = overall survival; PFS = progression-free survival; PBO=placebo</w:t>
      </w:r>
    </w:p>
    <w:p w14:paraId="50363B73" w14:textId="43D2500E" w:rsidR="0066555A" w:rsidRDefault="0066555A" w:rsidP="007D40DD">
      <w:pPr>
        <w:pStyle w:val="3-BodyText"/>
        <w:keepLines/>
        <w:numPr>
          <w:ilvl w:val="0"/>
          <w:numId w:val="0"/>
        </w:numPr>
        <w:spacing w:after="0"/>
        <w:rPr>
          <w:rFonts w:ascii="Arial Narrow" w:eastAsia="Calibri" w:hAnsi="Arial Narrow"/>
          <w:sz w:val="18"/>
          <w:szCs w:val="22"/>
        </w:rPr>
      </w:pPr>
      <w:r w:rsidRPr="000A33D2">
        <w:rPr>
          <w:rFonts w:ascii="Arial Narrow" w:eastAsia="Calibri" w:hAnsi="Arial Narrow"/>
          <w:sz w:val="18"/>
          <w:szCs w:val="22"/>
        </w:rPr>
        <w:t>Bold indicates values that are statistically significant</w:t>
      </w:r>
    </w:p>
    <w:p w14:paraId="276C0C8D" w14:textId="502F3512" w:rsidR="001C08B5" w:rsidRPr="000A33D2" w:rsidRDefault="009226E1" w:rsidP="003C2ACB">
      <w:pPr>
        <w:pStyle w:val="TableFooter"/>
        <w:spacing w:after="120"/>
        <w:rPr>
          <w:rFonts w:eastAsia="Calibri"/>
        </w:rPr>
      </w:pPr>
      <w:r w:rsidRPr="00D56226">
        <w:rPr>
          <w:rFonts w:eastAsia="Calibri"/>
          <w:i/>
          <w:iCs/>
          <w:snapToGrid w:val="0"/>
        </w:rPr>
        <w:t>*Note that the results for the test of interaction presented in Table 6 are derived from ad-hoc/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p>
    <w:p w14:paraId="069E0096" w14:textId="08F42731" w:rsidR="00876651" w:rsidRPr="000A33D2" w:rsidRDefault="00876651" w:rsidP="003C2ACB">
      <w:pPr>
        <w:pStyle w:val="3-BodyText"/>
        <w:keepLines/>
      </w:pPr>
      <w:r w:rsidRPr="000A33D2">
        <w:lastRenderedPageBreak/>
        <w:t xml:space="preserve">As discussed in paragraph </w:t>
      </w:r>
      <w:r w:rsidRPr="000A33D2">
        <w:fldChar w:fldCharType="begin" w:fldLock="1"/>
      </w:r>
      <w:r w:rsidRPr="000A33D2">
        <w:instrText xml:space="preserve"> REF _Ref144382177 \r \h </w:instrText>
      </w:r>
      <w:r w:rsidR="00020C11" w:rsidRPr="000A33D2">
        <w:instrText xml:space="preserve"> \* MERGEFORMAT </w:instrText>
      </w:r>
      <w:r w:rsidRPr="000A33D2">
        <w:fldChar w:fldCharType="separate"/>
      </w:r>
      <w:r w:rsidR="00B62E71">
        <w:t>5.2</w:t>
      </w:r>
      <w:r w:rsidRPr="000A33D2">
        <w:fldChar w:fldCharType="end"/>
      </w:r>
      <w:r w:rsidRPr="000A33D2">
        <w:t>, 1L DOS</w:t>
      </w:r>
      <w:r w:rsidR="00B616B1" w:rsidRPr="000A33D2">
        <w:t>+</w:t>
      </w:r>
      <w:r w:rsidR="00375694" w:rsidRPr="000A33D2">
        <w:t xml:space="preserve">PBC </w:t>
      </w:r>
      <w:r w:rsidRPr="000A33D2">
        <w:t xml:space="preserve">followed by 2L chemotherapy would replace 1L </w:t>
      </w:r>
      <w:r w:rsidR="00375694" w:rsidRPr="000A33D2">
        <w:t xml:space="preserve">PBC </w:t>
      </w:r>
      <w:r w:rsidRPr="000A33D2">
        <w:t xml:space="preserve">followed by 2L PEM+LEN in a proportion of patients. Further, as discussed in paragraph </w:t>
      </w:r>
      <w:r w:rsidRPr="000A33D2">
        <w:fldChar w:fldCharType="begin" w:fldLock="1"/>
      </w:r>
      <w:r w:rsidRPr="000A33D2">
        <w:instrText xml:space="preserve"> REF _Ref144382179 \r \h </w:instrText>
      </w:r>
      <w:r w:rsidR="00020C11" w:rsidRPr="000A33D2">
        <w:instrText xml:space="preserve"> \* MERGEFORMAT </w:instrText>
      </w:r>
      <w:r w:rsidRPr="000A33D2">
        <w:fldChar w:fldCharType="separate"/>
      </w:r>
      <w:r w:rsidR="00B62E71">
        <w:t>5.3</w:t>
      </w:r>
      <w:r w:rsidRPr="000A33D2">
        <w:fldChar w:fldCharType="end"/>
      </w:r>
      <w:r w:rsidRPr="000A33D2">
        <w:t>, PEM+</w:t>
      </w:r>
      <w:r w:rsidR="0041589C" w:rsidRPr="000A33D2">
        <w:t xml:space="preserve">CP was identified as a near market comparator, with some early interim results available. As such, results for these </w:t>
      </w:r>
      <w:r w:rsidR="00F82C06" w:rsidRPr="000A33D2">
        <w:t xml:space="preserve">interventions were extracted during the evaluation and </w:t>
      </w:r>
      <w:r w:rsidR="00B034C6" w:rsidRPr="000A33D2">
        <w:t xml:space="preserve">are </w:t>
      </w:r>
      <w:r w:rsidR="00F82C06" w:rsidRPr="000A33D2">
        <w:t xml:space="preserve">presented alongside </w:t>
      </w:r>
      <w:r w:rsidR="00153714" w:rsidRPr="000A33D2">
        <w:t>results from RUBY</w:t>
      </w:r>
      <w:r w:rsidR="00020C11" w:rsidRPr="000A33D2">
        <w:t xml:space="preserve"> (</w:t>
      </w:r>
      <w:r w:rsidR="00020C11" w:rsidRPr="000A33D2">
        <w:fldChar w:fldCharType="begin" w:fldLock="1"/>
      </w:r>
      <w:r w:rsidR="00020C11" w:rsidRPr="000A33D2">
        <w:instrText xml:space="preserve"> REF _Ref144580378 \h  \* MERGEFORMAT </w:instrText>
      </w:r>
      <w:r w:rsidR="00020C11" w:rsidRPr="000A33D2">
        <w:fldChar w:fldCharType="separate"/>
      </w:r>
      <w:r w:rsidR="00B62E71" w:rsidRPr="000A33D2">
        <w:t>Table</w:t>
      </w:r>
      <w:r w:rsidR="00B62E71">
        <w:t> 7</w:t>
      </w:r>
      <w:r w:rsidR="00020C11" w:rsidRPr="000A33D2">
        <w:fldChar w:fldCharType="end"/>
      </w:r>
      <w:r w:rsidR="00020C11" w:rsidRPr="000A33D2">
        <w:t>)</w:t>
      </w:r>
      <w:r w:rsidR="00153714" w:rsidRPr="000A33D2">
        <w:t xml:space="preserve">. </w:t>
      </w:r>
    </w:p>
    <w:p w14:paraId="4448A894" w14:textId="3CF41C40" w:rsidR="00020C11" w:rsidRPr="000A33D2" w:rsidRDefault="00020C11" w:rsidP="00020C11">
      <w:pPr>
        <w:pStyle w:val="Caption"/>
      </w:pPr>
      <w:bookmarkStart w:id="42" w:name="_Ref144580378"/>
      <w:r w:rsidRPr="000A33D2">
        <w:lastRenderedPageBreak/>
        <w:t xml:space="preserve">Table </w:t>
      </w:r>
      <w:r>
        <w:fldChar w:fldCharType="begin" w:fldLock="1"/>
      </w:r>
      <w:r>
        <w:instrText>SEQ Table \* ARABIC</w:instrText>
      </w:r>
      <w:r>
        <w:fldChar w:fldCharType="separate"/>
      </w:r>
      <w:r w:rsidR="00B62E71">
        <w:rPr>
          <w:noProof/>
        </w:rPr>
        <w:t>7</w:t>
      </w:r>
      <w:r>
        <w:fldChar w:fldCharType="end"/>
      </w:r>
      <w:bookmarkEnd w:id="42"/>
      <w:r w:rsidRPr="000A33D2">
        <w:rPr>
          <w:rStyle w:val="CommentReference"/>
          <w:b/>
          <w:szCs w:val="24"/>
        </w:rPr>
        <w:t xml:space="preserve">: </w:t>
      </w:r>
      <w:r w:rsidR="00486DAF" w:rsidRPr="000A33D2">
        <w:rPr>
          <w:rStyle w:val="CommentReference"/>
          <w:b/>
          <w:szCs w:val="24"/>
        </w:rPr>
        <w:t xml:space="preserve">Summary </w:t>
      </w:r>
      <w:r w:rsidRPr="000A33D2">
        <w:rPr>
          <w:rStyle w:val="CommentReference"/>
          <w:b/>
          <w:szCs w:val="24"/>
        </w:rPr>
        <w:t>of OS and PFS outcomes for DOS+CP</w:t>
      </w:r>
      <w:r w:rsidR="0094349C" w:rsidRPr="000A33D2">
        <w:rPr>
          <w:rStyle w:val="CommentReference"/>
          <w:b/>
          <w:szCs w:val="24"/>
        </w:rPr>
        <w:t>,</w:t>
      </w:r>
      <w:r w:rsidRPr="000A33D2">
        <w:rPr>
          <w:rStyle w:val="CommentReference"/>
          <w:b/>
          <w:szCs w:val="24"/>
        </w:rPr>
        <w:t xml:space="preserve"> PEM+LEN </w:t>
      </w:r>
      <w:r w:rsidR="0094349C" w:rsidRPr="000A33D2">
        <w:rPr>
          <w:rStyle w:val="CommentReference"/>
          <w:b/>
          <w:szCs w:val="24"/>
        </w:rPr>
        <w:t>and PEM+CP</w:t>
      </w:r>
    </w:p>
    <w:tbl>
      <w:tblPr>
        <w:tblStyle w:val="TableGrid"/>
        <w:tblW w:w="0" w:type="auto"/>
        <w:tblLook w:val="04A0" w:firstRow="1" w:lastRow="0" w:firstColumn="1" w:lastColumn="0" w:noHBand="0" w:noVBand="1"/>
      </w:tblPr>
      <w:tblGrid>
        <w:gridCol w:w="562"/>
        <w:gridCol w:w="1418"/>
        <w:gridCol w:w="1172"/>
        <w:gridCol w:w="1173"/>
        <w:gridCol w:w="1173"/>
        <w:gridCol w:w="1173"/>
        <w:gridCol w:w="1262"/>
        <w:gridCol w:w="1084"/>
      </w:tblGrid>
      <w:tr w:rsidR="00020C11" w:rsidRPr="000A33D2" w14:paraId="0FE30F44" w14:textId="77777777" w:rsidTr="009972DA">
        <w:tc>
          <w:tcPr>
            <w:tcW w:w="1980" w:type="dxa"/>
            <w:gridSpan w:val="2"/>
            <w:vMerge w:val="restart"/>
            <w:vAlign w:val="center"/>
          </w:tcPr>
          <w:p w14:paraId="32780471" w14:textId="77777777" w:rsidR="00020C11" w:rsidRPr="000A33D2" w:rsidRDefault="00020C11" w:rsidP="009972DA">
            <w:pPr>
              <w:keepNext/>
              <w:keepLines/>
              <w:jc w:val="left"/>
              <w:rPr>
                <w:rFonts w:ascii="Arial Narrow" w:hAnsi="Arial Narrow"/>
                <w:b/>
                <w:bCs/>
                <w:sz w:val="20"/>
                <w:szCs w:val="20"/>
              </w:rPr>
            </w:pPr>
            <w:r w:rsidRPr="000A33D2">
              <w:rPr>
                <w:rFonts w:ascii="Arial Narrow" w:hAnsi="Arial Narrow"/>
                <w:b/>
                <w:bCs/>
                <w:sz w:val="20"/>
                <w:szCs w:val="20"/>
              </w:rPr>
              <w:t>Outcome</w:t>
            </w:r>
          </w:p>
        </w:tc>
        <w:tc>
          <w:tcPr>
            <w:tcW w:w="2345" w:type="dxa"/>
            <w:gridSpan w:val="2"/>
          </w:tcPr>
          <w:p w14:paraId="414F3240"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All-comers</w:t>
            </w:r>
          </w:p>
        </w:tc>
        <w:tc>
          <w:tcPr>
            <w:tcW w:w="2346" w:type="dxa"/>
            <w:gridSpan w:val="2"/>
          </w:tcPr>
          <w:p w14:paraId="16479ADE"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dMMR/MSI-H</w:t>
            </w:r>
          </w:p>
        </w:tc>
        <w:tc>
          <w:tcPr>
            <w:tcW w:w="2346" w:type="dxa"/>
            <w:gridSpan w:val="2"/>
          </w:tcPr>
          <w:p w14:paraId="540CF36A"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pMMR/MSS</w:t>
            </w:r>
          </w:p>
        </w:tc>
      </w:tr>
      <w:tr w:rsidR="00020C11" w:rsidRPr="000A33D2" w14:paraId="7E25BB8B" w14:textId="77777777" w:rsidTr="00824B84">
        <w:tc>
          <w:tcPr>
            <w:tcW w:w="1980" w:type="dxa"/>
            <w:gridSpan w:val="2"/>
            <w:vMerge/>
            <w:vAlign w:val="center"/>
          </w:tcPr>
          <w:p w14:paraId="14CD4A72" w14:textId="77777777" w:rsidR="00020C11" w:rsidRPr="000A33D2" w:rsidRDefault="00020C11" w:rsidP="009972DA">
            <w:pPr>
              <w:keepNext/>
              <w:keepLines/>
              <w:jc w:val="left"/>
              <w:rPr>
                <w:rFonts w:ascii="Arial Narrow" w:hAnsi="Arial Narrow"/>
                <w:b/>
                <w:bCs/>
                <w:sz w:val="20"/>
                <w:szCs w:val="20"/>
              </w:rPr>
            </w:pPr>
          </w:p>
        </w:tc>
        <w:tc>
          <w:tcPr>
            <w:tcW w:w="1172" w:type="dxa"/>
          </w:tcPr>
          <w:p w14:paraId="22ADA75F"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Tx</w:t>
            </w:r>
          </w:p>
        </w:tc>
        <w:tc>
          <w:tcPr>
            <w:tcW w:w="1173" w:type="dxa"/>
          </w:tcPr>
          <w:p w14:paraId="7AFAA493"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Chemo</w:t>
            </w:r>
          </w:p>
        </w:tc>
        <w:tc>
          <w:tcPr>
            <w:tcW w:w="1173" w:type="dxa"/>
          </w:tcPr>
          <w:p w14:paraId="7C889D06"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Tx</w:t>
            </w:r>
          </w:p>
        </w:tc>
        <w:tc>
          <w:tcPr>
            <w:tcW w:w="1173" w:type="dxa"/>
          </w:tcPr>
          <w:p w14:paraId="1FFCF8AD"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Chemo</w:t>
            </w:r>
          </w:p>
        </w:tc>
        <w:tc>
          <w:tcPr>
            <w:tcW w:w="1262" w:type="dxa"/>
          </w:tcPr>
          <w:p w14:paraId="46DCC450"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Tx</w:t>
            </w:r>
          </w:p>
        </w:tc>
        <w:tc>
          <w:tcPr>
            <w:tcW w:w="1084" w:type="dxa"/>
          </w:tcPr>
          <w:p w14:paraId="1E640522"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Chemo</w:t>
            </w:r>
          </w:p>
        </w:tc>
      </w:tr>
      <w:tr w:rsidR="00020C11" w:rsidRPr="000A33D2" w14:paraId="6916CA7F" w14:textId="77777777" w:rsidTr="009972DA">
        <w:tc>
          <w:tcPr>
            <w:tcW w:w="9017" w:type="dxa"/>
            <w:gridSpan w:val="8"/>
            <w:vAlign w:val="center"/>
          </w:tcPr>
          <w:p w14:paraId="0898CDAB" w14:textId="7E4016E3" w:rsidR="00020C11" w:rsidRPr="000A33D2" w:rsidRDefault="00020C11" w:rsidP="009972DA">
            <w:pPr>
              <w:keepNext/>
              <w:keepLines/>
              <w:jc w:val="left"/>
              <w:rPr>
                <w:rFonts w:ascii="Arial Narrow" w:hAnsi="Arial Narrow"/>
                <w:b/>
                <w:bCs/>
                <w:sz w:val="20"/>
                <w:szCs w:val="20"/>
              </w:rPr>
            </w:pPr>
            <w:r w:rsidRPr="000A33D2">
              <w:rPr>
                <w:rFonts w:ascii="Arial Narrow" w:hAnsi="Arial Narrow"/>
                <w:b/>
                <w:bCs/>
                <w:sz w:val="20"/>
                <w:szCs w:val="20"/>
              </w:rPr>
              <w:t>DOS+CP (RUBY) – 1L</w:t>
            </w:r>
            <w:r w:rsidR="00D75E12" w:rsidRPr="000A33D2">
              <w:rPr>
                <w:rFonts w:ascii="Arial Narrow" w:hAnsi="Arial Narrow"/>
                <w:b/>
                <w:bCs/>
                <w:sz w:val="20"/>
                <w:szCs w:val="20"/>
              </w:rPr>
              <w:t>, median follow up 24.8 months (dMMR/MSI-H) and 25.7 months (pMMR/MSS)</w:t>
            </w:r>
          </w:p>
        </w:tc>
      </w:tr>
      <w:tr w:rsidR="00020C11" w:rsidRPr="000A33D2" w14:paraId="400A664F" w14:textId="77777777" w:rsidTr="00824B84">
        <w:tc>
          <w:tcPr>
            <w:tcW w:w="1980" w:type="dxa"/>
            <w:gridSpan w:val="2"/>
            <w:vAlign w:val="center"/>
          </w:tcPr>
          <w:p w14:paraId="2A635EE0"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N</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B9110"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245</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38FCE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249</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B5847"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53</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66944"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65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14EDD"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192</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B431D"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184</w:t>
            </w:r>
          </w:p>
        </w:tc>
      </w:tr>
      <w:tr w:rsidR="00020C11" w:rsidRPr="000A33D2" w14:paraId="30BAC663" w14:textId="77777777" w:rsidTr="00824B84">
        <w:tc>
          <w:tcPr>
            <w:tcW w:w="562" w:type="dxa"/>
            <w:vMerge w:val="restart"/>
            <w:vAlign w:val="center"/>
          </w:tcPr>
          <w:p w14:paraId="6A03B612"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OS</w:t>
            </w:r>
          </w:p>
        </w:tc>
        <w:tc>
          <w:tcPr>
            <w:tcW w:w="1418" w:type="dxa"/>
            <w:vAlign w:val="center"/>
          </w:tcPr>
          <w:p w14:paraId="2B6CB46C"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24B96"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642A5D62"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 NR)</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D52A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59692A55"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(23.2, NR)</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9F245"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7120106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 NR)</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29A0E"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287D0C7D"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(23.2, NR)</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4E58F"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33F78A19"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(29.8, NR)</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9B12E"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29.8</w:t>
            </w:r>
          </w:p>
          <w:p w14:paraId="698F1237"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(21.9, NR)</w:t>
            </w:r>
          </w:p>
        </w:tc>
      </w:tr>
      <w:tr w:rsidR="00020C11" w:rsidRPr="000A33D2" w14:paraId="1B2FC148" w14:textId="77777777" w:rsidTr="009972DA">
        <w:tc>
          <w:tcPr>
            <w:tcW w:w="562" w:type="dxa"/>
            <w:vMerge/>
            <w:vAlign w:val="center"/>
          </w:tcPr>
          <w:p w14:paraId="085987DB" w14:textId="77777777" w:rsidR="00020C11" w:rsidRPr="000A33D2" w:rsidRDefault="00020C11" w:rsidP="009972DA">
            <w:pPr>
              <w:keepNext/>
              <w:keepLines/>
              <w:jc w:val="left"/>
              <w:rPr>
                <w:rFonts w:ascii="Arial Narrow" w:hAnsi="Arial Narrow"/>
                <w:sz w:val="20"/>
                <w:szCs w:val="20"/>
              </w:rPr>
            </w:pPr>
          </w:p>
        </w:tc>
        <w:tc>
          <w:tcPr>
            <w:tcW w:w="1418" w:type="dxa"/>
            <w:vAlign w:val="center"/>
          </w:tcPr>
          <w:p w14:paraId="6DBD7F66"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HR (95% CI)</w:t>
            </w:r>
          </w:p>
        </w:tc>
        <w:tc>
          <w:tcPr>
            <w:tcW w:w="2345" w:type="dxa"/>
            <w:gridSpan w:val="2"/>
          </w:tcPr>
          <w:p w14:paraId="19CD57A8"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0.64 </w:t>
            </w:r>
            <w:r w:rsidRPr="000A33D2">
              <w:rPr>
                <w:rFonts w:ascii="Arial Narrow" w:hAnsi="Arial Narrow"/>
                <w:sz w:val="20"/>
                <w:szCs w:val="20"/>
                <w:vertAlign w:val="superscript"/>
              </w:rPr>
              <w:t xml:space="preserve">a </w:t>
            </w:r>
            <w:r w:rsidRPr="000A33D2">
              <w:rPr>
                <w:rFonts w:ascii="Arial Narrow" w:hAnsi="Arial Narrow"/>
                <w:sz w:val="20"/>
                <w:szCs w:val="20"/>
              </w:rPr>
              <w:t xml:space="preserve">(0.46, 0.87) </w:t>
            </w:r>
          </w:p>
        </w:tc>
        <w:tc>
          <w:tcPr>
            <w:tcW w:w="2346" w:type="dxa"/>
            <w:gridSpan w:val="2"/>
          </w:tcPr>
          <w:p w14:paraId="75A87536"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0.30 </w:t>
            </w:r>
            <w:r w:rsidRPr="000A33D2">
              <w:rPr>
                <w:rFonts w:ascii="Arial Narrow" w:hAnsi="Arial Narrow"/>
                <w:sz w:val="20"/>
                <w:szCs w:val="20"/>
                <w:vertAlign w:val="superscript"/>
              </w:rPr>
              <w:t xml:space="preserve">b </w:t>
            </w:r>
            <w:r w:rsidRPr="000A33D2">
              <w:rPr>
                <w:rFonts w:ascii="Arial Narrow" w:hAnsi="Arial Narrow"/>
                <w:sz w:val="20"/>
                <w:szCs w:val="20"/>
              </w:rPr>
              <w:t xml:space="preserve">(0.13, 0.70) </w:t>
            </w:r>
          </w:p>
        </w:tc>
        <w:tc>
          <w:tcPr>
            <w:tcW w:w="2346" w:type="dxa"/>
            <w:gridSpan w:val="2"/>
          </w:tcPr>
          <w:p w14:paraId="5AA586C3"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0.73 </w:t>
            </w:r>
            <w:r w:rsidRPr="000A33D2">
              <w:rPr>
                <w:rFonts w:ascii="Arial Narrow" w:hAnsi="Arial Narrow"/>
                <w:sz w:val="20"/>
                <w:szCs w:val="20"/>
                <w:vertAlign w:val="superscript"/>
              </w:rPr>
              <w:t xml:space="preserve">c </w:t>
            </w:r>
            <w:r w:rsidRPr="000A33D2">
              <w:rPr>
                <w:rFonts w:ascii="Arial Narrow" w:hAnsi="Arial Narrow"/>
                <w:sz w:val="20"/>
                <w:szCs w:val="20"/>
              </w:rPr>
              <w:t xml:space="preserve">(0.52, 1.02) </w:t>
            </w:r>
          </w:p>
        </w:tc>
      </w:tr>
      <w:tr w:rsidR="00020C11" w:rsidRPr="000A33D2" w14:paraId="1781B093" w14:textId="77777777" w:rsidTr="00824B84">
        <w:tc>
          <w:tcPr>
            <w:tcW w:w="562" w:type="dxa"/>
            <w:vMerge w:val="restart"/>
            <w:vAlign w:val="center"/>
          </w:tcPr>
          <w:p w14:paraId="1216A3DA"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PFS</w:t>
            </w:r>
          </w:p>
        </w:tc>
        <w:tc>
          <w:tcPr>
            <w:tcW w:w="1418" w:type="dxa"/>
            <w:vAlign w:val="center"/>
          </w:tcPr>
          <w:p w14:paraId="09989A9F"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0709F"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11.8</w:t>
            </w:r>
          </w:p>
          <w:p w14:paraId="7A9D59B4" w14:textId="7D6A099B"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(9.6, </w:t>
            </w:r>
            <w:r w:rsidR="002F4F5C" w:rsidRPr="000A33D2">
              <w:rPr>
                <w:rFonts w:ascii="Arial Narrow" w:hAnsi="Arial Narrow"/>
                <w:sz w:val="20"/>
                <w:szCs w:val="20"/>
              </w:rPr>
              <w:t>1</w:t>
            </w:r>
            <w:r w:rsidRPr="000A33D2">
              <w:rPr>
                <w:rFonts w:ascii="Arial Narrow" w:hAnsi="Arial Narrow"/>
                <w:sz w:val="20"/>
                <w:szCs w:val="20"/>
              </w:rPr>
              <w:t>7.1)</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73559"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7.9</w:t>
            </w:r>
          </w:p>
          <w:p w14:paraId="3B163AA0"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(7.6, 9.5)</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3D4CE"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7F97CF7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(11.8, NR)</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F8A0E"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7.7</w:t>
            </w:r>
          </w:p>
          <w:p w14:paraId="4F603C56"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(5.6, 9.7)</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795D2"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9.9</w:t>
            </w:r>
          </w:p>
          <w:p w14:paraId="6A3B6650"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(9.0, 13.3)</w:t>
            </w:r>
          </w:p>
        </w:tc>
        <w:tc>
          <w:tcPr>
            <w:tcW w:w="1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100C7"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7.9</w:t>
            </w:r>
          </w:p>
          <w:p w14:paraId="0417937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(7.6, 9.8)</w:t>
            </w:r>
          </w:p>
        </w:tc>
      </w:tr>
      <w:tr w:rsidR="00020C11" w:rsidRPr="000A33D2" w14:paraId="09DA8E7F" w14:textId="77777777" w:rsidTr="009972DA">
        <w:tc>
          <w:tcPr>
            <w:tcW w:w="562" w:type="dxa"/>
            <w:vMerge/>
            <w:vAlign w:val="center"/>
          </w:tcPr>
          <w:p w14:paraId="655FB78A" w14:textId="77777777" w:rsidR="00020C11" w:rsidRPr="000A33D2" w:rsidRDefault="00020C11" w:rsidP="009972DA">
            <w:pPr>
              <w:keepNext/>
              <w:keepLines/>
              <w:jc w:val="left"/>
              <w:rPr>
                <w:rFonts w:ascii="Arial Narrow" w:hAnsi="Arial Narrow"/>
                <w:sz w:val="20"/>
                <w:szCs w:val="20"/>
              </w:rPr>
            </w:pPr>
          </w:p>
        </w:tc>
        <w:tc>
          <w:tcPr>
            <w:tcW w:w="1418" w:type="dxa"/>
            <w:vAlign w:val="center"/>
          </w:tcPr>
          <w:p w14:paraId="2411158E"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HR (95% CI)</w:t>
            </w:r>
          </w:p>
        </w:tc>
        <w:tc>
          <w:tcPr>
            <w:tcW w:w="2345" w:type="dxa"/>
            <w:gridSpan w:val="2"/>
          </w:tcPr>
          <w:p w14:paraId="3E74BC0E"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 xml:space="preserve">0.64 </w:t>
            </w:r>
            <w:r w:rsidRPr="000A33D2">
              <w:rPr>
                <w:rFonts w:ascii="Arial Narrow" w:hAnsi="Arial Narrow"/>
                <w:b/>
                <w:bCs/>
                <w:sz w:val="20"/>
                <w:szCs w:val="20"/>
                <w:vertAlign w:val="superscript"/>
              </w:rPr>
              <w:t xml:space="preserve">d </w:t>
            </w:r>
            <w:r w:rsidRPr="000A33D2">
              <w:rPr>
                <w:rFonts w:ascii="Arial Narrow" w:hAnsi="Arial Narrow"/>
                <w:b/>
                <w:bCs/>
                <w:sz w:val="20"/>
                <w:szCs w:val="20"/>
              </w:rPr>
              <w:t>(0.51, 0.80)</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5F4C44"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 xml:space="preserve">0.28 </w:t>
            </w:r>
            <w:r w:rsidRPr="000A33D2">
              <w:rPr>
                <w:rFonts w:ascii="Arial Narrow" w:hAnsi="Arial Narrow"/>
                <w:b/>
                <w:bCs/>
                <w:sz w:val="20"/>
                <w:szCs w:val="20"/>
                <w:vertAlign w:val="superscript"/>
              </w:rPr>
              <w:t xml:space="preserve">d </w:t>
            </w:r>
            <w:r w:rsidRPr="000A33D2">
              <w:rPr>
                <w:rFonts w:ascii="Arial Narrow" w:hAnsi="Arial Narrow"/>
                <w:b/>
                <w:bCs/>
                <w:sz w:val="20"/>
                <w:szCs w:val="20"/>
              </w:rPr>
              <w:t>(0.16, 0.50)</w:t>
            </w:r>
          </w:p>
        </w:tc>
        <w:tc>
          <w:tcPr>
            <w:tcW w:w="2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D84C0"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0.76 </w:t>
            </w:r>
            <w:r w:rsidRPr="000A33D2">
              <w:rPr>
                <w:rFonts w:ascii="Arial Narrow" w:hAnsi="Arial Narrow"/>
                <w:sz w:val="20"/>
                <w:szCs w:val="20"/>
                <w:vertAlign w:val="superscript"/>
              </w:rPr>
              <w:t xml:space="preserve">e </w:t>
            </w:r>
            <w:r w:rsidRPr="000A33D2">
              <w:rPr>
                <w:rFonts w:ascii="Arial Narrow" w:hAnsi="Arial Narrow"/>
                <w:sz w:val="20"/>
                <w:szCs w:val="20"/>
              </w:rPr>
              <w:t>(0.59, 0.98)</w:t>
            </w:r>
          </w:p>
        </w:tc>
      </w:tr>
      <w:tr w:rsidR="00020C11" w:rsidRPr="000A33D2" w14:paraId="375DC8DE" w14:textId="77777777" w:rsidTr="009972DA">
        <w:tc>
          <w:tcPr>
            <w:tcW w:w="9017" w:type="dxa"/>
            <w:gridSpan w:val="8"/>
            <w:vAlign w:val="center"/>
          </w:tcPr>
          <w:p w14:paraId="20996253" w14:textId="1B203EED" w:rsidR="00020C11" w:rsidRPr="000A33D2" w:rsidRDefault="00020C11" w:rsidP="009972DA">
            <w:pPr>
              <w:keepNext/>
              <w:keepLines/>
              <w:jc w:val="left"/>
              <w:rPr>
                <w:rFonts w:ascii="Arial Narrow" w:hAnsi="Arial Narrow"/>
                <w:b/>
                <w:bCs/>
                <w:sz w:val="20"/>
                <w:szCs w:val="20"/>
              </w:rPr>
            </w:pPr>
            <w:r w:rsidRPr="000A33D2">
              <w:rPr>
                <w:rFonts w:ascii="Arial Narrow" w:hAnsi="Arial Narrow"/>
                <w:b/>
                <w:bCs/>
                <w:sz w:val="20"/>
                <w:szCs w:val="20"/>
              </w:rPr>
              <w:t>PEM+LEN (KN775) – 2L</w:t>
            </w:r>
            <w:r w:rsidR="00D75E12" w:rsidRPr="000A33D2">
              <w:rPr>
                <w:rFonts w:ascii="Arial Narrow" w:hAnsi="Arial Narrow"/>
                <w:b/>
                <w:bCs/>
                <w:sz w:val="20"/>
                <w:szCs w:val="20"/>
              </w:rPr>
              <w:t xml:space="preserve">, median follow-up </w:t>
            </w:r>
            <w:r w:rsidR="00BB4FE5" w:rsidRPr="000A33D2">
              <w:rPr>
                <w:rFonts w:ascii="Arial Narrow" w:hAnsi="Arial Narrow"/>
                <w:b/>
                <w:bCs/>
                <w:sz w:val="20"/>
                <w:szCs w:val="20"/>
              </w:rPr>
              <w:t>11.4 months overall</w:t>
            </w:r>
          </w:p>
        </w:tc>
      </w:tr>
      <w:tr w:rsidR="00020C11" w:rsidRPr="000A33D2" w14:paraId="0DB2D48F" w14:textId="77777777" w:rsidTr="00824B84">
        <w:tc>
          <w:tcPr>
            <w:tcW w:w="1980" w:type="dxa"/>
            <w:gridSpan w:val="2"/>
            <w:vAlign w:val="center"/>
          </w:tcPr>
          <w:p w14:paraId="23EFC7C3"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N</w:t>
            </w:r>
          </w:p>
        </w:tc>
        <w:tc>
          <w:tcPr>
            <w:tcW w:w="11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CF58E2"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411</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D91B628"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416</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06177E"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65</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BFF319"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65</w:t>
            </w:r>
          </w:p>
        </w:tc>
        <w:tc>
          <w:tcPr>
            <w:tcW w:w="12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DDD402"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346</w:t>
            </w:r>
          </w:p>
        </w:tc>
        <w:tc>
          <w:tcPr>
            <w:tcW w:w="10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1B26F8"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351</w:t>
            </w:r>
          </w:p>
        </w:tc>
      </w:tr>
      <w:tr w:rsidR="00020C11" w:rsidRPr="000A33D2" w14:paraId="63623FBF" w14:textId="77777777" w:rsidTr="00824B84">
        <w:tc>
          <w:tcPr>
            <w:tcW w:w="562" w:type="dxa"/>
            <w:vMerge w:val="restart"/>
            <w:vAlign w:val="center"/>
          </w:tcPr>
          <w:p w14:paraId="20912AF9"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OS</w:t>
            </w:r>
          </w:p>
        </w:tc>
        <w:tc>
          <w:tcPr>
            <w:tcW w:w="1418" w:type="dxa"/>
            <w:vAlign w:val="center"/>
          </w:tcPr>
          <w:p w14:paraId="7C2A4EB2"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A045D"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18.3</w:t>
            </w:r>
          </w:p>
          <w:p w14:paraId="47264DCF"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(15.2, 20.5)</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3D8F0"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11.4</w:t>
            </w:r>
          </w:p>
          <w:p w14:paraId="142647C1"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(10.5, 12.9)</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9B856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w:t>
            </w:r>
          </w:p>
          <w:p w14:paraId="385A063B"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(NR, NR)</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ADCD4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8.6</w:t>
            </w:r>
          </w:p>
          <w:p w14:paraId="56A97124"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(5.5, 12.9)</w:t>
            </w:r>
          </w:p>
        </w:tc>
        <w:tc>
          <w:tcPr>
            <w:tcW w:w="12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66433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17.4</w:t>
            </w:r>
          </w:p>
          <w:p w14:paraId="172DD70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(14.2, 19.9)</w:t>
            </w:r>
          </w:p>
        </w:tc>
        <w:tc>
          <w:tcPr>
            <w:tcW w:w="10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FAC11"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12.0</w:t>
            </w:r>
          </w:p>
          <w:p w14:paraId="0C98F7A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(10.8, 13.3)</w:t>
            </w:r>
          </w:p>
        </w:tc>
      </w:tr>
      <w:tr w:rsidR="00020C11" w:rsidRPr="000A33D2" w14:paraId="72EC2A82" w14:textId="77777777" w:rsidTr="00824B84">
        <w:tc>
          <w:tcPr>
            <w:tcW w:w="562" w:type="dxa"/>
            <w:vMerge/>
            <w:vAlign w:val="center"/>
          </w:tcPr>
          <w:p w14:paraId="4B34806A" w14:textId="77777777" w:rsidR="00020C11" w:rsidRPr="000A33D2" w:rsidRDefault="00020C11" w:rsidP="009972DA">
            <w:pPr>
              <w:keepNext/>
              <w:keepLines/>
              <w:jc w:val="left"/>
              <w:rPr>
                <w:rFonts w:ascii="Arial Narrow" w:hAnsi="Arial Narrow"/>
                <w:sz w:val="20"/>
                <w:szCs w:val="20"/>
              </w:rPr>
            </w:pPr>
          </w:p>
        </w:tc>
        <w:tc>
          <w:tcPr>
            <w:tcW w:w="1418" w:type="dxa"/>
            <w:vAlign w:val="center"/>
          </w:tcPr>
          <w:p w14:paraId="382F5047" w14:textId="77777777" w:rsidR="00020C11" w:rsidRPr="000A33D2" w:rsidRDefault="00020C11" w:rsidP="009972DA">
            <w:pPr>
              <w:keepNext/>
              <w:keepLines/>
              <w:jc w:val="left"/>
              <w:rPr>
                <w:rFonts w:ascii="Arial Narrow" w:hAnsi="Arial Narrow"/>
                <w:b/>
                <w:bCs/>
                <w:sz w:val="20"/>
                <w:szCs w:val="20"/>
              </w:rPr>
            </w:pPr>
            <w:r w:rsidRPr="000A33D2">
              <w:rPr>
                <w:rFonts w:ascii="Arial Narrow" w:hAnsi="Arial Narrow"/>
                <w:sz w:val="20"/>
                <w:szCs w:val="20"/>
              </w:rPr>
              <w:t>HR (95% CI)</w:t>
            </w:r>
          </w:p>
        </w:tc>
        <w:tc>
          <w:tcPr>
            <w:tcW w:w="2345" w:type="dxa"/>
            <w:gridSpan w:val="2"/>
            <w:shd w:val="clear" w:color="auto" w:fill="C6D9F1" w:themeFill="text2" w:themeFillTint="33"/>
          </w:tcPr>
          <w:p w14:paraId="0A27919B"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 xml:space="preserve">0.62 </w:t>
            </w:r>
            <w:r w:rsidRPr="000A33D2">
              <w:rPr>
                <w:rFonts w:ascii="Arial Narrow" w:hAnsi="Arial Narrow"/>
                <w:b/>
                <w:bCs/>
                <w:sz w:val="20"/>
                <w:szCs w:val="20"/>
                <w:vertAlign w:val="superscript"/>
              </w:rPr>
              <w:t xml:space="preserve">d </w:t>
            </w:r>
            <w:r w:rsidRPr="000A33D2">
              <w:rPr>
                <w:rFonts w:ascii="Arial Narrow" w:hAnsi="Arial Narrow"/>
                <w:b/>
                <w:bCs/>
                <w:sz w:val="20"/>
                <w:szCs w:val="20"/>
              </w:rPr>
              <w:t>(0.51, 0.75)</w:t>
            </w:r>
          </w:p>
        </w:tc>
        <w:tc>
          <w:tcPr>
            <w:tcW w:w="2346" w:type="dxa"/>
            <w:gridSpan w:val="2"/>
            <w:shd w:val="clear" w:color="auto" w:fill="C6D9F1" w:themeFill="text2" w:themeFillTint="33"/>
          </w:tcPr>
          <w:p w14:paraId="2B09AAA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0.37 </w:t>
            </w:r>
            <w:r w:rsidRPr="000A33D2">
              <w:rPr>
                <w:rFonts w:ascii="Arial Narrow" w:hAnsi="Arial Narrow"/>
                <w:sz w:val="20"/>
                <w:szCs w:val="20"/>
                <w:vertAlign w:val="superscript"/>
              </w:rPr>
              <w:t xml:space="preserve">f </w:t>
            </w:r>
            <w:r w:rsidRPr="000A33D2">
              <w:rPr>
                <w:rFonts w:ascii="Arial Narrow" w:hAnsi="Arial Narrow"/>
                <w:sz w:val="20"/>
                <w:szCs w:val="20"/>
              </w:rPr>
              <w:t>(0.22, 0.62)</w:t>
            </w:r>
          </w:p>
        </w:tc>
        <w:tc>
          <w:tcPr>
            <w:tcW w:w="2346" w:type="dxa"/>
            <w:gridSpan w:val="2"/>
            <w:shd w:val="clear" w:color="auto" w:fill="C6D9F1" w:themeFill="text2" w:themeFillTint="33"/>
          </w:tcPr>
          <w:p w14:paraId="2CE54747"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 xml:space="preserve">0.68 </w:t>
            </w:r>
            <w:r w:rsidRPr="000A33D2">
              <w:rPr>
                <w:rFonts w:ascii="Arial Narrow" w:hAnsi="Arial Narrow"/>
                <w:b/>
                <w:bCs/>
                <w:sz w:val="20"/>
                <w:szCs w:val="20"/>
                <w:vertAlign w:val="superscript"/>
              </w:rPr>
              <w:t xml:space="preserve">d </w:t>
            </w:r>
            <w:r w:rsidRPr="000A33D2">
              <w:rPr>
                <w:rFonts w:ascii="Arial Narrow" w:hAnsi="Arial Narrow"/>
                <w:b/>
                <w:bCs/>
                <w:sz w:val="20"/>
                <w:szCs w:val="20"/>
              </w:rPr>
              <w:t>(0.56, 0.84)</w:t>
            </w:r>
          </w:p>
        </w:tc>
      </w:tr>
      <w:tr w:rsidR="00020C11" w:rsidRPr="000A33D2" w14:paraId="7D054BE7" w14:textId="77777777" w:rsidTr="00824B84">
        <w:tc>
          <w:tcPr>
            <w:tcW w:w="562" w:type="dxa"/>
            <w:vMerge w:val="restart"/>
            <w:vAlign w:val="center"/>
          </w:tcPr>
          <w:p w14:paraId="6927B483"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PFS</w:t>
            </w:r>
          </w:p>
        </w:tc>
        <w:tc>
          <w:tcPr>
            <w:tcW w:w="1418" w:type="dxa"/>
            <w:vAlign w:val="center"/>
          </w:tcPr>
          <w:p w14:paraId="3344E606" w14:textId="77777777" w:rsidR="00020C11" w:rsidRPr="000A33D2" w:rsidRDefault="00020C11" w:rsidP="009972DA">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394540"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7.2</w:t>
            </w:r>
          </w:p>
          <w:p w14:paraId="3122969F"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(5.7, 7.6)</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F91AAB"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3.8</w:t>
            </w:r>
          </w:p>
          <w:p w14:paraId="6D80E1D8"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(3.6, 4.2)</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64FF81"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10.7</w:t>
            </w:r>
          </w:p>
          <w:p w14:paraId="31AA97D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(5.6, NR)</w:t>
            </w: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909BE6"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3.7</w:t>
            </w:r>
          </w:p>
          <w:p w14:paraId="5EB9C39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(3.1, 4.4)</w:t>
            </w:r>
          </w:p>
        </w:tc>
        <w:tc>
          <w:tcPr>
            <w:tcW w:w="12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9217A8"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6.6</w:t>
            </w:r>
          </w:p>
          <w:p w14:paraId="5AA255A8"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(5.6, 7.4)</w:t>
            </w:r>
          </w:p>
        </w:tc>
        <w:tc>
          <w:tcPr>
            <w:tcW w:w="10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BCEEC4"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3.8</w:t>
            </w:r>
          </w:p>
          <w:p w14:paraId="0B209BCA"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(3.6, 5.0)</w:t>
            </w:r>
          </w:p>
        </w:tc>
      </w:tr>
      <w:tr w:rsidR="00020C11" w:rsidRPr="000A33D2" w14:paraId="47665512" w14:textId="77777777" w:rsidTr="00824B84">
        <w:tc>
          <w:tcPr>
            <w:tcW w:w="562" w:type="dxa"/>
            <w:vMerge/>
            <w:vAlign w:val="center"/>
          </w:tcPr>
          <w:p w14:paraId="4F3DCD9C" w14:textId="77777777" w:rsidR="00020C11" w:rsidRPr="000A33D2" w:rsidRDefault="00020C11" w:rsidP="009972DA">
            <w:pPr>
              <w:keepNext/>
              <w:keepLines/>
              <w:jc w:val="left"/>
              <w:rPr>
                <w:rFonts w:ascii="Arial Narrow" w:hAnsi="Arial Narrow"/>
                <w:sz w:val="20"/>
                <w:szCs w:val="20"/>
              </w:rPr>
            </w:pPr>
          </w:p>
        </w:tc>
        <w:tc>
          <w:tcPr>
            <w:tcW w:w="1418" w:type="dxa"/>
            <w:vAlign w:val="center"/>
          </w:tcPr>
          <w:p w14:paraId="1105BAB5" w14:textId="77777777" w:rsidR="00020C11" w:rsidRPr="000A33D2" w:rsidRDefault="00020C11" w:rsidP="009972DA">
            <w:pPr>
              <w:keepNext/>
              <w:keepLines/>
              <w:jc w:val="left"/>
              <w:rPr>
                <w:rFonts w:ascii="Arial Narrow" w:hAnsi="Arial Narrow"/>
                <w:b/>
                <w:bCs/>
                <w:sz w:val="20"/>
                <w:szCs w:val="20"/>
              </w:rPr>
            </w:pPr>
            <w:r w:rsidRPr="000A33D2">
              <w:rPr>
                <w:rFonts w:ascii="Arial Narrow" w:hAnsi="Arial Narrow"/>
                <w:sz w:val="20"/>
                <w:szCs w:val="20"/>
              </w:rPr>
              <w:t>HR (95% CI)</w:t>
            </w:r>
          </w:p>
        </w:tc>
        <w:tc>
          <w:tcPr>
            <w:tcW w:w="2345" w:type="dxa"/>
            <w:gridSpan w:val="2"/>
            <w:shd w:val="clear" w:color="auto" w:fill="C6D9F1" w:themeFill="text2" w:themeFillTint="33"/>
          </w:tcPr>
          <w:p w14:paraId="23D86DD9"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 xml:space="preserve">0.56 </w:t>
            </w:r>
            <w:r w:rsidRPr="000A33D2">
              <w:rPr>
                <w:rFonts w:ascii="Arial Narrow" w:hAnsi="Arial Narrow"/>
                <w:b/>
                <w:bCs/>
                <w:sz w:val="20"/>
                <w:szCs w:val="20"/>
                <w:vertAlign w:val="superscript"/>
              </w:rPr>
              <w:t xml:space="preserve">d </w:t>
            </w:r>
            <w:r w:rsidRPr="000A33D2">
              <w:rPr>
                <w:rFonts w:ascii="Arial Narrow" w:hAnsi="Arial Narrow"/>
                <w:b/>
                <w:bCs/>
                <w:sz w:val="20"/>
                <w:szCs w:val="20"/>
              </w:rPr>
              <w:t>(0.47, 0.66)</w:t>
            </w:r>
          </w:p>
        </w:tc>
        <w:tc>
          <w:tcPr>
            <w:tcW w:w="2346" w:type="dxa"/>
            <w:gridSpan w:val="2"/>
            <w:shd w:val="clear" w:color="auto" w:fill="C6D9F1" w:themeFill="text2" w:themeFillTint="33"/>
          </w:tcPr>
          <w:p w14:paraId="40FAEB3C" w14:textId="77777777" w:rsidR="00020C11" w:rsidRPr="000A33D2" w:rsidRDefault="00020C11" w:rsidP="009972DA">
            <w:pPr>
              <w:keepNext/>
              <w:keepLines/>
              <w:jc w:val="center"/>
              <w:rPr>
                <w:rFonts w:ascii="Arial Narrow" w:hAnsi="Arial Narrow"/>
                <w:sz w:val="20"/>
                <w:szCs w:val="20"/>
              </w:rPr>
            </w:pPr>
            <w:r w:rsidRPr="000A33D2">
              <w:rPr>
                <w:rFonts w:ascii="Arial Narrow" w:hAnsi="Arial Narrow"/>
                <w:sz w:val="20"/>
                <w:szCs w:val="20"/>
              </w:rPr>
              <w:t xml:space="preserve">0.36 </w:t>
            </w:r>
            <w:r w:rsidRPr="000A33D2">
              <w:rPr>
                <w:rFonts w:ascii="Arial Narrow" w:hAnsi="Arial Narrow"/>
                <w:sz w:val="20"/>
                <w:szCs w:val="20"/>
                <w:vertAlign w:val="superscript"/>
              </w:rPr>
              <w:t xml:space="preserve">f </w:t>
            </w:r>
            <w:r w:rsidRPr="000A33D2">
              <w:rPr>
                <w:rFonts w:ascii="Arial Narrow" w:hAnsi="Arial Narrow"/>
                <w:sz w:val="20"/>
                <w:szCs w:val="20"/>
              </w:rPr>
              <w:t>(0.23, 0.57)</w:t>
            </w:r>
          </w:p>
        </w:tc>
        <w:tc>
          <w:tcPr>
            <w:tcW w:w="2346" w:type="dxa"/>
            <w:gridSpan w:val="2"/>
            <w:shd w:val="clear" w:color="auto" w:fill="C6D9F1" w:themeFill="text2" w:themeFillTint="33"/>
          </w:tcPr>
          <w:p w14:paraId="751F289F" w14:textId="77777777" w:rsidR="00020C11" w:rsidRPr="000A33D2" w:rsidRDefault="00020C11" w:rsidP="009972DA">
            <w:pPr>
              <w:keepNext/>
              <w:keepLines/>
              <w:jc w:val="center"/>
              <w:rPr>
                <w:rFonts w:ascii="Arial Narrow" w:hAnsi="Arial Narrow"/>
                <w:b/>
                <w:bCs/>
                <w:sz w:val="20"/>
                <w:szCs w:val="20"/>
              </w:rPr>
            </w:pPr>
            <w:r w:rsidRPr="000A33D2">
              <w:rPr>
                <w:rFonts w:ascii="Arial Narrow" w:hAnsi="Arial Narrow"/>
                <w:b/>
                <w:bCs/>
                <w:sz w:val="20"/>
                <w:szCs w:val="20"/>
              </w:rPr>
              <w:t xml:space="preserve">0.60 </w:t>
            </w:r>
            <w:r w:rsidRPr="000A33D2">
              <w:rPr>
                <w:rFonts w:ascii="Arial Narrow" w:hAnsi="Arial Narrow"/>
                <w:b/>
                <w:bCs/>
                <w:sz w:val="20"/>
                <w:szCs w:val="20"/>
                <w:vertAlign w:val="superscript"/>
              </w:rPr>
              <w:t xml:space="preserve">d </w:t>
            </w:r>
            <w:r w:rsidRPr="000A33D2">
              <w:rPr>
                <w:rFonts w:ascii="Arial Narrow" w:hAnsi="Arial Narrow"/>
                <w:b/>
                <w:bCs/>
                <w:sz w:val="20"/>
                <w:szCs w:val="20"/>
              </w:rPr>
              <w:t>(0.50, 0.72)</w:t>
            </w:r>
          </w:p>
        </w:tc>
      </w:tr>
      <w:tr w:rsidR="003725E4" w:rsidRPr="000A33D2" w14:paraId="46760FF8" w14:textId="77777777" w:rsidTr="004E5CD1">
        <w:tc>
          <w:tcPr>
            <w:tcW w:w="9017" w:type="dxa"/>
            <w:gridSpan w:val="8"/>
            <w:vAlign w:val="center"/>
          </w:tcPr>
          <w:p w14:paraId="4B4C3ABC" w14:textId="74B0EFAA" w:rsidR="003725E4" w:rsidRPr="000A33D2" w:rsidRDefault="003725E4" w:rsidP="004E5CD1">
            <w:pPr>
              <w:keepNext/>
              <w:keepLines/>
              <w:jc w:val="left"/>
              <w:rPr>
                <w:rFonts w:ascii="Arial Narrow" w:hAnsi="Arial Narrow"/>
                <w:b/>
                <w:bCs/>
                <w:sz w:val="20"/>
                <w:szCs w:val="20"/>
                <w:vertAlign w:val="superscript"/>
              </w:rPr>
            </w:pPr>
            <w:bookmarkStart w:id="43" w:name="_Hlk145352600"/>
            <w:r w:rsidRPr="000A33D2">
              <w:rPr>
                <w:rFonts w:ascii="Arial Narrow" w:hAnsi="Arial Narrow"/>
                <w:b/>
                <w:bCs/>
                <w:sz w:val="20"/>
                <w:szCs w:val="20"/>
              </w:rPr>
              <w:t>PEM+LEN (KN775) – 2L, median follow-up 14.7months overall</w:t>
            </w:r>
            <w:r w:rsidR="00156FDD" w:rsidRPr="000A33D2">
              <w:rPr>
                <w:rFonts w:ascii="Arial Narrow" w:hAnsi="Arial Narrow"/>
                <w:b/>
                <w:bCs/>
                <w:sz w:val="20"/>
                <w:szCs w:val="20"/>
              </w:rPr>
              <w:t xml:space="preserve"> </w:t>
            </w:r>
            <w:r w:rsidR="00156FDD" w:rsidRPr="000A33D2">
              <w:rPr>
                <w:rFonts w:ascii="Arial Narrow" w:hAnsi="Arial Narrow"/>
                <w:b/>
                <w:bCs/>
                <w:sz w:val="20"/>
                <w:szCs w:val="20"/>
                <w:vertAlign w:val="superscript"/>
              </w:rPr>
              <w:t>g</w:t>
            </w:r>
          </w:p>
        </w:tc>
      </w:tr>
      <w:tr w:rsidR="003725E4" w:rsidRPr="000A33D2" w14:paraId="244AA27A" w14:textId="77777777" w:rsidTr="003725E4">
        <w:tc>
          <w:tcPr>
            <w:tcW w:w="1980" w:type="dxa"/>
            <w:gridSpan w:val="2"/>
            <w:vAlign w:val="center"/>
          </w:tcPr>
          <w:p w14:paraId="3A4F767C" w14:textId="77777777" w:rsidR="003725E4" w:rsidRPr="000A33D2" w:rsidRDefault="003725E4" w:rsidP="004E5CD1">
            <w:pPr>
              <w:keepNext/>
              <w:keepLines/>
              <w:jc w:val="left"/>
              <w:rPr>
                <w:rFonts w:ascii="Arial Narrow" w:hAnsi="Arial Narrow"/>
                <w:sz w:val="20"/>
                <w:szCs w:val="20"/>
              </w:rPr>
            </w:pPr>
            <w:r w:rsidRPr="000A33D2">
              <w:rPr>
                <w:rFonts w:ascii="Arial Narrow" w:hAnsi="Arial Narrow"/>
                <w:sz w:val="20"/>
                <w:szCs w:val="20"/>
              </w:rPr>
              <w:t>N</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5814146" w14:textId="77777777" w:rsidR="003725E4" w:rsidRPr="000A33D2" w:rsidRDefault="003725E4" w:rsidP="004E5CD1">
            <w:pPr>
              <w:keepNext/>
              <w:keepLines/>
              <w:jc w:val="center"/>
              <w:rPr>
                <w:rFonts w:ascii="Arial Narrow" w:hAnsi="Arial Narrow"/>
                <w:sz w:val="20"/>
                <w:szCs w:val="20"/>
              </w:rPr>
            </w:pPr>
            <w:r w:rsidRPr="000A33D2">
              <w:rPr>
                <w:rFonts w:ascii="Arial Narrow" w:hAnsi="Arial Narrow"/>
                <w:sz w:val="20"/>
                <w:szCs w:val="20"/>
              </w:rPr>
              <w:t>411</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AB1E62F" w14:textId="77777777" w:rsidR="003725E4" w:rsidRPr="000A33D2" w:rsidRDefault="003725E4" w:rsidP="004E5CD1">
            <w:pPr>
              <w:keepNext/>
              <w:keepLines/>
              <w:jc w:val="center"/>
              <w:rPr>
                <w:rFonts w:ascii="Arial Narrow" w:hAnsi="Arial Narrow"/>
                <w:sz w:val="20"/>
                <w:szCs w:val="20"/>
              </w:rPr>
            </w:pPr>
            <w:r w:rsidRPr="000A33D2">
              <w:rPr>
                <w:rFonts w:ascii="Arial Narrow" w:hAnsi="Arial Narrow"/>
                <w:sz w:val="20"/>
                <w:szCs w:val="20"/>
              </w:rPr>
              <w:t>416</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5D8650D" w14:textId="77777777" w:rsidR="003725E4" w:rsidRPr="000A33D2" w:rsidRDefault="003725E4" w:rsidP="004E5CD1">
            <w:pPr>
              <w:keepNext/>
              <w:keepLines/>
              <w:jc w:val="center"/>
              <w:rPr>
                <w:rFonts w:ascii="Arial Narrow" w:hAnsi="Arial Narrow"/>
                <w:sz w:val="20"/>
                <w:szCs w:val="20"/>
              </w:rPr>
            </w:pPr>
            <w:r w:rsidRPr="000A33D2">
              <w:rPr>
                <w:rFonts w:ascii="Arial Narrow" w:hAnsi="Arial Narrow"/>
                <w:sz w:val="20"/>
                <w:szCs w:val="20"/>
              </w:rPr>
              <w:t>65</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9A9849B" w14:textId="77777777" w:rsidR="003725E4" w:rsidRPr="000A33D2" w:rsidRDefault="003725E4" w:rsidP="004E5CD1">
            <w:pPr>
              <w:keepNext/>
              <w:keepLines/>
              <w:jc w:val="center"/>
              <w:rPr>
                <w:rFonts w:ascii="Arial Narrow" w:hAnsi="Arial Narrow"/>
                <w:sz w:val="20"/>
                <w:szCs w:val="20"/>
              </w:rPr>
            </w:pPr>
            <w:r w:rsidRPr="000A33D2">
              <w:rPr>
                <w:rFonts w:ascii="Arial Narrow" w:hAnsi="Arial Narrow"/>
                <w:sz w:val="20"/>
                <w:szCs w:val="20"/>
              </w:rPr>
              <w:t>65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75102D5" w14:textId="77777777" w:rsidR="003725E4" w:rsidRPr="000A33D2" w:rsidRDefault="003725E4" w:rsidP="004E5CD1">
            <w:pPr>
              <w:keepNext/>
              <w:keepLines/>
              <w:jc w:val="center"/>
              <w:rPr>
                <w:rFonts w:ascii="Arial Narrow" w:hAnsi="Arial Narrow"/>
                <w:sz w:val="20"/>
                <w:szCs w:val="20"/>
              </w:rPr>
            </w:pPr>
            <w:r w:rsidRPr="000A33D2">
              <w:rPr>
                <w:rFonts w:ascii="Arial Narrow" w:hAnsi="Arial Narrow"/>
                <w:sz w:val="20"/>
                <w:szCs w:val="20"/>
              </w:rPr>
              <w:t>346</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9E654A9" w14:textId="77777777" w:rsidR="003725E4" w:rsidRPr="000A33D2" w:rsidRDefault="003725E4" w:rsidP="004E5CD1">
            <w:pPr>
              <w:keepNext/>
              <w:keepLines/>
              <w:jc w:val="center"/>
              <w:rPr>
                <w:rFonts w:ascii="Arial Narrow" w:hAnsi="Arial Narrow"/>
                <w:sz w:val="20"/>
                <w:szCs w:val="20"/>
              </w:rPr>
            </w:pPr>
            <w:r w:rsidRPr="000A33D2">
              <w:rPr>
                <w:rFonts w:ascii="Arial Narrow" w:hAnsi="Arial Narrow"/>
                <w:sz w:val="20"/>
                <w:szCs w:val="20"/>
              </w:rPr>
              <w:t>351</w:t>
            </w:r>
          </w:p>
        </w:tc>
      </w:tr>
      <w:tr w:rsidR="00A06BFC" w:rsidRPr="000A33D2" w14:paraId="0E65D401" w14:textId="77777777" w:rsidTr="003725E4">
        <w:tc>
          <w:tcPr>
            <w:tcW w:w="562" w:type="dxa"/>
            <w:vMerge w:val="restart"/>
            <w:vAlign w:val="center"/>
          </w:tcPr>
          <w:p w14:paraId="5E47D5F2" w14:textId="77777777" w:rsidR="00A06BFC" w:rsidRPr="000A33D2" w:rsidRDefault="00A06BFC" w:rsidP="00A06BFC">
            <w:pPr>
              <w:keepNext/>
              <w:keepLines/>
              <w:jc w:val="left"/>
              <w:rPr>
                <w:rFonts w:ascii="Arial Narrow" w:hAnsi="Arial Narrow"/>
                <w:sz w:val="20"/>
                <w:szCs w:val="20"/>
              </w:rPr>
            </w:pPr>
            <w:r w:rsidRPr="000A33D2">
              <w:rPr>
                <w:rFonts w:ascii="Arial Narrow" w:hAnsi="Arial Narrow"/>
                <w:sz w:val="20"/>
                <w:szCs w:val="20"/>
              </w:rPr>
              <w:t>OS</w:t>
            </w:r>
          </w:p>
        </w:tc>
        <w:tc>
          <w:tcPr>
            <w:tcW w:w="1418" w:type="dxa"/>
            <w:vAlign w:val="center"/>
          </w:tcPr>
          <w:p w14:paraId="04E78487" w14:textId="77777777" w:rsidR="00A06BFC" w:rsidRPr="000A33D2" w:rsidRDefault="00A06BFC" w:rsidP="00A06BFC">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E13C594" w14:textId="77777777" w:rsidR="00A06BFC" w:rsidRPr="000A33D2" w:rsidRDefault="00A41FCD" w:rsidP="00A06BFC">
            <w:pPr>
              <w:keepNext/>
              <w:keepLines/>
              <w:jc w:val="center"/>
              <w:rPr>
                <w:rFonts w:ascii="Arial Narrow" w:hAnsi="Arial Narrow"/>
                <w:sz w:val="20"/>
                <w:szCs w:val="20"/>
              </w:rPr>
            </w:pPr>
            <w:r w:rsidRPr="000A33D2">
              <w:rPr>
                <w:rFonts w:ascii="Arial Narrow" w:hAnsi="Arial Narrow"/>
                <w:sz w:val="20"/>
                <w:szCs w:val="20"/>
              </w:rPr>
              <w:t>18.7</w:t>
            </w:r>
          </w:p>
          <w:p w14:paraId="1A5868FE" w14:textId="5CD87250" w:rsidR="00A41FCD" w:rsidRPr="000A33D2" w:rsidRDefault="00A41FCD" w:rsidP="00A06BFC">
            <w:pPr>
              <w:keepNext/>
              <w:keepLines/>
              <w:jc w:val="center"/>
              <w:rPr>
                <w:rFonts w:ascii="Arial Narrow" w:hAnsi="Arial Narrow"/>
                <w:sz w:val="20"/>
                <w:szCs w:val="20"/>
              </w:rPr>
            </w:pPr>
            <w:r w:rsidRPr="000A33D2">
              <w:rPr>
                <w:rFonts w:ascii="Arial Narrow" w:hAnsi="Arial Narrow"/>
                <w:sz w:val="20"/>
                <w:szCs w:val="20"/>
              </w:rPr>
              <w:t>(15.6, 21.3)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CBCBCEB" w14:textId="77777777" w:rsidR="00A06BFC" w:rsidRPr="000A33D2" w:rsidRDefault="00A41FCD" w:rsidP="00A06BFC">
            <w:pPr>
              <w:keepNext/>
              <w:keepLines/>
              <w:jc w:val="center"/>
              <w:rPr>
                <w:rFonts w:ascii="Arial Narrow" w:hAnsi="Arial Narrow"/>
                <w:sz w:val="20"/>
                <w:szCs w:val="20"/>
              </w:rPr>
            </w:pPr>
            <w:r w:rsidRPr="000A33D2">
              <w:rPr>
                <w:rFonts w:ascii="Arial Narrow" w:hAnsi="Arial Narrow"/>
                <w:sz w:val="20"/>
                <w:szCs w:val="20"/>
              </w:rPr>
              <w:t>11.9</w:t>
            </w:r>
          </w:p>
          <w:p w14:paraId="145338AE" w14:textId="36AE9B61" w:rsidR="00A41FCD" w:rsidRPr="000A33D2" w:rsidRDefault="00A41FCD" w:rsidP="00A06BFC">
            <w:pPr>
              <w:keepNext/>
              <w:keepLines/>
              <w:jc w:val="center"/>
              <w:rPr>
                <w:rFonts w:ascii="Arial Narrow" w:hAnsi="Arial Narrow"/>
                <w:sz w:val="20"/>
                <w:szCs w:val="20"/>
              </w:rPr>
            </w:pPr>
            <w:r w:rsidRPr="000A33D2">
              <w:rPr>
                <w:rFonts w:ascii="Arial Narrow" w:hAnsi="Arial Narrow"/>
                <w:sz w:val="20"/>
                <w:szCs w:val="20"/>
              </w:rPr>
              <w:t>(10.7, 13.3)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3FA477E" w14:textId="77777777" w:rsidR="00A06BFC" w:rsidRPr="000A33D2" w:rsidRDefault="00B60F25" w:rsidP="00A06BFC">
            <w:pPr>
              <w:keepNext/>
              <w:keepLines/>
              <w:jc w:val="center"/>
              <w:rPr>
                <w:rFonts w:ascii="Arial Narrow" w:hAnsi="Arial Narrow"/>
                <w:sz w:val="20"/>
                <w:szCs w:val="20"/>
              </w:rPr>
            </w:pPr>
            <w:r w:rsidRPr="000A33D2">
              <w:rPr>
                <w:rFonts w:ascii="Arial Narrow" w:hAnsi="Arial Narrow"/>
                <w:sz w:val="20"/>
                <w:szCs w:val="20"/>
              </w:rPr>
              <w:t>31.9</w:t>
            </w:r>
          </w:p>
          <w:p w14:paraId="68EE04FC" w14:textId="13877F6C" w:rsidR="00B60F25" w:rsidRPr="000A33D2" w:rsidRDefault="00B60F25" w:rsidP="00A06BFC">
            <w:pPr>
              <w:keepNext/>
              <w:keepLines/>
              <w:jc w:val="center"/>
              <w:rPr>
                <w:rFonts w:ascii="Arial Narrow" w:hAnsi="Arial Narrow"/>
                <w:sz w:val="20"/>
                <w:szCs w:val="20"/>
              </w:rPr>
            </w:pPr>
            <w:r w:rsidRPr="000A33D2">
              <w:rPr>
                <w:rFonts w:ascii="Arial Narrow" w:hAnsi="Arial Narrow"/>
                <w:sz w:val="20"/>
                <w:szCs w:val="20"/>
              </w:rPr>
              <w:t>(15.6, NR)</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B473E7F" w14:textId="77777777" w:rsidR="00B60F25" w:rsidRPr="000A33D2" w:rsidRDefault="00B60F25" w:rsidP="00A06BFC">
            <w:pPr>
              <w:keepNext/>
              <w:keepLines/>
              <w:jc w:val="center"/>
              <w:rPr>
                <w:rFonts w:ascii="Arial Narrow" w:hAnsi="Arial Narrow"/>
                <w:sz w:val="20"/>
                <w:szCs w:val="20"/>
              </w:rPr>
            </w:pPr>
            <w:r w:rsidRPr="000A33D2">
              <w:rPr>
                <w:rFonts w:ascii="Arial Narrow" w:hAnsi="Arial Narrow"/>
                <w:sz w:val="20"/>
                <w:szCs w:val="20"/>
              </w:rPr>
              <w:t xml:space="preserve">8.6 </w:t>
            </w:r>
          </w:p>
          <w:p w14:paraId="1A9E723D" w14:textId="49BD392D" w:rsidR="00A06BFC" w:rsidRPr="000A33D2" w:rsidRDefault="00B60F25" w:rsidP="00A06BFC">
            <w:pPr>
              <w:keepNext/>
              <w:keepLines/>
              <w:jc w:val="center"/>
              <w:rPr>
                <w:rFonts w:ascii="Arial Narrow" w:hAnsi="Arial Narrow"/>
                <w:sz w:val="20"/>
                <w:szCs w:val="20"/>
              </w:rPr>
            </w:pPr>
            <w:r w:rsidRPr="000A33D2">
              <w:rPr>
                <w:rFonts w:ascii="Arial Narrow" w:hAnsi="Arial Narrow"/>
                <w:sz w:val="20"/>
                <w:szCs w:val="20"/>
              </w:rPr>
              <w:t>(5.5, 13.4)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17D7EC1" w14:textId="77777777" w:rsidR="00A06BFC" w:rsidRPr="000A33D2" w:rsidRDefault="00A06BFC" w:rsidP="00A06BFC">
            <w:pPr>
              <w:keepNext/>
              <w:keepLines/>
              <w:jc w:val="center"/>
              <w:rPr>
                <w:rFonts w:ascii="Arial Narrow" w:hAnsi="Arial Narrow"/>
                <w:sz w:val="20"/>
                <w:szCs w:val="20"/>
              </w:rPr>
            </w:pPr>
            <w:r w:rsidRPr="000A33D2">
              <w:rPr>
                <w:rFonts w:ascii="Arial Narrow" w:hAnsi="Arial Narrow"/>
                <w:sz w:val="20"/>
                <w:szCs w:val="20"/>
              </w:rPr>
              <w:t>18</w:t>
            </w:r>
          </w:p>
          <w:p w14:paraId="20F14079" w14:textId="7674B2B0" w:rsidR="00A06BFC" w:rsidRPr="000A33D2" w:rsidRDefault="00A06BFC" w:rsidP="00A06BFC">
            <w:pPr>
              <w:keepNext/>
              <w:keepLines/>
              <w:jc w:val="center"/>
              <w:rPr>
                <w:rFonts w:ascii="Arial Narrow" w:hAnsi="Arial Narrow"/>
                <w:sz w:val="20"/>
                <w:szCs w:val="20"/>
              </w:rPr>
            </w:pPr>
            <w:r w:rsidRPr="000A33D2">
              <w:rPr>
                <w:rFonts w:ascii="Arial Narrow" w:hAnsi="Arial Narrow"/>
                <w:sz w:val="20"/>
                <w:szCs w:val="20"/>
              </w:rPr>
              <w:t>(14.9, 20.5)</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5F7FE73" w14:textId="77777777" w:rsidR="00A06BFC" w:rsidRPr="000A33D2" w:rsidRDefault="00A06BFC" w:rsidP="00A06BFC">
            <w:pPr>
              <w:keepNext/>
              <w:keepLines/>
              <w:jc w:val="center"/>
              <w:rPr>
                <w:rFonts w:ascii="Arial Narrow" w:hAnsi="Arial Narrow"/>
                <w:sz w:val="20"/>
                <w:szCs w:val="20"/>
              </w:rPr>
            </w:pPr>
            <w:r w:rsidRPr="000A33D2">
              <w:rPr>
                <w:rFonts w:ascii="Arial Narrow" w:hAnsi="Arial Narrow"/>
                <w:sz w:val="20"/>
                <w:szCs w:val="20"/>
              </w:rPr>
              <w:t>12.2</w:t>
            </w:r>
          </w:p>
          <w:p w14:paraId="43D646C5" w14:textId="45E96D00" w:rsidR="00A06BFC" w:rsidRPr="000A33D2" w:rsidRDefault="00A06BFC" w:rsidP="00A06BFC">
            <w:pPr>
              <w:keepNext/>
              <w:keepLines/>
              <w:jc w:val="center"/>
              <w:rPr>
                <w:rFonts w:ascii="Arial Narrow" w:hAnsi="Arial Narrow"/>
                <w:sz w:val="20"/>
                <w:szCs w:val="20"/>
              </w:rPr>
            </w:pPr>
            <w:r w:rsidRPr="000A33D2">
              <w:rPr>
                <w:rFonts w:ascii="Arial Narrow" w:hAnsi="Arial Narrow"/>
                <w:sz w:val="20"/>
                <w:szCs w:val="20"/>
              </w:rPr>
              <w:t>(11.0, 14.1)</w:t>
            </w:r>
          </w:p>
        </w:tc>
      </w:tr>
      <w:tr w:rsidR="003725E4" w:rsidRPr="000A33D2" w14:paraId="22683EF6" w14:textId="77777777" w:rsidTr="003725E4">
        <w:tc>
          <w:tcPr>
            <w:tcW w:w="562" w:type="dxa"/>
            <w:vMerge/>
            <w:vAlign w:val="center"/>
          </w:tcPr>
          <w:p w14:paraId="7382D512" w14:textId="77777777" w:rsidR="003725E4" w:rsidRPr="000A33D2" w:rsidRDefault="003725E4" w:rsidP="004E5CD1">
            <w:pPr>
              <w:keepNext/>
              <w:keepLines/>
              <w:jc w:val="left"/>
              <w:rPr>
                <w:rFonts w:ascii="Arial Narrow" w:hAnsi="Arial Narrow"/>
                <w:sz w:val="20"/>
                <w:szCs w:val="20"/>
              </w:rPr>
            </w:pPr>
          </w:p>
        </w:tc>
        <w:tc>
          <w:tcPr>
            <w:tcW w:w="1418" w:type="dxa"/>
            <w:vAlign w:val="center"/>
          </w:tcPr>
          <w:p w14:paraId="7D3501E8" w14:textId="77777777" w:rsidR="003725E4" w:rsidRPr="000A33D2" w:rsidRDefault="003725E4" w:rsidP="004E5CD1">
            <w:pPr>
              <w:keepNext/>
              <w:keepLines/>
              <w:jc w:val="left"/>
              <w:rPr>
                <w:rFonts w:ascii="Arial Narrow" w:hAnsi="Arial Narrow"/>
                <w:b/>
                <w:bCs/>
                <w:sz w:val="20"/>
                <w:szCs w:val="20"/>
              </w:rPr>
            </w:pPr>
            <w:r w:rsidRPr="000A33D2">
              <w:rPr>
                <w:rFonts w:ascii="Arial Narrow" w:hAnsi="Arial Narrow"/>
                <w:sz w:val="20"/>
                <w:szCs w:val="20"/>
              </w:rPr>
              <w:t>HR (95% CI)</w:t>
            </w:r>
          </w:p>
        </w:tc>
        <w:tc>
          <w:tcPr>
            <w:tcW w:w="2345" w:type="dxa"/>
            <w:gridSpan w:val="2"/>
            <w:shd w:val="clear" w:color="auto" w:fill="auto"/>
          </w:tcPr>
          <w:p w14:paraId="7597108C" w14:textId="65EF4D56" w:rsidR="003725E4" w:rsidRPr="000A33D2" w:rsidRDefault="00A41FCD" w:rsidP="004E5CD1">
            <w:pPr>
              <w:keepNext/>
              <w:keepLines/>
              <w:jc w:val="center"/>
              <w:rPr>
                <w:rFonts w:ascii="Arial Narrow" w:hAnsi="Arial Narrow"/>
                <w:sz w:val="20"/>
                <w:szCs w:val="20"/>
              </w:rPr>
            </w:pPr>
            <w:r w:rsidRPr="000A33D2">
              <w:rPr>
                <w:rFonts w:ascii="Arial Narrow" w:hAnsi="Arial Narrow"/>
                <w:sz w:val="20"/>
                <w:szCs w:val="20"/>
              </w:rPr>
              <w:t>0.65 (0.55, 0.77)</w:t>
            </w:r>
          </w:p>
        </w:tc>
        <w:tc>
          <w:tcPr>
            <w:tcW w:w="2346" w:type="dxa"/>
            <w:gridSpan w:val="2"/>
            <w:shd w:val="clear" w:color="auto" w:fill="auto"/>
          </w:tcPr>
          <w:p w14:paraId="3F62C106" w14:textId="4E614FDA" w:rsidR="003725E4" w:rsidRPr="000A33D2" w:rsidRDefault="00B60F25" w:rsidP="004E5CD1">
            <w:pPr>
              <w:keepNext/>
              <w:keepLines/>
              <w:jc w:val="center"/>
              <w:rPr>
                <w:rFonts w:ascii="Arial Narrow" w:hAnsi="Arial Narrow"/>
                <w:sz w:val="20"/>
                <w:szCs w:val="20"/>
              </w:rPr>
            </w:pPr>
            <w:r w:rsidRPr="000A33D2">
              <w:rPr>
                <w:rFonts w:ascii="Arial Narrow" w:hAnsi="Arial Narrow"/>
                <w:sz w:val="20"/>
                <w:szCs w:val="20"/>
              </w:rPr>
              <w:t>0.43 (0.28, 0.68)</w:t>
            </w:r>
          </w:p>
        </w:tc>
        <w:tc>
          <w:tcPr>
            <w:tcW w:w="2346" w:type="dxa"/>
            <w:gridSpan w:val="2"/>
            <w:shd w:val="clear" w:color="auto" w:fill="auto"/>
          </w:tcPr>
          <w:p w14:paraId="4A93C7E3" w14:textId="5721577F" w:rsidR="003725E4" w:rsidRPr="000A33D2" w:rsidRDefault="00A06BFC" w:rsidP="004E5CD1">
            <w:pPr>
              <w:keepNext/>
              <w:keepLines/>
              <w:jc w:val="center"/>
              <w:rPr>
                <w:rFonts w:ascii="Arial Narrow" w:hAnsi="Arial Narrow"/>
                <w:sz w:val="20"/>
                <w:szCs w:val="20"/>
              </w:rPr>
            </w:pPr>
            <w:r w:rsidRPr="000A33D2">
              <w:rPr>
                <w:rFonts w:ascii="Arial Narrow" w:hAnsi="Arial Narrow"/>
                <w:sz w:val="20"/>
                <w:szCs w:val="20"/>
              </w:rPr>
              <w:t>0.70 (0.58, 0.83)</w:t>
            </w:r>
          </w:p>
        </w:tc>
      </w:tr>
      <w:tr w:rsidR="003725E4" w:rsidRPr="000A33D2" w14:paraId="1B0740A4" w14:textId="77777777" w:rsidTr="003725E4">
        <w:tc>
          <w:tcPr>
            <w:tcW w:w="562" w:type="dxa"/>
            <w:vMerge w:val="restart"/>
            <w:vAlign w:val="center"/>
          </w:tcPr>
          <w:p w14:paraId="144421A3" w14:textId="77777777" w:rsidR="003725E4" w:rsidRPr="000A33D2" w:rsidRDefault="003725E4" w:rsidP="004E5CD1">
            <w:pPr>
              <w:keepNext/>
              <w:keepLines/>
              <w:jc w:val="left"/>
              <w:rPr>
                <w:rFonts w:ascii="Arial Narrow" w:hAnsi="Arial Narrow"/>
                <w:sz w:val="20"/>
                <w:szCs w:val="20"/>
              </w:rPr>
            </w:pPr>
            <w:r w:rsidRPr="000A33D2">
              <w:rPr>
                <w:rFonts w:ascii="Arial Narrow" w:hAnsi="Arial Narrow"/>
                <w:sz w:val="20"/>
                <w:szCs w:val="20"/>
              </w:rPr>
              <w:t>PFS</w:t>
            </w:r>
          </w:p>
        </w:tc>
        <w:tc>
          <w:tcPr>
            <w:tcW w:w="1418" w:type="dxa"/>
            <w:vAlign w:val="center"/>
          </w:tcPr>
          <w:p w14:paraId="14CB1B85" w14:textId="77777777" w:rsidR="003725E4" w:rsidRPr="000A33D2" w:rsidRDefault="003725E4" w:rsidP="004E5CD1">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1E812C0" w14:textId="77777777" w:rsidR="00122E99"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 xml:space="preserve">7.3 </w:t>
            </w:r>
          </w:p>
          <w:p w14:paraId="3C4F8B05" w14:textId="1794C8CD" w:rsidR="003725E4"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(5.7, 7.6)</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62AB0AF" w14:textId="77777777" w:rsidR="00122E99"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 xml:space="preserve">3.8 </w:t>
            </w:r>
          </w:p>
          <w:p w14:paraId="39815D80" w14:textId="3AFF108C" w:rsidR="003725E4"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(3.6, 4.2)</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9FF83C1" w14:textId="77777777" w:rsidR="003725E4" w:rsidRPr="000A33D2" w:rsidRDefault="008E39E4" w:rsidP="004E5CD1">
            <w:pPr>
              <w:keepNext/>
              <w:keepLines/>
              <w:jc w:val="center"/>
              <w:rPr>
                <w:rFonts w:ascii="Arial Narrow" w:hAnsi="Arial Narrow"/>
                <w:sz w:val="20"/>
                <w:szCs w:val="20"/>
              </w:rPr>
            </w:pPr>
            <w:r w:rsidRPr="000A33D2">
              <w:rPr>
                <w:rFonts w:ascii="Arial Narrow" w:hAnsi="Arial Narrow"/>
                <w:sz w:val="20"/>
                <w:szCs w:val="20"/>
              </w:rPr>
              <w:t>10.7</w:t>
            </w:r>
          </w:p>
          <w:p w14:paraId="4363FA0D" w14:textId="7693BD3D" w:rsidR="008E39E4" w:rsidRPr="000A33D2" w:rsidRDefault="008E39E4" w:rsidP="004E5CD1">
            <w:pPr>
              <w:keepNext/>
              <w:keepLines/>
              <w:jc w:val="center"/>
              <w:rPr>
                <w:rFonts w:ascii="Arial Narrow" w:hAnsi="Arial Narrow"/>
                <w:sz w:val="20"/>
                <w:szCs w:val="20"/>
              </w:rPr>
            </w:pPr>
            <w:r w:rsidRPr="000A33D2">
              <w:rPr>
                <w:rFonts w:ascii="Arial Narrow" w:hAnsi="Arial Narrow"/>
                <w:sz w:val="20"/>
                <w:szCs w:val="20"/>
              </w:rPr>
              <w:t>(5.6, 20.3)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45408435" w14:textId="77777777" w:rsidR="003725E4" w:rsidRPr="000A33D2" w:rsidRDefault="008E39E4" w:rsidP="004E5CD1">
            <w:pPr>
              <w:keepNext/>
              <w:keepLines/>
              <w:jc w:val="center"/>
              <w:rPr>
                <w:rFonts w:ascii="Arial Narrow" w:hAnsi="Arial Narrow"/>
                <w:sz w:val="20"/>
                <w:szCs w:val="20"/>
              </w:rPr>
            </w:pPr>
            <w:r w:rsidRPr="000A33D2">
              <w:rPr>
                <w:rFonts w:ascii="Arial Narrow" w:hAnsi="Arial Narrow"/>
                <w:sz w:val="20"/>
                <w:szCs w:val="20"/>
              </w:rPr>
              <w:t>3.7</w:t>
            </w:r>
          </w:p>
          <w:p w14:paraId="61D8C09A" w14:textId="1D7D8991" w:rsidR="008E39E4" w:rsidRPr="000A33D2" w:rsidRDefault="008E39E4" w:rsidP="004E5CD1">
            <w:pPr>
              <w:keepNext/>
              <w:keepLines/>
              <w:jc w:val="center"/>
              <w:rPr>
                <w:rFonts w:ascii="Arial Narrow" w:hAnsi="Arial Narrow"/>
                <w:sz w:val="20"/>
                <w:szCs w:val="20"/>
              </w:rPr>
            </w:pPr>
            <w:r w:rsidRPr="000A33D2">
              <w:rPr>
                <w:rFonts w:ascii="Arial Narrow" w:hAnsi="Arial Narrow"/>
                <w:sz w:val="20"/>
                <w:szCs w:val="20"/>
              </w:rPr>
              <w:t>(3.1, 4.4)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5307534" w14:textId="77777777" w:rsidR="0008155A"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 xml:space="preserve">6.7 </w:t>
            </w:r>
          </w:p>
          <w:p w14:paraId="686E25FF" w14:textId="444E917E" w:rsidR="003725E4"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(5.6, 7.4)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FC3CAE" w14:textId="77777777" w:rsidR="0008155A"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 xml:space="preserve">3.8 </w:t>
            </w:r>
          </w:p>
          <w:p w14:paraId="7DCC207C" w14:textId="1056B8CD" w:rsidR="003725E4" w:rsidRPr="000A33D2" w:rsidRDefault="0008155A" w:rsidP="004E5CD1">
            <w:pPr>
              <w:keepNext/>
              <w:keepLines/>
              <w:jc w:val="center"/>
              <w:rPr>
                <w:rFonts w:ascii="Arial Narrow" w:hAnsi="Arial Narrow"/>
                <w:sz w:val="20"/>
                <w:szCs w:val="20"/>
              </w:rPr>
            </w:pPr>
            <w:r w:rsidRPr="000A33D2">
              <w:rPr>
                <w:rFonts w:ascii="Arial Narrow" w:hAnsi="Arial Narrow"/>
                <w:sz w:val="20"/>
                <w:szCs w:val="20"/>
              </w:rPr>
              <w:t>(3.6, 5.0)</w:t>
            </w:r>
          </w:p>
        </w:tc>
      </w:tr>
      <w:tr w:rsidR="003725E4" w:rsidRPr="000A33D2" w14:paraId="669300E3" w14:textId="77777777" w:rsidTr="003725E4">
        <w:tc>
          <w:tcPr>
            <w:tcW w:w="562" w:type="dxa"/>
            <w:vMerge/>
            <w:vAlign w:val="center"/>
          </w:tcPr>
          <w:p w14:paraId="00479658" w14:textId="77777777" w:rsidR="003725E4" w:rsidRPr="000A33D2" w:rsidRDefault="003725E4" w:rsidP="004E5CD1">
            <w:pPr>
              <w:keepNext/>
              <w:keepLines/>
              <w:jc w:val="left"/>
              <w:rPr>
                <w:rFonts w:ascii="Arial Narrow" w:hAnsi="Arial Narrow"/>
                <w:sz w:val="20"/>
                <w:szCs w:val="20"/>
              </w:rPr>
            </w:pPr>
          </w:p>
        </w:tc>
        <w:tc>
          <w:tcPr>
            <w:tcW w:w="1418" w:type="dxa"/>
            <w:vAlign w:val="center"/>
          </w:tcPr>
          <w:p w14:paraId="555F5B60" w14:textId="77777777" w:rsidR="003725E4" w:rsidRPr="000A33D2" w:rsidRDefault="003725E4" w:rsidP="004E5CD1">
            <w:pPr>
              <w:keepNext/>
              <w:keepLines/>
              <w:jc w:val="left"/>
              <w:rPr>
                <w:rFonts w:ascii="Arial Narrow" w:hAnsi="Arial Narrow"/>
                <w:b/>
                <w:bCs/>
                <w:sz w:val="20"/>
                <w:szCs w:val="20"/>
              </w:rPr>
            </w:pPr>
            <w:r w:rsidRPr="000A33D2">
              <w:rPr>
                <w:rFonts w:ascii="Arial Narrow" w:hAnsi="Arial Narrow"/>
                <w:sz w:val="20"/>
                <w:szCs w:val="20"/>
              </w:rPr>
              <w:t>HR (95% CI)</w:t>
            </w:r>
          </w:p>
        </w:tc>
        <w:tc>
          <w:tcPr>
            <w:tcW w:w="2345" w:type="dxa"/>
            <w:gridSpan w:val="2"/>
            <w:shd w:val="clear" w:color="auto" w:fill="auto"/>
          </w:tcPr>
          <w:p w14:paraId="46414E90" w14:textId="038CC29B" w:rsidR="003725E4" w:rsidRPr="000A33D2" w:rsidRDefault="00156FDD" w:rsidP="004E5CD1">
            <w:pPr>
              <w:keepNext/>
              <w:keepLines/>
              <w:jc w:val="center"/>
              <w:rPr>
                <w:rFonts w:ascii="Arial Narrow" w:hAnsi="Arial Narrow"/>
                <w:sz w:val="20"/>
                <w:szCs w:val="20"/>
              </w:rPr>
            </w:pPr>
            <w:r w:rsidRPr="000A33D2">
              <w:rPr>
                <w:rFonts w:ascii="Arial Narrow" w:hAnsi="Arial Narrow"/>
                <w:sz w:val="20"/>
                <w:szCs w:val="20"/>
              </w:rPr>
              <w:t>0.56 (0.48, 0.66)</w:t>
            </w:r>
          </w:p>
        </w:tc>
        <w:tc>
          <w:tcPr>
            <w:tcW w:w="2346" w:type="dxa"/>
            <w:gridSpan w:val="2"/>
            <w:shd w:val="clear" w:color="auto" w:fill="auto"/>
          </w:tcPr>
          <w:p w14:paraId="526FC6A0" w14:textId="73C75E63" w:rsidR="003725E4" w:rsidRPr="000A33D2" w:rsidRDefault="008E39E4" w:rsidP="004E5CD1">
            <w:pPr>
              <w:keepNext/>
              <w:keepLines/>
              <w:jc w:val="center"/>
              <w:rPr>
                <w:rFonts w:ascii="Arial Narrow" w:hAnsi="Arial Narrow"/>
                <w:sz w:val="20"/>
                <w:szCs w:val="20"/>
              </w:rPr>
            </w:pPr>
            <w:r w:rsidRPr="000A33D2">
              <w:rPr>
                <w:rFonts w:ascii="Arial Narrow" w:hAnsi="Arial Narrow"/>
                <w:sz w:val="20"/>
                <w:szCs w:val="20"/>
              </w:rPr>
              <w:t>0.39 (0.25, 0.60)</w:t>
            </w:r>
          </w:p>
        </w:tc>
        <w:tc>
          <w:tcPr>
            <w:tcW w:w="2346" w:type="dxa"/>
            <w:gridSpan w:val="2"/>
            <w:shd w:val="clear" w:color="auto" w:fill="auto"/>
          </w:tcPr>
          <w:p w14:paraId="2523B993" w14:textId="39B441BC" w:rsidR="003725E4" w:rsidRPr="000A33D2" w:rsidRDefault="00156FDD" w:rsidP="004E5CD1">
            <w:pPr>
              <w:keepNext/>
              <w:keepLines/>
              <w:jc w:val="center"/>
              <w:rPr>
                <w:rFonts w:ascii="Arial Narrow" w:hAnsi="Arial Narrow"/>
                <w:sz w:val="20"/>
                <w:szCs w:val="20"/>
              </w:rPr>
            </w:pPr>
            <w:r w:rsidRPr="000A33D2">
              <w:rPr>
                <w:rFonts w:ascii="Arial Narrow" w:hAnsi="Arial Narrow"/>
                <w:sz w:val="20"/>
                <w:szCs w:val="20"/>
              </w:rPr>
              <w:t>0.60 (0.50, 0.72)</w:t>
            </w:r>
          </w:p>
        </w:tc>
      </w:tr>
      <w:bookmarkEnd w:id="43"/>
      <w:tr w:rsidR="00BC444E" w:rsidRPr="000A33D2" w14:paraId="1B25993B" w14:textId="77777777" w:rsidTr="00C05F9D">
        <w:tc>
          <w:tcPr>
            <w:tcW w:w="9017" w:type="dxa"/>
            <w:gridSpan w:val="8"/>
            <w:vAlign w:val="center"/>
          </w:tcPr>
          <w:p w14:paraId="60EDBAD6" w14:textId="571F9655" w:rsidR="00BC444E" w:rsidRPr="000A33D2" w:rsidRDefault="00BC444E" w:rsidP="00BC444E">
            <w:pPr>
              <w:keepNext/>
              <w:keepLines/>
              <w:jc w:val="left"/>
              <w:rPr>
                <w:rFonts w:ascii="Arial Narrow" w:hAnsi="Arial Narrow"/>
                <w:b/>
                <w:bCs/>
                <w:sz w:val="20"/>
                <w:szCs w:val="20"/>
              </w:rPr>
            </w:pPr>
            <w:r w:rsidRPr="000A33D2">
              <w:rPr>
                <w:rFonts w:ascii="Arial Narrow" w:hAnsi="Arial Narrow"/>
                <w:b/>
                <w:bCs/>
                <w:sz w:val="20"/>
                <w:szCs w:val="20"/>
              </w:rPr>
              <w:t xml:space="preserve">PEM+CP </w:t>
            </w:r>
            <w:r w:rsidR="00D75E12" w:rsidRPr="000A33D2">
              <w:rPr>
                <w:rFonts w:ascii="Arial Narrow" w:hAnsi="Arial Narrow"/>
                <w:b/>
                <w:bCs/>
                <w:sz w:val="20"/>
                <w:szCs w:val="20"/>
              </w:rPr>
              <w:t>(NCT03914612) – 1L, median follow-up 12 months (dMMR) and 7.9 months (pMMR)</w:t>
            </w:r>
          </w:p>
        </w:tc>
      </w:tr>
      <w:tr w:rsidR="00BC444E" w:rsidRPr="000A33D2" w14:paraId="4050FBF8" w14:textId="77777777" w:rsidTr="00824B84">
        <w:tc>
          <w:tcPr>
            <w:tcW w:w="1980" w:type="dxa"/>
            <w:gridSpan w:val="2"/>
            <w:vAlign w:val="center"/>
          </w:tcPr>
          <w:p w14:paraId="08A8B28E" w14:textId="3E1CCDB6" w:rsidR="00BC444E" w:rsidRPr="000A33D2" w:rsidRDefault="00BC444E" w:rsidP="00BC444E">
            <w:pPr>
              <w:keepNext/>
              <w:keepLines/>
              <w:jc w:val="left"/>
              <w:rPr>
                <w:rFonts w:ascii="Arial Narrow" w:hAnsi="Arial Narrow"/>
                <w:sz w:val="20"/>
                <w:szCs w:val="20"/>
              </w:rPr>
            </w:pPr>
            <w:r w:rsidRPr="000A33D2">
              <w:rPr>
                <w:rFonts w:ascii="Arial Narrow" w:hAnsi="Arial Narrow"/>
                <w:sz w:val="20"/>
                <w:szCs w:val="20"/>
              </w:rPr>
              <w:t>N</w:t>
            </w:r>
          </w:p>
        </w:tc>
        <w:tc>
          <w:tcPr>
            <w:tcW w:w="1172" w:type="dxa"/>
            <w:vAlign w:val="center"/>
          </w:tcPr>
          <w:p w14:paraId="4AD6AF54" w14:textId="5A05ACFE"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405</w:t>
            </w:r>
          </w:p>
        </w:tc>
        <w:tc>
          <w:tcPr>
            <w:tcW w:w="1173" w:type="dxa"/>
            <w:vAlign w:val="center"/>
          </w:tcPr>
          <w:p w14:paraId="2910F6C5" w14:textId="68D3537D"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408</w:t>
            </w:r>
          </w:p>
        </w:tc>
        <w:tc>
          <w:tcPr>
            <w:tcW w:w="1173" w:type="dxa"/>
            <w:vAlign w:val="center"/>
          </w:tcPr>
          <w:p w14:paraId="0AD7A176" w14:textId="6E9FE600"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112</w:t>
            </w:r>
          </w:p>
        </w:tc>
        <w:tc>
          <w:tcPr>
            <w:tcW w:w="1173" w:type="dxa"/>
            <w:vAlign w:val="center"/>
          </w:tcPr>
          <w:p w14:paraId="0D59E0B2" w14:textId="074791BA"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113</w:t>
            </w:r>
          </w:p>
        </w:tc>
        <w:tc>
          <w:tcPr>
            <w:tcW w:w="1262" w:type="dxa"/>
            <w:vAlign w:val="center"/>
          </w:tcPr>
          <w:p w14:paraId="4C0DC250" w14:textId="5FAE4CA2"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293</w:t>
            </w:r>
          </w:p>
        </w:tc>
        <w:tc>
          <w:tcPr>
            <w:tcW w:w="1084" w:type="dxa"/>
            <w:vAlign w:val="center"/>
          </w:tcPr>
          <w:p w14:paraId="46E45300" w14:textId="3CBEC84E"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295</w:t>
            </w:r>
          </w:p>
        </w:tc>
      </w:tr>
      <w:tr w:rsidR="00BC444E" w:rsidRPr="000A33D2" w14:paraId="48D94356" w14:textId="77777777" w:rsidTr="00824B84">
        <w:tc>
          <w:tcPr>
            <w:tcW w:w="562" w:type="dxa"/>
            <w:vMerge w:val="restart"/>
            <w:vAlign w:val="center"/>
          </w:tcPr>
          <w:p w14:paraId="40BE657F" w14:textId="244C9F93" w:rsidR="00BC444E" w:rsidRPr="000A33D2" w:rsidRDefault="00BC444E" w:rsidP="00BC444E">
            <w:pPr>
              <w:keepNext/>
              <w:keepLines/>
              <w:jc w:val="left"/>
              <w:rPr>
                <w:rFonts w:ascii="Arial Narrow" w:hAnsi="Arial Narrow"/>
                <w:sz w:val="20"/>
                <w:szCs w:val="20"/>
              </w:rPr>
            </w:pPr>
            <w:r w:rsidRPr="000A33D2">
              <w:rPr>
                <w:rFonts w:ascii="Arial Narrow" w:hAnsi="Arial Narrow"/>
                <w:sz w:val="20"/>
                <w:szCs w:val="20"/>
              </w:rPr>
              <w:t>OS</w:t>
            </w:r>
          </w:p>
        </w:tc>
        <w:tc>
          <w:tcPr>
            <w:tcW w:w="1418" w:type="dxa"/>
            <w:vAlign w:val="center"/>
          </w:tcPr>
          <w:p w14:paraId="63489ED0" w14:textId="2A929063" w:rsidR="00BC444E" w:rsidRPr="000A33D2" w:rsidRDefault="00BC444E" w:rsidP="00BC444E">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vAlign w:val="center"/>
          </w:tcPr>
          <w:p w14:paraId="74017E0E" w14:textId="68DD2702"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1173" w:type="dxa"/>
            <w:tcBorders>
              <w:top w:val="single" w:sz="4" w:space="0" w:color="auto"/>
              <w:left w:val="single" w:sz="4" w:space="0" w:color="auto"/>
              <w:bottom w:val="single" w:sz="4" w:space="0" w:color="auto"/>
              <w:right w:val="single" w:sz="4" w:space="0" w:color="auto"/>
            </w:tcBorders>
            <w:vAlign w:val="center"/>
          </w:tcPr>
          <w:p w14:paraId="784DDFE2" w14:textId="7E172FEC"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1173" w:type="dxa"/>
            <w:tcBorders>
              <w:top w:val="single" w:sz="4" w:space="0" w:color="auto"/>
              <w:left w:val="single" w:sz="4" w:space="0" w:color="auto"/>
              <w:bottom w:val="single" w:sz="4" w:space="0" w:color="auto"/>
              <w:right w:val="single" w:sz="4" w:space="0" w:color="auto"/>
            </w:tcBorders>
            <w:vAlign w:val="center"/>
          </w:tcPr>
          <w:p w14:paraId="5E92EA98" w14:textId="5A967DE6"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1173" w:type="dxa"/>
            <w:tcBorders>
              <w:top w:val="single" w:sz="4" w:space="0" w:color="auto"/>
              <w:left w:val="single" w:sz="4" w:space="0" w:color="auto"/>
              <w:bottom w:val="single" w:sz="4" w:space="0" w:color="auto"/>
              <w:right w:val="single" w:sz="4" w:space="0" w:color="auto"/>
            </w:tcBorders>
            <w:vAlign w:val="center"/>
          </w:tcPr>
          <w:p w14:paraId="453EAF0C" w14:textId="5A68C27C"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1262" w:type="dxa"/>
            <w:tcBorders>
              <w:top w:val="single" w:sz="4" w:space="0" w:color="auto"/>
              <w:left w:val="single" w:sz="4" w:space="0" w:color="auto"/>
              <w:bottom w:val="single" w:sz="4" w:space="0" w:color="auto"/>
              <w:right w:val="single" w:sz="4" w:space="0" w:color="auto"/>
            </w:tcBorders>
            <w:vAlign w:val="center"/>
          </w:tcPr>
          <w:p w14:paraId="10CE336F" w14:textId="7FF9F864"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1084" w:type="dxa"/>
            <w:vAlign w:val="center"/>
          </w:tcPr>
          <w:p w14:paraId="5197D528" w14:textId="2D489D8C"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r>
      <w:tr w:rsidR="00BC444E" w:rsidRPr="000A33D2" w14:paraId="00C5FB4C" w14:textId="77777777" w:rsidTr="008F7567">
        <w:tc>
          <w:tcPr>
            <w:tcW w:w="562" w:type="dxa"/>
            <w:vMerge/>
            <w:vAlign w:val="center"/>
          </w:tcPr>
          <w:p w14:paraId="51F911FC" w14:textId="77777777" w:rsidR="00BC444E" w:rsidRPr="000A33D2" w:rsidRDefault="00BC444E" w:rsidP="00BC444E">
            <w:pPr>
              <w:keepNext/>
              <w:keepLines/>
              <w:jc w:val="left"/>
              <w:rPr>
                <w:rFonts w:ascii="Arial Narrow" w:hAnsi="Arial Narrow"/>
                <w:sz w:val="20"/>
                <w:szCs w:val="20"/>
              </w:rPr>
            </w:pPr>
          </w:p>
        </w:tc>
        <w:tc>
          <w:tcPr>
            <w:tcW w:w="1418" w:type="dxa"/>
            <w:vAlign w:val="center"/>
          </w:tcPr>
          <w:p w14:paraId="5B33BEEC" w14:textId="53B9F277" w:rsidR="00BC444E" w:rsidRPr="000A33D2" w:rsidRDefault="00BC444E" w:rsidP="00BC444E">
            <w:pPr>
              <w:keepNext/>
              <w:keepLines/>
              <w:jc w:val="left"/>
              <w:rPr>
                <w:rFonts w:ascii="Arial Narrow" w:hAnsi="Arial Narrow"/>
                <w:sz w:val="20"/>
                <w:szCs w:val="20"/>
              </w:rPr>
            </w:pPr>
            <w:r w:rsidRPr="000A33D2">
              <w:rPr>
                <w:rFonts w:ascii="Arial Narrow" w:hAnsi="Arial Narrow"/>
                <w:sz w:val="20"/>
                <w:szCs w:val="20"/>
              </w:rPr>
              <w:t>HR (95% CI)</w:t>
            </w:r>
          </w:p>
        </w:tc>
        <w:tc>
          <w:tcPr>
            <w:tcW w:w="2345" w:type="dxa"/>
            <w:gridSpan w:val="2"/>
          </w:tcPr>
          <w:p w14:paraId="34B14255" w14:textId="3589C529"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2346" w:type="dxa"/>
            <w:gridSpan w:val="2"/>
          </w:tcPr>
          <w:p w14:paraId="3BC9A711" w14:textId="1C0B09E0"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c>
          <w:tcPr>
            <w:tcW w:w="2346" w:type="dxa"/>
            <w:gridSpan w:val="2"/>
          </w:tcPr>
          <w:p w14:paraId="225A6449" w14:textId="3AD63CB2"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NA</w:t>
            </w:r>
          </w:p>
        </w:tc>
      </w:tr>
      <w:tr w:rsidR="00BC444E" w:rsidRPr="000A33D2" w14:paraId="7B2001C9" w14:textId="77777777" w:rsidTr="00824B84">
        <w:tc>
          <w:tcPr>
            <w:tcW w:w="562" w:type="dxa"/>
            <w:vMerge w:val="restart"/>
            <w:vAlign w:val="center"/>
          </w:tcPr>
          <w:p w14:paraId="6539C087" w14:textId="5FE4C090" w:rsidR="00BC444E" w:rsidRPr="000A33D2" w:rsidRDefault="00BC444E" w:rsidP="00BC444E">
            <w:pPr>
              <w:keepNext/>
              <w:keepLines/>
              <w:jc w:val="left"/>
              <w:rPr>
                <w:rFonts w:ascii="Arial Narrow" w:hAnsi="Arial Narrow"/>
                <w:sz w:val="20"/>
                <w:szCs w:val="20"/>
              </w:rPr>
            </w:pPr>
            <w:r w:rsidRPr="000A33D2">
              <w:rPr>
                <w:rFonts w:ascii="Arial Narrow" w:hAnsi="Arial Narrow"/>
                <w:sz w:val="20"/>
                <w:szCs w:val="20"/>
              </w:rPr>
              <w:t>PFS</w:t>
            </w:r>
          </w:p>
        </w:tc>
        <w:tc>
          <w:tcPr>
            <w:tcW w:w="1418" w:type="dxa"/>
            <w:vAlign w:val="center"/>
          </w:tcPr>
          <w:p w14:paraId="739BF9F8" w14:textId="1875DB15" w:rsidR="00BC444E" w:rsidRPr="000A33D2" w:rsidRDefault="00BC444E" w:rsidP="00BC444E">
            <w:pPr>
              <w:keepNext/>
              <w:keepLines/>
              <w:jc w:val="left"/>
              <w:rPr>
                <w:rFonts w:ascii="Arial Narrow" w:hAnsi="Arial Narrow"/>
                <w:sz w:val="20"/>
                <w:szCs w:val="20"/>
              </w:rPr>
            </w:pPr>
            <w:r w:rsidRPr="000A33D2">
              <w:rPr>
                <w:rFonts w:ascii="Arial Narrow" w:hAnsi="Arial Narrow"/>
                <w:sz w:val="20"/>
                <w:szCs w:val="20"/>
              </w:rPr>
              <w:t>Median, months (95%CI)</w:t>
            </w:r>
          </w:p>
        </w:tc>
        <w:tc>
          <w:tcPr>
            <w:tcW w:w="1172" w:type="dxa"/>
            <w:tcBorders>
              <w:top w:val="single" w:sz="4" w:space="0" w:color="auto"/>
              <w:left w:val="single" w:sz="4" w:space="0" w:color="auto"/>
              <w:bottom w:val="single" w:sz="4" w:space="0" w:color="auto"/>
              <w:right w:val="single" w:sz="4" w:space="0" w:color="auto"/>
            </w:tcBorders>
            <w:vAlign w:val="center"/>
          </w:tcPr>
          <w:p w14:paraId="6607025C" w14:textId="77777777"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 xml:space="preserve">18.8 </w:t>
            </w:r>
          </w:p>
          <w:p w14:paraId="41D193C2" w14:textId="35F282BA" w:rsidR="00BC444E" w:rsidRPr="000A33D2" w:rsidRDefault="00BC444E" w:rsidP="00BC444E">
            <w:pPr>
              <w:keepNext/>
              <w:keepLines/>
              <w:jc w:val="center"/>
              <w:rPr>
                <w:rFonts w:ascii="Arial Narrow" w:hAnsi="Arial Narrow"/>
                <w:b/>
                <w:bCs/>
                <w:sz w:val="20"/>
                <w:szCs w:val="20"/>
              </w:rPr>
            </w:pPr>
            <w:r w:rsidRPr="000A33D2">
              <w:rPr>
                <w:rFonts w:ascii="Arial Narrow" w:hAnsi="Arial Narrow"/>
                <w:sz w:val="20"/>
                <w:szCs w:val="20"/>
              </w:rPr>
              <w:t>(NA, NA)</w:t>
            </w:r>
          </w:p>
        </w:tc>
        <w:tc>
          <w:tcPr>
            <w:tcW w:w="1173" w:type="dxa"/>
            <w:tcBorders>
              <w:top w:val="single" w:sz="4" w:space="0" w:color="auto"/>
              <w:left w:val="single" w:sz="4" w:space="0" w:color="auto"/>
              <w:bottom w:val="single" w:sz="4" w:space="0" w:color="auto"/>
              <w:right w:val="single" w:sz="4" w:space="0" w:color="auto"/>
            </w:tcBorders>
            <w:vAlign w:val="center"/>
          </w:tcPr>
          <w:p w14:paraId="338DE45A" w14:textId="77777777"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8.5</w:t>
            </w:r>
          </w:p>
          <w:p w14:paraId="201E4C46" w14:textId="657E0ECF" w:rsidR="00BC444E" w:rsidRPr="000A33D2" w:rsidRDefault="00BC444E" w:rsidP="00BC444E">
            <w:pPr>
              <w:keepNext/>
              <w:keepLines/>
              <w:jc w:val="center"/>
              <w:rPr>
                <w:rFonts w:ascii="Arial Narrow" w:hAnsi="Arial Narrow"/>
                <w:b/>
                <w:bCs/>
                <w:sz w:val="20"/>
                <w:szCs w:val="20"/>
              </w:rPr>
            </w:pPr>
            <w:r w:rsidRPr="000A33D2">
              <w:rPr>
                <w:rFonts w:ascii="Arial Narrow" w:hAnsi="Arial Narrow"/>
                <w:sz w:val="20"/>
                <w:szCs w:val="20"/>
              </w:rPr>
              <w:t>(NA, NA)</w:t>
            </w:r>
          </w:p>
        </w:tc>
        <w:tc>
          <w:tcPr>
            <w:tcW w:w="1173" w:type="dxa"/>
            <w:tcBorders>
              <w:top w:val="single" w:sz="4" w:space="0" w:color="auto"/>
              <w:left w:val="single" w:sz="4" w:space="0" w:color="auto"/>
              <w:bottom w:val="single" w:sz="4" w:space="0" w:color="auto"/>
              <w:right w:val="single" w:sz="4" w:space="0" w:color="auto"/>
            </w:tcBorders>
            <w:vAlign w:val="center"/>
          </w:tcPr>
          <w:p w14:paraId="300B0B4B" w14:textId="77777777"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 xml:space="preserve">NR </w:t>
            </w:r>
          </w:p>
          <w:p w14:paraId="4560E841" w14:textId="32BD0BE5"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(30.6, NR)</w:t>
            </w:r>
          </w:p>
        </w:tc>
        <w:tc>
          <w:tcPr>
            <w:tcW w:w="1173" w:type="dxa"/>
            <w:tcBorders>
              <w:top w:val="single" w:sz="4" w:space="0" w:color="auto"/>
              <w:left w:val="single" w:sz="4" w:space="0" w:color="auto"/>
              <w:bottom w:val="single" w:sz="4" w:space="0" w:color="auto"/>
              <w:right w:val="single" w:sz="4" w:space="0" w:color="auto"/>
            </w:tcBorders>
            <w:vAlign w:val="center"/>
          </w:tcPr>
          <w:p w14:paraId="197E2D41" w14:textId="77777777"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7.6</w:t>
            </w:r>
          </w:p>
          <w:p w14:paraId="31BAE2C0" w14:textId="189AE105"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(6.4, 9.9)</w:t>
            </w:r>
          </w:p>
        </w:tc>
        <w:tc>
          <w:tcPr>
            <w:tcW w:w="1262" w:type="dxa"/>
            <w:tcBorders>
              <w:top w:val="single" w:sz="4" w:space="0" w:color="auto"/>
              <w:left w:val="single" w:sz="4" w:space="0" w:color="auto"/>
              <w:bottom w:val="single" w:sz="4" w:space="0" w:color="auto"/>
              <w:right w:val="single" w:sz="4" w:space="0" w:color="auto"/>
            </w:tcBorders>
            <w:vAlign w:val="center"/>
          </w:tcPr>
          <w:p w14:paraId="08B73E75" w14:textId="77777777"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13.1</w:t>
            </w:r>
          </w:p>
          <w:p w14:paraId="6999B11F" w14:textId="78E3C679" w:rsidR="00BC444E" w:rsidRPr="000A33D2" w:rsidRDefault="00BC444E" w:rsidP="00BC444E">
            <w:pPr>
              <w:keepNext/>
              <w:keepLines/>
              <w:jc w:val="center"/>
              <w:rPr>
                <w:rFonts w:ascii="Arial Narrow" w:hAnsi="Arial Narrow"/>
                <w:b/>
                <w:bCs/>
                <w:sz w:val="20"/>
                <w:szCs w:val="20"/>
              </w:rPr>
            </w:pPr>
            <w:r w:rsidRPr="000A33D2">
              <w:rPr>
                <w:rFonts w:ascii="Arial Narrow" w:hAnsi="Arial Narrow"/>
                <w:sz w:val="20"/>
                <w:szCs w:val="20"/>
              </w:rPr>
              <w:t>(10.5, 18.8)</w:t>
            </w:r>
          </w:p>
        </w:tc>
        <w:tc>
          <w:tcPr>
            <w:tcW w:w="1084" w:type="dxa"/>
            <w:tcBorders>
              <w:top w:val="single" w:sz="4" w:space="0" w:color="auto"/>
              <w:left w:val="single" w:sz="4" w:space="0" w:color="auto"/>
              <w:bottom w:val="single" w:sz="4" w:space="0" w:color="auto"/>
              <w:right w:val="single" w:sz="4" w:space="0" w:color="auto"/>
            </w:tcBorders>
            <w:vAlign w:val="center"/>
          </w:tcPr>
          <w:p w14:paraId="55420418" w14:textId="77777777" w:rsidR="00BC444E" w:rsidRPr="000A33D2" w:rsidRDefault="00BC444E" w:rsidP="00BC444E">
            <w:pPr>
              <w:keepNext/>
              <w:keepLines/>
              <w:jc w:val="center"/>
              <w:rPr>
                <w:rFonts w:ascii="Arial Narrow" w:hAnsi="Arial Narrow"/>
                <w:sz w:val="20"/>
                <w:szCs w:val="20"/>
              </w:rPr>
            </w:pPr>
            <w:r w:rsidRPr="000A33D2">
              <w:rPr>
                <w:rFonts w:ascii="Arial Narrow" w:hAnsi="Arial Narrow"/>
                <w:sz w:val="20"/>
                <w:szCs w:val="20"/>
              </w:rPr>
              <w:t>8.7</w:t>
            </w:r>
          </w:p>
          <w:p w14:paraId="482CD624" w14:textId="60A3FB89" w:rsidR="00BC444E" w:rsidRPr="000A33D2" w:rsidRDefault="00BC444E" w:rsidP="00BC444E">
            <w:pPr>
              <w:keepNext/>
              <w:keepLines/>
              <w:jc w:val="center"/>
              <w:rPr>
                <w:rFonts w:ascii="Arial Narrow" w:hAnsi="Arial Narrow"/>
                <w:b/>
                <w:bCs/>
                <w:sz w:val="20"/>
                <w:szCs w:val="20"/>
              </w:rPr>
            </w:pPr>
            <w:r w:rsidRPr="000A33D2">
              <w:rPr>
                <w:rFonts w:ascii="Arial Narrow" w:hAnsi="Arial Narrow"/>
                <w:sz w:val="20"/>
                <w:szCs w:val="20"/>
              </w:rPr>
              <w:t>(8.4, 10.7)</w:t>
            </w:r>
          </w:p>
        </w:tc>
      </w:tr>
      <w:tr w:rsidR="009D78E8" w:rsidRPr="000A33D2" w14:paraId="121FF340" w14:textId="77777777" w:rsidTr="00A32B9D">
        <w:tc>
          <w:tcPr>
            <w:tcW w:w="562" w:type="dxa"/>
            <w:vMerge/>
            <w:vAlign w:val="center"/>
          </w:tcPr>
          <w:p w14:paraId="15F16CA4" w14:textId="000C96CB" w:rsidR="009D78E8" w:rsidRPr="000A33D2" w:rsidRDefault="009D78E8" w:rsidP="009D78E8">
            <w:pPr>
              <w:keepNext/>
              <w:keepLines/>
              <w:jc w:val="left"/>
              <w:rPr>
                <w:rFonts w:ascii="Arial Narrow" w:hAnsi="Arial Narrow"/>
                <w:sz w:val="20"/>
                <w:szCs w:val="20"/>
              </w:rPr>
            </w:pPr>
          </w:p>
        </w:tc>
        <w:tc>
          <w:tcPr>
            <w:tcW w:w="1418" w:type="dxa"/>
            <w:vAlign w:val="center"/>
          </w:tcPr>
          <w:p w14:paraId="69E1835A" w14:textId="7C626687" w:rsidR="009D78E8" w:rsidRPr="000A33D2" w:rsidRDefault="009D78E8" w:rsidP="009D78E8">
            <w:pPr>
              <w:keepNext/>
              <w:keepLines/>
              <w:jc w:val="left"/>
              <w:rPr>
                <w:rFonts w:ascii="Arial Narrow" w:hAnsi="Arial Narrow"/>
                <w:sz w:val="20"/>
                <w:szCs w:val="20"/>
              </w:rPr>
            </w:pPr>
            <w:r w:rsidRPr="000A33D2">
              <w:rPr>
                <w:rFonts w:ascii="Arial Narrow" w:hAnsi="Arial Narrow"/>
                <w:sz w:val="20"/>
                <w:szCs w:val="20"/>
              </w:rPr>
              <w:t>HR (95% CI)</w:t>
            </w:r>
          </w:p>
        </w:tc>
        <w:tc>
          <w:tcPr>
            <w:tcW w:w="2345" w:type="dxa"/>
            <w:gridSpan w:val="2"/>
          </w:tcPr>
          <w:p w14:paraId="3C31706E" w14:textId="5095CA47" w:rsidR="009D78E8" w:rsidRPr="000A33D2" w:rsidRDefault="009D78E8" w:rsidP="009D78E8">
            <w:pPr>
              <w:keepNext/>
              <w:keepLines/>
              <w:jc w:val="center"/>
              <w:rPr>
                <w:rFonts w:ascii="Arial Narrow" w:hAnsi="Arial Narrow"/>
                <w:b/>
                <w:bCs/>
                <w:sz w:val="20"/>
                <w:szCs w:val="20"/>
              </w:rPr>
            </w:pPr>
            <w:r w:rsidRPr="000A33D2">
              <w:rPr>
                <w:rFonts w:ascii="Arial Narrow" w:hAnsi="Arial Narrow"/>
                <w:sz w:val="20"/>
                <w:szCs w:val="20"/>
              </w:rPr>
              <w:t>NA</w:t>
            </w:r>
          </w:p>
        </w:tc>
        <w:tc>
          <w:tcPr>
            <w:tcW w:w="2346" w:type="dxa"/>
            <w:gridSpan w:val="2"/>
          </w:tcPr>
          <w:p w14:paraId="206E4C9B" w14:textId="09BF1A8E" w:rsidR="009D78E8" w:rsidRPr="000A33D2" w:rsidRDefault="009D78E8" w:rsidP="009D78E8">
            <w:pPr>
              <w:keepNext/>
              <w:keepLines/>
              <w:jc w:val="center"/>
              <w:rPr>
                <w:rFonts w:ascii="Arial Narrow" w:hAnsi="Arial Narrow"/>
                <w:sz w:val="20"/>
                <w:szCs w:val="20"/>
              </w:rPr>
            </w:pPr>
            <w:r w:rsidRPr="000A33D2">
              <w:rPr>
                <w:rFonts w:ascii="Arial Narrow" w:hAnsi="Arial Narrow"/>
                <w:b/>
                <w:bCs/>
                <w:sz w:val="20"/>
                <w:szCs w:val="20"/>
              </w:rPr>
              <w:t>0.30 (0.19, 0.48)</w:t>
            </w:r>
            <w:r w:rsidRPr="000A33D2">
              <w:rPr>
                <w:rFonts w:ascii="Arial Narrow" w:hAnsi="Arial Narrow"/>
                <w:b/>
                <w:bCs/>
                <w:sz w:val="20"/>
                <w:szCs w:val="20"/>
                <w:vertAlign w:val="superscript"/>
              </w:rPr>
              <w:t xml:space="preserve"> </w:t>
            </w:r>
            <w:r w:rsidR="003C0A82" w:rsidRPr="000A33D2">
              <w:rPr>
                <w:rFonts w:ascii="Arial Narrow" w:hAnsi="Arial Narrow"/>
                <w:b/>
                <w:bCs/>
                <w:sz w:val="20"/>
                <w:szCs w:val="20"/>
                <w:vertAlign w:val="superscript"/>
              </w:rPr>
              <w:t>h</w:t>
            </w:r>
          </w:p>
        </w:tc>
        <w:tc>
          <w:tcPr>
            <w:tcW w:w="2346" w:type="dxa"/>
            <w:gridSpan w:val="2"/>
          </w:tcPr>
          <w:p w14:paraId="67ED353A" w14:textId="036A7F93" w:rsidR="009D78E8" w:rsidRPr="000A33D2" w:rsidRDefault="009D78E8" w:rsidP="009D78E8">
            <w:pPr>
              <w:keepNext/>
              <w:keepLines/>
              <w:jc w:val="center"/>
              <w:rPr>
                <w:rFonts w:ascii="Arial Narrow" w:hAnsi="Arial Narrow"/>
                <w:b/>
                <w:bCs/>
                <w:sz w:val="20"/>
                <w:szCs w:val="20"/>
              </w:rPr>
            </w:pPr>
            <w:r w:rsidRPr="000A33D2">
              <w:rPr>
                <w:rFonts w:ascii="Arial Narrow" w:hAnsi="Arial Narrow"/>
                <w:b/>
                <w:bCs/>
                <w:sz w:val="20"/>
                <w:szCs w:val="20"/>
              </w:rPr>
              <w:t>0.54 (0.41, 0.71)</w:t>
            </w:r>
            <w:r w:rsidRPr="000A33D2">
              <w:rPr>
                <w:rFonts w:ascii="Arial Narrow" w:hAnsi="Arial Narrow"/>
                <w:b/>
                <w:bCs/>
                <w:sz w:val="20"/>
                <w:szCs w:val="20"/>
                <w:vertAlign w:val="superscript"/>
              </w:rPr>
              <w:t xml:space="preserve"> </w:t>
            </w:r>
            <w:r w:rsidR="003C0A82" w:rsidRPr="000A33D2">
              <w:rPr>
                <w:rFonts w:ascii="Arial Narrow" w:hAnsi="Arial Narrow"/>
                <w:b/>
                <w:bCs/>
                <w:sz w:val="20"/>
                <w:szCs w:val="20"/>
                <w:vertAlign w:val="superscript"/>
              </w:rPr>
              <w:t>h</w:t>
            </w:r>
          </w:p>
        </w:tc>
      </w:tr>
    </w:tbl>
    <w:p w14:paraId="3BDA7060" w14:textId="77777777" w:rsidR="00020C11" w:rsidRPr="000A33D2" w:rsidRDefault="00020C11" w:rsidP="00020C11">
      <w:pPr>
        <w:pStyle w:val="FooterTableFigure"/>
        <w:keepNext/>
        <w:keepLines/>
      </w:pPr>
      <w:r w:rsidRPr="000A33D2">
        <w:t>Source: Constructed during the evaluation using data sourced from Table 4, p15 of the pembrolizumab PSD, March 2022 PBAC meeting, and Tables 30&amp;31, p67&amp;69 of the submission.</w:t>
      </w:r>
    </w:p>
    <w:p w14:paraId="560D2859" w14:textId="79F9BF1E" w:rsidR="00824B84" w:rsidRPr="000A33D2" w:rsidRDefault="00824B84" w:rsidP="00020C11">
      <w:pPr>
        <w:pStyle w:val="FooterTableFigure"/>
        <w:keepNext/>
        <w:keepLines/>
      </w:pPr>
      <w:r w:rsidRPr="000A33D2">
        <w:t>Blue shaded cells indicate values previously considered by the PBAC</w:t>
      </w:r>
    </w:p>
    <w:p w14:paraId="4615EEBD" w14:textId="77777777" w:rsidR="00020C11" w:rsidRPr="000A33D2" w:rsidRDefault="00020C11" w:rsidP="00020C11">
      <w:pPr>
        <w:pStyle w:val="FooterTableFigure"/>
        <w:keepNext/>
        <w:keepLines/>
      </w:pPr>
      <w:r w:rsidRPr="000A33D2">
        <w:t>1L = first line; 2L = second line; Chemo = chemotherapy; CI = confidence interval; CP = carboplatin-paclitaxel; dMMR = deficient mismatch repair; DOS = dostarlimab; HR = hazard ratio; LEN = lenvatinib; MSI-H = high microsatellite instability; MSS = microsatellite stable; N = total participants in group; NR =not reached; OS = overall survival; PEM = pembrolizumab; PFS = progression free survival; pMMR = proficient mismatch repair; Tx = treatment.</w:t>
      </w:r>
    </w:p>
    <w:p w14:paraId="527496A9" w14:textId="1F80FEE5" w:rsidR="00020C11" w:rsidRPr="000A33D2" w:rsidRDefault="00020C11" w:rsidP="00020C11">
      <w:pPr>
        <w:pStyle w:val="FooterTableFigure"/>
        <w:keepNext/>
        <w:keepLines/>
      </w:pPr>
      <w:r w:rsidRPr="000A33D2">
        <w:t>a Stratified log-rank test p-value (0.0021) was marginally outside the stopping boundary for claiming statistical significance (p=0.00177)</w:t>
      </w:r>
      <w:r w:rsidR="000A33D2">
        <w:t xml:space="preserve">. </w:t>
      </w:r>
    </w:p>
    <w:p w14:paraId="5DC4AE9B" w14:textId="05B0F90B" w:rsidR="00020C11" w:rsidRPr="000A33D2" w:rsidRDefault="00020C11" w:rsidP="00020C11">
      <w:pPr>
        <w:pStyle w:val="FooterTableFigure"/>
        <w:keepNext/>
        <w:keepLines/>
      </w:pPr>
      <w:r w:rsidRPr="000A33D2">
        <w:t>b p=0.0016</w:t>
      </w:r>
      <w:r w:rsidR="000A33D2">
        <w:t xml:space="preserve">. </w:t>
      </w:r>
      <w:r w:rsidRPr="000A33D2">
        <w:t>Not primary endpoint and should be interpreted with caution</w:t>
      </w:r>
    </w:p>
    <w:p w14:paraId="5D6B48A6" w14:textId="11E93A23" w:rsidR="00020C11" w:rsidRPr="000A33D2" w:rsidRDefault="00020C11" w:rsidP="00020C11">
      <w:pPr>
        <w:pStyle w:val="FooterTableFigure"/>
        <w:keepNext/>
        <w:keepLines/>
      </w:pPr>
      <w:r w:rsidRPr="000A33D2">
        <w:t>c p=0.0333. Not primary endpoint and should be interpreted with caution</w:t>
      </w:r>
    </w:p>
    <w:p w14:paraId="77CEE80F" w14:textId="3086A757" w:rsidR="00020C11" w:rsidRPr="000A33D2" w:rsidRDefault="00020C11" w:rsidP="00020C11">
      <w:pPr>
        <w:pStyle w:val="FooterTableFigure"/>
        <w:keepNext/>
        <w:keepLines/>
      </w:pPr>
      <w:r w:rsidRPr="000A33D2">
        <w:t>d p&lt;0.001</w:t>
      </w:r>
    </w:p>
    <w:p w14:paraId="57A98CE5" w14:textId="3B68131A" w:rsidR="00020C11" w:rsidRPr="000A33D2" w:rsidRDefault="00020C11" w:rsidP="00020C11">
      <w:pPr>
        <w:pStyle w:val="FooterTableFigure"/>
        <w:keepNext/>
        <w:keepLines/>
      </w:pPr>
      <w:r w:rsidRPr="000A33D2">
        <w:t>e p=0.00177. Not primary endpoint and should be interpreted with caution</w:t>
      </w:r>
    </w:p>
    <w:p w14:paraId="1E8F1A5D" w14:textId="77777777" w:rsidR="00020C11" w:rsidRPr="000A33D2" w:rsidRDefault="00020C11" w:rsidP="00020C11">
      <w:pPr>
        <w:pStyle w:val="FooterTableFigure"/>
        <w:keepNext/>
        <w:keepLines/>
      </w:pPr>
      <w:r w:rsidRPr="000A33D2">
        <w:t xml:space="preserve">f nominally p&lt;0.0001 as per submission, but not part of formal statistical analysis plan and should be considered exploratory </w:t>
      </w:r>
    </w:p>
    <w:p w14:paraId="62237EE1" w14:textId="0E3841EB" w:rsidR="00156FDD" w:rsidRPr="000A33D2" w:rsidRDefault="00156FDD" w:rsidP="00020C11">
      <w:pPr>
        <w:pStyle w:val="FooterTableFigure"/>
        <w:keepNext/>
        <w:keepLines/>
      </w:pPr>
      <w:r w:rsidRPr="000A33D2">
        <w:t xml:space="preserve">g As reported </w:t>
      </w:r>
      <w:r w:rsidR="00693787" w:rsidRPr="000A33D2">
        <w:t>in Makker 2023</w:t>
      </w:r>
      <w:r w:rsidR="006D4E6D" w:rsidRPr="000A33D2">
        <w:rPr>
          <w:rStyle w:val="FootnoteReference"/>
        </w:rPr>
        <w:footnoteReference w:id="4"/>
      </w:r>
      <w:r w:rsidR="00693787" w:rsidRPr="000A33D2">
        <w:t xml:space="preserve">, with median follow up of </w:t>
      </w:r>
      <w:r w:rsidR="00CE4971" w:rsidRPr="000A33D2">
        <w:t xml:space="preserve">18.7 months in PEM + LEN and 12.2 months in chemo arm. </w:t>
      </w:r>
      <w:r w:rsidR="00FA618E" w:rsidRPr="000A33D2">
        <w:t>As this was not a planned analysis, none of the results were formally tested for statistical significance</w:t>
      </w:r>
      <w:r w:rsidR="003C0A82" w:rsidRPr="000A33D2">
        <w:t xml:space="preserve"> and p values not reported</w:t>
      </w:r>
      <w:r w:rsidR="00FA618E" w:rsidRPr="000A33D2">
        <w:t>.</w:t>
      </w:r>
    </w:p>
    <w:p w14:paraId="2B6B8C57" w14:textId="49909615" w:rsidR="00D75E12" w:rsidRPr="000A33D2" w:rsidRDefault="003C0A82" w:rsidP="00020C11">
      <w:pPr>
        <w:pStyle w:val="FooterTableFigure"/>
        <w:keepNext/>
        <w:keepLines/>
      </w:pPr>
      <w:r w:rsidRPr="000A33D2">
        <w:t>h</w:t>
      </w:r>
      <w:r w:rsidR="00D75E12" w:rsidRPr="000A33D2">
        <w:t xml:space="preserve"> p&lt;0.001</w:t>
      </w:r>
    </w:p>
    <w:p w14:paraId="72F32E36" w14:textId="77777777" w:rsidR="00020C11" w:rsidRPr="000A33D2" w:rsidRDefault="00020C11" w:rsidP="00020C11">
      <w:pPr>
        <w:pStyle w:val="FooterTableFigure"/>
        <w:keepNext/>
        <w:keepLines/>
      </w:pPr>
      <w:r w:rsidRPr="000A33D2">
        <w:t>Note that the alpha value for PFS in KN775 was 0.0005 due to multiplicity adjustments, therefore a 95% confidence interval may not be informative</w:t>
      </w:r>
    </w:p>
    <w:p w14:paraId="62654A92" w14:textId="4C5CE80A" w:rsidR="00020C11" w:rsidRPr="000A33D2" w:rsidRDefault="00020C11" w:rsidP="00507DDF">
      <w:pPr>
        <w:pStyle w:val="FooterTableFigure"/>
        <w:keepLines/>
      </w:pPr>
      <w:r w:rsidRPr="000A33D2">
        <w:t>Text in bold indicate statistically significant results</w:t>
      </w:r>
    </w:p>
    <w:p w14:paraId="7AD0C3FA" w14:textId="2D4E6A28" w:rsidR="009A5A04" w:rsidRPr="000A33D2" w:rsidRDefault="009A5A04" w:rsidP="00917D2C">
      <w:pPr>
        <w:pStyle w:val="3-BodyText"/>
      </w:pPr>
      <w:r w:rsidRPr="000A33D2">
        <w:lastRenderedPageBreak/>
        <w:t>Interim results from NCT03914612 indicate that the addition of PEM to standard 1L chemotherapy resulted in significantly longer PFS than with chemotherapy alone, regardless of MMR status.</w:t>
      </w:r>
    </w:p>
    <w:p w14:paraId="721A6C54" w14:textId="146CCDDF" w:rsidR="002A5B8F" w:rsidRPr="000A33D2" w:rsidRDefault="002A5B8F" w:rsidP="00917D2C">
      <w:pPr>
        <w:pStyle w:val="3-BodyText"/>
      </w:pPr>
      <w:r w:rsidRPr="000A33D2">
        <w:t xml:space="preserve">Based on the results of RUBY, in patients with pMMR EC, it </w:t>
      </w:r>
      <w:r w:rsidR="00C26040" w:rsidRPr="000A33D2">
        <w:t>wa</w:t>
      </w:r>
      <w:r w:rsidRPr="000A33D2">
        <w:t xml:space="preserve">s unclear whether 1L DOS+CP </w:t>
      </w:r>
      <w:r w:rsidR="0023681D" w:rsidRPr="000A33D2">
        <w:t>wa</w:t>
      </w:r>
      <w:r w:rsidRPr="000A33D2">
        <w:t xml:space="preserve">s superior to 1L </w:t>
      </w:r>
      <w:r w:rsidR="00AF095C" w:rsidRPr="000A33D2">
        <w:t>CP</w:t>
      </w:r>
      <w:r w:rsidRPr="000A33D2">
        <w:t xml:space="preserve"> </w:t>
      </w:r>
      <w:r w:rsidR="009A0939" w:rsidRPr="000A33D2">
        <w:t xml:space="preserve">(see paragraph </w:t>
      </w:r>
      <w:r w:rsidR="009A0939" w:rsidRPr="000A33D2">
        <w:fldChar w:fldCharType="begin" w:fldLock="1"/>
      </w:r>
      <w:r w:rsidR="009A0939" w:rsidRPr="000A33D2">
        <w:instrText xml:space="preserve"> REF _Ref144381439 \r \h </w:instrText>
      </w:r>
      <w:r w:rsidR="00F01DE4" w:rsidRPr="000A33D2">
        <w:instrText xml:space="preserve"> \* MERGEFORMAT </w:instrText>
      </w:r>
      <w:r w:rsidR="009A0939" w:rsidRPr="000A33D2">
        <w:fldChar w:fldCharType="separate"/>
      </w:r>
      <w:r w:rsidR="00B62E71">
        <w:t>6.23</w:t>
      </w:r>
      <w:r w:rsidR="009A0939" w:rsidRPr="000A33D2">
        <w:fldChar w:fldCharType="end"/>
      </w:r>
      <w:r w:rsidR="009A0939" w:rsidRPr="000A33D2">
        <w:t>)</w:t>
      </w:r>
      <w:r w:rsidR="0023681D" w:rsidRPr="000A33D2">
        <w:t>.</w:t>
      </w:r>
      <w:r w:rsidRPr="000A33D2">
        <w:t xml:space="preserve"> </w:t>
      </w:r>
      <w:r w:rsidR="00C26040" w:rsidRPr="000A33D2">
        <w:t>Comparatively</w:t>
      </w:r>
      <w:r w:rsidR="0023681D" w:rsidRPr="000A33D2">
        <w:t>, the PBAC</w:t>
      </w:r>
      <w:r w:rsidR="00C26040" w:rsidRPr="000A33D2">
        <w:t xml:space="preserve"> (at the March 2022 PBAC meeting) </w:t>
      </w:r>
      <w:r w:rsidRPr="000A33D2">
        <w:t xml:space="preserve">accepted that 1L PBC </w:t>
      </w:r>
      <w:r w:rsidR="0023681D" w:rsidRPr="000A33D2">
        <w:t>followed by</w:t>
      </w:r>
      <w:r w:rsidRPr="000A33D2">
        <w:t xml:space="preserve"> 2L PEM+LEN </w:t>
      </w:r>
      <w:r w:rsidR="0023681D" w:rsidRPr="000A33D2">
        <w:t>was</w:t>
      </w:r>
      <w:r w:rsidRPr="000A33D2">
        <w:t xml:space="preserve"> superior to 1L PBC </w:t>
      </w:r>
      <w:r w:rsidR="00C26040" w:rsidRPr="000A33D2">
        <w:t xml:space="preserve">followed by </w:t>
      </w:r>
      <w:r w:rsidRPr="000A33D2">
        <w:t xml:space="preserve">2L chemotherapy (based on results of KN775). </w:t>
      </w:r>
      <w:r w:rsidR="005C1A1C" w:rsidRPr="000A33D2">
        <w:t>Under the current PBS restriction for PEM+LEN, if a patient received 1L treatment with DOS</w:t>
      </w:r>
      <w:r w:rsidR="007F6870" w:rsidRPr="000A33D2">
        <w:t>+</w:t>
      </w:r>
      <w:r w:rsidR="005C1A1C" w:rsidRPr="000A33D2">
        <w:t xml:space="preserve">CP, </w:t>
      </w:r>
      <w:r w:rsidR="00E3195D" w:rsidRPr="000A33D2">
        <w:t xml:space="preserve">they </w:t>
      </w:r>
      <w:r w:rsidR="005C1A1C" w:rsidRPr="000A33D2">
        <w:t>would not be eligible for 2L treatment with PEN+LEN</w:t>
      </w:r>
      <w:r w:rsidR="00945C02" w:rsidRPr="000A33D2">
        <w:t xml:space="preserve"> with PBS subsidy</w:t>
      </w:r>
      <w:r w:rsidR="001775DA" w:rsidRPr="000A33D2">
        <w:t xml:space="preserve">. As such, patients </w:t>
      </w:r>
      <w:r w:rsidR="007F6870" w:rsidRPr="000A33D2">
        <w:t xml:space="preserve">with pMMR EC </w:t>
      </w:r>
      <w:r w:rsidR="001775DA" w:rsidRPr="000A33D2">
        <w:t xml:space="preserve">treated with 1L DOS+CP </w:t>
      </w:r>
      <w:r w:rsidR="00EF1C11" w:rsidRPr="000A33D2">
        <w:t xml:space="preserve">(with uncertain incremental benefit compared to </w:t>
      </w:r>
      <w:r w:rsidR="00E3195D" w:rsidRPr="000A33D2">
        <w:t>CP</w:t>
      </w:r>
      <w:r w:rsidR="00EF1C11" w:rsidRPr="000A33D2">
        <w:t xml:space="preserve"> based on RUBY) </w:t>
      </w:r>
      <w:r w:rsidR="00407BD2" w:rsidRPr="000A33D2">
        <w:t xml:space="preserve">would be </w:t>
      </w:r>
      <w:r w:rsidR="00B82A79" w:rsidRPr="000A33D2">
        <w:t xml:space="preserve">unable to access </w:t>
      </w:r>
      <w:r w:rsidR="005D0EFB" w:rsidRPr="000A33D2">
        <w:t xml:space="preserve">PBS-subsidised </w:t>
      </w:r>
      <w:r w:rsidR="00182084" w:rsidRPr="000A33D2">
        <w:t>2L PEM+LEN</w:t>
      </w:r>
      <w:r w:rsidR="00EF1C11" w:rsidRPr="000A33D2">
        <w:t xml:space="preserve"> (with accepted incremental benefit compared to</w:t>
      </w:r>
      <w:r w:rsidR="00452AB9" w:rsidRPr="000A33D2">
        <w:t xml:space="preserve"> 2L</w:t>
      </w:r>
      <w:r w:rsidR="00EF1C11" w:rsidRPr="000A33D2">
        <w:t xml:space="preserve"> </w:t>
      </w:r>
      <w:r w:rsidR="006419E3" w:rsidRPr="000A33D2">
        <w:t xml:space="preserve">chemotherapy </w:t>
      </w:r>
      <w:r w:rsidR="00EF1C11" w:rsidRPr="000A33D2">
        <w:t>based on KN775)</w:t>
      </w:r>
      <w:r w:rsidR="008D428C" w:rsidRPr="000A33D2">
        <w:t xml:space="preserve">, </w:t>
      </w:r>
      <w:r w:rsidR="00407BD2" w:rsidRPr="000A33D2">
        <w:t xml:space="preserve">and </w:t>
      </w:r>
      <w:r w:rsidR="009A0939" w:rsidRPr="000A33D2">
        <w:t xml:space="preserve">this </w:t>
      </w:r>
      <w:r w:rsidR="00407BD2" w:rsidRPr="000A33D2">
        <w:t xml:space="preserve">may result </w:t>
      </w:r>
      <w:r w:rsidR="008D428C" w:rsidRPr="000A33D2">
        <w:t>in a worse outcome for patients with pMMR EC</w:t>
      </w:r>
      <w:r w:rsidR="00182084" w:rsidRPr="000A33D2">
        <w:t xml:space="preserve">. </w:t>
      </w:r>
    </w:p>
    <w:p w14:paraId="1A6D7D68" w14:textId="3F59434A" w:rsidR="00C170E5" w:rsidRPr="000A33D2" w:rsidRDefault="00C170E5" w:rsidP="00917D2C">
      <w:pPr>
        <w:pStyle w:val="3-BodyText"/>
      </w:pPr>
      <w:r w:rsidRPr="000A33D2">
        <w:t>The PBAC also noted the results of the DUO-E trial, published in October 2023</w:t>
      </w:r>
      <w:r w:rsidR="002A1287" w:rsidRPr="000A33D2">
        <w:rPr>
          <w:rStyle w:val="FootnoteReference"/>
        </w:rPr>
        <w:footnoteReference w:id="5"/>
      </w:r>
      <w:r w:rsidRPr="000A33D2">
        <w:t xml:space="preserve">, which compared 3 treatment arms: (1) chemotherapy, (2) durvalumab + chemotherapy, followed by durvalumab and (3) durvalumab + chemotherapy, followed by durvalumab + olaparib. </w:t>
      </w:r>
      <w:r w:rsidR="00A155B6" w:rsidRPr="000A33D2">
        <w:t>In the ITT population the PFS HR was 0.71 (</w:t>
      </w:r>
      <w:r w:rsidR="002A1287" w:rsidRPr="000A33D2">
        <w:t xml:space="preserve">95%CI, 0.57, 0.89; </w:t>
      </w:r>
      <w:r w:rsidR="00A155B6" w:rsidRPr="000A33D2">
        <w:t>p=0.003) for the durvalumab arm (arm 2)</w:t>
      </w:r>
      <w:r w:rsidR="002A1287" w:rsidRPr="000A33D2">
        <w:t xml:space="preserve"> compared with chemotherapy (arm 1)</w:t>
      </w:r>
      <w:r w:rsidR="00A155B6" w:rsidRPr="000A33D2">
        <w:t xml:space="preserve">. </w:t>
      </w:r>
      <w:r w:rsidRPr="000A33D2">
        <w:t>The PBAC noted that there appeared to be additional benefit from the addition of olaparib for the pMMR population (PFS HR 0.77 for durvalumab vs 0.57 for durvalumab + olaparib) whereas there was no additional benefit for the dMMR group (PFS HR 0.</w:t>
      </w:r>
      <w:r w:rsidR="004F3016" w:rsidRPr="000A33D2">
        <w:t>42</w:t>
      </w:r>
      <w:r w:rsidRPr="000A33D2">
        <w:t xml:space="preserve"> for durvalumab vs 0.</w:t>
      </w:r>
      <w:r w:rsidR="004F3016" w:rsidRPr="000A33D2">
        <w:t>41</w:t>
      </w:r>
      <w:r w:rsidRPr="000A33D2">
        <w:t xml:space="preserve"> for durvalumab + olaparib)</w:t>
      </w:r>
      <w:r w:rsidR="004F3016" w:rsidRPr="000A33D2">
        <w:t xml:space="preserve">. </w:t>
      </w:r>
    </w:p>
    <w:p w14:paraId="71DEBB7D" w14:textId="4D941632" w:rsidR="00400B6F" w:rsidRPr="000A33D2" w:rsidRDefault="00400B6F" w:rsidP="00B62E71">
      <w:pPr>
        <w:pStyle w:val="Heading3"/>
        <w:spacing w:after="120"/>
      </w:pPr>
      <w:r w:rsidRPr="000A33D2">
        <w:t xml:space="preserve">Secondary outcomes </w:t>
      </w:r>
    </w:p>
    <w:p w14:paraId="0981A3BA" w14:textId="069D88B6" w:rsidR="00AF1977" w:rsidRPr="000A33D2" w:rsidRDefault="00AF1977" w:rsidP="00A367B7">
      <w:pPr>
        <w:pStyle w:val="3-BodyText"/>
      </w:pPr>
      <w:r w:rsidRPr="000A33D2">
        <w:t xml:space="preserve">RUBY also reported </w:t>
      </w:r>
      <w:r w:rsidR="00F42CD2" w:rsidRPr="000A33D2">
        <w:t>objective response rate (ORR), disease control rate (DCR), duration of response (DOR) and progression-free survival 2 (PFS2)</w:t>
      </w:r>
      <w:r w:rsidR="000A28A5" w:rsidRPr="000A33D2">
        <w:t>, defined as time from randomisation until the date of disease progression on first subsequent anticancer therapy following study treatment or death by any cause</w:t>
      </w:r>
      <w:r w:rsidR="00F42CD2" w:rsidRPr="000A33D2">
        <w:t>.</w:t>
      </w:r>
      <w:r w:rsidR="00B72F9F" w:rsidRPr="000A33D2">
        <w:t xml:space="preserve"> The results of these key secondary outcomes are presented in </w:t>
      </w:r>
      <w:r w:rsidR="00B72F9F" w:rsidRPr="000A33D2">
        <w:fldChar w:fldCharType="begin" w:fldLock="1"/>
      </w:r>
      <w:r w:rsidR="00B72F9F" w:rsidRPr="000A33D2">
        <w:instrText xml:space="preserve"> REF _Ref144736010 \h </w:instrText>
      </w:r>
      <w:r w:rsidR="00B72F9F" w:rsidRPr="000A33D2">
        <w:fldChar w:fldCharType="separate"/>
      </w:r>
      <w:r w:rsidR="00B62E71" w:rsidRPr="000A33D2">
        <w:t xml:space="preserve">Table </w:t>
      </w:r>
      <w:r w:rsidR="00B62E71">
        <w:rPr>
          <w:noProof/>
        </w:rPr>
        <w:t>8</w:t>
      </w:r>
      <w:r w:rsidR="00B72F9F" w:rsidRPr="000A33D2">
        <w:fldChar w:fldCharType="end"/>
      </w:r>
      <w:r w:rsidR="00B72F9F" w:rsidRPr="000A33D2">
        <w:t xml:space="preserve">. </w:t>
      </w:r>
      <w:r w:rsidR="00507DDF" w:rsidRPr="000A33D2">
        <w:t>Results generally suggest more favourable outcomes in the DOS+CP arm compared to the PBO+CP arm</w:t>
      </w:r>
      <w:r w:rsidR="00D13660" w:rsidRPr="000A33D2">
        <w:t>, though no statistical testing could be conducted based on the statistical analysis plan.</w:t>
      </w:r>
    </w:p>
    <w:p w14:paraId="25412E48" w14:textId="1AF74A85" w:rsidR="00606E33" w:rsidRPr="000A33D2" w:rsidRDefault="00FD5CB3" w:rsidP="00FD5CB3">
      <w:pPr>
        <w:pStyle w:val="Caption"/>
      </w:pPr>
      <w:bookmarkStart w:id="44" w:name="_Ref144736010"/>
      <w:r w:rsidRPr="000A33D2">
        <w:lastRenderedPageBreak/>
        <w:t xml:space="preserve">Table </w:t>
      </w:r>
      <w:r>
        <w:fldChar w:fldCharType="begin" w:fldLock="1"/>
      </w:r>
      <w:r>
        <w:instrText>SEQ Table \* ARABIC</w:instrText>
      </w:r>
      <w:r>
        <w:fldChar w:fldCharType="separate"/>
      </w:r>
      <w:r w:rsidR="00B62E71">
        <w:rPr>
          <w:noProof/>
        </w:rPr>
        <w:t>8</w:t>
      </w:r>
      <w:r>
        <w:fldChar w:fldCharType="end"/>
      </w:r>
      <w:bookmarkEnd w:id="44"/>
      <w:r w:rsidRPr="000A33D2">
        <w:t>: Key secondary outcomes in RUBY</w:t>
      </w:r>
    </w:p>
    <w:tbl>
      <w:tblPr>
        <w:tblStyle w:val="TableGrid"/>
        <w:tblW w:w="0" w:type="auto"/>
        <w:tblLook w:val="04A0" w:firstRow="1" w:lastRow="0" w:firstColumn="1" w:lastColumn="0" w:noHBand="0" w:noVBand="1"/>
      </w:tblPr>
      <w:tblGrid>
        <w:gridCol w:w="2263"/>
        <w:gridCol w:w="1125"/>
        <w:gridCol w:w="1126"/>
        <w:gridCol w:w="1126"/>
        <w:gridCol w:w="1125"/>
        <w:gridCol w:w="1126"/>
        <w:gridCol w:w="1126"/>
      </w:tblGrid>
      <w:tr w:rsidR="00784864" w:rsidRPr="000A33D2" w14:paraId="5B78CE3E" w14:textId="77777777" w:rsidTr="0081425B">
        <w:tc>
          <w:tcPr>
            <w:tcW w:w="2263" w:type="dxa"/>
            <w:vMerge w:val="restart"/>
            <w:shd w:val="clear" w:color="auto" w:fill="auto"/>
            <w:vAlign w:val="center"/>
          </w:tcPr>
          <w:p w14:paraId="65F377A3" w14:textId="77777777" w:rsidR="00784864" w:rsidRPr="000A33D2" w:rsidRDefault="00784864" w:rsidP="00A60462">
            <w:pPr>
              <w:keepNext/>
              <w:keepLines/>
              <w:rPr>
                <w:rFonts w:ascii="Arial Narrow" w:hAnsi="Arial Narrow"/>
                <w:sz w:val="20"/>
                <w:szCs w:val="20"/>
              </w:rPr>
            </w:pPr>
          </w:p>
        </w:tc>
        <w:tc>
          <w:tcPr>
            <w:tcW w:w="2251" w:type="dxa"/>
            <w:gridSpan w:val="2"/>
            <w:shd w:val="clear" w:color="auto" w:fill="auto"/>
            <w:vAlign w:val="center"/>
          </w:tcPr>
          <w:p w14:paraId="484196E2"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All-comers</w:t>
            </w:r>
          </w:p>
        </w:tc>
        <w:tc>
          <w:tcPr>
            <w:tcW w:w="2251" w:type="dxa"/>
            <w:gridSpan w:val="2"/>
            <w:shd w:val="clear" w:color="auto" w:fill="auto"/>
            <w:vAlign w:val="center"/>
          </w:tcPr>
          <w:p w14:paraId="174640CF"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dMMR/MSI-H</w:t>
            </w:r>
          </w:p>
        </w:tc>
        <w:tc>
          <w:tcPr>
            <w:tcW w:w="2252" w:type="dxa"/>
            <w:gridSpan w:val="2"/>
            <w:shd w:val="clear" w:color="auto" w:fill="auto"/>
            <w:vAlign w:val="center"/>
          </w:tcPr>
          <w:p w14:paraId="7D30FD78"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pMMR/MSS</w:t>
            </w:r>
          </w:p>
        </w:tc>
      </w:tr>
      <w:tr w:rsidR="00784864" w:rsidRPr="000A33D2" w14:paraId="2C90C8CB" w14:textId="77777777" w:rsidTr="0081425B">
        <w:tc>
          <w:tcPr>
            <w:tcW w:w="2263" w:type="dxa"/>
            <w:vMerge/>
            <w:shd w:val="clear" w:color="auto" w:fill="auto"/>
          </w:tcPr>
          <w:p w14:paraId="448CFEDC" w14:textId="77777777" w:rsidR="00784864" w:rsidRPr="000A33D2" w:rsidRDefault="00784864" w:rsidP="00A60462">
            <w:pPr>
              <w:keepNext/>
              <w:keepLines/>
              <w:rPr>
                <w:rFonts w:ascii="Arial Narrow" w:hAnsi="Arial Narrow"/>
                <w:sz w:val="20"/>
                <w:szCs w:val="20"/>
              </w:rPr>
            </w:pPr>
          </w:p>
        </w:tc>
        <w:tc>
          <w:tcPr>
            <w:tcW w:w="1125" w:type="dxa"/>
            <w:shd w:val="clear" w:color="auto" w:fill="auto"/>
            <w:vAlign w:val="center"/>
          </w:tcPr>
          <w:p w14:paraId="701A0BB2"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DOS+CP</w:t>
            </w:r>
          </w:p>
        </w:tc>
        <w:tc>
          <w:tcPr>
            <w:tcW w:w="1126" w:type="dxa"/>
            <w:shd w:val="clear" w:color="auto" w:fill="auto"/>
            <w:vAlign w:val="center"/>
          </w:tcPr>
          <w:p w14:paraId="323F9A56"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PBO+CP</w:t>
            </w:r>
          </w:p>
        </w:tc>
        <w:tc>
          <w:tcPr>
            <w:tcW w:w="1126" w:type="dxa"/>
            <w:shd w:val="clear" w:color="auto" w:fill="auto"/>
            <w:vAlign w:val="center"/>
          </w:tcPr>
          <w:p w14:paraId="4D1093A8"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DOS+CP</w:t>
            </w:r>
          </w:p>
        </w:tc>
        <w:tc>
          <w:tcPr>
            <w:tcW w:w="1125" w:type="dxa"/>
            <w:shd w:val="clear" w:color="auto" w:fill="auto"/>
            <w:vAlign w:val="center"/>
          </w:tcPr>
          <w:p w14:paraId="0FFD79A3"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PBO+CP</w:t>
            </w:r>
          </w:p>
        </w:tc>
        <w:tc>
          <w:tcPr>
            <w:tcW w:w="1126" w:type="dxa"/>
            <w:shd w:val="clear" w:color="auto" w:fill="auto"/>
            <w:vAlign w:val="center"/>
          </w:tcPr>
          <w:p w14:paraId="0A302162"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DOS+CP</w:t>
            </w:r>
          </w:p>
        </w:tc>
        <w:tc>
          <w:tcPr>
            <w:tcW w:w="1126" w:type="dxa"/>
            <w:shd w:val="clear" w:color="auto" w:fill="auto"/>
            <w:vAlign w:val="center"/>
          </w:tcPr>
          <w:p w14:paraId="737D64CC" w14:textId="77777777" w:rsidR="00784864" w:rsidRPr="000A33D2" w:rsidRDefault="00784864" w:rsidP="00A60462">
            <w:pPr>
              <w:keepNext/>
              <w:keepLines/>
              <w:jc w:val="center"/>
              <w:rPr>
                <w:rFonts w:ascii="Arial Narrow" w:hAnsi="Arial Narrow"/>
                <w:b/>
                <w:bCs/>
                <w:sz w:val="20"/>
                <w:szCs w:val="20"/>
              </w:rPr>
            </w:pPr>
            <w:r w:rsidRPr="000A33D2">
              <w:rPr>
                <w:rFonts w:ascii="Arial Narrow" w:hAnsi="Arial Narrow"/>
                <w:b/>
                <w:bCs/>
                <w:sz w:val="20"/>
                <w:szCs w:val="20"/>
              </w:rPr>
              <w:t>PBO+CP</w:t>
            </w:r>
          </w:p>
        </w:tc>
      </w:tr>
      <w:tr w:rsidR="00784864" w:rsidRPr="000A33D2" w14:paraId="4C08D4A1" w14:textId="77777777" w:rsidTr="0081425B">
        <w:tc>
          <w:tcPr>
            <w:tcW w:w="2263" w:type="dxa"/>
            <w:shd w:val="clear" w:color="auto" w:fill="auto"/>
            <w:vAlign w:val="center"/>
          </w:tcPr>
          <w:p w14:paraId="4973CFC3" w14:textId="77777777" w:rsidR="00784864" w:rsidRPr="000A33D2" w:rsidRDefault="00784864" w:rsidP="00A60462">
            <w:pPr>
              <w:keepNext/>
              <w:keepLines/>
              <w:rPr>
                <w:rFonts w:ascii="Arial Narrow" w:hAnsi="Arial Narrow"/>
                <w:sz w:val="20"/>
                <w:szCs w:val="20"/>
              </w:rPr>
            </w:pPr>
            <w:r w:rsidRPr="000A33D2">
              <w:rPr>
                <w:rFonts w:ascii="Arial Narrow" w:hAnsi="Arial Narrow"/>
                <w:sz w:val="20"/>
                <w:szCs w:val="20"/>
              </w:rPr>
              <w:t xml:space="preserve">Patients with evaluable disease at baseline, n </w:t>
            </w:r>
          </w:p>
        </w:tc>
        <w:tc>
          <w:tcPr>
            <w:tcW w:w="1125" w:type="dxa"/>
            <w:shd w:val="clear" w:color="auto" w:fill="auto"/>
            <w:vAlign w:val="center"/>
          </w:tcPr>
          <w:p w14:paraId="7AF658A2"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212</w:t>
            </w:r>
          </w:p>
        </w:tc>
        <w:tc>
          <w:tcPr>
            <w:tcW w:w="1126" w:type="dxa"/>
            <w:shd w:val="clear" w:color="auto" w:fill="auto"/>
            <w:vAlign w:val="center"/>
          </w:tcPr>
          <w:p w14:paraId="57B3352A"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219</w:t>
            </w:r>
          </w:p>
        </w:tc>
        <w:tc>
          <w:tcPr>
            <w:tcW w:w="1126" w:type="dxa"/>
            <w:shd w:val="clear" w:color="auto" w:fill="auto"/>
            <w:vAlign w:val="center"/>
          </w:tcPr>
          <w:p w14:paraId="110B5EE8"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49</w:t>
            </w:r>
          </w:p>
        </w:tc>
        <w:tc>
          <w:tcPr>
            <w:tcW w:w="1125" w:type="dxa"/>
            <w:shd w:val="clear" w:color="auto" w:fill="auto"/>
            <w:vAlign w:val="center"/>
          </w:tcPr>
          <w:p w14:paraId="7C44AB2A"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58</w:t>
            </w:r>
          </w:p>
        </w:tc>
        <w:tc>
          <w:tcPr>
            <w:tcW w:w="1126" w:type="dxa"/>
            <w:shd w:val="clear" w:color="auto" w:fill="auto"/>
            <w:vAlign w:val="center"/>
          </w:tcPr>
          <w:p w14:paraId="716775FF"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163</w:t>
            </w:r>
          </w:p>
        </w:tc>
        <w:tc>
          <w:tcPr>
            <w:tcW w:w="1126" w:type="dxa"/>
            <w:shd w:val="clear" w:color="auto" w:fill="auto"/>
            <w:vAlign w:val="center"/>
          </w:tcPr>
          <w:p w14:paraId="2926AEB3"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161</w:t>
            </w:r>
          </w:p>
        </w:tc>
      </w:tr>
      <w:tr w:rsidR="00784864" w:rsidRPr="000A33D2" w14:paraId="59ABFBF4" w14:textId="77777777" w:rsidTr="00A60462">
        <w:tc>
          <w:tcPr>
            <w:tcW w:w="0" w:type="auto"/>
            <w:gridSpan w:val="7"/>
            <w:shd w:val="clear" w:color="auto" w:fill="auto"/>
            <w:vAlign w:val="center"/>
          </w:tcPr>
          <w:p w14:paraId="09D208E5" w14:textId="56FCF175" w:rsidR="00784864" w:rsidRPr="000A33D2" w:rsidRDefault="00784864" w:rsidP="00A60462">
            <w:pPr>
              <w:keepNext/>
              <w:keepLines/>
              <w:rPr>
                <w:rFonts w:ascii="Arial Narrow" w:hAnsi="Arial Narrow"/>
                <w:b/>
                <w:bCs/>
                <w:sz w:val="20"/>
                <w:szCs w:val="20"/>
                <w:vertAlign w:val="superscript"/>
              </w:rPr>
            </w:pPr>
            <w:r w:rsidRPr="000A33D2">
              <w:rPr>
                <w:rFonts w:ascii="Arial Narrow" w:hAnsi="Arial Narrow"/>
                <w:b/>
                <w:bCs/>
                <w:sz w:val="20"/>
                <w:szCs w:val="20"/>
              </w:rPr>
              <w:t>Objective response rate (ORR)</w:t>
            </w:r>
            <w:r w:rsidR="00924486" w:rsidRPr="000A33D2">
              <w:rPr>
                <w:rFonts w:ascii="Arial Narrow" w:hAnsi="Arial Narrow"/>
                <w:b/>
                <w:bCs/>
                <w:sz w:val="20"/>
                <w:szCs w:val="20"/>
              </w:rPr>
              <w:t xml:space="preserve"> </w:t>
            </w:r>
            <w:r w:rsidR="00924486" w:rsidRPr="000A33D2">
              <w:rPr>
                <w:rFonts w:ascii="Arial Narrow" w:hAnsi="Arial Narrow"/>
                <w:b/>
                <w:bCs/>
                <w:sz w:val="20"/>
                <w:szCs w:val="20"/>
                <w:vertAlign w:val="superscript"/>
              </w:rPr>
              <w:t>a</w:t>
            </w:r>
          </w:p>
        </w:tc>
      </w:tr>
      <w:tr w:rsidR="00784864" w:rsidRPr="000A33D2" w14:paraId="495502B9" w14:textId="77777777" w:rsidTr="0081425B">
        <w:tc>
          <w:tcPr>
            <w:tcW w:w="2263" w:type="dxa"/>
            <w:shd w:val="clear" w:color="auto" w:fill="auto"/>
            <w:vAlign w:val="center"/>
          </w:tcPr>
          <w:p w14:paraId="35ED9369" w14:textId="77777777" w:rsidR="00784864" w:rsidRPr="000A33D2" w:rsidRDefault="00784864" w:rsidP="00A60462">
            <w:pPr>
              <w:keepNext/>
              <w:keepLines/>
              <w:rPr>
                <w:rFonts w:ascii="Arial Narrow" w:hAnsi="Arial Narrow"/>
                <w:sz w:val="20"/>
                <w:szCs w:val="20"/>
              </w:rPr>
            </w:pPr>
            <w:r w:rsidRPr="000A33D2">
              <w:rPr>
                <w:rFonts w:ascii="Arial Narrow" w:hAnsi="Arial Narrow"/>
                <w:sz w:val="20"/>
                <w:szCs w:val="20"/>
              </w:rPr>
              <w:t>ORR, n (%)</w:t>
            </w:r>
          </w:p>
        </w:tc>
        <w:tc>
          <w:tcPr>
            <w:tcW w:w="1125" w:type="dxa"/>
            <w:shd w:val="clear" w:color="auto" w:fill="auto"/>
            <w:vAlign w:val="center"/>
          </w:tcPr>
          <w:p w14:paraId="763CFFD4"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149 (70.3)</w:t>
            </w:r>
          </w:p>
        </w:tc>
        <w:tc>
          <w:tcPr>
            <w:tcW w:w="1126" w:type="dxa"/>
            <w:shd w:val="clear" w:color="auto" w:fill="auto"/>
            <w:vAlign w:val="center"/>
          </w:tcPr>
          <w:p w14:paraId="1D2F5C4F"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142 (64.8)</w:t>
            </w:r>
          </w:p>
        </w:tc>
        <w:tc>
          <w:tcPr>
            <w:tcW w:w="1126" w:type="dxa"/>
            <w:shd w:val="clear" w:color="auto" w:fill="auto"/>
            <w:vAlign w:val="center"/>
          </w:tcPr>
          <w:p w14:paraId="3CF4F294"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38 (77.6)</w:t>
            </w:r>
          </w:p>
        </w:tc>
        <w:tc>
          <w:tcPr>
            <w:tcW w:w="1125" w:type="dxa"/>
            <w:shd w:val="clear" w:color="auto" w:fill="auto"/>
            <w:vAlign w:val="center"/>
          </w:tcPr>
          <w:p w14:paraId="1C0AF43B"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40 (69.0)</w:t>
            </w:r>
          </w:p>
        </w:tc>
        <w:tc>
          <w:tcPr>
            <w:tcW w:w="1126" w:type="dxa"/>
            <w:shd w:val="clear" w:color="auto" w:fill="auto"/>
            <w:vAlign w:val="center"/>
          </w:tcPr>
          <w:p w14:paraId="6B483474"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111 (68.1)</w:t>
            </w:r>
          </w:p>
        </w:tc>
        <w:tc>
          <w:tcPr>
            <w:tcW w:w="1126" w:type="dxa"/>
            <w:shd w:val="clear" w:color="auto" w:fill="auto"/>
            <w:vAlign w:val="center"/>
          </w:tcPr>
          <w:p w14:paraId="4C1128BF"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102 (63.4)</w:t>
            </w:r>
          </w:p>
        </w:tc>
      </w:tr>
      <w:tr w:rsidR="00784864" w:rsidRPr="000A33D2" w14:paraId="7C8241A3" w14:textId="77777777" w:rsidTr="0081425B">
        <w:tc>
          <w:tcPr>
            <w:tcW w:w="2263" w:type="dxa"/>
            <w:shd w:val="clear" w:color="auto" w:fill="auto"/>
            <w:vAlign w:val="center"/>
          </w:tcPr>
          <w:p w14:paraId="5D565D27" w14:textId="77777777" w:rsidR="00784864" w:rsidRPr="000A33D2" w:rsidRDefault="00784864" w:rsidP="00A60462">
            <w:pPr>
              <w:keepNext/>
              <w:keepLines/>
              <w:rPr>
                <w:rFonts w:ascii="Arial Narrow" w:hAnsi="Arial Narrow"/>
                <w:sz w:val="20"/>
                <w:szCs w:val="20"/>
              </w:rPr>
            </w:pPr>
            <w:r w:rsidRPr="000A33D2">
              <w:rPr>
                <w:rFonts w:ascii="Arial Narrow" w:hAnsi="Arial Narrow"/>
                <w:sz w:val="20"/>
                <w:szCs w:val="20"/>
              </w:rPr>
              <w:t>95% CI</w:t>
            </w:r>
          </w:p>
        </w:tc>
        <w:tc>
          <w:tcPr>
            <w:tcW w:w="1125" w:type="dxa"/>
            <w:shd w:val="clear" w:color="auto" w:fill="auto"/>
            <w:vAlign w:val="center"/>
          </w:tcPr>
          <w:p w14:paraId="55409B3A"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63.6, 76.3</w:t>
            </w:r>
          </w:p>
        </w:tc>
        <w:tc>
          <w:tcPr>
            <w:tcW w:w="1126" w:type="dxa"/>
            <w:shd w:val="clear" w:color="auto" w:fill="auto"/>
            <w:vAlign w:val="center"/>
          </w:tcPr>
          <w:p w14:paraId="2A8FD5CA"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58.1, 71.2</w:t>
            </w:r>
          </w:p>
        </w:tc>
        <w:tc>
          <w:tcPr>
            <w:tcW w:w="1126" w:type="dxa"/>
            <w:shd w:val="clear" w:color="auto" w:fill="auto"/>
            <w:vAlign w:val="center"/>
          </w:tcPr>
          <w:p w14:paraId="6B09786D"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63.4, 88.2</w:t>
            </w:r>
          </w:p>
        </w:tc>
        <w:tc>
          <w:tcPr>
            <w:tcW w:w="1125" w:type="dxa"/>
            <w:shd w:val="clear" w:color="auto" w:fill="auto"/>
            <w:vAlign w:val="center"/>
          </w:tcPr>
          <w:p w14:paraId="655DE9D4"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55.5, 80.5</w:t>
            </w:r>
          </w:p>
        </w:tc>
        <w:tc>
          <w:tcPr>
            <w:tcW w:w="1126" w:type="dxa"/>
            <w:shd w:val="clear" w:color="auto" w:fill="auto"/>
            <w:vAlign w:val="center"/>
          </w:tcPr>
          <w:p w14:paraId="5EE04A26"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60.4, 75.2</w:t>
            </w:r>
          </w:p>
        </w:tc>
        <w:tc>
          <w:tcPr>
            <w:tcW w:w="1126" w:type="dxa"/>
            <w:shd w:val="clear" w:color="auto" w:fill="auto"/>
            <w:vAlign w:val="center"/>
          </w:tcPr>
          <w:p w14:paraId="5D896F5E"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55.4, 70.8</w:t>
            </w:r>
          </w:p>
        </w:tc>
      </w:tr>
      <w:tr w:rsidR="00784864" w:rsidRPr="000A33D2" w14:paraId="6E5F7C7C" w14:textId="77777777" w:rsidTr="00A60462">
        <w:tc>
          <w:tcPr>
            <w:tcW w:w="9017" w:type="dxa"/>
            <w:gridSpan w:val="7"/>
            <w:shd w:val="clear" w:color="auto" w:fill="auto"/>
            <w:vAlign w:val="center"/>
          </w:tcPr>
          <w:p w14:paraId="2C1CF7E9" w14:textId="28594A56" w:rsidR="00784864" w:rsidRPr="000A33D2" w:rsidRDefault="00784864" w:rsidP="00A60462">
            <w:pPr>
              <w:keepNext/>
              <w:keepLines/>
              <w:jc w:val="left"/>
              <w:rPr>
                <w:rFonts w:ascii="Arial Narrow" w:hAnsi="Arial Narrow"/>
                <w:b/>
                <w:bCs/>
                <w:sz w:val="20"/>
                <w:szCs w:val="20"/>
                <w:vertAlign w:val="superscript"/>
              </w:rPr>
            </w:pPr>
            <w:r w:rsidRPr="000A33D2">
              <w:rPr>
                <w:rFonts w:ascii="Arial Narrow" w:hAnsi="Arial Narrow"/>
                <w:b/>
                <w:bCs/>
                <w:sz w:val="20"/>
                <w:szCs w:val="20"/>
              </w:rPr>
              <w:t>Disease control rate (DCR)</w:t>
            </w:r>
            <w:r w:rsidR="00924486" w:rsidRPr="000A33D2">
              <w:rPr>
                <w:rFonts w:ascii="Arial Narrow" w:hAnsi="Arial Narrow"/>
                <w:b/>
                <w:bCs/>
                <w:sz w:val="20"/>
                <w:szCs w:val="20"/>
              </w:rPr>
              <w:t xml:space="preserve"> </w:t>
            </w:r>
            <w:r w:rsidR="00924486" w:rsidRPr="000A33D2">
              <w:rPr>
                <w:rFonts w:ascii="Arial Narrow" w:hAnsi="Arial Narrow"/>
                <w:b/>
                <w:bCs/>
                <w:sz w:val="20"/>
                <w:szCs w:val="20"/>
                <w:vertAlign w:val="superscript"/>
              </w:rPr>
              <w:t>a, b</w:t>
            </w:r>
          </w:p>
        </w:tc>
      </w:tr>
      <w:tr w:rsidR="00784864" w:rsidRPr="000A33D2" w14:paraId="6CB87A01" w14:textId="77777777" w:rsidTr="0081425B">
        <w:tc>
          <w:tcPr>
            <w:tcW w:w="2263" w:type="dxa"/>
            <w:shd w:val="clear" w:color="auto" w:fill="auto"/>
            <w:vAlign w:val="center"/>
          </w:tcPr>
          <w:p w14:paraId="60378EE4" w14:textId="77777777" w:rsidR="00784864" w:rsidRPr="000A33D2" w:rsidRDefault="00784864" w:rsidP="00A60462">
            <w:pPr>
              <w:keepNext/>
              <w:keepLines/>
              <w:rPr>
                <w:rFonts w:ascii="Arial Narrow" w:hAnsi="Arial Narrow"/>
                <w:sz w:val="20"/>
                <w:szCs w:val="20"/>
              </w:rPr>
            </w:pPr>
            <w:r w:rsidRPr="000A33D2">
              <w:rPr>
                <w:rFonts w:ascii="Arial Narrow" w:hAnsi="Arial Narrow"/>
                <w:sz w:val="20"/>
                <w:szCs w:val="20"/>
              </w:rPr>
              <w:t>DCR, n (%)</w:t>
            </w:r>
          </w:p>
        </w:tc>
        <w:tc>
          <w:tcPr>
            <w:tcW w:w="1125" w:type="dxa"/>
            <w:shd w:val="clear" w:color="auto" w:fill="auto"/>
            <w:vAlign w:val="center"/>
          </w:tcPr>
          <w:p w14:paraId="4E71A5C2"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191 (90.1)</w:t>
            </w:r>
          </w:p>
        </w:tc>
        <w:tc>
          <w:tcPr>
            <w:tcW w:w="1126" w:type="dxa"/>
            <w:shd w:val="clear" w:color="auto" w:fill="auto"/>
            <w:vAlign w:val="center"/>
          </w:tcPr>
          <w:p w14:paraId="78F0D0A6"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192 (87.7)</w:t>
            </w:r>
          </w:p>
        </w:tc>
        <w:tc>
          <w:tcPr>
            <w:tcW w:w="1126" w:type="dxa"/>
            <w:shd w:val="clear" w:color="auto" w:fill="auto"/>
            <w:vAlign w:val="center"/>
          </w:tcPr>
          <w:p w14:paraId="498173F4"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44 (89.8)</w:t>
            </w:r>
          </w:p>
        </w:tc>
        <w:tc>
          <w:tcPr>
            <w:tcW w:w="1125" w:type="dxa"/>
            <w:shd w:val="clear" w:color="auto" w:fill="auto"/>
            <w:vAlign w:val="center"/>
          </w:tcPr>
          <w:p w14:paraId="064A3707"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51 (87.9)</w:t>
            </w:r>
          </w:p>
        </w:tc>
        <w:tc>
          <w:tcPr>
            <w:tcW w:w="1126" w:type="dxa"/>
            <w:shd w:val="clear" w:color="auto" w:fill="auto"/>
            <w:vAlign w:val="center"/>
          </w:tcPr>
          <w:p w14:paraId="682DC3C8"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147 (90.2)</w:t>
            </w:r>
          </w:p>
        </w:tc>
        <w:tc>
          <w:tcPr>
            <w:tcW w:w="1126" w:type="dxa"/>
            <w:shd w:val="clear" w:color="auto" w:fill="auto"/>
            <w:vAlign w:val="center"/>
          </w:tcPr>
          <w:p w14:paraId="3EBCD15C"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141 (87.6)</w:t>
            </w:r>
          </w:p>
        </w:tc>
      </w:tr>
      <w:tr w:rsidR="00784864" w:rsidRPr="000A33D2" w14:paraId="52764709" w14:textId="77777777" w:rsidTr="0081425B">
        <w:tc>
          <w:tcPr>
            <w:tcW w:w="2263" w:type="dxa"/>
            <w:shd w:val="clear" w:color="auto" w:fill="auto"/>
            <w:vAlign w:val="center"/>
          </w:tcPr>
          <w:p w14:paraId="7C2D726B" w14:textId="77777777" w:rsidR="00784864" w:rsidRPr="000A33D2" w:rsidRDefault="00784864" w:rsidP="00A60462">
            <w:pPr>
              <w:keepNext/>
              <w:keepLines/>
              <w:rPr>
                <w:rFonts w:ascii="Arial Narrow" w:hAnsi="Arial Narrow"/>
                <w:sz w:val="20"/>
                <w:szCs w:val="20"/>
              </w:rPr>
            </w:pPr>
            <w:r w:rsidRPr="000A33D2">
              <w:rPr>
                <w:rFonts w:ascii="Arial Narrow" w:hAnsi="Arial Narrow"/>
                <w:sz w:val="20"/>
                <w:szCs w:val="20"/>
              </w:rPr>
              <w:t>95% CI</w:t>
            </w:r>
          </w:p>
        </w:tc>
        <w:tc>
          <w:tcPr>
            <w:tcW w:w="1125" w:type="dxa"/>
            <w:shd w:val="clear" w:color="auto" w:fill="auto"/>
            <w:vAlign w:val="center"/>
          </w:tcPr>
          <w:p w14:paraId="768B6F06"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85.3, 93.8</w:t>
            </w:r>
          </w:p>
        </w:tc>
        <w:tc>
          <w:tcPr>
            <w:tcW w:w="1126" w:type="dxa"/>
            <w:shd w:val="clear" w:color="auto" w:fill="auto"/>
            <w:vAlign w:val="center"/>
          </w:tcPr>
          <w:p w14:paraId="5E2F38A2"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82.6, 91.7</w:t>
            </w:r>
          </w:p>
        </w:tc>
        <w:tc>
          <w:tcPr>
            <w:tcW w:w="1126" w:type="dxa"/>
            <w:shd w:val="clear" w:color="auto" w:fill="auto"/>
            <w:vAlign w:val="center"/>
          </w:tcPr>
          <w:p w14:paraId="549C77A4"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77.8, 96.6</w:t>
            </w:r>
          </w:p>
        </w:tc>
        <w:tc>
          <w:tcPr>
            <w:tcW w:w="1125" w:type="dxa"/>
            <w:shd w:val="clear" w:color="auto" w:fill="auto"/>
            <w:vAlign w:val="center"/>
          </w:tcPr>
          <w:p w14:paraId="11A6B1C9"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76.7, 95.0</w:t>
            </w:r>
          </w:p>
        </w:tc>
        <w:tc>
          <w:tcPr>
            <w:tcW w:w="1126" w:type="dxa"/>
            <w:shd w:val="clear" w:color="auto" w:fill="auto"/>
            <w:vAlign w:val="center"/>
          </w:tcPr>
          <w:p w14:paraId="42FF3261"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84.5, 94.3</w:t>
            </w:r>
          </w:p>
        </w:tc>
        <w:tc>
          <w:tcPr>
            <w:tcW w:w="1126" w:type="dxa"/>
            <w:shd w:val="clear" w:color="auto" w:fill="auto"/>
            <w:vAlign w:val="center"/>
          </w:tcPr>
          <w:p w14:paraId="533C7C38" w14:textId="77777777" w:rsidR="00784864" w:rsidRPr="000A33D2" w:rsidRDefault="00784864" w:rsidP="00A60462">
            <w:pPr>
              <w:keepNext/>
              <w:keepLines/>
              <w:jc w:val="center"/>
              <w:rPr>
                <w:rFonts w:ascii="Arial Narrow" w:hAnsi="Arial Narrow"/>
                <w:sz w:val="20"/>
                <w:szCs w:val="20"/>
              </w:rPr>
            </w:pPr>
            <w:r w:rsidRPr="000A33D2">
              <w:rPr>
                <w:rFonts w:ascii="Arial Narrow" w:hAnsi="Arial Narrow"/>
                <w:sz w:val="20"/>
                <w:szCs w:val="20"/>
              </w:rPr>
              <w:t>81.5, 92.2</w:t>
            </w:r>
          </w:p>
        </w:tc>
      </w:tr>
      <w:tr w:rsidR="00784864" w:rsidRPr="000A33D2" w14:paraId="15FD1F5F" w14:textId="77777777" w:rsidTr="00A60462">
        <w:tc>
          <w:tcPr>
            <w:tcW w:w="0" w:type="auto"/>
            <w:gridSpan w:val="7"/>
            <w:shd w:val="clear" w:color="auto" w:fill="auto"/>
            <w:vAlign w:val="center"/>
          </w:tcPr>
          <w:p w14:paraId="1E90042E" w14:textId="09A53400" w:rsidR="00784864" w:rsidRPr="000A33D2" w:rsidRDefault="005B2933" w:rsidP="00A60462">
            <w:pPr>
              <w:keepNext/>
              <w:keepLines/>
              <w:rPr>
                <w:rFonts w:ascii="Arial Narrow" w:hAnsi="Arial Narrow"/>
                <w:b/>
                <w:bCs/>
                <w:sz w:val="20"/>
                <w:szCs w:val="20"/>
              </w:rPr>
            </w:pPr>
            <w:r w:rsidRPr="000A33D2">
              <w:rPr>
                <w:rFonts w:ascii="Arial Narrow" w:hAnsi="Arial Narrow"/>
                <w:b/>
                <w:bCs/>
                <w:sz w:val="20"/>
                <w:szCs w:val="20"/>
              </w:rPr>
              <w:t>Duration of response (DOR)</w:t>
            </w:r>
          </w:p>
        </w:tc>
      </w:tr>
      <w:tr w:rsidR="00AA485A" w:rsidRPr="000A33D2" w14:paraId="2E109ABA" w14:textId="77777777" w:rsidTr="0081425B">
        <w:tc>
          <w:tcPr>
            <w:tcW w:w="2263" w:type="dxa"/>
            <w:shd w:val="clear" w:color="auto" w:fill="auto"/>
            <w:vAlign w:val="center"/>
          </w:tcPr>
          <w:p w14:paraId="2AA93E01" w14:textId="2856D31F" w:rsidR="00AA485A" w:rsidRPr="000A33D2" w:rsidRDefault="00AA485A" w:rsidP="00AA485A">
            <w:pPr>
              <w:keepNext/>
              <w:keepLines/>
              <w:rPr>
                <w:rFonts w:ascii="Arial Narrow" w:hAnsi="Arial Narrow"/>
                <w:sz w:val="20"/>
                <w:szCs w:val="20"/>
              </w:rPr>
            </w:pPr>
            <w:r w:rsidRPr="000A33D2">
              <w:rPr>
                <w:rFonts w:ascii="Arial Narrow" w:hAnsi="Arial Narrow"/>
                <w:sz w:val="20"/>
                <w:szCs w:val="20"/>
              </w:rPr>
              <w:t>Number of responders, n</w:t>
            </w:r>
          </w:p>
        </w:tc>
        <w:tc>
          <w:tcPr>
            <w:tcW w:w="1125" w:type="dxa"/>
            <w:shd w:val="clear" w:color="auto" w:fill="auto"/>
            <w:vAlign w:val="center"/>
          </w:tcPr>
          <w:p w14:paraId="39BC7292" w14:textId="25EE0CC7"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149</w:t>
            </w:r>
          </w:p>
        </w:tc>
        <w:tc>
          <w:tcPr>
            <w:tcW w:w="1126" w:type="dxa"/>
            <w:shd w:val="clear" w:color="auto" w:fill="auto"/>
            <w:vAlign w:val="center"/>
          </w:tcPr>
          <w:p w14:paraId="0D842C73" w14:textId="386CF0D5"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142</w:t>
            </w:r>
          </w:p>
        </w:tc>
        <w:tc>
          <w:tcPr>
            <w:tcW w:w="1126" w:type="dxa"/>
            <w:shd w:val="clear" w:color="auto" w:fill="auto"/>
            <w:vAlign w:val="center"/>
          </w:tcPr>
          <w:p w14:paraId="22A9F05A" w14:textId="465FDA3E"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38</w:t>
            </w:r>
          </w:p>
        </w:tc>
        <w:tc>
          <w:tcPr>
            <w:tcW w:w="1125" w:type="dxa"/>
            <w:shd w:val="clear" w:color="auto" w:fill="auto"/>
            <w:vAlign w:val="center"/>
          </w:tcPr>
          <w:p w14:paraId="6C76657D" w14:textId="66446592"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40</w:t>
            </w:r>
          </w:p>
        </w:tc>
        <w:tc>
          <w:tcPr>
            <w:tcW w:w="1126" w:type="dxa"/>
            <w:shd w:val="clear" w:color="auto" w:fill="auto"/>
            <w:vAlign w:val="center"/>
          </w:tcPr>
          <w:p w14:paraId="1520607A" w14:textId="68F98534"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111</w:t>
            </w:r>
          </w:p>
        </w:tc>
        <w:tc>
          <w:tcPr>
            <w:tcW w:w="1126" w:type="dxa"/>
            <w:shd w:val="clear" w:color="auto" w:fill="auto"/>
            <w:vAlign w:val="center"/>
          </w:tcPr>
          <w:p w14:paraId="1621E9BC" w14:textId="4777FCB3"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102</w:t>
            </w:r>
          </w:p>
        </w:tc>
      </w:tr>
      <w:tr w:rsidR="00AA485A" w:rsidRPr="000A33D2" w14:paraId="5F1073FF" w14:textId="77777777" w:rsidTr="0081425B">
        <w:tc>
          <w:tcPr>
            <w:tcW w:w="2263" w:type="dxa"/>
            <w:shd w:val="clear" w:color="auto" w:fill="auto"/>
            <w:vAlign w:val="center"/>
          </w:tcPr>
          <w:p w14:paraId="4E0CABB5" w14:textId="3092D8DA" w:rsidR="00AA485A" w:rsidRPr="000A33D2" w:rsidRDefault="00AA485A" w:rsidP="00AA485A">
            <w:pPr>
              <w:keepNext/>
              <w:keepLines/>
              <w:rPr>
                <w:rFonts w:ascii="Arial Narrow" w:hAnsi="Arial Narrow"/>
                <w:sz w:val="20"/>
                <w:szCs w:val="20"/>
              </w:rPr>
            </w:pPr>
            <w:r w:rsidRPr="000A33D2">
              <w:rPr>
                <w:rFonts w:ascii="Arial Narrow" w:hAnsi="Arial Narrow"/>
                <w:sz w:val="20"/>
                <w:szCs w:val="20"/>
              </w:rPr>
              <w:t>Events, n (%)</w:t>
            </w:r>
          </w:p>
        </w:tc>
        <w:tc>
          <w:tcPr>
            <w:tcW w:w="1125" w:type="dxa"/>
            <w:shd w:val="clear" w:color="auto" w:fill="auto"/>
            <w:vAlign w:val="center"/>
          </w:tcPr>
          <w:p w14:paraId="57242C4C" w14:textId="0C95E56F"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82 (55.0)</w:t>
            </w:r>
          </w:p>
        </w:tc>
        <w:tc>
          <w:tcPr>
            <w:tcW w:w="1126" w:type="dxa"/>
            <w:shd w:val="clear" w:color="auto" w:fill="auto"/>
            <w:vAlign w:val="center"/>
          </w:tcPr>
          <w:p w14:paraId="21C44EE1" w14:textId="6D8F9CAD"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115 (81.0)</w:t>
            </w:r>
          </w:p>
        </w:tc>
        <w:tc>
          <w:tcPr>
            <w:tcW w:w="1126" w:type="dxa"/>
            <w:shd w:val="clear" w:color="auto" w:fill="auto"/>
            <w:vAlign w:val="center"/>
          </w:tcPr>
          <w:p w14:paraId="0312DD77" w14:textId="397A9262"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14 (36.8)</w:t>
            </w:r>
          </w:p>
        </w:tc>
        <w:tc>
          <w:tcPr>
            <w:tcW w:w="1125" w:type="dxa"/>
            <w:shd w:val="clear" w:color="auto" w:fill="auto"/>
            <w:vAlign w:val="center"/>
          </w:tcPr>
          <w:p w14:paraId="05C6DBE6" w14:textId="2E4E850E"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33 (82.5)</w:t>
            </w:r>
          </w:p>
        </w:tc>
        <w:tc>
          <w:tcPr>
            <w:tcW w:w="1126" w:type="dxa"/>
            <w:shd w:val="clear" w:color="auto" w:fill="auto"/>
            <w:vAlign w:val="center"/>
          </w:tcPr>
          <w:p w14:paraId="38EECCD7" w14:textId="1553408E"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68 (61.3)</w:t>
            </w:r>
          </w:p>
        </w:tc>
        <w:tc>
          <w:tcPr>
            <w:tcW w:w="1126" w:type="dxa"/>
            <w:shd w:val="clear" w:color="auto" w:fill="auto"/>
            <w:vAlign w:val="center"/>
          </w:tcPr>
          <w:p w14:paraId="3C352D1D" w14:textId="35E05297"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82 (80.4)</w:t>
            </w:r>
          </w:p>
        </w:tc>
      </w:tr>
      <w:tr w:rsidR="00AA485A" w:rsidRPr="000A33D2" w14:paraId="01C614F9" w14:textId="77777777" w:rsidTr="0081425B">
        <w:tc>
          <w:tcPr>
            <w:tcW w:w="2263" w:type="dxa"/>
            <w:shd w:val="clear" w:color="auto" w:fill="auto"/>
            <w:vAlign w:val="center"/>
          </w:tcPr>
          <w:p w14:paraId="153EDBE6" w14:textId="79CD3DDF" w:rsidR="00AA485A" w:rsidRPr="000A33D2" w:rsidRDefault="00AA485A" w:rsidP="00AA485A">
            <w:pPr>
              <w:keepNext/>
              <w:keepLines/>
              <w:rPr>
                <w:rFonts w:ascii="Arial Narrow" w:hAnsi="Arial Narrow"/>
                <w:sz w:val="20"/>
                <w:szCs w:val="20"/>
              </w:rPr>
            </w:pPr>
            <w:r w:rsidRPr="000A33D2">
              <w:rPr>
                <w:rFonts w:ascii="Arial Narrow" w:hAnsi="Arial Narrow"/>
                <w:sz w:val="20"/>
                <w:szCs w:val="20"/>
              </w:rPr>
              <w:t>Disease progression, n (%)</w:t>
            </w:r>
          </w:p>
        </w:tc>
        <w:tc>
          <w:tcPr>
            <w:tcW w:w="1125" w:type="dxa"/>
            <w:shd w:val="clear" w:color="auto" w:fill="auto"/>
            <w:vAlign w:val="center"/>
          </w:tcPr>
          <w:p w14:paraId="2786CD5D" w14:textId="51CB9E1B"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79 (53.0)</w:t>
            </w:r>
          </w:p>
        </w:tc>
        <w:tc>
          <w:tcPr>
            <w:tcW w:w="1126" w:type="dxa"/>
            <w:shd w:val="clear" w:color="auto" w:fill="auto"/>
            <w:vAlign w:val="center"/>
          </w:tcPr>
          <w:p w14:paraId="79813535" w14:textId="0B7D42A9"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112 (78.9)</w:t>
            </w:r>
          </w:p>
        </w:tc>
        <w:tc>
          <w:tcPr>
            <w:tcW w:w="1126" w:type="dxa"/>
            <w:shd w:val="clear" w:color="auto" w:fill="auto"/>
            <w:vAlign w:val="center"/>
          </w:tcPr>
          <w:p w14:paraId="6CE33CF2" w14:textId="5F73007E"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13 (34.2)</w:t>
            </w:r>
          </w:p>
        </w:tc>
        <w:tc>
          <w:tcPr>
            <w:tcW w:w="1125" w:type="dxa"/>
            <w:shd w:val="clear" w:color="auto" w:fill="auto"/>
            <w:vAlign w:val="center"/>
          </w:tcPr>
          <w:p w14:paraId="64A5F225" w14:textId="59E6DD54"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33 (82.5)</w:t>
            </w:r>
          </w:p>
        </w:tc>
        <w:tc>
          <w:tcPr>
            <w:tcW w:w="1126" w:type="dxa"/>
            <w:shd w:val="clear" w:color="auto" w:fill="auto"/>
            <w:vAlign w:val="center"/>
          </w:tcPr>
          <w:p w14:paraId="4D475460" w14:textId="08C5CD84"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66 (59.5)</w:t>
            </w:r>
          </w:p>
        </w:tc>
        <w:tc>
          <w:tcPr>
            <w:tcW w:w="1126" w:type="dxa"/>
            <w:shd w:val="clear" w:color="auto" w:fill="auto"/>
            <w:vAlign w:val="center"/>
          </w:tcPr>
          <w:p w14:paraId="447CC609" w14:textId="2769E6F2"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79 (77.5)</w:t>
            </w:r>
          </w:p>
        </w:tc>
      </w:tr>
      <w:tr w:rsidR="00AA485A" w:rsidRPr="000A33D2" w14:paraId="0CCADF6F" w14:textId="77777777" w:rsidTr="0081425B">
        <w:tc>
          <w:tcPr>
            <w:tcW w:w="2263" w:type="dxa"/>
            <w:shd w:val="clear" w:color="auto" w:fill="auto"/>
            <w:vAlign w:val="center"/>
          </w:tcPr>
          <w:p w14:paraId="271F55CC" w14:textId="24CD88EA" w:rsidR="00AA485A" w:rsidRPr="000A33D2" w:rsidRDefault="00AA485A" w:rsidP="00AA485A">
            <w:pPr>
              <w:keepNext/>
              <w:keepLines/>
              <w:rPr>
                <w:rFonts w:ascii="Arial Narrow" w:hAnsi="Arial Narrow"/>
                <w:sz w:val="20"/>
                <w:szCs w:val="20"/>
              </w:rPr>
            </w:pPr>
            <w:r w:rsidRPr="000A33D2">
              <w:rPr>
                <w:rFonts w:ascii="Arial Narrow" w:hAnsi="Arial Narrow"/>
                <w:sz w:val="20"/>
                <w:szCs w:val="20"/>
              </w:rPr>
              <w:t>Death, n (%)</w:t>
            </w:r>
          </w:p>
        </w:tc>
        <w:tc>
          <w:tcPr>
            <w:tcW w:w="1125" w:type="dxa"/>
            <w:shd w:val="clear" w:color="auto" w:fill="auto"/>
            <w:vAlign w:val="center"/>
          </w:tcPr>
          <w:p w14:paraId="782B3592" w14:textId="7C0A38EB"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 (2.0)</w:t>
            </w:r>
          </w:p>
        </w:tc>
        <w:tc>
          <w:tcPr>
            <w:tcW w:w="1126" w:type="dxa"/>
            <w:shd w:val="clear" w:color="auto" w:fill="auto"/>
            <w:vAlign w:val="center"/>
          </w:tcPr>
          <w:p w14:paraId="2CB3174E" w14:textId="2F368D41"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 (2.1)</w:t>
            </w:r>
          </w:p>
        </w:tc>
        <w:tc>
          <w:tcPr>
            <w:tcW w:w="1126" w:type="dxa"/>
            <w:shd w:val="clear" w:color="auto" w:fill="auto"/>
            <w:vAlign w:val="center"/>
          </w:tcPr>
          <w:p w14:paraId="6D91C926" w14:textId="5AD5B015"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 (2.6)</w:t>
            </w:r>
          </w:p>
        </w:tc>
        <w:tc>
          <w:tcPr>
            <w:tcW w:w="1125" w:type="dxa"/>
            <w:shd w:val="clear" w:color="auto" w:fill="auto"/>
            <w:vAlign w:val="center"/>
          </w:tcPr>
          <w:p w14:paraId="0CDEB164" w14:textId="52D0FBAE"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0</w:t>
            </w:r>
          </w:p>
        </w:tc>
        <w:tc>
          <w:tcPr>
            <w:tcW w:w="1126" w:type="dxa"/>
            <w:shd w:val="clear" w:color="auto" w:fill="auto"/>
            <w:vAlign w:val="center"/>
          </w:tcPr>
          <w:p w14:paraId="56480319" w14:textId="36542B30"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2 (1.8)</w:t>
            </w:r>
          </w:p>
        </w:tc>
        <w:tc>
          <w:tcPr>
            <w:tcW w:w="1126" w:type="dxa"/>
            <w:shd w:val="clear" w:color="auto" w:fill="auto"/>
            <w:vAlign w:val="center"/>
          </w:tcPr>
          <w:p w14:paraId="23ABB1A5" w14:textId="56099645"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 (2.9)</w:t>
            </w:r>
          </w:p>
        </w:tc>
      </w:tr>
      <w:tr w:rsidR="00AA485A" w:rsidRPr="000A33D2" w14:paraId="3FDD73F0" w14:textId="77777777" w:rsidTr="0081425B">
        <w:tc>
          <w:tcPr>
            <w:tcW w:w="2263" w:type="dxa"/>
            <w:shd w:val="clear" w:color="auto" w:fill="auto"/>
            <w:vAlign w:val="center"/>
          </w:tcPr>
          <w:p w14:paraId="5DEA6CA8" w14:textId="48D6B9FF" w:rsidR="00AA485A" w:rsidRPr="000A33D2" w:rsidRDefault="00AA485A" w:rsidP="00AA485A">
            <w:pPr>
              <w:keepNext/>
              <w:keepLines/>
              <w:rPr>
                <w:rFonts w:ascii="Arial Narrow" w:hAnsi="Arial Narrow"/>
                <w:sz w:val="20"/>
                <w:szCs w:val="20"/>
              </w:rPr>
            </w:pPr>
            <w:r w:rsidRPr="000A33D2">
              <w:rPr>
                <w:rFonts w:ascii="Arial Narrow" w:hAnsi="Arial Narrow"/>
                <w:sz w:val="20"/>
                <w:szCs w:val="20"/>
              </w:rPr>
              <w:t>Censored, n (%)</w:t>
            </w:r>
          </w:p>
        </w:tc>
        <w:tc>
          <w:tcPr>
            <w:tcW w:w="1125" w:type="dxa"/>
            <w:shd w:val="clear" w:color="auto" w:fill="auto"/>
            <w:vAlign w:val="center"/>
          </w:tcPr>
          <w:p w14:paraId="05573FE1" w14:textId="70AA38CF"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67 (45.0)</w:t>
            </w:r>
          </w:p>
        </w:tc>
        <w:tc>
          <w:tcPr>
            <w:tcW w:w="1126" w:type="dxa"/>
            <w:shd w:val="clear" w:color="auto" w:fill="auto"/>
            <w:vAlign w:val="center"/>
          </w:tcPr>
          <w:p w14:paraId="7F3A3BDA" w14:textId="4D5260D9"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27 (19.0)</w:t>
            </w:r>
          </w:p>
        </w:tc>
        <w:tc>
          <w:tcPr>
            <w:tcW w:w="1126" w:type="dxa"/>
            <w:shd w:val="clear" w:color="auto" w:fill="auto"/>
            <w:vAlign w:val="center"/>
          </w:tcPr>
          <w:p w14:paraId="78172556" w14:textId="6C5A4437"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24 (63.2)</w:t>
            </w:r>
          </w:p>
        </w:tc>
        <w:tc>
          <w:tcPr>
            <w:tcW w:w="1125" w:type="dxa"/>
            <w:shd w:val="clear" w:color="auto" w:fill="auto"/>
            <w:vAlign w:val="center"/>
          </w:tcPr>
          <w:p w14:paraId="2B0039EC" w14:textId="5DF7D496"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7 (17.5)</w:t>
            </w:r>
          </w:p>
        </w:tc>
        <w:tc>
          <w:tcPr>
            <w:tcW w:w="1126" w:type="dxa"/>
            <w:shd w:val="clear" w:color="auto" w:fill="auto"/>
            <w:vAlign w:val="center"/>
          </w:tcPr>
          <w:p w14:paraId="42BAD8F1" w14:textId="07A359D5"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43 (38.7)</w:t>
            </w:r>
          </w:p>
        </w:tc>
        <w:tc>
          <w:tcPr>
            <w:tcW w:w="1126" w:type="dxa"/>
            <w:shd w:val="clear" w:color="auto" w:fill="auto"/>
            <w:vAlign w:val="center"/>
          </w:tcPr>
          <w:p w14:paraId="152176F6" w14:textId="20BA03F7"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20 (19.6)</w:t>
            </w:r>
          </w:p>
        </w:tc>
      </w:tr>
      <w:tr w:rsidR="00AA485A" w:rsidRPr="000A33D2" w14:paraId="1AE514BA" w14:textId="77777777" w:rsidTr="0081425B">
        <w:tc>
          <w:tcPr>
            <w:tcW w:w="2263" w:type="dxa"/>
            <w:shd w:val="clear" w:color="auto" w:fill="auto"/>
            <w:vAlign w:val="center"/>
          </w:tcPr>
          <w:p w14:paraId="1B36EE6E" w14:textId="77777777" w:rsidR="00AA485A" w:rsidRPr="000A33D2" w:rsidRDefault="00AA485A" w:rsidP="00AA485A">
            <w:pPr>
              <w:keepNext/>
              <w:rPr>
                <w:rFonts w:ascii="Arial Narrow" w:hAnsi="Arial Narrow"/>
                <w:sz w:val="20"/>
                <w:szCs w:val="20"/>
              </w:rPr>
            </w:pPr>
            <w:r w:rsidRPr="000A33D2">
              <w:rPr>
                <w:rFonts w:ascii="Arial Narrow" w:hAnsi="Arial Narrow"/>
                <w:sz w:val="20"/>
                <w:szCs w:val="20"/>
              </w:rPr>
              <w:t xml:space="preserve">Median DOR, months </w:t>
            </w:r>
          </w:p>
          <w:p w14:paraId="2DB59D59" w14:textId="2565A151" w:rsidR="00AA485A" w:rsidRPr="000A33D2" w:rsidRDefault="00AA485A" w:rsidP="00AA485A">
            <w:pPr>
              <w:keepNext/>
              <w:keepLines/>
              <w:rPr>
                <w:rFonts w:ascii="Arial Narrow" w:hAnsi="Arial Narrow"/>
                <w:sz w:val="20"/>
                <w:szCs w:val="20"/>
              </w:rPr>
            </w:pPr>
            <w:r w:rsidRPr="000A33D2">
              <w:rPr>
                <w:rFonts w:ascii="Arial Narrow" w:hAnsi="Arial Narrow"/>
                <w:sz w:val="20"/>
                <w:szCs w:val="20"/>
              </w:rPr>
              <w:t>(95% CI)</w:t>
            </w:r>
          </w:p>
        </w:tc>
        <w:tc>
          <w:tcPr>
            <w:tcW w:w="1125" w:type="dxa"/>
            <w:shd w:val="clear" w:color="auto" w:fill="auto"/>
            <w:vAlign w:val="center"/>
          </w:tcPr>
          <w:p w14:paraId="46EA7279" w14:textId="77777777" w:rsidR="00AA485A" w:rsidRPr="000A33D2" w:rsidRDefault="00AA485A" w:rsidP="00AA485A">
            <w:pPr>
              <w:keepNext/>
              <w:jc w:val="center"/>
              <w:rPr>
                <w:rFonts w:ascii="Arial Narrow" w:hAnsi="Arial Narrow"/>
                <w:sz w:val="20"/>
                <w:szCs w:val="20"/>
              </w:rPr>
            </w:pPr>
            <w:r w:rsidRPr="000A33D2">
              <w:rPr>
                <w:rFonts w:ascii="Arial Narrow" w:hAnsi="Arial Narrow"/>
                <w:sz w:val="20"/>
                <w:szCs w:val="20"/>
              </w:rPr>
              <w:t>10.6</w:t>
            </w:r>
          </w:p>
          <w:p w14:paraId="2B622D09" w14:textId="2B3661D4"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(8.2, 17.6)</w:t>
            </w:r>
          </w:p>
        </w:tc>
        <w:tc>
          <w:tcPr>
            <w:tcW w:w="1126" w:type="dxa"/>
            <w:shd w:val="clear" w:color="auto" w:fill="auto"/>
            <w:vAlign w:val="center"/>
          </w:tcPr>
          <w:p w14:paraId="6053BBA2" w14:textId="77777777" w:rsidR="00AA485A" w:rsidRPr="000A33D2" w:rsidRDefault="00AA485A" w:rsidP="00AA485A">
            <w:pPr>
              <w:keepNext/>
              <w:jc w:val="center"/>
              <w:rPr>
                <w:rFonts w:ascii="Arial Narrow" w:hAnsi="Arial Narrow"/>
                <w:sz w:val="20"/>
                <w:szCs w:val="20"/>
              </w:rPr>
            </w:pPr>
            <w:r w:rsidRPr="000A33D2">
              <w:rPr>
                <w:rFonts w:ascii="Arial Narrow" w:hAnsi="Arial Narrow"/>
                <w:sz w:val="20"/>
                <w:szCs w:val="20"/>
              </w:rPr>
              <w:t>6.2</w:t>
            </w:r>
          </w:p>
          <w:p w14:paraId="7066739B" w14:textId="075229D8"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(4.4, 6.7)</w:t>
            </w:r>
          </w:p>
        </w:tc>
        <w:tc>
          <w:tcPr>
            <w:tcW w:w="1126" w:type="dxa"/>
            <w:shd w:val="clear" w:color="auto" w:fill="auto"/>
            <w:vAlign w:val="center"/>
          </w:tcPr>
          <w:p w14:paraId="761BFDD6" w14:textId="77777777" w:rsidR="00AA485A" w:rsidRPr="000A33D2" w:rsidRDefault="00AA485A" w:rsidP="00AA485A">
            <w:pPr>
              <w:keepNext/>
              <w:jc w:val="center"/>
              <w:rPr>
                <w:rFonts w:ascii="Arial Narrow" w:hAnsi="Arial Narrow"/>
                <w:sz w:val="20"/>
                <w:szCs w:val="20"/>
              </w:rPr>
            </w:pPr>
            <w:r w:rsidRPr="000A33D2">
              <w:rPr>
                <w:rFonts w:ascii="Arial Narrow" w:hAnsi="Arial Narrow"/>
                <w:sz w:val="20"/>
                <w:szCs w:val="20"/>
              </w:rPr>
              <w:t>NR</w:t>
            </w:r>
          </w:p>
          <w:p w14:paraId="256DEA23" w14:textId="2AE5E7B1"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(10.1, NR)</w:t>
            </w:r>
          </w:p>
        </w:tc>
        <w:tc>
          <w:tcPr>
            <w:tcW w:w="1125" w:type="dxa"/>
            <w:shd w:val="clear" w:color="auto" w:fill="auto"/>
            <w:vAlign w:val="center"/>
          </w:tcPr>
          <w:p w14:paraId="50F628F9" w14:textId="77777777" w:rsidR="00AA485A" w:rsidRPr="000A33D2" w:rsidRDefault="00AA485A" w:rsidP="00AA485A">
            <w:pPr>
              <w:keepNext/>
              <w:jc w:val="center"/>
              <w:rPr>
                <w:rFonts w:ascii="Arial Narrow" w:hAnsi="Arial Narrow"/>
                <w:sz w:val="20"/>
                <w:szCs w:val="20"/>
              </w:rPr>
            </w:pPr>
            <w:r w:rsidRPr="000A33D2">
              <w:rPr>
                <w:rFonts w:ascii="Arial Narrow" w:hAnsi="Arial Narrow"/>
                <w:sz w:val="20"/>
                <w:szCs w:val="20"/>
              </w:rPr>
              <w:t>5.4</w:t>
            </w:r>
          </w:p>
          <w:p w14:paraId="04BBF8B1" w14:textId="0E8EB0BA"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(3.9, 8.1)</w:t>
            </w:r>
          </w:p>
        </w:tc>
        <w:tc>
          <w:tcPr>
            <w:tcW w:w="1126" w:type="dxa"/>
            <w:shd w:val="clear" w:color="auto" w:fill="auto"/>
            <w:vAlign w:val="center"/>
          </w:tcPr>
          <w:p w14:paraId="131E8200" w14:textId="77777777" w:rsidR="00AA485A" w:rsidRPr="000A33D2" w:rsidRDefault="00AA485A" w:rsidP="00AA485A">
            <w:pPr>
              <w:keepNext/>
              <w:jc w:val="center"/>
              <w:rPr>
                <w:rFonts w:ascii="Arial Narrow" w:hAnsi="Arial Narrow"/>
                <w:sz w:val="20"/>
                <w:szCs w:val="20"/>
              </w:rPr>
            </w:pPr>
            <w:r w:rsidRPr="000A33D2">
              <w:rPr>
                <w:rFonts w:ascii="Arial Narrow" w:hAnsi="Arial Narrow"/>
                <w:sz w:val="20"/>
                <w:szCs w:val="20"/>
              </w:rPr>
              <w:t>8.6</w:t>
            </w:r>
          </w:p>
          <w:p w14:paraId="3A4045B7" w14:textId="146DF6D8"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(6.9, 13.1)</w:t>
            </w:r>
          </w:p>
        </w:tc>
        <w:tc>
          <w:tcPr>
            <w:tcW w:w="1126" w:type="dxa"/>
            <w:shd w:val="clear" w:color="auto" w:fill="auto"/>
            <w:vAlign w:val="center"/>
          </w:tcPr>
          <w:p w14:paraId="59A382D3" w14:textId="77777777" w:rsidR="00AA485A" w:rsidRPr="000A33D2" w:rsidRDefault="00AA485A" w:rsidP="00AA485A">
            <w:pPr>
              <w:keepNext/>
              <w:jc w:val="center"/>
              <w:rPr>
                <w:rFonts w:ascii="Arial Narrow" w:hAnsi="Arial Narrow"/>
                <w:sz w:val="20"/>
                <w:szCs w:val="20"/>
              </w:rPr>
            </w:pPr>
            <w:r w:rsidRPr="000A33D2">
              <w:rPr>
                <w:rFonts w:ascii="Arial Narrow" w:hAnsi="Arial Narrow"/>
                <w:sz w:val="20"/>
                <w:szCs w:val="20"/>
              </w:rPr>
              <w:t>6.3</w:t>
            </w:r>
          </w:p>
          <w:p w14:paraId="4EBF45C9" w14:textId="70DEC7FE" w:rsidR="00AA485A" w:rsidRPr="000A33D2" w:rsidRDefault="00AA485A" w:rsidP="00AA485A">
            <w:pPr>
              <w:keepNext/>
              <w:keepLines/>
              <w:jc w:val="center"/>
              <w:rPr>
                <w:rFonts w:ascii="Arial Narrow" w:hAnsi="Arial Narrow"/>
                <w:sz w:val="20"/>
                <w:szCs w:val="20"/>
              </w:rPr>
            </w:pPr>
            <w:r w:rsidRPr="000A33D2">
              <w:rPr>
                <w:rFonts w:ascii="Arial Narrow" w:hAnsi="Arial Narrow"/>
                <w:sz w:val="20"/>
                <w:szCs w:val="20"/>
              </w:rPr>
              <w:t>(4.4, 6.9)</w:t>
            </w:r>
          </w:p>
        </w:tc>
      </w:tr>
      <w:tr w:rsidR="000A28A5" w:rsidRPr="000A33D2" w14:paraId="6501E691" w14:textId="77777777" w:rsidTr="00EB622B">
        <w:tc>
          <w:tcPr>
            <w:tcW w:w="9017" w:type="dxa"/>
            <w:gridSpan w:val="7"/>
            <w:shd w:val="clear" w:color="auto" w:fill="auto"/>
            <w:vAlign w:val="center"/>
          </w:tcPr>
          <w:p w14:paraId="45518FAE" w14:textId="770CBEE6" w:rsidR="000A28A5" w:rsidRPr="000A33D2" w:rsidRDefault="00E00F74" w:rsidP="000A28A5">
            <w:pPr>
              <w:keepNext/>
              <w:rPr>
                <w:rFonts w:ascii="Arial Narrow" w:hAnsi="Arial Narrow"/>
                <w:b/>
                <w:bCs/>
                <w:sz w:val="20"/>
                <w:szCs w:val="20"/>
              </w:rPr>
            </w:pPr>
            <w:r w:rsidRPr="000A33D2">
              <w:rPr>
                <w:rFonts w:ascii="Arial Narrow" w:hAnsi="Arial Narrow"/>
                <w:b/>
                <w:bCs/>
                <w:sz w:val="20"/>
                <w:szCs w:val="20"/>
              </w:rPr>
              <w:t>Progression free survival 2 (PFS2)</w:t>
            </w:r>
          </w:p>
        </w:tc>
      </w:tr>
      <w:tr w:rsidR="000A28A5" w:rsidRPr="000A33D2" w14:paraId="78E83BC7" w14:textId="77777777" w:rsidTr="0081425B">
        <w:tc>
          <w:tcPr>
            <w:tcW w:w="2263" w:type="dxa"/>
            <w:shd w:val="clear" w:color="auto" w:fill="auto"/>
            <w:vAlign w:val="center"/>
          </w:tcPr>
          <w:p w14:paraId="05D7B70A" w14:textId="7FBA9595" w:rsidR="000A28A5" w:rsidRPr="000A33D2" w:rsidRDefault="00E00F74" w:rsidP="00AA485A">
            <w:pPr>
              <w:keepNext/>
              <w:rPr>
                <w:rFonts w:ascii="Arial Narrow" w:hAnsi="Arial Narrow"/>
                <w:sz w:val="20"/>
                <w:szCs w:val="20"/>
              </w:rPr>
            </w:pPr>
            <w:r w:rsidRPr="000A33D2">
              <w:rPr>
                <w:rFonts w:ascii="Arial Narrow" w:hAnsi="Arial Narrow"/>
                <w:sz w:val="20"/>
                <w:szCs w:val="20"/>
              </w:rPr>
              <w:t xml:space="preserve">Number </w:t>
            </w:r>
            <w:r w:rsidR="0081425B" w:rsidRPr="000A33D2">
              <w:rPr>
                <w:rFonts w:ascii="Arial Narrow" w:hAnsi="Arial Narrow"/>
                <w:sz w:val="20"/>
                <w:szCs w:val="20"/>
              </w:rPr>
              <w:t>of patients</w:t>
            </w:r>
          </w:p>
        </w:tc>
        <w:tc>
          <w:tcPr>
            <w:tcW w:w="1125" w:type="dxa"/>
            <w:shd w:val="clear" w:color="auto" w:fill="auto"/>
            <w:vAlign w:val="center"/>
          </w:tcPr>
          <w:p w14:paraId="3F95BEE5" w14:textId="15AF4CD8" w:rsidR="000A28A5" w:rsidRPr="000A33D2" w:rsidRDefault="0081425B" w:rsidP="00AA485A">
            <w:pPr>
              <w:keepNext/>
              <w:jc w:val="center"/>
              <w:rPr>
                <w:rFonts w:ascii="Arial Narrow" w:hAnsi="Arial Narrow"/>
                <w:sz w:val="20"/>
                <w:szCs w:val="20"/>
              </w:rPr>
            </w:pPr>
            <w:r w:rsidRPr="000A33D2">
              <w:rPr>
                <w:rFonts w:ascii="Arial Narrow" w:hAnsi="Arial Narrow"/>
                <w:sz w:val="20"/>
                <w:szCs w:val="20"/>
              </w:rPr>
              <w:t>245</w:t>
            </w:r>
          </w:p>
        </w:tc>
        <w:tc>
          <w:tcPr>
            <w:tcW w:w="1126" w:type="dxa"/>
            <w:shd w:val="clear" w:color="auto" w:fill="auto"/>
            <w:vAlign w:val="center"/>
          </w:tcPr>
          <w:p w14:paraId="6EC91CDF" w14:textId="6AB5C329" w:rsidR="000A28A5" w:rsidRPr="000A33D2" w:rsidRDefault="0081425B" w:rsidP="00AA485A">
            <w:pPr>
              <w:keepNext/>
              <w:jc w:val="center"/>
              <w:rPr>
                <w:rFonts w:ascii="Arial Narrow" w:hAnsi="Arial Narrow"/>
                <w:sz w:val="20"/>
                <w:szCs w:val="20"/>
              </w:rPr>
            </w:pPr>
            <w:r w:rsidRPr="000A33D2">
              <w:rPr>
                <w:rFonts w:ascii="Arial Narrow" w:hAnsi="Arial Narrow"/>
                <w:sz w:val="20"/>
                <w:szCs w:val="20"/>
              </w:rPr>
              <w:t>249</w:t>
            </w:r>
          </w:p>
        </w:tc>
        <w:tc>
          <w:tcPr>
            <w:tcW w:w="1126" w:type="dxa"/>
            <w:shd w:val="clear" w:color="auto" w:fill="auto"/>
            <w:vAlign w:val="center"/>
          </w:tcPr>
          <w:p w14:paraId="3465945E" w14:textId="423249DB" w:rsidR="000A28A5" w:rsidRPr="000A33D2" w:rsidRDefault="0081425B" w:rsidP="00AA485A">
            <w:pPr>
              <w:keepNext/>
              <w:jc w:val="center"/>
              <w:rPr>
                <w:rFonts w:ascii="Arial Narrow" w:hAnsi="Arial Narrow"/>
                <w:sz w:val="20"/>
                <w:szCs w:val="20"/>
              </w:rPr>
            </w:pPr>
            <w:r w:rsidRPr="000A33D2">
              <w:rPr>
                <w:rFonts w:ascii="Arial Narrow" w:hAnsi="Arial Narrow"/>
                <w:sz w:val="20"/>
                <w:szCs w:val="20"/>
              </w:rPr>
              <w:t>53</w:t>
            </w:r>
          </w:p>
        </w:tc>
        <w:tc>
          <w:tcPr>
            <w:tcW w:w="1125" w:type="dxa"/>
            <w:shd w:val="clear" w:color="auto" w:fill="auto"/>
            <w:vAlign w:val="center"/>
          </w:tcPr>
          <w:p w14:paraId="37F9AFA4" w14:textId="39B2875E" w:rsidR="000A28A5" w:rsidRPr="000A33D2" w:rsidRDefault="0081425B" w:rsidP="00AA485A">
            <w:pPr>
              <w:keepNext/>
              <w:jc w:val="center"/>
              <w:rPr>
                <w:rFonts w:ascii="Arial Narrow" w:hAnsi="Arial Narrow"/>
                <w:sz w:val="20"/>
                <w:szCs w:val="20"/>
              </w:rPr>
            </w:pPr>
            <w:r w:rsidRPr="000A33D2">
              <w:rPr>
                <w:rFonts w:ascii="Arial Narrow" w:hAnsi="Arial Narrow"/>
                <w:sz w:val="20"/>
                <w:szCs w:val="20"/>
              </w:rPr>
              <w:t>65</w:t>
            </w:r>
          </w:p>
        </w:tc>
        <w:tc>
          <w:tcPr>
            <w:tcW w:w="1126" w:type="dxa"/>
            <w:shd w:val="clear" w:color="auto" w:fill="auto"/>
            <w:vAlign w:val="center"/>
          </w:tcPr>
          <w:p w14:paraId="00D40A16" w14:textId="62D63C6F" w:rsidR="000A28A5" w:rsidRPr="000A33D2" w:rsidRDefault="0081425B" w:rsidP="00AA485A">
            <w:pPr>
              <w:keepNext/>
              <w:jc w:val="center"/>
              <w:rPr>
                <w:rFonts w:ascii="Arial Narrow" w:hAnsi="Arial Narrow"/>
                <w:sz w:val="20"/>
                <w:szCs w:val="20"/>
              </w:rPr>
            </w:pPr>
            <w:r w:rsidRPr="000A33D2">
              <w:rPr>
                <w:rFonts w:ascii="Arial Narrow" w:hAnsi="Arial Narrow"/>
                <w:sz w:val="20"/>
                <w:szCs w:val="20"/>
              </w:rPr>
              <w:t>192</w:t>
            </w:r>
          </w:p>
        </w:tc>
        <w:tc>
          <w:tcPr>
            <w:tcW w:w="1126" w:type="dxa"/>
            <w:shd w:val="clear" w:color="auto" w:fill="auto"/>
            <w:vAlign w:val="center"/>
          </w:tcPr>
          <w:p w14:paraId="6193A9DC" w14:textId="1656FAFD" w:rsidR="000A28A5" w:rsidRPr="000A33D2" w:rsidRDefault="0081425B" w:rsidP="00AA485A">
            <w:pPr>
              <w:keepNext/>
              <w:jc w:val="center"/>
              <w:rPr>
                <w:rFonts w:ascii="Arial Narrow" w:hAnsi="Arial Narrow"/>
                <w:sz w:val="20"/>
                <w:szCs w:val="20"/>
              </w:rPr>
            </w:pPr>
            <w:r w:rsidRPr="000A33D2">
              <w:rPr>
                <w:rFonts w:ascii="Arial Narrow" w:hAnsi="Arial Narrow"/>
                <w:sz w:val="20"/>
                <w:szCs w:val="20"/>
              </w:rPr>
              <w:t>184</w:t>
            </w:r>
          </w:p>
        </w:tc>
      </w:tr>
      <w:tr w:rsidR="00E00F74" w:rsidRPr="000A33D2" w14:paraId="64CB15DE" w14:textId="77777777" w:rsidTr="0081425B">
        <w:tc>
          <w:tcPr>
            <w:tcW w:w="2263" w:type="dxa"/>
            <w:shd w:val="clear" w:color="auto" w:fill="auto"/>
            <w:vAlign w:val="center"/>
          </w:tcPr>
          <w:p w14:paraId="4EE4ED72" w14:textId="77777777" w:rsidR="0081425B" w:rsidRPr="000A33D2" w:rsidRDefault="00E00F74" w:rsidP="00E00F74">
            <w:pPr>
              <w:keepNext/>
              <w:rPr>
                <w:rFonts w:ascii="Arial Narrow" w:hAnsi="Arial Narrow"/>
                <w:sz w:val="20"/>
                <w:szCs w:val="20"/>
              </w:rPr>
            </w:pPr>
            <w:r w:rsidRPr="000A33D2">
              <w:rPr>
                <w:rFonts w:ascii="Arial Narrow" w:hAnsi="Arial Narrow"/>
                <w:sz w:val="20"/>
                <w:szCs w:val="20"/>
              </w:rPr>
              <w:t xml:space="preserve">Median PFS2, months </w:t>
            </w:r>
          </w:p>
          <w:p w14:paraId="1491E7B4" w14:textId="2122CB7B" w:rsidR="00E00F74" w:rsidRPr="000A33D2" w:rsidRDefault="00E00F74" w:rsidP="00E00F74">
            <w:pPr>
              <w:keepNext/>
              <w:rPr>
                <w:rFonts w:ascii="Arial Narrow" w:hAnsi="Arial Narrow"/>
                <w:sz w:val="20"/>
                <w:szCs w:val="20"/>
              </w:rPr>
            </w:pPr>
            <w:r w:rsidRPr="000A33D2">
              <w:rPr>
                <w:rFonts w:ascii="Arial Narrow" w:hAnsi="Arial Narrow"/>
                <w:sz w:val="20"/>
                <w:szCs w:val="20"/>
              </w:rPr>
              <w:t>(95% CI)</w:t>
            </w:r>
          </w:p>
        </w:tc>
        <w:tc>
          <w:tcPr>
            <w:tcW w:w="1125" w:type="dxa"/>
            <w:shd w:val="clear" w:color="auto" w:fill="auto"/>
            <w:vAlign w:val="center"/>
          </w:tcPr>
          <w:p w14:paraId="5DDF1065" w14:textId="77777777" w:rsidR="00E00F74" w:rsidRPr="000A33D2" w:rsidRDefault="00E00F74" w:rsidP="00E00F74">
            <w:pPr>
              <w:keepNext/>
              <w:keepLines/>
              <w:jc w:val="center"/>
              <w:rPr>
                <w:rFonts w:ascii="Arial Narrow" w:hAnsi="Arial Narrow"/>
                <w:sz w:val="20"/>
                <w:szCs w:val="20"/>
              </w:rPr>
            </w:pPr>
            <w:r w:rsidRPr="000A33D2">
              <w:rPr>
                <w:rFonts w:ascii="Arial Narrow" w:hAnsi="Arial Narrow"/>
                <w:sz w:val="20"/>
                <w:szCs w:val="20"/>
              </w:rPr>
              <w:t>NR</w:t>
            </w:r>
          </w:p>
          <w:p w14:paraId="3C72A3EE" w14:textId="47BB7D86" w:rsidR="00E00F74" w:rsidRPr="000A33D2" w:rsidRDefault="00E00F74" w:rsidP="00E00F74">
            <w:pPr>
              <w:keepNext/>
              <w:jc w:val="center"/>
              <w:rPr>
                <w:rFonts w:ascii="Arial Narrow" w:hAnsi="Arial Narrow"/>
                <w:sz w:val="20"/>
                <w:szCs w:val="20"/>
                <w:vertAlign w:val="superscript"/>
              </w:rPr>
            </w:pPr>
            <w:r w:rsidRPr="000A33D2">
              <w:rPr>
                <w:rFonts w:ascii="Arial Narrow" w:hAnsi="Arial Narrow"/>
                <w:sz w:val="20"/>
                <w:szCs w:val="20"/>
              </w:rPr>
              <w:t xml:space="preserve">(25.0, NR) </w:t>
            </w:r>
            <w:r w:rsidR="00924486" w:rsidRPr="000A33D2">
              <w:rPr>
                <w:rFonts w:ascii="Arial Narrow" w:hAnsi="Arial Narrow"/>
                <w:sz w:val="20"/>
                <w:szCs w:val="20"/>
                <w:vertAlign w:val="superscript"/>
              </w:rPr>
              <w:t>c</w:t>
            </w:r>
          </w:p>
        </w:tc>
        <w:tc>
          <w:tcPr>
            <w:tcW w:w="1126" w:type="dxa"/>
            <w:shd w:val="clear" w:color="auto" w:fill="auto"/>
            <w:vAlign w:val="center"/>
          </w:tcPr>
          <w:p w14:paraId="71816E3A" w14:textId="77777777" w:rsidR="00E00F74" w:rsidRPr="000A33D2" w:rsidRDefault="00E00F74" w:rsidP="00E00F74">
            <w:pPr>
              <w:keepNext/>
              <w:keepLines/>
              <w:jc w:val="center"/>
              <w:rPr>
                <w:rFonts w:ascii="Arial Narrow" w:hAnsi="Arial Narrow"/>
                <w:sz w:val="20"/>
                <w:szCs w:val="20"/>
              </w:rPr>
            </w:pPr>
            <w:r w:rsidRPr="000A33D2">
              <w:rPr>
                <w:rFonts w:ascii="Arial Narrow" w:hAnsi="Arial Narrow"/>
                <w:sz w:val="20"/>
                <w:szCs w:val="20"/>
              </w:rPr>
              <w:t>18.5</w:t>
            </w:r>
          </w:p>
          <w:p w14:paraId="1507BC80" w14:textId="0D6E9BE3" w:rsidR="00E00F74" w:rsidRPr="000A33D2" w:rsidRDefault="00E00F74" w:rsidP="00E00F74">
            <w:pPr>
              <w:keepNext/>
              <w:jc w:val="center"/>
              <w:rPr>
                <w:rFonts w:ascii="Arial Narrow" w:hAnsi="Arial Narrow"/>
                <w:sz w:val="20"/>
                <w:szCs w:val="20"/>
              </w:rPr>
            </w:pPr>
            <w:r w:rsidRPr="000A33D2">
              <w:rPr>
                <w:rFonts w:ascii="Arial Narrow" w:hAnsi="Arial Narrow"/>
                <w:sz w:val="20"/>
                <w:szCs w:val="20"/>
              </w:rPr>
              <w:t>(14.9, 22.6)</w:t>
            </w:r>
          </w:p>
        </w:tc>
        <w:tc>
          <w:tcPr>
            <w:tcW w:w="1126" w:type="dxa"/>
            <w:shd w:val="clear" w:color="auto" w:fill="auto"/>
            <w:vAlign w:val="center"/>
          </w:tcPr>
          <w:p w14:paraId="675F0DD5" w14:textId="77777777" w:rsidR="00E00F74" w:rsidRPr="000A33D2" w:rsidRDefault="00E00F74" w:rsidP="00E00F74">
            <w:pPr>
              <w:keepNext/>
              <w:keepLines/>
              <w:jc w:val="center"/>
              <w:rPr>
                <w:rFonts w:ascii="Arial Narrow" w:hAnsi="Arial Narrow"/>
                <w:sz w:val="20"/>
                <w:szCs w:val="20"/>
              </w:rPr>
            </w:pPr>
            <w:r w:rsidRPr="000A33D2">
              <w:rPr>
                <w:rFonts w:ascii="Arial Narrow" w:hAnsi="Arial Narrow"/>
                <w:sz w:val="20"/>
                <w:szCs w:val="20"/>
              </w:rPr>
              <w:t>NR</w:t>
            </w:r>
          </w:p>
          <w:p w14:paraId="64D74893" w14:textId="0C4F47D5" w:rsidR="00E00F74" w:rsidRPr="000A33D2" w:rsidRDefault="00E00F74" w:rsidP="00E00F74">
            <w:pPr>
              <w:keepNext/>
              <w:jc w:val="center"/>
              <w:rPr>
                <w:rFonts w:ascii="Arial Narrow" w:hAnsi="Arial Narrow"/>
                <w:sz w:val="20"/>
                <w:szCs w:val="20"/>
                <w:vertAlign w:val="superscript"/>
              </w:rPr>
            </w:pPr>
            <w:r w:rsidRPr="000A33D2">
              <w:rPr>
                <w:rFonts w:ascii="Arial Narrow" w:hAnsi="Arial Narrow"/>
                <w:sz w:val="20"/>
                <w:szCs w:val="20"/>
              </w:rPr>
              <w:t xml:space="preserve">(NR, NR) </w:t>
            </w:r>
            <w:r w:rsidR="00367C4E" w:rsidRPr="000A33D2">
              <w:rPr>
                <w:rFonts w:ascii="Arial Narrow" w:hAnsi="Arial Narrow"/>
                <w:sz w:val="20"/>
                <w:szCs w:val="20"/>
                <w:vertAlign w:val="superscript"/>
              </w:rPr>
              <w:t>c</w:t>
            </w:r>
          </w:p>
        </w:tc>
        <w:tc>
          <w:tcPr>
            <w:tcW w:w="1125" w:type="dxa"/>
            <w:shd w:val="clear" w:color="auto" w:fill="auto"/>
            <w:vAlign w:val="center"/>
          </w:tcPr>
          <w:p w14:paraId="2BADFB0A" w14:textId="77777777" w:rsidR="00E00F74" w:rsidRPr="000A33D2" w:rsidRDefault="00E00F74" w:rsidP="00E00F74">
            <w:pPr>
              <w:keepNext/>
              <w:keepLines/>
              <w:jc w:val="center"/>
              <w:rPr>
                <w:rFonts w:ascii="Arial Narrow" w:hAnsi="Arial Narrow"/>
                <w:sz w:val="20"/>
                <w:szCs w:val="20"/>
              </w:rPr>
            </w:pPr>
            <w:r w:rsidRPr="000A33D2">
              <w:rPr>
                <w:rFonts w:ascii="Arial Narrow" w:hAnsi="Arial Narrow"/>
                <w:sz w:val="20"/>
                <w:szCs w:val="20"/>
              </w:rPr>
              <w:t>22.0</w:t>
            </w:r>
          </w:p>
          <w:p w14:paraId="32081395" w14:textId="4C8478F6" w:rsidR="00E00F74" w:rsidRPr="000A33D2" w:rsidRDefault="00E00F74" w:rsidP="00E00F74">
            <w:pPr>
              <w:keepNext/>
              <w:jc w:val="center"/>
              <w:rPr>
                <w:rFonts w:ascii="Arial Narrow" w:hAnsi="Arial Narrow"/>
                <w:sz w:val="20"/>
                <w:szCs w:val="20"/>
              </w:rPr>
            </w:pPr>
            <w:r w:rsidRPr="000A33D2">
              <w:rPr>
                <w:rFonts w:ascii="Arial Narrow" w:hAnsi="Arial Narrow"/>
                <w:sz w:val="20"/>
                <w:szCs w:val="20"/>
              </w:rPr>
              <w:t>(13.4, NR)</w:t>
            </w:r>
          </w:p>
        </w:tc>
        <w:tc>
          <w:tcPr>
            <w:tcW w:w="1126" w:type="dxa"/>
            <w:shd w:val="clear" w:color="auto" w:fill="auto"/>
            <w:vAlign w:val="center"/>
          </w:tcPr>
          <w:p w14:paraId="11215667" w14:textId="77777777" w:rsidR="00E00F74" w:rsidRPr="000A33D2" w:rsidRDefault="00E00F74" w:rsidP="00E00F74">
            <w:pPr>
              <w:keepNext/>
              <w:keepLines/>
              <w:jc w:val="center"/>
              <w:rPr>
                <w:rFonts w:ascii="Arial Narrow" w:hAnsi="Arial Narrow"/>
                <w:sz w:val="20"/>
                <w:szCs w:val="20"/>
              </w:rPr>
            </w:pPr>
            <w:r w:rsidRPr="000A33D2">
              <w:rPr>
                <w:rFonts w:ascii="Arial Narrow" w:hAnsi="Arial Narrow"/>
                <w:sz w:val="20"/>
                <w:szCs w:val="20"/>
              </w:rPr>
              <w:t>26.2</w:t>
            </w:r>
          </w:p>
          <w:p w14:paraId="7AE40F58" w14:textId="46FC6983" w:rsidR="00E00F74" w:rsidRPr="000A33D2" w:rsidRDefault="00E00F74" w:rsidP="00E00F74">
            <w:pPr>
              <w:keepNext/>
              <w:jc w:val="center"/>
              <w:rPr>
                <w:rFonts w:ascii="Arial Narrow" w:hAnsi="Arial Narrow"/>
                <w:sz w:val="20"/>
                <w:szCs w:val="20"/>
              </w:rPr>
            </w:pPr>
            <w:r w:rsidRPr="000A33D2">
              <w:rPr>
                <w:rFonts w:ascii="Arial Narrow" w:hAnsi="Arial Narrow"/>
                <w:sz w:val="20"/>
                <w:szCs w:val="20"/>
              </w:rPr>
              <w:t>(19.6, NR)</w:t>
            </w:r>
          </w:p>
        </w:tc>
        <w:tc>
          <w:tcPr>
            <w:tcW w:w="1126" w:type="dxa"/>
            <w:shd w:val="clear" w:color="auto" w:fill="auto"/>
            <w:vAlign w:val="center"/>
          </w:tcPr>
          <w:p w14:paraId="5C6893FD" w14:textId="77777777" w:rsidR="00E00F74" w:rsidRPr="000A33D2" w:rsidRDefault="00E00F74" w:rsidP="00E00F74">
            <w:pPr>
              <w:keepNext/>
              <w:keepLines/>
              <w:jc w:val="center"/>
              <w:rPr>
                <w:rFonts w:ascii="Arial Narrow" w:hAnsi="Arial Narrow"/>
                <w:sz w:val="20"/>
                <w:szCs w:val="20"/>
              </w:rPr>
            </w:pPr>
            <w:r w:rsidRPr="000A33D2">
              <w:rPr>
                <w:rFonts w:ascii="Arial Narrow" w:hAnsi="Arial Narrow"/>
                <w:sz w:val="20"/>
                <w:szCs w:val="20"/>
              </w:rPr>
              <w:t>15.9</w:t>
            </w:r>
          </w:p>
          <w:p w14:paraId="1A2DA978" w14:textId="3302431A" w:rsidR="00E00F74" w:rsidRPr="000A33D2" w:rsidRDefault="00E00F74" w:rsidP="00E00F74">
            <w:pPr>
              <w:keepNext/>
              <w:jc w:val="center"/>
              <w:rPr>
                <w:rFonts w:ascii="Arial Narrow" w:hAnsi="Arial Narrow"/>
                <w:sz w:val="20"/>
                <w:szCs w:val="20"/>
              </w:rPr>
            </w:pPr>
            <w:r w:rsidRPr="000A33D2">
              <w:rPr>
                <w:rFonts w:ascii="Arial Narrow" w:hAnsi="Arial Narrow"/>
                <w:sz w:val="20"/>
                <w:szCs w:val="20"/>
              </w:rPr>
              <w:t>(13.7, 22.1)</w:t>
            </w:r>
          </w:p>
        </w:tc>
      </w:tr>
      <w:tr w:rsidR="0081425B" w:rsidRPr="000A33D2" w14:paraId="09F297AD" w14:textId="77777777" w:rsidTr="0081425B">
        <w:tc>
          <w:tcPr>
            <w:tcW w:w="2263" w:type="dxa"/>
            <w:shd w:val="clear" w:color="auto" w:fill="auto"/>
            <w:vAlign w:val="center"/>
          </w:tcPr>
          <w:p w14:paraId="5D8586DA" w14:textId="624E0018" w:rsidR="0081425B" w:rsidRPr="000A33D2" w:rsidRDefault="0081425B" w:rsidP="0081425B">
            <w:pPr>
              <w:keepNext/>
              <w:keepLines/>
              <w:rPr>
                <w:rFonts w:ascii="Arial Narrow" w:hAnsi="Arial Narrow"/>
                <w:sz w:val="20"/>
                <w:szCs w:val="20"/>
              </w:rPr>
            </w:pPr>
            <w:r w:rsidRPr="000A33D2">
              <w:rPr>
                <w:rFonts w:ascii="Arial Narrow" w:hAnsi="Arial Narrow"/>
                <w:sz w:val="20"/>
                <w:szCs w:val="20"/>
              </w:rPr>
              <w:t>Hazard Ratio (95% CI)</w:t>
            </w:r>
          </w:p>
        </w:tc>
        <w:tc>
          <w:tcPr>
            <w:tcW w:w="2251" w:type="dxa"/>
            <w:gridSpan w:val="2"/>
            <w:shd w:val="clear" w:color="auto" w:fill="auto"/>
            <w:vAlign w:val="center"/>
          </w:tcPr>
          <w:p w14:paraId="3D07992B" w14:textId="74A81921" w:rsidR="0081425B" w:rsidRPr="000A33D2" w:rsidRDefault="0081425B" w:rsidP="0081425B">
            <w:pPr>
              <w:keepNext/>
              <w:keepLines/>
              <w:jc w:val="center"/>
              <w:rPr>
                <w:rFonts w:ascii="Arial Narrow" w:hAnsi="Arial Narrow"/>
                <w:sz w:val="20"/>
                <w:szCs w:val="20"/>
              </w:rPr>
            </w:pPr>
            <w:r w:rsidRPr="000A33D2">
              <w:rPr>
                <w:rFonts w:ascii="Arial Narrow" w:hAnsi="Arial Narrow"/>
                <w:sz w:val="20"/>
                <w:szCs w:val="20"/>
              </w:rPr>
              <w:t>0.65 (0.50, 0.84)</w:t>
            </w:r>
          </w:p>
        </w:tc>
        <w:tc>
          <w:tcPr>
            <w:tcW w:w="2251" w:type="dxa"/>
            <w:gridSpan w:val="2"/>
            <w:shd w:val="clear" w:color="auto" w:fill="auto"/>
            <w:vAlign w:val="center"/>
          </w:tcPr>
          <w:p w14:paraId="7B34CBC9" w14:textId="10A630C0" w:rsidR="0081425B" w:rsidRPr="000A33D2" w:rsidRDefault="0081425B" w:rsidP="0081425B">
            <w:pPr>
              <w:keepNext/>
              <w:keepLines/>
              <w:jc w:val="center"/>
              <w:rPr>
                <w:rFonts w:ascii="Arial Narrow" w:hAnsi="Arial Narrow"/>
                <w:sz w:val="20"/>
                <w:szCs w:val="20"/>
              </w:rPr>
            </w:pPr>
            <w:r w:rsidRPr="000A33D2">
              <w:rPr>
                <w:rFonts w:ascii="Arial Narrow" w:hAnsi="Arial Narrow"/>
                <w:sz w:val="20"/>
                <w:szCs w:val="20"/>
              </w:rPr>
              <w:t>0.37 (0.19, 0.73)</w:t>
            </w:r>
          </w:p>
        </w:tc>
        <w:tc>
          <w:tcPr>
            <w:tcW w:w="2252" w:type="dxa"/>
            <w:gridSpan w:val="2"/>
            <w:shd w:val="clear" w:color="auto" w:fill="auto"/>
            <w:vAlign w:val="center"/>
          </w:tcPr>
          <w:p w14:paraId="0D978C6B" w14:textId="00E50BD5" w:rsidR="0081425B" w:rsidRPr="000A33D2" w:rsidRDefault="0081425B" w:rsidP="0081425B">
            <w:pPr>
              <w:keepNext/>
              <w:keepLines/>
              <w:jc w:val="center"/>
              <w:rPr>
                <w:rFonts w:ascii="Arial Narrow" w:hAnsi="Arial Narrow"/>
                <w:sz w:val="20"/>
                <w:szCs w:val="20"/>
              </w:rPr>
            </w:pPr>
            <w:r w:rsidRPr="000A33D2">
              <w:rPr>
                <w:rFonts w:ascii="Arial Narrow" w:hAnsi="Arial Narrow"/>
                <w:sz w:val="20"/>
                <w:szCs w:val="20"/>
              </w:rPr>
              <w:t>0.71 (0.54, 0.95)</w:t>
            </w:r>
          </w:p>
        </w:tc>
      </w:tr>
    </w:tbl>
    <w:p w14:paraId="6158DBD7" w14:textId="23E20376" w:rsidR="00784864" w:rsidRPr="000A33D2" w:rsidRDefault="00784864" w:rsidP="00784864">
      <w:pPr>
        <w:pStyle w:val="FooterTableFigure"/>
        <w:keepNext/>
        <w:keepLines/>
        <w:spacing w:after="0"/>
        <w:rPr>
          <w:sz w:val="20"/>
        </w:rPr>
      </w:pPr>
      <w:r w:rsidRPr="000A33D2">
        <w:t>Source: Table 32, p72</w:t>
      </w:r>
      <w:r w:rsidR="00FD5CB3" w:rsidRPr="000A33D2">
        <w:t>, Table 33, p73 and Table 34, p75</w:t>
      </w:r>
      <w:r w:rsidRPr="000A33D2">
        <w:t xml:space="preserve"> of the submission.</w:t>
      </w:r>
    </w:p>
    <w:p w14:paraId="28F6B0C2" w14:textId="78DA79BA" w:rsidR="00784864" w:rsidRPr="000A33D2" w:rsidRDefault="00784864" w:rsidP="00784864">
      <w:pPr>
        <w:pStyle w:val="FooterTableFigure"/>
        <w:keepNext/>
        <w:keepLines/>
        <w:spacing w:after="0"/>
      </w:pPr>
      <w:r w:rsidRPr="000A33D2">
        <w:rPr>
          <w:rFonts w:eastAsia="Calibri"/>
        </w:rPr>
        <w:t xml:space="preserve">CI=confidence interval; CP=carboplatin-paclitaxel; dMMR=mismatch repair deficient; DOS=dostarlimab; pMMR=mismatch repair proficient; MSI-H=high microsatellite instability; MSS=microsatellite stable; </w:t>
      </w:r>
      <w:r w:rsidR="00815099" w:rsidRPr="000A33D2">
        <w:rPr>
          <w:rFonts w:eastAsia="Calibri"/>
        </w:rPr>
        <w:t xml:space="preserve">NR = not reached; </w:t>
      </w:r>
      <w:r w:rsidRPr="000A33D2">
        <w:rPr>
          <w:rFonts w:eastAsia="Calibri"/>
        </w:rPr>
        <w:t>PBO=placebo</w:t>
      </w:r>
    </w:p>
    <w:p w14:paraId="1AE7BA4D" w14:textId="750BA95B" w:rsidR="00784864" w:rsidRPr="000A33D2" w:rsidRDefault="00924486" w:rsidP="00784864">
      <w:pPr>
        <w:pStyle w:val="FooterTableFigure"/>
        <w:keepNext/>
        <w:keepLines/>
        <w:spacing w:after="0"/>
      </w:pPr>
      <w:r w:rsidRPr="000A33D2">
        <w:t>a</w:t>
      </w:r>
      <w:r w:rsidR="00784864" w:rsidRPr="000A33D2">
        <w:t xml:space="preserve"> Denominator is number of patients with target lesion at baseline.</w:t>
      </w:r>
    </w:p>
    <w:p w14:paraId="46E2DBD0" w14:textId="48889D90" w:rsidR="00784864" w:rsidRPr="000A33D2" w:rsidRDefault="00924486" w:rsidP="00784864">
      <w:pPr>
        <w:pStyle w:val="FooterTableFigure"/>
        <w:keepNext/>
        <w:keepLines/>
      </w:pPr>
      <w:r w:rsidRPr="000A33D2">
        <w:t>b</w:t>
      </w:r>
      <w:r w:rsidR="00784864" w:rsidRPr="000A33D2">
        <w:t xml:space="preserve"> DCR is defined as the percentage of patients with a RECIST v1.1 CR, PR, SD, Non-CR/Non-PD, No disease.</w:t>
      </w:r>
    </w:p>
    <w:p w14:paraId="7C58CFB5" w14:textId="63A2C9BB" w:rsidR="005F321B" w:rsidRPr="000A33D2" w:rsidRDefault="00924486" w:rsidP="00B62E71">
      <w:pPr>
        <w:pStyle w:val="FooterTableFigure"/>
        <w:keepLines/>
        <w:contextualSpacing w:val="0"/>
      </w:pPr>
      <w:r w:rsidRPr="000A33D2">
        <w:t>c</w:t>
      </w:r>
      <w:r w:rsidR="005F321B" w:rsidRPr="000A33D2">
        <w:t xml:space="preserve"> Added during evaluation as 95%CI was omitted by the submission. </w:t>
      </w:r>
    </w:p>
    <w:p w14:paraId="093DFD50" w14:textId="29999463" w:rsidR="00C42BB5" w:rsidRPr="000A33D2" w:rsidRDefault="00553F49" w:rsidP="00EC5836">
      <w:pPr>
        <w:pStyle w:val="3-BodyText"/>
      </w:pPr>
      <w:r w:rsidRPr="000A33D2">
        <w:t xml:space="preserve">Patient reported outcomes </w:t>
      </w:r>
      <w:r w:rsidR="00156635" w:rsidRPr="000A33D2">
        <w:t xml:space="preserve">in RUBY included results from the European Quality of Life scale, 5-Dimensions, 5-Levels (EQ-5D-5L). </w:t>
      </w:r>
      <w:r w:rsidR="00AE0062" w:rsidRPr="000A33D2">
        <w:t>The EQ-5D-5L data from RUBY were translated to EQ-5D utility values for application in the submission’s economic model</w:t>
      </w:r>
      <w:r w:rsidR="00AE0062" w:rsidRPr="000A33D2">
        <w:rPr>
          <w:i/>
          <w:iCs/>
        </w:rPr>
        <w:t xml:space="preserve">. </w:t>
      </w:r>
      <w:r w:rsidR="00AE0062" w:rsidRPr="000A33D2">
        <w:t xml:space="preserve">Utility values were </w:t>
      </w:r>
      <w:r w:rsidR="00156635" w:rsidRPr="000A33D2">
        <w:t xml:space="preserve">generally </w:t>
      </w:r>
      <w:r w:rsidR="00AE0062" w:rsidRPr="000A33D2">
        <w:t>similar between the two arms.</w:t>
      </w:r>
      <w:r w:rsidR="00995057" w:rsidRPr="000A33D2">
        <w:t xml:space="preserve"> This is discussed further in </w:t>
      </w:r>
      <w:r w:rsidR="00B72F9F" w:rsidRPr="000A33D2">
        <w:fldChar w:fldCharType="begin" w:fldLock="1"/>
      </w:r>
      <w:r w:rsidR="00B72F9F" w:rsidRPr="000A33D2">
        <w:instrText xml:space="preserve"> REF _Ref144736077 \h  \* MERGEFORMAT </w:instrText>
      </w:r>
      <w:r w:rsidR="00B72F9F" w:rsidRPr="000A33D2">
        <w:fldChar w:fldCharType="separate"/>
      </w:r>
      <w:r w:rsidR="00B62E71" w:rsidRPr="000A33D2">
        <w:t xml:space="preserve">Table </w:t>
      </w:r>
      <w:r w:rsidR="00B62E71">
        <w:t>13</w:t>
      </w:r>
      <w:r w:rsidR="00B72F9F" w:rsidRPr="000A33D2">
        <w:fldChar w:fldCharType="end"/>
      </w:r>
      <w:r w:rsidR="00B72F9F" w:rsidRPr="000A33D2">
        <w:t>.</w:t>
      </w:r>
    </w:p>
    <w:p w14:paraId="1452C351" w14:textId="0D19F1B0" w:rsidR="00B60939" w:rsidRPr="000A33D2" w:rsidRDefault="00B60939" w:rsidP="00D86231">
      <w:pPr>
        <w:pStyle w:val="4-SubsectionHeading"/>
      </w:pPr>
      <w:bookmarkStart w:id="45" w:name="_Toc22897642"/>
      <w:bookmarkStart w:id="46" w:name="_Toc145426898"/>
      <w:r w:rsidRPr="000A33D2">
        <w:t>Comparative harms</w:t>
      </w:r>
      <w:bookmarkEnd w:id="45"/>
      <w:bookmarkEnd w:id="46"/>
    </w:p>
    <w:p w14:paraId="15D0718C" w14:textId="0C30B451" w:rsidR="00B22067" w:rsidRPr="000A33D2" w:rsidRDefault="00B22067" w:rsidP="00D86231">
      <w:pPr>
        <w:pStyle w:val="3-BodyText"/>
      </w:pPr>
      <w:r w:rsidRPr="000A33D2">
        <w:t xml:space="preserve">A summary of safety outcomes reported in RUBY is </w:t>
      </w:r>
      <w:r w:rsidR="00082A1C" w:rsidRPr="000A33D2">
        <w:t>presented</w:t>
      </w:r>
      <w:r w:rsidRPr="000A33D2">
        <w:t xml:space="preserve"> in </w:t>
      </w:r>
      <w:r w:rsidR="00F87C9C" w:rsidRPr="000A33D2">
        <w:fldChar w:fldCharType="begin" w:fldLock="1"/>
      </w:r>
      <w:r w:rsidR="00F87C9C" w:rsidRPr="000A33D2">
        <w:instrText xml:space="preserve"> REF _Ref144281465 \h </w:instrText>
      </w:r>
      <w:r w:rsidR="00F87C9C" w:rsidRPr="000A33D2">
        <w:fldChar w:fldCharType="separate"/>
      </w:r>
      <w:r w:rsidR="00B62E71" w:rsidRPr="000A33D2">
        <w:t xml:space="preserve">Table </w:t>
      </w:r>
      <w:r w:rsidR="00B62E71">
        <w:rPr>
          <w:noProof/>
        </w:rPr>
        <w:t>9</w:t>
      </w:r>
      <w:r w:rsidR="00F87C9C" w:rsidRPr="000A33D2">
        <w:fldChar w:fldCharType="end"/>
      </w:r>
      <w:r w:rsidR="005816CE" w:rsidRPr="000A33D2">
        <w:t xml:space="preserve"> </w:t>
      </w:r>
      <w:r w:rsidR="00C75E52" w:rsidRPr="000A33D2">
        <w:t>(all</w:t>
      </w:r>
      <w:r w:rsidR="00C75E52" w:rsidRPr="000A33D2">
        <w:noBreakHyphen/>
        <w:t xml:space="preserve">comers) </w:t>
      </w:r>
      <w:r w:rsidR="00F82B98" w:rsidRPr="000A33D2">
        <w:t xml:space="preserve">and </w:t>
      </w:r>
      <w:r w:rsidR="00F82B98" w:rsidRPr="000A33D2">
        <w:fldChar w:fldCharType="begin" w:fldLock="1"/>
      </w:r>
      <w:r w:rsidR="00F82B98" w:rsidRPr="000A33D2">
        <w:instrText xml:space="preserve"> REF _Ref144281559 \h </w:instrText>
      </w:r>
      <w:r w:rsidR="00F82B98" w:rsidRPr="000A33D2">
        <w:fldChar w:fldCharType="separate"/>
      </w:r>
      <w:r w:rsidR="00B62E71" w:rsidRPr="000A33D2">
        <w:t xml:space="preserve">Table </w:t>
      </w:r>
      <w:r w:rsidR="00B62E71">
        <w:rPr>
          <w:noProof/>
        </w:rPr>
        <w:t>10</w:t>
      </w:r>
      <w:r w:rsidR="00F82B98" w:rsidRPr="000A33D2">
        <w:fldChar w:fldCharType="end"/>
      </w:r>
      <w:r w:rsidR="002D1CDB" w:rsidRPr="000A33D2">
        <w:t xml:space="preserve"> (</w:t>
      </w:r>
      <w:proofErr w:type="spellStart"/>
      <w:r w:rsidR="002D1CDB" w:rsidRPr="000A33D2">
        <w:t>dMMR</w:t>
      </w:r>
      <w:proofErr w:type="spellEnd"/>
      <w:r w:rsidR="002D1CDB" w:rsidRPr="000A33D2">
        <w:t>/MSI-H)</w:t>
      </w:r>
      <w:r w:rsidRPr="000A33D2">
        <w:t>. All patients (100%) experienced at least one treatment-emergent adverse event (TEAE).</w:t>
      </w:r>
      <w:r w:rsidR="00106D2E" w:rsidRPr="000A33D2">
        <w:t xml:space="preserve"> The relative risk and risk difference was calculated for each group during the evaluation</w:t>
      </w:r>
      <w:r w:rsidR="00EB6380" w:rsidRPr="000A33D2">
        <w:t>.</w:t>
      </w:r>
      <w:r w:rsidR="00EB6380" w:rsidRPr="000A33D2">
        <w:rPr>
          <w:i/>
          <w:iCs/>
        </w:rPr>
        <w:t xml:space="preserve"> </w:t>
      </w:r>
    </w:p>
    <w:p w14:paraId="0EAD5FB0" w14:textId="33C5B518" w:rsidR="00082A1C" w:rsidRPr="000A33D2" w:rsidRDefault="00F87C9C" w:rsidP="00F87C9C">
      <w:pPr>
        <w:pStyle w:val="Caption"/>
        <w:rPr>
          <w:rStyle w:val="CommentReference"/>
          <w:b/>
          <w:szCs w:val="24"/>
        </w:rPr>
      </w:pPr>
      <w:bookmarkStart w:id="47" w:name="_Ref144281465"/>
      <w:r w:rsidRPr="000A33D2">
        <w:lastRenderedPageBreak/>
        <w:t xml:space="preserve">Table </w:t>
      </w:r>
      <w:r>
        <w:fldChar w:fldCharType="begin" w:fldLock="1"/>
      </w:r>
      <w:r>
        <w:instrText>SEQ Table \* ARABIC</w:instrText>
      </w:r>
      <w:r>
        <w:fldChar w:fldCharType="separate"/>
      </w:r>
      <w:r w:rsidR="00B62E71">
        <w:rPr>
          <w:noProof/>
        </w:rPr>
        <w:t>9</w:t>
      </w:r>
      <w:r>
        <w:fldChar w:fldCharType="end"/>
      </w:r>
      <w:bookmarkEnd w:id="47"/>
      <w:r w:rsidR="00082A1C" w:rsidRPr="000A33D2">
        <w:rPr>
          <w:rStyle w:val="CommentReference"/>
          <w:b/>
          <w:szCs w:val="24"/>
        </w:rPr>
        <w:t xml:space="preserve">: </w:t>
      </w:r>
      <w:r w:rsidR="001405CB" w:rsidRPr="000A33D2">
        <w:rPr>
          <w:rStyle w:val="CommentReference"/>
          <w:b/>
          <w:szCs w:val="24"/>
        </w:rPr>
        <w:t>Summary of adverse events in all-comers in RUBY</w:t>
      </w:r>
      <w:r w:rsidR="001405CB" w:rsidRPr="000A33D2" w:rsidDel="001405CB">
        <w:rPr>
          <w:rStyle w:val="CommentReference"/>
          <w:b/>
          <w:szCs w:val="24"/>
        </w:rPr>
        <w:t xml:space="preserve"> </w:t>
      </w:r>
      <w:r w:rsidR="00082A1C" w:rsidRPr="000A33D2">
        <w:rPr>
          <w:rStyle w:val="CommentReference"/>
          <w:b/>
          <w:szCs w:val="24"/>
        </w:rPr>
        <w:t>(safety analysis set)</w:t>
      </w:r>
    </w:p>
    <w:tbl>
      <w:tblPr>
        <w:tblStyle w:val="TableGrid"/>
        <w:tblW w:w="5000" w:type="pct"/>
        <w:tblLook w:val="04A0" w:firstRow="1" w:lastRow="0" w:firstColumn="1" w:lastColumn="0" w:noHBand="0" w:noVBand="1"/>
      </w:tblPr>
      <w:tblGrid>
        <w:gridCol w:w="3823"/>
        <w:gridCol w:w="992"/>
        <w:gridCol w:w="994"/>
        <w:gridCol w:w="1560"/>
        <w:gridCol w:w="1648"/>
      </w:tblGrid>
      <w:tr w:rsidR="00DB4194" w:rsidRPr="000A33D2" w14:paraId="1C45114C" w14:textId="77777777" w:rsidTr="00A60462">
        <w:tc>
          <w:tcPr>
            <w:tcW w:w="2120" w:type="pct"/>
            <w:shd w:val="clear" w:color="auto" w:fill="auto"/>
          </w:tcPr>
          <w:p w14:paraId="2271B7F3" w14:textId="77777777" w:rsidR="00DB4194" w:rsidRPr="000A33D2" w:rsidRDefault="00DB4194" w:rsidP="00A60462">
            <w:pPr>
              <w:keepNext/>
              <w:keepLines/>
              <w:rPr>
                <w:rFonts w:ascii="Arial Narrow" w:hAnsi="Arial Narrow"/>
                <w:sz w:val="20"/>
                <w:szCs w:val="20"/>
              </w:rPr>
            </w:pPr>
            <w:r w:rsidRPr="000A33D2">
              <w:rPr>
                <w:rFonts w:ascii="Arial Narrow" w:hAnsi="Arial Narrow"/>
                <w:b/>
                <w:bCs/>
                <w:sz w:val="20"/>
                <w:szCs w:val="20"/>
              </w:rPr>
              <w:t>Adverse Events, n (%)</w:t>
            </w:r>
          </w:p>
        </w:tc>
        <w:tc>
          <w:tcPr>
            <w:tcW w:w="550" w:type="pct"/>
            <w:shd w:val="clear" w:color="auto" w:fill="auto"/>
            <w:vAlign w:val="center"/>
          </w:tcPr>
          <w:p w14:paraId="7FAAB359" w14:textId="77777777" w:rsidR="00DB4194" w:rsidRPr="000A33D2" w:rsidRDefault="00DB4194" w:rsidP="00A60462">
            <w:pPr>
              <w:keepNext/>
              <w:keepLines/>
              <w:jc w:val="center"/>
              <w:rPr>
                <w:rFonts w:ascii="Arial Narrow" w:hAnsi="Arial Narrow"/>
                <w:b/>
                <w:bCs/>
                <w:sz w:val="20"/>
                <w:szCs w:val="20"/>
              </w:rPr>
            </w:pPr>
            <w:r w:rsidRPr="000A33D2">
              <w:rPr>
                <w:rFonts w:ascii="Arial Narrow" w:hAnsi="Arial Narrow"/>
                <w:b/>
                <w:bCs/>
                <w:sz w:val="20"/>
                <w:szCs w:val="20"/>
              </w:rPr>
              <w:t>DOS+CP</w:t>
            </w:r>
          </w:p>
          <w:p w14:paraId="52AF67E0" w14:textId="77777777" w:rsidR="00DB4194" w:rsidRPr="000A33D2" w:rsidRDefault="00DB4194" w:rsidP="00A60462">
            <w:pPr>
              <w:keepNext/>
              <w:keepLines/>
              <w:jc w:val="center"/>
              <w:rPr>
                <w:rFonts w:ascii="Arial Narrow" w:hAnsi="Arial Narrow"/>
                <w:b/>
                <w:bCs/>
                <w:sz w:val="20"/>
                <w:szCs w:val="20"/>
              </w:rPr>
            </w:pPr>
            <w:r w:rsidRPr="000A33D2">
              <w:rPr>
                <w:rFonts w:ascii="Arial Narrow" w:hAnsi="Arial Narrow"/>
                <w:b/>
                <w:bCs/>
                <w:sz w:val="20"/>
                <w:szCs w:val="20"/>
              </w:rPr>
              <w:t>(N=241)</w:t>
            </w:r>
          </w:p>
        </w:tc>
        <w:tc>
          <w:tcPr>
            <w:tcW w:w="551" w:type="pct"/>
            <w:shd w:val="clear" w:color="auto" w:fill="auto"/>
            <w:vAlign w:val="center"/>
          </w:tcPr>
          <w:p w14:paraId="2E30D0AC" w14:textId="77777777" w:rsidR="00DB4194" w:rsidRPr="000A33D2" w:rsidRDefault="00DB4194" w:rsidP="00A60462">
            <w:pPr>
              <w:keepNext/>
              <w:keepLines/>
              <w:jc w:val="center"/>
              <w:rPr>
                <w:rFonts w:ascii="Arial Narrow" w:hAnsi="Arial Narrow"/>
                <w:b/>
                <w:bCs/>
                <w:sz w:val="20"/>
                <w:szCs w:val="20"/>
              </w:rPr>
            </w:pPr>
            <w:r w:rsidRPr="000A33D2">
              <w:rPr>
                <w:rFonts w:ascii="Arial Narrow" w:hAnsi="Arial Narrow"/>
                <w:b/>
                <w:bCs/>
                <w:sz w:val="20"/>
                <w:szCs w:val="20"/>
              </w:rPr>
              <w:t>PBO+CP</w:t>
            </w:r>
          </w:p>
          <w:p w14:paraId="21C21739" w14:textId="77777777" w:rsidR="00DB4194" w:rsidRPr="000A33D2" w:rsidRDefault="00DB4194" w:rsidP="00A60462">
            <w:pPr>
              <w:keepNext/>
              <w:keepLines/>
              <w:jc w:val="center"/>
              <w:rPr>
                <w:rFonts w:ascii="Arial Narrow" w:hAnsi="Arial Narrow"/>
                <w:b/>
                <w:bCs/>
                <w:sz w:val="20"/>
                <w:szCs w:val="20"/>
              </w:rPr>
            </w:pPr>
            <w:r w:rsidRPr="000A33D2">
              <w:rPr>
                <w:rFonts w:ascii="Arial Narrow" w:hAnsi="Arial Narrow"/>
                <w:b/>
                <w:bCs/>
                <w:sz w:val="20"/>
                <w:szCs w:val="20"/>
              </w:rPr>
              <w:t>(N=246)</w:t>
            </w:r>
          </w:p>
        </w:tc>
        <w:tc>
          <w:tcPr>
            <w:tcW w:w="865" w:type="pct"/>
            <w:vAlign w:val="center"/>
          </w:tcPr>
          <w:p w14:paraId="2E01BD26" w14:textId="658C4D23" w:rsidR="00DB4194" w:rsidRPr="000A33D2" w:rsidRDefault="00DB4194" w:rsidP="00A60462">
            <w:pPr>
              <w:keepNext/>
              <w:keepLines/>
              <w:jc w:val="center"/>
              <w:rPr>
                <w:rFonts w:ascii="Arial Narrow" w:hAnsi="Arial Narrow"/>
                <w:b/>
                <w:bCs/>
                <w:sz w:val="20"/>
                <w:szCs w:val="20"/>
              </w:rPr>
            </w:pPr>
            <w:r w:rsidRPr="000A33D2">
              <w:rPr>
                <w:rFonts w:ascii="Arial Narrow" w:hAnsi="Arial Narrow"/>
                <w:b/>
                <w:bCs/>
                <w:sz w:val="20"/>
                <w:szCs w:val="20"/>
              </w:rPr>
              <w:t>RR</w:t>
            </w:r>
            <w:r w:rsidR="003A7922">
              <w:rPr>
                <w:rFonts w:ascii="Arial Narrow" w:hAnsi="Arial Narrow"/>
                <w:b/>
                <w:bCs/>
                <w:sz w:val="20"/>
                <w:szCs w:val="20"/>
              </w:rPr>
              <w:t>*</w:t>
            </w:r>
            <w:r w:rsidRPr="000A33D2">
              <w:rPr>
                <w:rFonts w:ascii="Arial Narrow" w:hAnsi="Arial Narrow"/>
                <w:b/>
                <w:bCs/>
                <w:sz w:val="20"/>
                <w:szCs w:val="20"/>
              </w:rPr>
              <w:t xml:space="preserve"> (95% CI)</w:t>
            </w:r>
          </w:p>
        </w:tc>
        <w:tc>
          <w:tcPr>
            <w:tcW w:w="914" w:type="pct"/>
            <w:vAlign w:val="center"/>
          </w:tcPr>
          <w:p w14:paraId="13C233AC" w14:textId="4019299E" w:rsidR="00DB4194" w:rsidRPr="000A33D2" w:rsidRDefault="00DB4194" w:rsidP="00A60462">
            <w:pPr>
              <w:keepNext/>
              <w:keepLines/>
              <w:jc w:val="center"/>
              <w:rPr>
                <w:rFonts w:ascii="Arial Narrow" w:hAnsi="Arial Narrow"/>
                <w:b/>
                <w:bCs/>
                <w:sz w:val="20"/>
                <w:szCs w:val="20"/>
              </w:rPr>
            </w:pPr>
            <w:r w:rsidRPr="000A33D2">
              <w:rPr>
                <w:rFonts w:ascii="Arial Narrow" w:hAnsi="Arial Narrow"/>
                <w:b/>
                <w:bCs/>
                <w:sz w:val="20"/>
                <w:szCs w:val="20"/>
              </w:rPr>
              <w:t>RD</w:t>
            </w:r>
            <w:r w:rsidR="003A7922">
              <w:rPr>
                <w:rFonts w:ascii="Arial Narrow" w:hAnsi="Arial Narrow"/>
                <w:b/>
                <w:bCs/>
                <w:sz w:val="20"/>
                <w:szCs w:val="20"/>
              </w:rPr>
              <w:t>*</w:t>
            </w:r>
            <w:r w:rsidRPr="000A33D2">
              <w:rPr>
                <w:rFonts w:ascii="Arial Narrow" w:hAnsi="Arial Narrow"/>
                <w:b/>
                <w:bCs/>
                <w:sz w:val="20"/>
                <w:szCs w:val="20"/>
              </w:rPr>
              <w:t xml:space="preserve"> (95% CI)</w:t>
            </w:r>
          </w:p>
        </w:tc>
      </w:tr>
      <w:tr w:rsidR="00DB4194" w:rsidRPr="000A33D2" w14:paraId="56D481CF" w14:textId="77777777" w:rsidTr="00A60462">
        <w:tc>
          <w:tcPr>
            <w:tcW w:w="2120" w:type="pct"/>
            <w:shd w:val="clear" w:color="auto" w:fill="auto"/>
            <w:vAlign w:val="center"/>
          </w:tcPr>
          <w:p w14:paraId="20B552D9"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TEAE</w:t>
            </w:r>
          </w:p>
        </w:tc>
        <w:tc>
          <w:tcPr>
            <w:tcW w:w="550" w:type="pct"/>
            <w:shd w:val="clear" w:color="auto" w:fill="auto"/>
            <w:vAlign w:val="center"/>
          </w:tcPr>
          <w:p w14:paraId="6738182F"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241 (100)</w:t>
            </w:r>
          </w:p>
        </w:tc>
        <w:tc>
          <w:tcPr>
            <w:tcW w:w="551" w:type="pct"/>
            <w:shd w:val="clear" w:color="auto" w:fill="auto"/>
            <w:vAlign w:val="center"/>
          </w:tcPr>
          <w:p w14:paraId="6E04BC9B"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246 (100)</w:t>
            </w:r>
          </w:p>
        </w:tc>
        <w:tc>
          <w:tcPr>
            <w:tcW w:w="865" w:type="pct"/>
            <w:vAlign w:val="center"/>
          </w:tcPr>
          <w:p w14:paraId="46C477F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w:t>
            </w:r>
          </w:p>
        </w:tc>
        <w:tc>
          <w:tcPr>
            <w:tcW w:w="914" w:type="pct"/>
            <w:vAlign w:val="center"/>
          </w:tcPr>
          <w:p w14:paraId="7A3B7A6C"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0.00 (-0.02, 0.02)</w:t>
            </w:r>
          </w:p>
        </w:tc>
      </w:tr>
      <w:tr w:rsidR="00DB4194" w:rsidRPr="000A33D2" w14:paraId="36566CF5" w14:textId="77777777" w:rsidTr="00A60462">
        <w:tc>
          <w:tcPr>
            <w:tcW w:w="2120" w:type="pct"/>
            <w:shd w:val="clear" w:color="auto" w:fill="auto"/>
            <w:vAlign w:val="center"/>
          </w:tcPr>
          <w:p w14:paraId="3184D6B7" w14:textId="77777777" w:rsidR="00DB4194" w:rsidRPr="000A33D2" w:rsidRDefault="00DB4194" w:rsidP="00A60462">
            <w:pPr>
              <w:keepNext/>
              <w:keepLines/>
              <w:ind w:left="170"/>
              <w:rPr>
                <w:rFonts w:ascii="Arial Narrow" w:hAnsi="Arial Narrow"/>
                <w:sz w:val="20"/>
                <w:szCs w:val="20"/>
              </w:rPr>
            </w:pPr>
            <w:r w:rsidRPr="000A33D2">
              <w:rPr>
                <w:rFonts w:ascii="Arial Narrow" w:hAnsi="Arial Narrow"/>
                <w:sz w:val="20"/>
                <w:szCs w:val="20"/>
              </w:rPr>
              <w:t>Treatment-related TEAEs</w:t>
            </w:r>
          </w:p>
        </w:tc>
        <w:tc>
          <w:tcPr>
            <w:tcW w:w="550" w:type="pct"/>
            <w:shd w:val="clear" w:color="auto" w:fill="auto"/>
            <w:vAlign w:val="center"/>
          </w:tcPr>
          <w:p w14:paraId="502DEF44"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236 (97.9)</w:t>
            </w:r>
          </w:p>
        </w:tc>
        <w:tc>
          <w:tcPr>
            <w:tcW w:w="551" w:type="pct"/>
            <w:shd w:val="clear" w:color="auto" w:fill="auto"/>
            <w:vAlign w:val="center"/>
          </w:tcPr>
          <w:p w14:paraId="0D40D3CE"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243 (98.8)</w:t>
            </w:r>
          </w:p>
        </w:tc>
        <w:tc>
          <w:tcPr>
            <w:tcW w:w="865" w:type="pct"/>
            <w:vAlign w:val="center"/>
          </w:tcPr>
          <w:p w14:paraId="0B0A3FFC"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0.99 (0.96, 1.02)</w:t>
            </w:r>
          </w:p>
        </w:tc>
        <w:tc>
          <w:tcPr>
            <w:tcW w:w="914" w:type="pct"/>
            <w:vAlign w:val="center"/>
          </w:tcPr>
          <w:p w14:paraId="2345583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-0.01 (-0.04, 0.02)</w:t>
            </w:r>
          </w:p>
        </w:tc>
      </w:tr>
      <w:tr w:rsidR="00DB4194" w:rsidRPr="000A33D2" w14:paraId="14F033BF" w14:textId="77777777" w:rsidTr="00A60462">
        <w:tc>
          <w:tcPr>
            <w:tcW w:w="2120" w:type="pct"/>
            <w:shd w:val="clear" w:color="auto" w:fill="auto"/>
            <w:vAlign w:val="center"/>
          </w:tcPr>
          <w:p w14:paraId="2C9EBC36"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Grade ≥3 TEAEs</w:t>
            </w:r>
          </w:p>
        </w:tc>
        <w:tc>
          <w:tcPr>
            <w:tcW w:w="550" w:type="pct"/>
            <w:shd w:val="clear" w:color="auto" w:fill="auto"/>
            <w:vAlign w:val="center"/>
          </w:tcPr>
          <w:p w14:paraId="60A728D9"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170 (70.5)</w:t>
            </w:r>
          </w:p>
        </w:tc>
        <w:tc>
          <w:tcPr>
            <w:tcW w:w="551" w:type="pct"/>
            <w:shd w:val="clear" w:color="auto" w:fill="auto"/>
            <w:vAlign w:val="center"/>
          </w:tcPr>
          <w:p w14:paraId="07D706BE"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147 (59.8)</w:t>
            </w:r>
          </w:p>
        </w:tc>
        <w:tc>
          <w:tcPr>
            <w:tcW w:w="865" w:type="pct"/>
            <w:vAlign w:val="center"/>
          </w:tcPr>
          <w:p w14:paraId="5F2A6ECE"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1.18 (1.04, 1.35)</w:t>
            </w:r>
          </w:p>
        </w:tc>
        <w:tc>
          <w:tcPr>
            <w:tcW w:w="914" w:type="pct"/>
            <w:vAlign w:val="center"/>
          </w:tcPr>
          <w:p w14:paraId="79E9AF1F"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0.11 (0.02, 0.19)</w:t>
            </w:r>
          </w:p>
        </w:tc>
      </w:tr>
      <w:tr w:rsidR="00DB4194" w:rsidRPr="000A33D2" w14:paraId="33275C07" w14:textId="77777777" w:rsidTr="00A60462">
        <w:tc>
          <w:tcPr>
            <w:tcW w:w="2120" w:type="pct"/>
            <w:shd w:val="clear" w:color="auto" w:fill="auto"/>
            <w:vAlign w:val="center"/>
          </w:tcPr>
          <w:p w14:paraId="5DFDE70C" w14:textId="77777777" w:rsidR="00DB4194" w:rsidRPr="000A33D2" w:rsidRDefault="00DB4194" w:rsidP="00A60462">
            <w:pPr>
              <w:keepNext/>
              <w:keepLines/>
              <w:ind w:left="170"/>
              <w:rPr>
                <w:rFonts w:ascii="Arial Narrow" w:hAnsi="Arial Narrow"/>
                <w:sz w:val="20"/>
                <w:szCs w:val="20"/>
              </w:rPr>
            </w:pPr>
            <w:r w:rsidRPr="000A33D2">
              <w:rPr>
                <w:rFonts w:ascii="Arial Narrow" w:hAnsi="Arial Narrow"/>
                <w:sz w:val="20"/>
                <w:szCs w:val="20"/>
              </w:rPr>
              <w:t>Treatment-related Grade ≥3 TEAEs</w:t>
            </w:r>
          </w:p>
        </w:tc>
        <w:tc>
          <w:tcPr>
            <w:tcW w:w="550" w:type="pct"/>
            <w:shd w:val="clear" w:color="auto" w:fill="auto"/>
            <w:vAlign w:val="center"/>
          </w:tcPr>
          <w:p w14:paraId="7095AE31"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122 (50.6)</w:t>
            </w:r>
          </w:p>
        </w:tc>
        <w:tc>
          <w:tcPr>
            <w:tcW w:w="551" w:type="pct"/>
            <w:shd w:val="clear" w:color="auto" w:fill="auto"/>
            <w:vAlign w:val="center"/>
          </w:tcPr>
          <w:p w14:paraId="39489127"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114 (46.3)</w:t>
            </w:r>
          </w:p>
        </w:tc>
        <w:tc>
          <w:tcPr>
            <w:tcW w:w="865" w:type="pct"/>
            <w:vAlign w:val="center"/>
          </w:tcPr>
          <w:p w14:paraId="2FF548AE"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1.09 (0.91, 1.31)</w:t>
            </w:r>
          </w:p>
        </w:tc>
        <w:tc>
          <w:tcPr>
            <w:tcW w:w="914" w:type="pct"/>
            <w:vAlign w:val="center"/>
          </w:tcPr>
          <w:p w14:paraId="6FF207EF"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0.04 (-0.05, 0.13)</w:t>
            </w:r>
          </w:p>
        </w:tc>
      </w:tr>
      <w:tr w:rsidR="00DB4194" w:rsidRPr="000A33D2" w14:paraId="5179F7D6" w14:textId="77777777" w:rsidTr="00A60462">
        <w:tc>
          <w:tcPr>
            <w:tcW w:w="2120" w:type="pct"/>
            <w:shd w:val="clear" w:color="auto" w:fill="auto"/>
            <w:vAlign w:val="center"/>
          </w:tcPr>
          <w:p w14:paraId="08024A4B"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SAEs</w:t>
            </w:r>
          </w:p>
        </w:tc>
        <w:tc>
          <w:tcPr>
            <w:tcW w:w="550" w:type="pct"/>
            <w:shd w:val="clear" w:color="auto" w:fill="auto"/>
            <w:vAlign w:val="center"/>
          </w:tcPr>
          <w:p w14:paraId="5AE8D93D"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91 (37.8)</w:t>
            </w:r>
          </w:p>
        </w:tc>
        <w:tc>
          <w:tcPr>
            <w:tcW w:w="551" w:type="pct"/>
            <w:shd w:val="clear" w:color="auto" w:fill="auto"/>
            <w:vAlign w:val="center"/>
          </w:tcPr>
          <w:p w14:paraId="31E2E9A1"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68 (27.6)</w:t>
            </w:r>
          </w:p>
        </w:tc>
        <w:tc>
          <w:tcPr>
            <w:tcW w:w="865" w:type="pct"/>
            <w:vAlign w:val="center"/>
          </w:tcPr>
          <w:p w14:paraId="6929919D"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1.37 (1.06, 1.77)</w:t>
            </w:r>
          </w:p>
        </w:tc>
        <w:tc>
          <w:tcPr>
            <w:tcW w:w="914" w:type="pct"/>
            <w:vAlign w:val="center"/>
          </w:tcPr>
          <w:p w14:paraId="7AC422D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0.10 (0.02, 0.18)</w:t>
            </w:r>
          </w:p>
        </w:tc>
      </w:tr>
      <w:tr w:rsidR="00DB4194" w:rsidRPr="000A33D2" w14:paraId="548582F4" w14:textId="77777777" w:rsidTr="00A60462">
        <w:tc>
          <w:tcPr>
            <w:tcW w:w="2120" w:type="pct"/>
            <w:shd w:val="clear" w:color="auto" w:fill="auto"/>
            <w:vAlign w:val="center"/>
          </w:tcPr>
          <w:p w14:paraId="4F25A349" w14:textId="77777777" w:rsidR="00DB4194" w:rsidRPr="000A33D2" w:rsidRDefault="00DB4194" w:rsidP="00A60462">
            <w:pPr>
              <w:keepNext/>
              <w:keepLines/>
              <w:ind w:left="170"/>
              <w:rPr>
                <w:rFonts w:ascii="Arial Narrow" w:hAnsi="Arial Narrow"/>
                <w:sz w:val="20"/>
                <w:szCs w:val="20"/>
              </w:rPr>
            </w:pPr>
            <w:r w:rsidRPr="000A33D2">
              <w:rPr>
                <w:rFonts w:ascii="Arial Narrow" w:hAnsi="Arial Narrow"/>
                <w:sz w:val="20"/>
                <w:szCs w:val="20"/>
              </w:rPr>
              <w:t>Treatment-related SAEs</w:t>
            </w:r>
          </w:p>
        </w:tc>
        <w:tc>
          <w:tcPr>
            <w:tcW w:w="550" w:type="pct"/>
            <w:shd w:val="clear" w:color="auto" w:fill="auto"/>
            <w:vAlign w:val="center"/>
          </w:tcPr>
          <w:p w14:paraId="71F5F97D"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44 (18.3)</w:t>
            </w:r>
          </w:p>
        </w:tc>
        <w:tc>
          <w:tcPr>
            <w:tcW w:w="551" w:type="pct"/>
            <w:shd w:val="clear" w:color="auto" w:fill="auto"/>
            <w:vAlign w:val="center"/>
          </w:tcPr>
          <w:p w14:paraId="047125AD"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30 (12.2)</w:t>
            </w:r>
          </w:p>
        </w:tc>
        <w:tc>
          <w:tcPr>
            <w:tcW w:w="865" w:type="pct"/>
            <w:vAlign w:val="center"/>
          </w:tcPr>
          <w:p w14:paraId="03BF1BAB"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1.50 (0.98, 2.30)</w:t>
            </w:r>
          </w:p>
        </w:tc>
        <w:tc>
          <w:tcPr>
            <w:tcW w:w="914" w:type="pct"/>
            <w:vAlign w:val="center"/>
          </w:tcPr>
          <w:p w14:paraId="55951CF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0.06 (-0.00, 0.13)</w:t>
            </w:r>
          </w:p>
        </w:tc>
      </w:tr>
      <w:tr w:rsidR="00DB4194" w:rsidRPr="000A33D2" w14:paraId="34C191BA" w14:textId="77777777" w:rsidTr="00A60462">
        <w:tc>
          <w:tcPr>
            <w:tcW w:w="2120" w:type="pct"/>
            <w:shd w:val="clear" w:color="auto" w:fill="auto"/>
            <w:vAlign w:val="center"/>
          </w:tcPr>
          <w:p w14:paraId="20FDA635"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TEAE leading to treatment discontinuation</w:t>
            </w:r>
          </w:p>
        </w:tc>
        <w:tc>
          <w:tcPr>
            <w:tcW w:w="550" w:type="pct"/>
            <w:shd w:val="clear" w:color="auto" w:fill="auto"/>
            <w:vAlign w:val="center"/>
          </w:tcPr>
          <w:p w14:paraId="3DDDF162"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57 (23.7)</w:t>
            </w:r>
          </w:p>
        </w:tc>
        <w:tc>
          <w:tcPr>
            <w:tcW w:w="551" w:type="pct"/>
            <w:shd w:val="clear" w:color="auto" w:fill="auto"/>
            <w:vAlign w:val="center"/>
          </w:tcPr>
          <w:p w14:paraId="068203F0"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41 (16.7)</w:t>
            </w:r>
          </w:p>
        </w:tc>
        <w:tc>
          <w:tcPr>
            <w:tcW w:w="865" w:type="pct"/>
            <w:vAlign w:val="center"/>
          </w:tcPr>
          <w:p w14:paraId="44DDBEAB"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1.42 (0.99, 2.03)</w:t>
            </w:r>
          </w:p>
        </w:tc>
        <w:tc>
          <w:tcPr>
            <w:tcW w:w="914" w:type="pct"/>
            <w:vAlign w:val="center"/>
          </w:tcPr>
          <w:p w14:paraId="09E86D9B"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0.07 (-0.00, 0.14)</w:t>
            </w:r>
          </w:p>
        </w:tc>
      </w:tr>
      <w:tr w:rsidR="00DB4194" w:rsidRPr="000A33D2" w14:paraId="0CD6F5EF" w14:textId="77777777" w:rsidTr="00A60462">
        <w:tc>
          <w:tcPr>
            <w:tcW w:w="2120" w:type="pct"/>
            <w:shd w:val="clear" w:color="auto" w:fill="auto"/>
            <w:vAlign w:val="center"/>
          </w:tcPr>
          <w:p w14:paraId="01004BD0"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TEAE leading to infusion interruption</w:t>
            </w:r>
          </w:p>
        </w:tc>
        <w:tc>
          <w:tcPr>
            <w:tcW w:w="550" w:type="pct"/>
            <w:shd w:val="clear" w:color="auto" w:fill="auto"/>
            <w:vAlign w:val="center"/>
          </w:tcPr>
          <w:p w14:paraId="036929BB"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49 (20.3)</w:t>
            </w:r>
          </w:p>
        </w:tc>
        <w:tc>
          <w:tcPr>
            <w:tcW w:w="551" w:type="pct"/>
            <w:shd w:val="clear" w:color="auto" w:fill="auto"/>
            <w:vAlign w:val="center"/>
          </w:tcPr>
          <w:p w14:paraId="7472A321"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49 (19.9)</w:t>
            </w:r>
          </w:p>
        </w:tc>
        <w:tc>
          <w:tcPr>
            <w:tcW w:w="865" w:type="pct"/>
            <w:vAlign w:val="center"/>
          </w:tcPr>
          <w:p w14:paraId="6CE9172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1.02 (0.72, 1.45)</w:t>
            </w:r>
          </w:p>
        </w:tc>
        <w:tc>
          <w:tcPr>
            <w:tcW w:w="914" w:type="pct"/>
            <w:vAlign w:val="center"/>
          </w:tcPr>
          <w:p w14:paraId="452A8FAF"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0.00 (-0.07, 0.08)</w:t>
            </w:r>
          </w:p>
        </w:tc>
      </w:tr>
      <w:tr w:rsidR="00DB4194" w:rsidRPr="000A33D2" w14:paraId="2948867D" w14:textId="77777777" w:rsidTr="00A60462">
        <w:tc>
          <w:tcPr>
            <w:tcW w:w="2120" w:type="pct"/>
            <w:shd w:val="clear" w:color="auto" w:fill="auto"/>
            <w:vAlign w:val="center"/>
          </w:tcPr>
          <w:p w14:paraId="2DA57EA2"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TEAE leading to infusion delay</w:t>
            </w:r>
          </w:p>
        </w:tc>
        <w:tc>
          <w:tcPr>
            <w:tcW w:w="550" w:type="pct"/>
            <w:shd w:val="clear" w:color="auto" w:fill="auto"/>
            <w:vAlign w:val="center"/>
          </w:tcPr>
          <w:p w14:paraId="40F7D828"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109 (45.2)</w:t>
            </w:r>
          </w:p>
        </w:tc>
        <w:tc>
          <w:tcPr>
            <w:tcW w:w="551" w:type="pct"/>
            <w:shd w:val="clear" w:color="auto" w:fill="auto"/>
            <w:vAlign w:val="center"/>
          </w:tcPr>
          <w:p w14:paraId="7F2C3F0F"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97 (39.4)</w:t>
            </w:r>
          </w:p>
        </w:tc>
        <w:tc>
          <w:tcPr>
            <w:tcW w:w="865" w:type="pct"/>
            <w:vAlign w:val="center"/>
          </w:tcPr>
          <w:p w14:paraId="5F7C1C0E"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1.15 (0.93, 1.41)</w:t>
            </w:r>
          </w:p>
        </w:tc>
        <w:tc>
          <w:tcPr>
            <w:tcW w:w="914" w:type="pct"/>
            <w:vAlign w:val="center"/>
          </w:tcPr>
          <w:p w14:paraId="374D3DCC"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0.06 (-0.03, 0.15)</w:t>
            </w:r>
          </w:p>
        </w:tc>
      </w:tr>
      <w:tr w:rsidR="00DB4194" w:rsidRPr="000A33D2" w14:paraId="6889262A" w14:textId="77777777" w:rsidTr="00A60462">
        <w:tc>
          <w:tcPr>
            <w:tcW w:w="2120" w:type="pct"/>
            <w:shd w:val="clear" w:color="auto" w:fill="auto"/>
            <w:vAlign w:val="center"/>
          </w:tcPr>
          <w:p w14:paraId="5E5C38E8"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TEAE leading to dose reduction</w:t>
            </w:r>
          </w:p>
        </w:tc>
        <w:tc>
          <w:tcPr>
            <w:tcW w:w="550" w:type="pct"/>
            <w:shd w:val="clear" w:color="auto" w:fill="auto"/>
            <w:vAlign w:val="center"/>
          </w:tcPr>
          <w:p w14:paraId="130011C6"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68 (28.2)</w:t>
            </w:r>
          </w:p>
        </w:tc>
        <w:tc>
          <w:tcPr>
            <w:tcW w:w="551" w:type="pct"/>
            <w:shd w:val="clear" w:color="auto" w:fill="auto"/>
            <w:vAlign w:val="center"/>
          </w:tcPr>
          <w:p w14:paraId="04B68537"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68 (27.6)</w:t>
            </w:r>
          </w:p>
        </w:tc>
        <w:tc>
          <w:tcPr>
            <w:tcW w:w="865" w:type="pct"/>
            <w:vAlign w:val="center"/>
          </w:tcPr>
          <w:p w14:paraId="69214FDE"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1.02 (0.77, 1.36)</w:t>
            </w:r>
          </w:p>
        </w:tc>
        <w:tc>
          <w:tcPr>
            <w:tcW w:w="914" w:type="pct"/>
            <w:vAlign w:val="center"/>
          </w:tcPr>
          <w:p w14:paraId="3E01DD07"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0.01 (-0.07, 0.09)</w:t>
            </w:r>
          </w:p>
        </w:tc>
      </w:tr>
      <w:tr w:rsidR="00DB4194" w:rsidRPr="000A33D2" w14:paraId="5F89001D" w14:textId="77777777" w:rsidTr="00A60462">
        <w:tc>
          <w:tcPr>
            <w:tcW w:w="2120" w:type="pct"/>
            <w:shd w:val="clear" w:color="auto" w:fill="auto"/>
            <w:vAlign w:val="center"/>
          </w:tcPr>
          <w:p w14:paraId="708A042E"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immune-related TEAEs</w:t>
            </w:r>
          </w:p>
        </w:tc>
        <w:tc>
          <w:tcPr>
            <w:tcW w:w="550" w:type="pct"/>
            <w:shd w:val="clear" w:color="auto" w:fill="auto"/>
            <w:vAlign w:val="center"/>
          </w:tcPr>
          <w:p w14:paraId="79CF3A44"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137 (56.8)</w:t>
            </w:r>
          </w:p>
        </w:tc>
        <w:tc>
          <w:tcPr>
            <w:tcW w:w="551" w:type="pct"/>
            <w:shd w:val="clear" w:color="auto" w:fill="auto"/>
            <w:vAlign w:val="center"/>
          </w:tcPr>
          <w:p w14:paraId="1DFB2FB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88 (35.8)</w:t>
            </w:r>
          </w:p>
        </w:tc>
        <w:tc>
          <w:tcPr>
            <w:tcW w:w="865" w:type="pct"/>
            <w:vAlign w:val="center"/>
          </w:tcPr>
          <w:p w14:paraId="4862B123"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1.59 (1.30, 1.95)</w:t>
            </w:r>
          </w:p>
        </w:tc>
        <w:tc>
          <w:tcPr>
            <w:tcW w:w="914" w:type="pct"/>
            <w:vAlign w:val="center"/>
          </w:tcPr>
          <w:p w14:paraId="0D3258E5"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0.21 (0.12, 0.30)</w:t>
            </w:r>
          </w:p>
        </w:tc>
      </w:tr>
      <w:tr w:rsidR="00DB4194" w:rsidRPr="000A33D2" w14:paraId="74102C0C" w14:textId="77777777" w:rsidTr="00A60462">
        <w:tc>
          <w:tcPr>
            <w:tcW w:w="2120" w:type="pct"/>
            <w:shd w:val="clear" w:color="auto" w:fill="auto"/>
            <w:vAlign w:val="center"/>
          </w:tcPr>
          <w:p w14:paraId="25D637D9" w14:textId="77777777" w:rsidR="00DB4194" w:rsidRPr="000A33D2" w:rsidRDefault="00DB4194" w:rsidP="00A60462">
            <w:pPr>
              <w:keepNext/>
              <w:keepLines/>
              <w:ind w:left="170"/>
              <w:rPr>
                <w:rFonts w:ascii="Arial Narrow" w:hAnsi="Arial Narrow"/>
                <w:sz w:val="20"/>
                <w:szCs w:val="20"/>
              </w:rPr>
            </w:pPr>
            <w:r w:rsidRPr="000A33D2">
              <w:rPr>
                <w:rFonts w:ascii="Arial Narrow" w:hAnsi="Arial Narrow"/>
                <w:sz w:val="20"/>
                <w:szCs w:val="20"/>
              </w:rPr>
              <w:t>Any DOS- or PBO-related immune-related TEAEs</w:t>
            </w:r>
          </w:p>
        </w:tc>
        <w:tc>
          <w:tcPr>
            <w:tcW w:w="550" w:type="pct"/>
            <w:shd w:val="clear" w:color="auto" w:fill="auto"/>
            <w:vAlign w:val="center"/>
          </w:tcPr>
          <w:p w14:paraId="2629351C"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92 (38.2)</w:t>
            </w:r>
          </w:p>
        </w:tc>
        <w:tc>
          <w:tcPr>
            <w:tcW w:w="551" w:type="pct"/>
            <w:shd w:val="clear" w:color="auto" w:fill="auto"/>
            <w:vAlign w:val="center"/>
          </w:tcPr>
          <w:p w14:paraId="15E72C45"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38 (15.4)</w:t>
            </w:r>
          </w:p>
        </w:tc>
        <w:tc>
          <w:tcPr>
            <w:tcW w:w="865" w:type="pct"/>
            <w:vAlign w:val="center"/>
          </w:tcPr>
          <w:p w14:paraId="609A1647"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2.47 (1.78, 3.46)</w:t>
            </w:r>
          </w:p>
        </w:tc>
        <w:tc>
          <w:tcPr>
            <w:tcW w:w="914" w:type="pct"/>
            <w:vAlign w:val="center"/>
          </w:tcPr>
          <w:p w14:paraId="12557903"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0.23 (0.15, 0.30)</w:t>
            </w:r>
          </w:p>
        </w:tc>
      </w:tr>
      <w:tr w:rsidR="00DB4194" w:rsidRPr="000A33D2" w14:paraId="49375A20" w14:textId="77777777" w:rsidTr="00A60462">
        <w:tc>
          <w:tcPr>
            <w:tcW w:w="2120" w:type="pct"/>
            <w:shd w:val="clear" w:color="auto" w:fill="auto"/>
            <w:vAlign w:val="center"/>
          </w:tcPr>
          <w:p w14:paraId="2B76BEE6"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 xml:space="preserve">Any infusion-related reactions </w:t>
            </w:r>
          </w:p>
        </w:tc>
        <w:tc>
          <w:tcPr>
            <w:tcW w:w="550" w:type="pct"/>
            <w:shd w:val="clear" w:color="auto" w:fill="auto"/>
            <w:vAlign w:val="center"/>
          </w:tcPr>
          <w:p w14:paraId="05863ED2"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44 (18.3)</w:t>
            </w:r>
          </w:p>
        </w:tc>
        <w:tc>
          <w:tcPr>
            <w:tcW w:w="551" w:type="pct"/>
            <w:shd w:val="clear" w:color="auto" w:fill="auto"/>
            <w:vAlign w:val="center"/>
          </w:tcPr>
          <w:p w14:paraId="0A24B9C9"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49 (19.9)</w:t>
            </w:r>
          </w:p>
        </w:tc>
        <w:tc>
          <w:tcPr>
            <w:tcW w:w="865" w:type="pct"/>
            <w:vAlign w:val="center"/>
          </w:tcPr>
          <w:p w14:paraId="3DF8100A"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0.92 (0.64, 1.32)</w:t>
            </w:r>
          </w:p>
        </w:tc>
        <w:tc>
          <w:tcPr>
            <w:tcW w:w="914" w:type="pct"/>
            <w:vAlign w:val="center"/>
          </w:tcPr>
          <w:p w14:paraId="708C1610"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-0.02, (-0.09, 0.05)</w:t>
            </w:r>
          </w:p>
        </w:tc>
      </w:tr>
      <w:tr w:rsidR="00DB4194" w:rsidRPr="000A33D2" w14:paraId="51DEDB8F" w14:textId="77777777" w:rsidTr="00A60462">
        <w:tc>
          <w:tcPr>
            <w:tcW w:w="2120" w:type="pct"/>
            <w:shd w:val="clear" w:color="auto" w:fill="auto"/>
            <w:vAlign w:val="center"/>
          </w:tcPr>
          <w:p w14:paraId="6B895045" w14:textId="77777777" w:rsidR="00DB4194" w:rsidRPr="000A33D2" w:rsidRDefault="00DB4194" w:rsidP="00A60462">
            <w:pPr>
              <w:keepNext/>
              <w:keepLines/>
              <w:rPr>
                <w:rFonts w:ascii="Arial Narrow" w:hAnsi="Arial Narrow"/>
                <w:sz w:val="20"/>
                <w:szCs w:val="20"/>
              </w:rPr>
            </w:pPr>
            <w:r w:rsidRPr="000A33D2">
              <w:rPr>
                <w:rFonts w:ascii="Arial Narrow" w:hAnsi="Arial Narrow"/>
                <w:sz w:val="20"/>
                <w:szCs w:val="20"/>
              </w:rPr>
              <w:t>Any TEAE with outcome of death</w:t>
            </w:r>
          </w:p>
        </w:tc>
        <w:tc>
          <w:tcPr>
            <w:tcW w:w="550" w:type="pct"/>
            <w:shd w:val="clear" w:color="auto" w:fill="auto"/>
            <w:vAlign w:val="center"/>
          </w:tcPr>
          <w:p w14:paraId="0DD94E52"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5 (2.1)</w:t>
            </w:r>
          </w:p>
        </w:tc>
        <w:tc>
          <w:tcPr>
            <w:tcW w:w="551" w:type="pct"/>
            <w:shd w:val="clear" w:color="auto" w:fill="auto"/>
            <w:vAlign w:val="center"/>
          </w:tcPr>
          <w:p w14:paraId="649E5EF4"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w:t>
            </w:r>
          </w:p>
        </w:tc>
        <w:tc>
          <w:tcPr>
            <w:tcW w:w="865" w:type="pct"/>
            <w:vAlign w:val="center"/>
          </w:tcPr>
          <w:p w14:paraId="2AAD9534"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11.23 (1.34, ∞)</w:t>
            </w:r>
          </w:p>
        </w:tc>
        <w:tc>
          <w:tcPr>
            <w:tcW w:w="914" w:type="pct"/>
            <w:vAlign w:val="center"/>
          </w:tcPr>
          <w:p w14:paraId="6041A835"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b/>
                <w:bCs/>
                <w:sz w:val="20"/>
                <w:szCs w:val="20"/>
              </w:rPr>
              <w:t>0.02 (0.01, 0.05)</w:t>
            </w:r>
          </w:p>
        </w:tc>
      </w:tr>
      <w:tr w:rsidR="00DB4194" w:rsidRPr="000A33D2" w14:paraId="5C529772" w14:textId="77777777" w:rsidTr="00A60462">
        <w:tc>
          <w:tcPr>
            <w:tcW w:w="2120" w:type="pct"/>
            <w:shd w:val="clear" w:color="auto" w:fill="auto"/>
            <w:vAlign w:val="center"/>
          </w:tcPr>
          <w:p w14:paraId="6D99E2C6" w14:textId="77777777" w:rsidR="00DB4194" w:rsidRPr="000A33D2" w:rsidRDefault="00DB4194" w:rsidP="00A60462">
            <w:pPr>
              <w:keepNext/>
              <w:keepLines/>
              <w:ind w:left="170"/>
              <w:rPr>
                <w:rFonts w:ascii="Arial Narrow" w:hAnsi="Arial Narrow"/>
                <w:sz w:val="20"/>
                <w:szCs w:val="20"/>
              </w:rPr>
            </w:pPr>
            <w:r w:rsidRPr="000A33D2">
              <w:rPr>
                <w:rFonts w:ascii="Arial Narrow" w:hAnsi="Arial Narrow"/>
                <w:sz w:val="20"/>
                <w:szCs w:val="20"/>
              </w:rPr>
              <w:t>Treatment-related TEAE leading to death</w:t>
            </w:r>
          </w:p>
        </w:tc>
        <w:tc>
          <w:tcPr>
            <w:tcW w:w="550" w:type="pct"/>
            <w:shd w:val="clear" w:color="auto" w:fill="auto"/>
            <w:vAlign w:val="center"/>
          </w:tcPr>
          <w:p w14:paraId="439DC05D"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2 (0.8)</w:t>
            </w:r>
          </w:p>
        </w:tc>
        <w:tc>
          <w:tcPr>
            <w:tcW w:w="551" w:type="pct"/>
            <w:shd w:val="clear" w:color="auto" w:fill="auto"/>
            <w:vAlign w:val="center"/>
          </w:tcPr>
          <w:p w14:paraId="15E98222"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w:t>
            </w:r>
          </w:p>
        </w:tc>
        <w:tc>
          <w:tcPr>
            <w:tcW w:w="865" w:type="pct"/>
            <w:vAlign w:val="center"/>
          </w:tcPr>
          <w:p w14:paraId="3A321DBB"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5.10 (0.53, ∞)</w:t>
            </w:r>
          </w:p>
        </w:tc>
        <w:tc>
          <w:tcPr>
            <w:tcW w:w="914" w:type="pct"/>
            <w:vAlign w:val="center"/>
          </w:tcPr>
          <w:p w14:paraId="2FAB5E6F" w14:textId="77777777" w:rsidR="00DB4194" w:rsidRPr="000A33D2" w:rsidRDefault="00DB4194" w:rsidP="00A60462">
            <w:pPr>
              <w:keepNext/>
              <w:keepLines/>
              <w:jc w:val="center"/>
              <w:rPr>
                <w:rFonts w:ascii="Arial Narrow" w:hAnsi="Arial Narrow"/>
                <w:sz w:val="20"/>
                <w:szCs w:val="20"/>
              </w:rPr>
            </w:pPr>
            <w:r w:rsidRPr="000A33D2">
              <w:rPr>
                <w:rFonts w:ascii="Arial Narrow" w:hAnsi="Arial Narrow"/>
                <w:sz w:val="20"/>
                <w:szCs w:val="20"/>
              </w:rPr>
              <w:t>0.01 (-0.01, 0.03)</w:t>
            </w:r>
          </w:p>
        </w:tc>
      </w:tr>
    </w:tbl>
    <w:p w14:paraId="6788E96C" w14:textId="77777777" w:rsidR="00DB4194" w:rsidRPr="000A33D2" w:rsidRDefault="00DB4194" w:rsidP="00B62E71">
      <w:pPr>
        <w:pStyle w:val="FooterTableFigure"/>
        <w:keepNext/>
        <w:keepLines/>
        <w:spacing w:after="0"/>
      </w:pPr>
      <w:r w:rsidRPr="000A33D2">
        <w:t>Source: Table 35, pp78-79 of the submission.</w:t>
      </w:r>
    </w:p>
    <w:p w14:paraId="0A6FBB7D" w14:textId="23D8274A" w:rsidR="00DB4194" w:rsidRPr="000A33D2" w:rsidRDefault="00F01DE4" w:rsidP="00B62E71">
      <w:pPr>
        <w:pStyle w:val="FooterTableFigure"/>
        <w:keepNext/>
        <w:keepLines/>
        <w:spacing w:after="0"/>
      </w:pPr>
      <w:r w:rsidRPr="000A33D2">
        <w:t>RR and RD</w:t>
      </w:r>
      <w:r w:rsidR="00DB4194" w:rsidRPr="000A33D2">
        <w:t xml:space="preserve"> calculated during evaluation using </w:t>
      </w:r>
      <w:proofErr w:type="spellStart"/>
      <w:r w:rsidR="00DB4194" w:rsidRPr="000A33D2">
        <w:t>StatsDirect</w:t>
      </w:r>
      <w:proofErr w:type="spellEnd"/>
      <w:r w:rsidR="00DB4194" w:rsidRPr="000A33D2">
        <w:t xml:space="preserve"> (version3.3.3), using the random effects model.</w:t>
      </w:r>
    </w:p>
    <w:p w14:paraId="7B78696C" w14:textId="77777777" w:rsidR="00DB4194" w:rsidRPr="000A33D2" w:rsidRDefault="00DB4194" w:rsidP="00B62E71">
      <w:pPr>
        <w:pStyle w:val="TableFooter"/>
        <w:keepNext/>
        <w:keepLines/>
      </w:pPr>
      <w:r w:rsidRPr="000A33D2">
        <w:t>Bold indicates values where the 95% CI did not include ‘1’</w:t>
      </w:r>
    </w:p>
    <w:p w14:paraId="55714B38" w14:textId="77777777" w:rsidR="00DB4194" w:rsidRDefault="00DB4194" w:rsidP="000147FA">
      <w:pPr>
        <w:pStyle w:val="In-tableHeading"/>
        <w:keepNext w:val="0"/>
        <w:keepLines/>
        <w:jc w:val="both"/>
        <w:rPr>
          <w:rFonts w:eastAsia="Calibri" w:cs="Arial"/>
          <w:b w:val="0"/>
          <w:snapToGrid w:val="0"/>
          <w:sz w:val="18"/>
          <w:szCs w:val="22"/>
          <w:lang w:val="en-AU"/>
        </w:rPr>
      </w:pPr>
      <w:r w:rsidRPr="000A33D2">
        <w:rPr>
          <w:rFonts w:eastAsia="Calibri" w:cs="Arial"/>
          <w:b w:val="0"/>
          <w:snapToGrid w:val="0"/>
          <w:sz w:val="18"/>
          <w:szCs w:val="22"/>
          <w:lang w:val="en-AU"/>
        </w:rPr>
        <w:t>CP=carboplatin-paclitaxel; DOS=dostarlimab; PBO = placebo; RD = risk difference; RR = relative risk; SAE=serious adverse event; TEAE=treatment-emergent adverse event</w:t>
      </w:r>
    </w:p>
    <w:p w14:paraId="0E57C464" w14:textId="182C6CD4" w:rsidR="003A7922" w:rsidRPr="000147FA" w:rsidRDefault="003A7922" w:rsidP="000147FA">
      <w:pPr>
        <w:pStyle w:val="TableFooter"/>
        <w:spacing w:after="120"/>
        <w:rPr>
          <w:i/>
          <w:iCs/>
        </w:rPr>
      </w:pPr>
      <w:r w:rsidRPr="000147FA">
        <w:rPr>
          <w:i/>
          <w:iCs/>
        </w:rPr>
        <w:t>*Note that the results for relative risk (RR) and risk difference (RD) presented in Table 9 are derived from ad-hoc /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p>
    <w:p w14:paraId="71BB2515" w14:textId="6E4AB888" w:rsidR="00C33471" w:rsidRPr="000A33D2" w:rsidRDefault="00F87C9C" w:rsidP="003C2ACB">
      <w:pPr>
        <w:pStyle w:val="Caption"/>
      </w:pPr>
      <w:bookmarkStart w:id="48" w:name="_Ref144281559"/>
      <w:bookmarkStart w:id="49" w:name="_Ref145321215"/>
      <w:r w:rsidRPr="000A33D2">
        <w:lastRenderedPageBreak/>
        <w:t xml:space="preserve">Table </w:t>
      </w:r>
      <w:r>
        <w:fldChar w:fldCharType="begin" w:fldLock="1"/>
      </w:r>
      <w:r>
        <w:instrText>SEQ Table \* ARABIC</w:instrText>
      </w:r>
      <w:r>
        <w:fldChar w:fldCharType="separate"/>
      </w:r>
      <w:r w:rsidR="00B62E71">
        <w:rPr>
          <w:noProof/>
        </w:rPr>
        <w:t>10</w:t>
      </w:r>
      <w:r>
        <w:fldChar w:fldCharType="end"/>
      </w:r>
      <w:bookmarkEnd w:id="48"/>
      <w:r w:rsidR="00C33471" w:rsidRPr="000A33D2">
        <w:rPr>
          <w:rStyle w:val="CommentReference"/>
          <w:b/>
          <w:bCs w:val="0"/>
          <w:szCs w:val="24"/>
        </w:rPr>
        <w:t xml:space="preserve">: </w:t>
      </w:r>
      <w:r w:rsidR="00697D48" w:rsidRPr="000A33D2">
        <w:rPr>
          <w:rStyle w:val="CommentReference"/>
          <w:b/>
          <w:bCs w:val="0"/>
          <w:szCs w:val="24"/>
        </w:rPr>
        <w:t>Summary of adverse events in dMMR/MSI-H cohort in RUBY</w:t>
      </w:r>
      <w:r w:rsidR="008F7F54" w:rsidRPr="000A33D2">
        <w:rPr>
          <w:rStyle w:val="CommentReference"/>
          <w:b/>
          <w:bCs w:val="0"/>
          <w:szCs w:val="24"/>
        </w:rPr>
        <w:t xml:space="preserve"> </w:t>
      </w:r>
      <w:r w:rsidR="00697D48" w:rsidRPr="000A33D2">
        <w:rPr>
          <w:rStyle w:val="CommentReference"/>
          <w:b/>
          <w:szCs w:val="24"/>
        </w:rPr>
        <w:t>(safety analysis set)</w:t>
      </w:r>
      <w:bookmarkEnd w:id="49"/>
    </w:p>
    <w:tbl>
      <w:tblPr>
        <w:tblStyle w:val="TableGrid"/>
        <w:tblW w:w="5000" w:type="pct"/>
        <w:tblLook w:val="04A0" w:firstRow="1" w:lastRow="0" w:firstColumn="1" w:lastColumn="0" w:noHBand="0" w:noVBand="1"/>
      </w:tblPr>
      <w:tblGrid>
        <w:gridCol w:w="3823"/>
        <w:gridCol w:w="1041"/>
        <w:gridCol w:w="945"/>
        <w:gridCol w:w="1560"/>
        <w:gridCol w:w="1648"/>
      </w:tblGrid>
      <w:tr w:rsidR="001D4057" w:rsidRPr="000A33D2" w14:paraId="7016CF79" w14:textId="77777777" w:rsidTr="00670CD2">
        <w:tc>
          <w:tcPr>
            <w:tcW w:w="2120" w:type="pct"/>
            <w:shd w:val="clear" w:color="auto" w:fill="auto"/>
          </w:tcPr>
          <w:p w14:paraId="0828BC18" w14:textId="77777777" w:rsidR="001D4057" w:rsidRPr="000A33D2" w:rsidRDefault="001D4057" w:rsidP="003C2ACB">
            <w:pPr>
              <w:keepNext/>
              <w:keepLines/>
              <w:rPr>
                <w:rFonts w:ascii="Arial Narrow" w:hAnsi="Arial Narrow"/>
                <w:sz w:val="20"/>
                <w:szCs w:val="20"/>
              </w:rPr>
            </w:pPr>
            <w:r w:rsidRPr="000A33D2">
              <w:rPr>
                <w:rFonts w:ascii="Arial Narrow" w:hAnsi="Arial Narrow"/>
                <w:b/>
                <w:bCs/>
                <w:sz w:val="20"/>
                <w:szCs w:val="20"/>
              </w:rPr>
              <w:t>Adverse Events, n (%)</w:t>
            </w:r>
          </w:p>
        </w:tc>
        <w:tc>
          <w:tcPr>
            <w:tcW w:w="577" w:type="pct"/>
            <w:shd w:val="clear" w:color="auto" w:fill="auto"/>
            <w:vAlign w:val="center"/>
          </w:tcPr>
          <w:p w14:paraId="1DC49D38"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DOS+CP</w:t>
            </w:r>
          </w:p>
          <w:p w14:paraId="1AD01F2C"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(N=52)</w:t>
            </w:r>
          </w:p>
        </w:tc>
        <w:tc>
          <w:tcPr>
            <w:tcW w:w="524" w:type="pct"/>
            <w:vAlign w:val="center"/>
          </w:tcPr>
          <w:p w14:paraId="3D48ACCE"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PBO+CP</w:t>
            </w:r>
          </w:p>
          <w:p w14:paraId="281A422A"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(N=65)</w:t>
            </w:r>
          </w:p>
        </w:tc>
        <w:tc>
          <w:tcPr>
            <w:tcW w:w="865" w:type="pct"/>
            <w:shd w:val="clear" w:color="auto" w:fill="auto"/>
            <w:vAlign w:val="center"/>
          </w:tcPr>
          <w:p w14:paraId="12690B3E" w14:textId="6DEDDAD9"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RR</w:t>
            </w:r>
            <w:r w:rsidR="00412CC1">
              <w:rPr>
                <w:rFonts w:ascii="Arial Narrow" w:hAnsi="Arial Narrow"/>
                <w:b/>
                <w:bCs/>
                <w:sz w:val="20"/>
                <w:szCs w:val="20"/>
              </w:rPr>
              <w:t>*</w:t>
            </w:r>
            <w:r w:rsidRPr="000A33D2">
              <w:rPr>
                <w:rFonts w:ascii="Arial Narrow" w:hAnsi="Arial Narrow"/>
                <w:b/>
                <w:bCs/>
                <w:sz w:val="20"/>
                <w:szCs w:val="20"/>
              </w:rPr>
              <w:t xml:space="preserve"> (95% CI)</w:t>
            </w:r>
          </w:p>
        </w:tc>
        <w:tc>
          <w:tcPr>
            <w:tcW w:w="914" w:type="pct"/>
            <w:vAlign w:val="center"/>
          </w:tcPr>
          <w:p w14:paraId="62E11606" w14:textId="2FFBF2B8"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RD</w:t>
            </w:r>
            <w:r w:rsidR="00412CC1">
              <w:rPr>
                <w:rFonts w:ascii="Arial Narrow" w:hAnsi="Arial Narrow"/>
                <w:b/>
                <w:bCs/>
                <w:sz w:val="20"/>
                <w:szCs w:val="20"/>
              </w:rPr>
              <w:t>*</w:t>
            </w:r>
            <w:r w:rsidRPr="000A33D2">
              <w:rPr>
                <w:rFonts w:ascii="Arial Narrow" w:hAnsi="Arial Narrow"/>
                <w:b/>
                <w:bCs/>
                <w:sz w:val="20"/>
                <w:szCs w:val="20"/>
              </w:rPr>
              <w:t xml:space="preserve"> (95% CI)</w:t>
            </w:r>
          </w:p>
        </w:tc>
      </w:tr>
      <w:tr w:rsidR="001D4057" w:rsidRPr="000A33D2" w14:paraId="598C6217" w14:textId="77777777" w:rsidTr="00A60462">
        <w:tc>
          <w:tcPr>
            <w:tcW w:w="2120" w:type="pct"/>
            <w:shd w:val="clear" w:color="auto" w:fill="auto"/>
            <w:vAlign w:val="center"/>
          </w:tcPr>
          <w:p w14:paraId="3622595B"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TEAE</w:t>
            </w:r>
          </w:p>
        </w:tc>
        <w:tc>
          <w:tcPr>
            <w:tcW w:w="577" w:type="pct"/>
            <w:shd w:val="clear" w:color="auto" w:fill="auto"/>
            <w:vAlign w:val="center"/>
          </w:tcPr>
          <w:p w14:paraId="5ECAD066"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52 (100)</w:t>
            </w:r>
          </w:p>
        </w:tc>
        <w:tc>
          <w:tcPr>
            <w:tcW w:w="524" w:type="pct"/>
            <w:vAlign w:val="center"/>
          </w:tcPr>
          <w:p w14:paraId="25A9B8D1"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65 (100)</w:t>
            </w:r>
          </w:p>
        </w:tc>
        <w:tc>
          <w:tcPr>
            <w:tcW w:w="865" w:type="pct"/>
            <w:shd w:val="clear" w:color="auto" w:fill="auto"/>
            <w:vAlign w:val="center"/>
          </w:tcPr>
          <w:p w14:paraId="7B23E2A5"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w:t>
            </w:r>
          </w:p>
        </w:tc>
        <w:tc>
          <w:tcPr>
            <w:tcW w:w="914" w:type="pct"/>
            <w:vAlign w:val="center"/>
          </w:tcPr>
          <w:p w14:paraId="2ABAC10A"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0.00 (-0.07, 0.06)</w:t>
            </w:r>
          </w:p>
        </w:tc>
      </w:tr>
      <w:tr w:rsidR="001D4057" w:rsidRPr="000A33D2" w14:paraId="2F307A25" w14:textId="77777777" w:rsidTr="00A60462">
        <w:tc>
          <w:tcPr>
            <w:tcW w:w="2120" w:type="pct"/>
            <w:shd w:val="clear" w:color="auto" w:fill="auto"/>
            <w:vAlign w:val="center"/>
          </w:tcPr>
          <w:p w14:paraId="799BF4CD" w14:textId="77777777" w:rsidR="001D4057" w:rsidRPr="000A33D2" w:rsidRDefault="001D4057" w:rsidP="003C2ACB">
            <w:pPr>
              <w:keepNext/>
              <w:keepLines/>
              <w:ind w:left="170"/>
              <w:rPr>
                <w:rFonts w:ascii="Arial Narrow" w:hAnsi="Arial Narrow"/>
                <w:sz w:val="20"/>
                <w:szCs w:val="20"/>
              </w:rPr>
            </w:pPr>
            <w:r w:rsidRPr="000A33D2">
              <w:rPr>
                <w:rFonts w:ascii="Arial Narrow" w:hAnsi="Arial Narrow"/>
                <w:sz w:val="20"/>
                <w:szCs w:val="20"/>
              </w:rPr>
              <w:t>Treatment-related TEAEs</w:t>
            </w:r>
          </w:p>
        </w:tc>
        <w:tc>
          <w:tcPr>
            <w:tcW w:w="577" w:type="pct"/>
            <w:shd w:val="clear" w:color="auto" w:fill="auto"/>
            <w:vAlign w:val="center"/>
          </w:tcPr>
          <w:p w14:paraId="6F0B649D"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52 (100)</w:t>
            </w:r>
          </w:p>
        </w:tc>
        <w:tc>
          <w:tcPr>
            <w:tcW w:w="524" w:type="pct"/>
            <w:vAlign w:val="center"/>
          </w:tcPr>
          <w:p w14:paraId="231FDCE3"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65 (100)</w:t>
            </w:r>
          </w:p>
        </w:tc>
        <w:tc>
          <w:tcPr>
            <w:tcW w:w="865" w:type="pct"/>
            <w:shd w:val="clear" w:color="auto" w:fill="auto"/>
            <w:vAlign w:val="center"/>
          </w:tcPr>
          <w:p w14:paraId="1869C211"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w:t>
            </w:r>
          </w:p>
        </w:tc>
        <w:tc>
          <w:tcPr>
            <w:tcW w:w="914" w:type="pct"/>
            <w:vAlign w:val="center"/>
          </w:tcPr>
          <w:p w14:paraId="2C46B23C"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0.00 (-0.07, 0.06)</w:t>
            </w:r>
          </w:p>
        </w:tc>
      </w:tr>
      <w:tr w:rsidR="001D4057" w:rsidRPr="000A33D2" w14:paraId="5DC461EB" w14:textId="77777777" w:rsidTr="00A60462">
        <w:tc>
          <w:tcPr>
            <w:tcW w:w="2120" w:type="pct"/>
            <w:shd w:val="clear" w:color="auto" w:fill="auto"/>
            <w:vAlign w:val="center"/>
          </w:tcPr>
          <w:p w14:paraId="71CAA8D1"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Grade ≥3 TEAEs</w:t>
            </w:r>
          </w:p>
        </w:tc>
        <w:tc>
          <w:tcPr>
            <w:tcW w:w="577" w:type="pct"/>
            <w:shd w:val="clear" w:color="auto" w:fill="auto"/>
            <w:vAlign w:val="center"/>
          </w:tcPr>
          <w:p w14:paraId="06BB4FCB"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37 (71.2)</w:t>
            </w:r>
          </w:p>
        </w:tc>
        <w:tc>
          <w:tcPr>
            <w:tcW w:w="524" w:type="pct"/>
            <w:vAlign w:val="center"/>
          </w:tcPr>
          <w:p w14:paraId="5AF0C795"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42 (64.6)</w:t>
            </w:r>
          </w:p>
        </w:tc>
        <w:tc>
          <w:tcPr>
            <w:tcW w:w="865" w:type="pct"/>
            <w:shd w:val="clear" w:color="auto" w:fill="auto"/>
            <w:vAlign w:val="center"/>
          </w:tcPr>
          <w:p w14:paraId="622578BE"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1.10 (0.85. 1.42)</w:t>
            </w:r>
          </w:p>
        </w:tc>
        <w:tc>
          <w:tcPr>
            <w:tcW w:w="914" w:type="pct"/>
            <w:vAlign w:val="center"/>
          </w:tcPr>
          <w:p w14:paraId="5295F427"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0.07 (-0.11, 0.23)</w:t>
            </w:r>
          </w:p>
        </w:tc>
      </w:tr>
      <w:tr w:rsidR="001D4057" w:rsidRPr="000A33D2" w14:paraId="12CE6701" w14:textId="77777777" w:rsidTr="00A60462">
        <w:tc>
          <w:tcPr>
            <w:tcW w:w="2120" w:type="pct"/>
            <w:shd w:val="clear" w:color="auto" w:fill="auto"/>
            <w:vAlign w:val="center"/>
          </w:tcPr>
          <w:p w14:paraId="51ED67D6" w14:textId="77777777" w:rsidR="001D4057" w:rsidRPr="000A33D2" w:rsidRDefault="001D4057" w:rsidP="003C2ACB">
            <w:pPr>
              <w:keepNext/>
              <w:keepLines/>
              <w:ind w:left="170"/>
              <w:rPr>
                <w:rFonts w:ascii="Arial Narrow" w:hAnsi="Arial Narrow"/>
                <w:sz w:val="20"/>
                <w:szCs w:val="20"/>
              </w:rPr>
            </w:pPr>
            <w:r w:rsidRPr="000A33D2">
              <w:rPr>
                <w:rFonts w:ascii="Arial Narrow" w:hAnsi="Arial Narrow"/>
                <w:sz w:val="20"/>
                <w:szCs w:val="20"/>
              </w:rPr>
              <w:t>Treatment-related Grade ≥3 TEAEs</w:t>
            </w:r>
          </w:p>
        </w:tc>
        <w:tc>
          <w:tcPr>
            <w:tcW w:w="577" w:type="pct"/>
            <w:shd w:val="clear" w:color="auto" w:fill="auto"/>
            <w:vAlign w:val="center"/>
          </w:tcPr>
          <w:p w14:paraId="1BB55310"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30 (57.7)</w:t>
            </w:r>
          </w:p>
        </w:tc>
        <w:tc>
          <w:tcPr>
            <w:tcW w:w="524" w:type="pct"/>
            <w:vAlign w:val="center"/>
          </w:tcPr>
          <w:p w14:paraId="164049E2"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32 (49.2)</w:t>
            </w:r>
          </w:p>
        </w:tc>
        <w:tc>
          <w:tcPr>
            <w:tcW w:w="865" w:type="pct"/>
            <w:shd w:val="clear" w:color="auto" w:fill="auto"/>
            <w:vAlign w:val="center"/>
          </w:tcPr>
          <w:p w14:paraId="3B5F1800"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1.17 (0.83, 1.65)</w:t>
            </w:r>
          </w:p>
        </w:tc>
        <w:tc>
          <w:tcPr>
            <w:tcW w:w="914" w:type="pct"/>
            <w:vAlign w:val="center"/>
          </w:tcPr>
          <w:p w14:paraId="4A289AFB"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0.09 (-0.10, 0.26)</w:t>
            </w:r>
          </w:p>
        </w:tc>
      </w:tr>
      <w:tr w:rsidR="001D4057" w:rsidRPr="000A33D2" w14:paraId="143DE5AA" w14:textId="77777777" w:rsidTr="00A60462">
        <w:tc>
          <w:tcPr>
            <w:tcW w:w="2120" w:type="pct"/>
            <w:shd w:val="clear" w:color="auto" w:fill="auto"/>
            <w:vAlign w:val="center"/>
          </w:tcPr>
          <w:p w14:paraId="13524059"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SAEs</w:t>
            </w:r>
          </w:p>
        </w:tc>
        <w:tc>
          <w:tcPr>
            <w:tcW w:w="577" w:type="pct"/>
            <w:shd w:val="clear" w:color="auto" w:fill="auto"/>
            <w:vAlign w:val="center"/>
          </w:tcPr>
          <w:p w14:paraId="557B4589"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14 (26.9)</w:t>
            </w:r>
          </w:p>
        </w:tc>
        <w:tc>
          <w:tcPr>
            <w:tcW w:w="524" w:type="pct"/>
            <w:vAlign w:val="center"/>
          </w:tcPr>
          <w:p w14:paraId="7527833D"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20 (30.8)</w:t>
            </w:r>
          </w:p>
        </w:tc>
        <w:tc>
          <w:tcPr>
            <w:tcW w:w="865" w:type="pct"/>
            <w:shd w:val="clear" w:color="auto" w:fill="auto"/>
            <w:vAlign w:val="center"/>
          </w:tcPr>
          <w:p w14:paraId="07E2BFA3"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0.88 (0.49, 1.54)</w:t>
            </w:r>
          </w:p>
        </w:tc>
        <w:tc>
          <w:tcPr>
            <w:tcW w:w="914" w:type="pct"/>
            <w:vAlign w:val="center"/>
          </w:tcPr>
          <w:p w14:paraId="20DE8916"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-0.04 (-0.20, 0.13)</w:t>
            </w:r>
          </w:p>
        </w:tc>
      </w:tr>
      <w:tr w:rsidR="001D4057" w:rsidRPr="000A33D2" w14:paraId="04BD3C65" w14:textId="77777777" w:rsidTr="00A60462">
        <w:tc>
          <w:tcPr>
            <w:tcW w:w="2120" w:type="pct"/>
            <w:shd w:val="clear" w:color="auto" w:fill="auto"/>
            <w:vAlign w:val="center"/>
          </w:tcPr>
          <w:p w14:paraId="25A067FA" w14:textId="77777777" w:rsidR="001D4057" w:rsidRPr="000A33D2" w:rsidRDefault="001D4057" w:rsidP="003C2ACB">
            <w:pPr>
              <w:keepNext/>
              <w:keepLines/>
              <w:ind w:left="170"/>
              <w:rPr>
                <w:rFonts w:ascii="Arial Narrow" w:hAnsi="Arial Narrow"/>
                <w:sz w:val="20"/>
                <w:szCs w:val="20"/>
              </w:rPr>
            </w:pPr>
            <w:r w:rsidRPr="000A33D2">
              <w:rPr>
                <w:rFonts w:ascii="Arial Narrow" w:hAnsi="Arial Narrow"/>
                <w:sz w:val="20"/>
                <w:szCs w:val="20"/>
              </w:rPr>
              <w:t>Treatment-related SAEs</w:t>
            </w:r>
          </w:p>
        </w:tc>
        <w:tc>
          <w:tcPr>
            <w:tcW w:w="577" w:type="pct"/>
            <w:shd w:val="clear" w:color="auto" w:fill="auto"/>
            <w:vAlign w:val="center"/>
          </w:tcPr>
          <w:p w14:paraId="15C1A4A9"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9 (17.3)</w:t>
            </w:r>
          </w:p>
        </w:tc>
        <w:tc>
          <w:tcPr>
            <w:tcW w:w="524" w:type="pct"/>
            <w:vAlign w:val="center"/>
          </w:tcPr>
          <w:p w14:paraId="40D69BC5"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9 (13.8)</w:t>
            </w:r>
          </w:p>
        </w:tc>
        <w:tc>
          <w:tcPr>
            <w:tcW w:w="865" w:type="pct"/>
            <w:shd w:val="clear" w:color="auto" w:fill="auto"/>
            <w:vAlign w:val="center"/>
          </w:tcPr>
          <w:p w14:paraId="0422AD23"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1.25 (0.55, 2.85)</w:t>
            </w:r>
          </w:p>
        </w:tc>
        <w:tc>
          <w:tcPr>
            <w:tcW w:w="914" w:type="pct"/>
            <w:vAlign w:val="center"/>
          </w:tcPr>
          <w:p w14:paraId="4158BFA7"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0.04 (-0.10, 0.18)</w:t>
            </w:r>
          </w:p>
        </w:tc>
      </w:tr>
      <w:tr w:rsidR="001D4057" w:rsidRPr="000A33D2" w14:paraId="66FEF144" w14:textId="77777777" w:rsidTr="00A60462">
        <w:tc>
          <w:tcPr>
            <w:tcW w:w="2120" w:type="pct"/>
            <w:shd w:val="clear" w:color="auto" w:fill="auto"/>
            <w:vAlign w:val="center"/>
          </w:tcPr>
          <w:p w14:paraId="6AC2902F"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TEAE leading to treatment discontinuation</w:t>
            </w:r>
          </w:p>
        </w:tc>
        <w:tc>
          <w:tcPr>
            <w:tcW w:w="577" w:type="pct"/>
            <w:shd w:val="clear" w:color="auto" w:fill="auto"/>
            <w:vAlign w:val="center"/>
          </w:tcPr>
          <w:p w14:paraId="45223C55"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9 (17.3)</w:t>
            </w:r>
          </w:p>
        </w:tc>
        <w:tc>
          <w:tcPr>
            <w:tcW w:w="524" w:type="pct"/>
            <w:vAlign w:val="center"/>
          </w:tcPr>
          <w:p w14:paraId="4D7159E0"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11 (16.9)</w:t>
            </w:r>
          </w:p>
        </w:tc>
        <w:tc>
          <w:tcPr>
            <w:tcW w:w="865" w:type="pct"/>
            <w:shd w:val="clear" w:color="auto" w:fill="auto"/>
            <w:vAlign w:val="center"/>
          </w:tcPr>
          <w:p w14:paraId="1091CDC7"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1.02 (0.46, 2.23)</w:t>
            </w:r>
          </w:p>
        </w:tc>
        <w:tc>
          <w:tcPr>
            <w:tcW w:w="914" w:type="pct"/>
            <w:vAlign w:val="center"/>
          </w:tcPr>
          <w:p w14:paraId="4490183F"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0.00 (-0.13, 0.15)</w:t>
            </w:r>
          </w:p>
        </w:tc>
      </w:tr>
      <w:tr w:rsidR="001D4057" w:rsidRPr="000A33D2" w14:paraId="09B08880" w14:textId="77777777" w:rsidTr="00A60462">
        <w:tc>
          <w:tcPr>
            <w:tcW w:w="2120" w:type="pct"/>
            <w:shd w:val="clear" w:color="auto" w:fill="auto"/>
            <w:vAlign w:val="center"/>
          </w:tcPr>
          <w:p w14:paraId="5D7AA960"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TEAE leading to infusion interruption</w:t>
            </w:r>
          </w:p>
        </w:tc>
        <w:tc>
          <w:tcPr>
            <w:tcW w:w="577" w:type="pct"/>
            <w:shd w:val="clear" w:color="auto" w:fill="auto"/>
            <w:vAlign w:val="center"/>
          </w:tcPr>
          <w:p w14:paraId="45C0A263"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16 (30.8)</w:t>
            </w:r>
          </w:p>
        </w:tc>
        <w:tc>
          <w:tcPr>
            <w:tcW w:w="524" w:type="pct"/>
            <w:vAlign w:val="center"/>
          </w:tcPr>
          <w:p w14:paraId="0A2299FE"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14 (21.5)</w:t>
            </w:r>
          </w:p>
        </w:tc>
        <w:tc>
          <w:tcPr>
            <w:tcW w:w="865" w:type="pct"/>
            <w:shd w:val="clear" w:color="auto" w:fill="auto"/>
            <w:vAlign w:val="center"/>
          </w:tcPr>
          <w:p w14:paraId="6C7A5992"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1.43 (0.78, 2.63)</w:t>
            </w:r>
          </w:p>
        </w:tc>
        <w:tc>
          <w:tcPr>
            <w:tcW w:w="914" w:type="pct"/>
            <w:vAlign w:val="center"/>
          </w:tcPr>
          <w:p w14:paraId="2CCB2E00"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0.09 (-0.07, 0.26)</w:t>
            </w:r>
          </w:p>
        </w:tc>
      </w:tr>
      <w:tr w:rsidR="001D4057" w:rsidRPr="000A33D2" w14:paraId="03B1351C" w14:textId="77777777" w:rsidTr="00A60462">
        <w:tc>
          <w:tcPr>
            <w:tcW w:w="2120" w:type="pct"/>
            <w:shd w:val="clear" w:color="auto" w:fill="auto"/>
            <w:vAlign w:val="center"/>
          </w:tcPr>
          <w:p w14:paraId="54714973"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TEAE leading to infusion delay</w:t>
            </w:r>
          </w:p>
        </w:tc>
        <w:tc>
          <w:tcPr>
            <w:tcW w:w="577" w:type="pct"/>
            <w:shd w:val="clear" w:color="auto" w:fill="auto"/>
            <w:vAlign w:val="center"/>
          </w:tcPr>
          <w:p w14:paraId="191BAE66"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24 (46.2)</w:t>
            </w:r>
          </w:p>
        </w:tc>
        <w:tc>
          <w:tcPr>
            <w:tcW w:w="524" w:type="pct"/>
            <w:vAlign w:val="center"/>
          </w:tcPr>
          <w:p w14:paraId="55FE4EED"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28 (43.1)</w:t>
            </w:r>
          </w:p>
        </w:tc>
        <w:tc>
          <w:tcPr>
            <w:tcW w:w="865" w:type="pct"/>
            <w:shd w:val="clear" w:color="auto" w:fill="auto"/>
            <w:vAlign w:val="center"/>
          </w:tcPr>
          <w:p w14:paraId="1826CC11"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1.07 (0.71, 1.60)</w:t>
            </w:r>
          </w:p>
        </w:tc>
        <w:tc>
          <w:tcPr>
            <w:tcW w:w="914" w:type="pct"/>
            <w:vAlign w:val="center"/>
          </w:tcPr>
          <w:p w14:paraId="236F6638"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0.03 (-0.15, 0.21)</w:t>
            </w:r>
          </w:p>
        </w:tc>
      </w:tr>
      <w:tr w:rsidR="001D4057" w:rsidRPr="000A33D2" w14:paraId="09805923" w14:textId="77777777" w:rsidTr="00A60462">
        <w:tc>
          <w:tcPr>
            <w:tcW w:w="2120" w:type="pct"/>
            <w:shd w:val="clear" w:color="auto" w:fill="auto"/>
            <w:vAlign w:val="center"/>
          </w:tcPr>
          <w:p w14:paraId="404F2094"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TEAE leading to dose reduction</w:t>
            </w:r>
          </w:p>
        </w:tc>
        <w:tc>
          <w:tcPr>
            <w:tcW w:w="577" w:type="pct"/>
            <w:shd w:val="clear" w:color="auto" w:fill="auto"/>
            <w:vAlign w:val="center"/>
          </w:tcPr>
          <w:p w14:paraId="36A1AA74"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11 (21.2)</w:t>
            </w:r>
          </w:p>
        </w:tc>
        <w:tc>
          <w:tcPr>
            <w:tcW w:w="524" w:type="pct"/>
            <w:vAlign w:val="center"/>
          </w:tcPr>
          <w:p w14:paraId="7314F210"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18 (27.7)</w:t>
            </w:r>
          </w:p>
        </w:tc>
        <w:tc>
          <w:tcPr>
            <w:tcW w:w="865" w:type="pct"/>
            <w:shd w:val="clear" w:color="auto" w:fill="auto"/>
            <w:vAlign w:val="center"/>
          </w:tcPr>
          <w:p w14:paraId="05974C6C"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0.76 (0.40, 1.44)</w:t>
            </w:r>
          </w:p>
        </w:tc>
        <w:tc>
          <w:tcPr>
            <w:tcW w:w="914" w:type="pct"/>
            <w:vAlign w:val="center"/>
          </w:tcPr>
          <w:p w14:paraId="185B8169"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-0.07 (-0.22, 0.10)</w:t>
            </w:r>
          </w:p>
        </w:tc>
      </w:tr>
      <w:tr w:rsidR="001D4057" w:rsidRPr="000A33D2" w14:paraId="24C00D92" w14:textId="77777777" w:rsidTr="00A60462">
        <w:tc>
          <w:tcPr>
            <w:tcW w:w="2120" w:type="pct"/>
            <w:shd w:val="clear" w:color="auto" w:fill="auto"/>
            <w:vAlign w:val="center"/>
          </w:tcPr>
          <w:p w14:paraId="1BE84BD7"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immune-related TEAEs</w:t>
            </w:r>
          </w:p>
        </w:tc>
        <w:tc>
          <w:tcPr>
            <w:tcW w:w="577" w:type="pct"/>
            <w:shd w:val="clear" w:color="auto" w:fill="auto"/>
            <w:vAlign w:val="center"/>
          </w:tcPr>
          <w:p w14:paraId="39B22C75"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38 (73.1)</w:t>
            </w:r>
          </w:p>
        </w:tc>
        <w:tc>
          <w:tcPr>
            <w:tcW w:w="524" w:type="pct"/>
            <w:vAlign w:val="center"/>
          </w:tcPr>
          <w:p w14:paraId="03604492"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24 (36.9)</w:t>
            </w:r>
          </w:p>
        </w:tc>
        <w:tc>
          <w:tcPr>
            <w:tcW w:w="865" w:type="pct"/>
            <w:shd w:val="clear" w:color="auto" w:fill="auto"/>
            <w:vAlign w:val="center"/>
          </w:tcPr>
          <w:p w14:paraId="1F335422"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1.98 (1.40, 2.87)</w:t>
            </w:r>
          </w:p>
        </w:tc>
        <w:tc>
          <w:tcPr>
            <w:tcW w:w="914" w:type="pct"/>
            <w:vAlign w:val="center"/>
          </w:tcPr>
          <w:p w14:paraId="0F2F4D95"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0.36 (0.18, 0.52)</w:t>
            </w:r>
          </w:p>
        </w:tc>
      </w:tr>
      <w:tr w:rsidR="001D4057" w:rsidRPr="000A33D2" w14:paraId="397CEC66" w14:textId="77777777" w:rsidTr="00A60462">
        <w:tc>
          <w:tcPr>
            <w:tcW w:w="2120" w:type="pct"/>
            <w:shd w:val="clear" w:color="auto" w:fill="auto"/>
            <w:vAlign w:val="center"/>
          </w:tcPr>
          <w:p w14:paraId="76D5559B" w14:textId="77777777" w:rsidR="001D4057" w:rsidRPr="000A33D2" w:rsidRDefault="001D4057" w:rsidP="003C2ACB">
            <w:pPr>
              <w:keepNext/>
              <w:keepLines/>
              <w:ind w:left="170"/>
              <w:rPr>
                <w:rFonts w:ascii="Arial Narrow" w:hAnsi="Arial Narrow"/>
                <w:sz w:val="20"/>
                <w:szCs w:val="20"/>
              </w:rPr>
            </w:pPr>
            <w:r w:rsidRPr="000A33D2">
              <w:rPr>
                <w:rFonts w:ascii="Arial Narrow" w:hAnsi="Arial Narrow"/>
                <w:sz w:val="20"/>
                <w:szCs w:val="20"/>
              </w:rPr>
              <w:t>Any DOS- or PBO-related immune-related TEAEs</w:t>
            </w:r>
          </w:p>
        </w:tc>
        <w:tc>
          <w:tcPr>
            <w:tcW w:w="577" w:type="pct"/>
            <w:shd w:val="clear" w:color="auto" w:fill="auto"/>
            <w:vAlign w:val="center"/>
          </w:tcPr>
          <w:p w14:paraId="714204A8"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25 (48.1)</w:t>
            </w:r>
          </w:p>
        </w:tc>
        <w:tc>
          <w:tcPr>
            <w:tcW w:w="524" w:type="pct"/>
            <w:vAlign w:val="center"/>
          </w:tcPr>
          <w:p w14:paraId="0CB989DC"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8 (12.3)</w:t>
            </w:r>
          </w:p>
        </w:tc>
        <w:tc>
          <w:tcPr>
            <w:tcW w:w="865" w:type="pct"/>
            <w:shd w:val="clear" w:color="auto" w:fill="auto"/>
            <w:vAlign w:val="center"/>
          </w:tcPr>
          <w:p w14:paraId="44EA74E5"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3.91 (1.99, 7.93)</w:t>
            </w:r>
          </w:p>
        </w:tc>
        <w:tc>
          <w:tcPr>
            <w:tcW w:w="914" w:type="pct"/>
            <w:vAlign w:val="center"/>
          </w:tcPr>
          <w:p w14:paraId="719342F7"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b/>
                <w:bCs/>
                <w:sz w:val="20"/>
                <w:szCs w:val="20"/>
              </w:rPr>
              <w:t>0.36 (0.20, 0.51)</w:t>
            </w:r>
          </w:p>
        </w:tc>
      </w:tr>
      <w:tr w:rsidR="001D4057" w:rsidRPr="000A33D2" w14:paraId="7FF3A36C" w14:textId="77777777" w:rsidTr="00A60462">
        <w:tc>
          <w:tcPr>
            <w:tcW w:w="2120" w:type="pct"/>
            <w:shd w:val="clear" w:color="auto" w:fill="auto"/>
            <w:vAlign w:val="center"/>
          </w:tcPr>
          <w:p w14:paraId="0885E9D6"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 xml:space="preserve">Any infusion-related reactions </w:t>
            </w:r>
          </w:p>
        </w:tc>
        <w:tc>
          <w:tcPr>
            <w:tcW w:w="577" w:type="pct"/>
            <w:shd w:val="clear" w:color="auto" w:fill="auto"/>
            <w:vAlign w:val="center"/>
          </w:tcPr>
          <w:p w14:paraId="146875FC"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12 (23.1)</w:t>
            </w:r>
          </w:p>
        </w:tc>
        <w:tc>
          <w:tcPr>
            <w:tcW w:w="524" w:type="pct"/>
            <w:vAlign w:val="center"/>
          </w:tcPr>
          <w:p w14:paraId="068303B7"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13 (20.0)</w:t>
            </w:r>
          </w:p>
        </w:tc>
        <w:tc>
          <w:tcPr>
            <w:tcW w:w="865" w:type="pct"/>
            <w:shd w:val="clear" w:color="auto" w:fill="auto"/>
            <w:vAlign w:val="center"/>
          </w:tcPr>
          <w:p w14:paraId="6B323BAD"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1.15 (0.58, 2.28)</w:t>
            </w:r>
          </w:p>
        </w:tc>
        <w:tc>
          <w:tcPr>
            <w:tcW w:w="914" w:type="pct"/>
            <w:vAlign w:val="center"/>
          </w:tcPr>
          <w:p w14:paraId="01283E88"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0.03 (-0.12, 0.19)</w:t>
            </w:r>
          </w:p>
        </w:tc>
      </w:tr>
      <w:tr w:rsidR="001D4057" w:rsidRPr="000A33D2" w14:paraId="73DDE8BF" w14:textId="77777777" w:rsidTr="00A60462">
        <w:tc>
          <w:tcPr>
            <w:tcW w:w="2120" w:type="pct"/>
            <w:shd w:val="clear" w:color="auto" w:fill="auto"/>
            <w:vAlign w:val="center"/>
          </w:tcPr>
          <w:p w14:paraId="40D15308" w14:textId="77777777" w:rsidR="001D4057" w:rsidRPr="000A33D2" w:rsidRDefault="001D4057" w:rsidP="003C2ACB">
            <w:pPr>
              <w:keepNext/>
              <w:keepLines/>
              <w:rPr>
                <w:rFonts w:ascii="Arial Narrow" w:hAnsi="Arial Narrow"/>
                <w:sz w:val="20"/>
                <w:szCs w:val="20"/>
              </w:rPr>
            </w:pPr>
            <w:r w:rsidRPr="000A33D2">
              <w:rPr>
                <w:rFonts w:ascii="Arial Narrow" w:hAnsi="Arial Narrow"/>
                <w:sz w:val="20"/>
                <w:szCs w:val="20"/>
              </w:rPr>
              <w:t>Any TEAE with outcome of death</w:t>
            </w:r>
          </w:p>
        </w:tc>
        <w:tc>
          <w:tcPr>
            <w:tcW w:w="577" w:type="pct"/>
            <w:shd w:val="clear" w:color="auto" w:fill="auto"/>
            <w:vAlign w:val="center"/>
          </w:tcPr>
          <w:p w14:paraId="396B3565" w14:textId="77777777" w:rsidR="001D4057" w:rsidRPr="000A33D2" w:rsidRDefault="001D4057" w:rsidP="003C2ACB">
            <w:pPr>
              <w:keepNext/>
              <w:keepLines/>
              <w:jc w:val="center"/>
              <w:rPr>
                <w:rFonts w:ascii="Arial Narrow" w:hAnsi="Arial Narrow"/>
                <w:b/>
                <w:bCs/>
                <w:sz w:val="20"/>
                <w:szCs w:val="20"/>
              </w:rPr>
            </w:pPr>
            <w:r w:rsidRPr="000A33D2">
              <w:rPr>
                <w:rFonts w:ascii="Arial Narrow" w:hAnsi="Arial Narrow"/>
                <w:sz w:val="20"/>
                <w:szCs w:val="20"/>
              </w:rPr>
              <w:t>2 (3.8)</w:t>
            </w:r>
          </w:p>
        </w:tc>
        <w:tc>
          <w:tcPr>
            <w:tcW w:w="524" w:type="pct"/>
            <w:vAlign w:val="center"/>
          </w:tcPr>
          <w:p w14:paraId="60EC3536"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w:t>
            </w:r>
          </w:p>
        </w:tc>
        <w:tc>
          <w:tcPr>
            <w:tcW w:w="865" w:type="pct"/>
            <w:shd w:val="clear" w:color="auto" w:fill="auto"/>
            <w:vAlign w:val="center"/>
          </w:tcPr>
          <w:p w14:paraId="60C24A6E"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6.23 (0.66, ∞)</w:t>
            </w:r>
          </w:p>
        </w:tc>
        <w:tc>
          <w:tcPr>
            <w:tcW w:w="914" w:type="pct"/>
            <w:vAlign w:val="center"/>
          </w:tcPr>
          <w:p w14:paraId="18AE5ACB"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0.04 (-0.02, 0.13)</w:t>
            </w:r>
          </w:p>
        </w:tc>
      </w:tr>
      <w:tr w:rsidR="001D4057" w:rsidRPr="000A33D2" w14:paraId="4C8B7750" w14:textId="77777777" w:rsidTr="00A60462">
        <w:tc>
          <w:tcPr>
            <w:tcW w:w="2120" w:type="pct"/>
            <w:shd w:val="clear" w:color="auto" w:fill="auto"/>
            <w:vAlign w:val="center"/>
          </w:tcPr>
          <w:p w14:paraId="2336E0C6" w14:textId="77777777" w:rsidR="001D4057" w:rsidRPr="000A33D2" w:rsidRDefault="001D4057" w:rsidP="003C2ACB">
            <w:pPr>
              <w:keepNext/>
              <w:keepLines/>
              <w:ind w:left="170"/>
              <w:rPr>
                <w:rFonts w:ascii="Arial Narrow" w:hAnsi="Arial Narrow"/>
                <w:sz w:val="20"/>
                <w:szCs w:val="20"/>
              </w:rPr>
            </w:pPr>
            <w:r w:rsidRPr="000A33D2">
              <w:rPr>
                <w:rFonts w:ascii="Arial Narrow" w:hAnsi="Arial Narrow"/>
                <w:sz w:val="20"/>
                <w:szCs w:val="20"/>
              </w:rPr>
              <w:t>Treatment-related TEAE leading to death</w:t>
            </w:r>
          </w:p>
        </w:tc>
        <w:tc>
          <w:tcPr>
            <w:tcW w:w="577" w:type="pct"/>
            <w:shd w:val="clear" w:color="auto" w:fill="auto"/>
            <w:vAlign w:val="center"/>
          </w:tcPr>
          <w:p w14:paraId="0B59C94D"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2 (3.8)</w:t>
            </w:r>
          </w:p>
        </w:tc>
        <w:tc>
          <w:tcPr>
            <w:tcW w:w="524" w:type="pct"/>
            <w:vAlign w:val="center"/>
          </w:tcPr>
          <w:p w14:paraId="0E8C3963"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w:t>
            </w:r>
          </w:p>
        </w:tc>
        <w:tc>
          <w:tcPr>
            <w:tcW w:w="865" w:type="pct"/>
            <w:shd w:val="clear" w:color="auto" w:fill="auto"/>
            <w:vAlign w:val="center"/>
          </w:tcPr>
          <w:p w14:paraId="34823719"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6.23 (0.66, ∞)</w:t>
            </w:r>
          </w:p>
        </w:tc>
        <w:tc>
          <w:tcPr>
            <w:tcW w:w="914" w:type="pct"/>
            <w:vAlign w:val="center"/>
          </w:tcPr>
          <w:p w14:paraId="02889367" w14:textId="77777777" w:rsidR="001D4057" w:rsidRPr="000A33D2" w:rsidRDefault="001D4057" w:rsidP="003C2ACB">
            <w:pPr>
              <w:keepNext/>
              <w:keepLines/>
              <w:jc w:val="center"/>
              <w:rPr>
                <w:rFonts w:ascii="Arial Narrow" w:hAnsi="Arial Narrow"/>
                <w:sz w:val="20"/>
                <w:szCs w:val="20"/>
              </w:rPr>
            </w:pPr>
            <w:r w:rsidRPr="000A33D2">
              <w:rPr>
                <w:rFonts w:ascii="Arial Narrow" w:hAnsi="Arial Narrow"/>
                <w:sz w:val="20"/>
                <w:szCs w:val="20"/>
              </w:rPr>
              <w:t>0.04 (-0.02, 0.13)</w:t>
            </w:r>
          </w:p>
        </w:tc>
      </w:tr>
    </w:tbl>
    <w:p w14:paraId="1D6D07F1" w14:textId="77777777" w:rsidR="001D4057" w:rsidRPr="000A33D2" w:rsidRDefault="001D4057" w:rsidP="003C2ACB">
      <w:pPr>
        <w:pStyle w:val="FooterTableFigure"/>
        <w:keepNext/>
        <w:keepLines/>
        <w:spacing w:after="0"/>
      </w:pPr>
      <w:r w:rsidRPr="000A33D2">
        <w:t>Source: Table 35, pp78-79 of the submission.</w:t>
      </w:r>
    </w:p>
    <w:p w14:paraId="7AD664CA" w14:textId="38BF2164" w:rsidR="001D4057" w:rsidRPr="000A33D2" w:rsidRDefault="00F01DE4" w:rsidP="003C2ACB">
      <w:pPr>
        <w:pStyle w:val="FooterTableFigure"/>
        <w:keepNext/>
        <w:keepLines/>
        <w:spacing w:after="0"/>
        <w:rPr>
          <w:sz w:val="20"/>
        </w:rPr>
      </w:pPr>
      <w:r w:rsidRPr="000A33D2">
        <w:t>RR and RD</w:t>
      </w:r>
      <w:r w:rsidR="001D4057" w:rsidRPr="000A33D2">
        <w:t xml:space="preserve"> calculated during evaluation using </w:t>
      </w:r>
      <w:proofErr w:type="spellStart"/>
      <w:r w:rsidR="001D4057" w:rsidRPr="000A33D2">
        <w:t>StatsDirect</w:t>
      </w:r>
      <w:proofErr w:type="spellEnd"/>
      <w:r w:rsidR="001D4057" w:rsidRPr="000A33D2">
        <w:t xml:space="preserve"> (version3.3.3), using the random effects model.</w:t>
      </w:r>
    </w:p>
    <w:p w14:paraId="0DE59B16" w14:textId="77777777" w:rsidR="001D4057" w:rsidRPr="000A33D2" w:rsidRDefault="001D4057" w:rsidP="003C2ACB">
      <w:pPr>
        <w:pStyle w:val="TableFooter"/>
        <w:keepNext/>
        <w:keepLines/>
      </w:pPr>
      <w:r w:rsidRPr="000A33D2">
        <w:t>Bold indicates values where the 95% CI did not include ‘1’</w:t>
      </w:r>
    </w:p>
    <w:p w14:paraId="3C7B5EA7" w14:textId="77777777" w:rsidR="001D4057" w:rsidRDefault="001D4057" w:rsidP="003C2ACB">
      <w:pPr>
        <w:pStyle w:val="In-tableHeading"/>
        <w:keepLines/>
        <w:jc w:val="both"/>
        <w:rPr>
          <w:rFonts w:eastAsia="Calibri" w:cs="Arial"/>
          <w:b w:val="0"/>
          <w:snapToGrid w:val="0"/>
          <w:sz w:val="18"/>
          <w:szCs w:val="22"/>
          <w:lang w:val="en-AU"/>
        </w:rPr>
      </w:pPr>
      <w:r w:rsidRPr="000A33D2">
        <w:rPr>
          <w:rFonts w:eastAsia="Calibri" w:cs="Arial"/>
          <w:b w:val="0"/>
          <w:snapToGrid w:val="0"/>
          <w:sz w:val="18"/>
          <w:szCs w:val="22"/>
          <w:lang w:val="en-AU"/>
        </w:rPr>
        <w:t>CP=carboplatin-paclitaxel; dMMR=mismatch repair deficient; DOS=dostarlimab; MSI-H=high microsatellite instability; PBO=placebo; RD=risk difference; RR = relative risk; SAE=serious adverse event; TEAE=treatment-emergent adverse event</w:t>
      </w:r>
    </w:p>
    <w:p w14:paraId="0DE35203" w14:textId="77A5CF4E" w:rsidR="00412CC1" w:rsidRPr="00C737DF" w:rsidRDefault="00412CC1" w:rsidP="003C2ACB">
      <w:pPr>
        <w:pStyle w:val="TableFooter"/>
        <w:keepNext/>
        <w:keepLines/>
        <w:spacing w:after="120"/>
        <w:rPr>
          <w:i/>
          <w:iCs/>
        </w:rPr>
      </w:pPr>
      <w:r w:rsidRPr="00C737DF">
        <w:rPr>
          <w:i/>
          <w:iCs/>
        </w:rPr>
        <w:t>*Note that the results for relative risk (RR) and risk difference (RD) presented in Table 10 are derived from ad-hoc /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p>
    <w:p w14:paraId="34A81463" w14:textId="2CD35009" w:rsidR="00F818F2" w:rsidRPr="000A33D2" w:rsidRDefault="00106D2E" w:rsidP="00F818F2">
      <w:pPr>
        <w:pStyle w:val="3-BodyText"/>
      </w:pPr>
      <w:bookmarkStart w:id="50" w:name="_Ref144732646"/>
      <w:r w:rsidRPr="000A33D2">
        <w:t xml:space="preserve">The most frequently reported </w:t>
      </w:r>
      <w:r w:rsidR="00A9087F" w:rsidRPr="000A33D2">
        <w:t>serious adverse events (</w:t>
      </w:r>
      <w:r w:rsidRPr="000A33D2">
        <w:t>SAEs</w:t>
      </w:r>
      <w:r w:rsidR="00A9087F" w:rsidRPr="000A33D2">
        <w:t>)</w:t>
      </w:r>
      <w:r w:rsidRPr="000A33D2">
        <w:t xml:space="preserve"> (≥2% of patients) in the DOS+CP arm were sepsis, pulmonary embolism, pyrexia, dyspnoea and muscular weakness, while those in the PBO+CP arm were asthenia, anaemia, urinary tract infection and pulmonary embolism. SAEs </w:t>
      </w:r>
      <w:r w:rsidR="00291AB9" w:rsidRPr="000A33D2">
        <w:t xml:space="preserve">which occurred in </w:t>
      </w:r>
      <w:r w:rsidR="00291AB9" w:rsidRPr="000A33D2">
        <w:rPr>
          <w:rFonts w:cstheme="minorHAnsi"/>
        </w:rPr>
        <w:t>≥</w:t>
      </w:r>
      <w:r w:rsidR="00291AB9" w:rsidRPr="000A33D2">
        <w:t xml:space="preserve">2% of patients </w:t>
      </w:r>
      <w:r w:rsidR="003B17A8" w:rsidRPr="000A33D2">
        <w:t xml:space="preserve">and </w:t>
      </w:r>
      <w:r w:rsidR="00291AB9" w:rsidRPr="000A33D2">
        <w:t xml:space="preserve">also had a </w:t>
      </w:r>
      <w:r w:rsidR="00291AB9" w:rsidRPr="000A33D2">
        <w:rPr>
          <w:rFonts w:cstheme="minorHAnsi"/>
        </w:rPr>
        <w:t>≥</w:t>
      </w:r>
      <w:r w:rsidR="00291AB9" w:rsidRPr="000A33D2">
        <w:t xml:space="preserve">1% difference between treatment arms </w:t>
      </w:r>
      <w:r w:rsidR="00CF71B0" w:rsidRPr="000A33D2">
        <w:t>(sepsis,</w:t>
      </w:r>
      <w:r w:rsidR="00F13217" w:rsidRPr="000A33D2">
        <w:t xml:space="preserve"> pyrexia, </w:t>
      </w:r>
      <w:r w:rsidR="00AF60B4" w:rsidRPr="000A33D2">
        <w:t>dyspnoea, muscular weakness, anaem</w:t>
      </w:r>
      <w:r w:rsidR="004C4C84" w:rsidRPr="000A33D2">
        <w:t>i</w:t>
      </w:r>
      <w:r w:rsidR="00AF60B4" w:rsidRPr="000A33D2">
        <w:t>a and asthenia)</w:t>
      </w:r>
      <w:r w:rsidR="00CF71B0" w:rsidRPr="000A33D2">
        <w:t xml:space="preserve"> </w:t>
      </w:r>
      <w:r w:rsidRPr="000A33D2">
        <w:t>were included in the submission’s economic model</w:t>
      </w:r>
      <w:r w:rsidR="006D1D1E" w:rsidRPr="000A33D2">
        <w:t>.</w:t>
      </w:r>
      <w:r w:rsidR="00EB491E" w:rsidRPr="000A33D2">
        <w:t xml:space="preserve"> </w:t>
      </w:r>
      <w:bookmarkEnd w:id="50"/>
    </w:p>
    <w:p w14:paraId="53B9D71E" w14:textId="2CEB2833" w:rsidR="00F818F2" w:rsidRPr="000A33D2" w:rsidRDefault="00F818F2" w:rsidP="00F818F2">
      <w:pPr>
        <w:pStyle w:val="3-BodyText"/>
      </w:pPr>
      <w:r w:rsidRPr="000A33D2">
        <w:t xml:space="preserve">Immune-related adverse events (irAEs) were identified as any ≥Grade 2 AEs based on a prespecified search list of preferred terms and MedDRA Version 25.0. </w:t>
      </w:r>
      <w:r w:rsidR="006D1D1E" w:rsidRPr="000A33D2">
        <w:t xml:space="preserve">Patients in the DOS+CP arm had a higher risk of experiencing </w:t>
      </w:r>
      <w:r w:rsidRPr="000A33D2">
        <w:t>irAEs</w:t>
      </w:r>
      <w:r w:rsidR="006D1D1E" w:rsidRPr="000A33D2">
        <w:t xml:space="preserve"> compared to patients in the PBO+CP arm, and this was consistent across the dMMR/MSI-H and pMMR/MSS cohorts and the all-comers population. </w:t>
      </w:r>
      <w:r w:rsidRPr="000A33D2">
        <w:t xml:space="preserve">Overall, patients in the DOS+CP arm of RUBY were more likely to experience the following irAEs: infusion-related reaction; hypothyroidism; rash; rash maculo-papular; alanine aminotransferase increased; aspartate aminotransferase increased; and hyperthyroidism. The higher incidence of irAEs in the dMMR/MSI-H population compared to the pMMR/MSS population </w:t>
      </w:r>
      <w:r w:rsidR="0037391B" w:rsidRPr="000A33D2">
        <w:t xml:space="preserve">(DOS+CP: 73.1% and 52.4% respectively; PBO+CP: 36.9% and 35.4% respectively) </w:t>
      </w:r>
      <w:r w:rsidRPr="000A33D2">
        <w:t>was likely due to difference in duration of treatment with DOS between the two populations.</w:t>
      </w:r>
      <w:r w:rsidR="00FB672B" w:rsidRPr="000A33D2">
        <w:rPr>
          <w:i/>
          <w:iCs/>
        </w:rPr>
        <w:t xml:space="preserve"> </w:t>
      </w:r>
      <w:r w:rsidR="00FB672B" w:rsidRPr="000A33D2">
        <w:t xml:space="preserve">The submission claimed that </w:t>
      </w:r>
      <w:r w:rsidR="004E203B" w:rsidRPr="000A33D2">
        <w:t xml:space="preserve">the </w:t>
      </w:r>
      <w:r w:rsidR="00FB672B" w:rsidRPr="000A33D2">
        <w:t>nature and types of irAEs in the safety profile were consistent with the mechanism of action of DOS and were similar to those reported for other PD-(L)1 inhibitors.</w:t>
      </w:r>
      <w:r w:rsidR="00342C33" w:rsidRPr="000A33D2">
        <w:t xml:space="preserve"> Most irAEs were not serious in nature and did not lead to treatment discontinuation or death</w:t>
      </w:r>
      <w:r w:rsidR="000E3E82" w:rsidRPr="000A33D2">
        <w:t>.</w:t>
      </w:r>
    </w:p>
    <w:p w14:paraId="66CA98AD" w14:textId="4415F9E0" w:rsidR="00F818F2" w:rsidRPr="000A33D2" w:rsidRDefault="00E801D8" w:rsidP="00E801D8">
      <w:pPr>
        <w:pStyle w:val="Caption"/>
      </w:pPr>
      <w:bookmarkStart w:id="51" w:name="_Ref144281835"/>
      <w:r w:rsidRPr="000A33D2">
        <w:lastRenderedPageBreak/>
        <w:t xml:space="preserve">Table </w:t>
      </w:r>
      <w:r>
        <w:fldChar w:fldCharType="begin" w:fldLock="1"/>
      </w:r>
      <w:r>
        <w:instrText>SEQ Table \* ARABIC</w:instrText>
      </w:r>
      <w:r>
        <w:fldChar w:fldCharType="separate"/>
      </w:r>
      <w:r w:rsidR="00B62E71">
        <w:rPr>
          <w:noProof/>
        </w:rPr>
        <w:t>11</w:t>
      </w:r>
      <w:r>
        <w:fldChar w:fldCharType="end"/>
      </w:r>
      <w:bookmarkEnd w:id="51"/>
      <w:r w:rsidR="00F818F2" w:rsidRPr="000A33D2">
        <w:rPr>
          <w:rStyle w:val="CommentReference"/>
          <w:b/>
          <w:bCs w:val="0"/>
          <w:szCs w:val="24"/>
        </w:rPr>
        <w:t>: Summary of immune-related adverse events</w:t>
      </w:r>
      <w:r w:rsidR="002D68E0" w:rsidRPr="000A33D2">
        <w:rPr>
          <w:rStyle w:val="CommentReference"/>
          <w:b/>
          <w:bCs w:val="0"/>
          <w:szCs w:val="24"/>
        </w:rPr>
        <w:t xml:space="preserve"> in all-comers</w:t>
      </w:r>
    </w:p>
    <w:tbl>
      <w:tblPr>
        <w:tblStyle w:val="TableGrid"/>
        <w:tblW w:w="5000" w:type="pct"/>
        <w:tblLook w:val="04A0" w:firstRow="1" w:lastRow="0" w:firstColumn="1" w:lastColumn="0" w:noHBand="0" w:noVBand="1"/>
      </w:tblPr>
      <w:tblGrid>
        <w:gridCol w:w="1839"/>
        <w:gridCol w:w="886"/>
        <w:gridCol w:w="887"/>
        <w:gridCol w:w="885"/>
        <w:gridCol w:w="887"/>
        <w:gridCol w:w="1702"/>
        <w:gridCol w:w="1931"/>
      </w:tblGrid>
      <w:tr w:rsidR="00F818F2" w:rsidRPr="000A33D2" w14:paraId="17D3AAA2" w14:textId="77777777" w:rsidTr="00DB2B5C">
        <w:tc>
          <w:tcPr>
            <w:tcW w:w="1019" w:type="pct"/>
            <w:vMerge w:val="restart"/>
            <w:shd w:val="clear" w:color="auto" w:fill="auto"/>
            <w:vAlign w:val="center"/>
          </w:tcPr>
          <w:p w14:paraId="0550153E" w14:textId="77777777" w:rsidR="00F818F2" w:rsidRPr="000A33D2" w:rsidRDefault="00F818F2" w:rsidP="00DB2B5C">
            <w:pPr>
              <w:keepNext/>
              <w:keepLines/>
              <w:rPr>
                <w:rFonts w:ascii="Arial Narrow" w:hAnsi="Arial Narrow"/>
                <w:b/>
                <w:bCs/>
                <w:sz w:val="20"/>
                <w:szCs w:val="20"/>
              </w:rPr>
            </w:pPr>
            <w:r w:rsidRPr="000A33D2">
              <w:rPr>
                <w:rFonts w:ascii="Arial Narrow" w:hAnsi="Arial Narrow"/>
                <w:b/>
                <w:bCs/>
                <w:sz w:val="20"/>
                <w:szCs w:val="20"/>
              </w:rPr>
              <w:t>Immune-related TEAEs, n (%)</w:t>
            </w:r>
          </w:p>
        </w:tc>
        <w:tc>
          <w:tcPr>
            <w:tcW w:w="983" w:type="pct"/>
            <w:gridSpan w:val="2"/>
            <w:shd w:val="clear" w:color="auto" w:fill="auto"/>
            <w:vAlign w:val="center"/>
          </w:tcPr>
          <w:p w14:paraId="6C4BB0AE"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DOS+CP</w:t>
            </w:r>
          </w:p>
          <w:p w14:paraId="2EC5F627"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(N=241)</w:t>
            </w:r>
          </w:p>
        </w:tc>
        <w:tc>
          <w:tcPr>
            <w:tcW w:w="983" w:type="pct"/>
            <w:gridSpan w:val="2"/>
            <w:shd w:val="clear" w:color="auto" w:fill="auto"/>
            <w:vAlign w:val="center"/>
          </w:tcPr>
          <w:p w14:paraId="7B810238"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PBO+CP</w:t>
            </w:r>
          </w:p>
          <w:p w14:paraId="1F3F0632"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(N=246)</w:t>
            </w:r>
          </w:p>
        </w:tc>
        <w:tc>
          <w:tcPr>
            <w:tcW w:w="944" w:type="pct"/>
            <w:vAlign w:val="center"/>
          </w:tcPr>
          <w:p w14:paraId="4FDD7CB6" w14:textId="284948CC"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Relative Risk</w:t>
            </w:r>
            <w:r w:rsidR="00A655B1">
              <w:rPr>
                <w:rFonts w:ascii="Arial Narrow" w:hAnsi="Arial Narrow"/>
                <w:b/>
                <w:bCs/>
                <w:sz w:val="20"/>
                <w:szCs w:val="20"/>
              </w:rPr>
              <w:t>*</w:t>
            </w:r>
          </w:p>
          <w:p w14:paraId="7F063611"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(95% CI)</w:t>
            </w:r>
          </w:p>
        </w:tc>
        <w:tc>
          <w:tcPr>
            <w:tcW w:w="1072" w:type="pct"/>
            <w:vAlign w:val="center"/>
          </w:tcPr>
          <w:p w14:paraId="2C553638" w14:textId="6F5D4145"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Risk Difference</w:t>
            </w:r>
            <w:r w:rsidR="00A655B1">
              <w:rPr>
                <w:rFonts w:ascii="Arial Narrow" w:hAnsi="Arial Narrow"/>
                <w:b/>
                <w:bCs/>
                <w:sz w:val="20"/>
                <w:szCs w:val="20"/>
              </w:rPr>
              <w:t>*</w:t>
            </w:r>
          </w:p>
          <w:p w14:paraId="5C0DC88D"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(95% CI)</w:t>
            </w:r>
          </w:p>
        </w:tc>
      </w:tr>
      <w:tr w:rsidR="00F818F2" w:rsidRPr="000A33D2" w14:paraId="38F07B25" w14:textId="77777777" w:rsidTr="00DB2B5C">
        <w:tc>
          <w:tcPr>
            <w:tcW w:w="1019" w:type="pct"/>
            <w:vMerge/>
            <w:shd w:val="clear" w:color="auto" w:fill="auto"/>
          </w:tcPr>
          <w:p w14:paraId="2E45C16D" w14:textId="77777777" w:rsidR="00F818F2" w:rsidRPr="000A33D2" w:rsidRDefault="00F818F2" w:rsidP="00DB2B5C">
            <w:pPr>
              <w:keepNext/>
              <w:keepLines/>
              <w:rPr>
                <w:rFonts w:ascii="Arial Narrow" w:hAnsi="Arial Narrow"/>
                <w:sz w:val="20"/>
                <w:szCs w:val="20"/>
              </w:rPr>
            </w:pPr>
          </w:p>
        </w:tc>
        <w:tc>
          <w:tcPr>
            <w:tcW w:w="491" w:type="pct"/>
            <w:shd w:val="clear" w:color="auto" w:fill="auto"/>
            <w:vAlign w:val="center"/>
          </w:tcPr>
          <w:p w14:paraId="451A2B65"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All events</w:t>
            </w:r>
          </w:p>
        </w:tc>
        <w:tc>
          <w:tcPr>
            <w:tcW w:w="491" w:type="pct"/>
            <w:shd w:val="clear" w:color="auto" w:fill="auto"/>
            <w:vAlign w:val="center"/>
          </w:tcPr>
          <w:p w14:paraId="17FF8F65"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DOS-related</w:t>
            </w:r>
          </w:p>
        </w:tc>
        <w:tc>
          <w:tcPr>
            <w:tcW w:w="491" w:type="pct"/>
            <w:shd w:val="clear" w:color="auto" w:fill="auto"/>
            <w:vAlign w:val="center"/>
          </w:tcPr>
          <w:p w14:paraId="422CD707"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All events</w:t>
            </w:r>
          </w:p>
        </w:tc>
        <w:tc>
          <w:tcPr>
            <w:tcW w:w="491" w:type="pct"/>
            <w:shd w:val="clear" w:color="auto" w:fill="auto"/>
            <w:vAlign w:val="center"/>
          </w:tcPr>
          <w:p w14:paraId="4D42105E"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PBO-related</w:t>
            </w:r>
          </w:p>
        </w:tc>
        <w:tc>
          <w:tcPr>
            <w:tcW w:w="944" w:type="pct"/>
            <w:vAlign w:val="center"/>
          </w:tcPr>
          <w:p w14:paraId="7A7AC468"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DOS/PBO-related</w:t>
            </w:r>
          </w:p>
        </w:tc>
        <w:tc>
          <w:tcPr>
            <w:tcW w:w="1072" w:type="pct"/>
            <w:vAlign w:val="center"/>
          </w:tcPr>
          <w:p w14:paraId="52CDB6F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DOS/PBO-related</w:t>
            </w:r>
          </w:p>
        </w:tc>
      </w:tr>
      <w:tr w:rsidR="00F818F2" w:rsidRPr="000A33D2" w14:paraId="6009DCAC" w14:textId="77777777" w:rsidTr="00DB2B5C">
        <w:tc>
          <w:tcPr>
            <w:tcW w:w="1019" w:type="pct"/>
            <w:shd w:val="clear" w:color="auto" w:fill="auto"/>
            <w:vAlign w:val="center"/>
          </w:tcPr>
          <w:p w14:paraId="7CB0FF5F"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Any immune-related TEAE</w:t>
            </w:r>
          </w:p>
        </w:tc>
        <w:tc>
          <w:tcPr>
            <w:tcW w:w="491" w:type="pct"/>
            <w:shd w:val="clear" w:color="auto" w:fill="auto"/>
            <w:vAlign w:val="center"/>
          </w:tcPr>
          <w:p w14:paraId="2D41E3E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137 (56.8)</w:t>
            </w:r>
          </w:p>
        </w:tc>
        <w:tc>
          <w:tcPr>
            <w:tcW w:w="491" w:type="pct"/>
            <w:shd w:val="clear" w:color="auto" w:fill="auto"/>
            <w:vAlign w:val="center"/>
          </w:tcPr>
          <w:p w14:paraId="53D139FC"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92 (38.2)</w:t>
            </w:r>
          </w:p>
        </w:tc>
        <w:tc>
          <w:tcPr>
            <w:tcW w:w="491" w:type="pct"/>
            <w:shd w:val="clear" w:color="auto" w:fill="auto"/>
            <w:vAlign w:val="center"/>
          </w:tcPr>
          <w:p w14:paraId="1CAA584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88 (35.8)</w:t>
            </w:r>
          </w:p>
        </w:tc>
        <w:tc>
          <w:tcPr>
            <w:tcW w:w="491" w:type="pct"/>
            <w:shd w:val="clear" w:color="auto" w:fill="auto"/>
            <w:vAlign w:val="center"/>
          </w:tcPr>
          <w:p w14:paraId="4E0A876B"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38 (15.4)</w:t>
            </w:r>
          </w:p>
        </w:tc>
        <w:tc>
          <w:tcPr>
            <w:tcW w:w="944" w:type="pct"/>
            <w:vAlign w:val="center"/>
          </w:tcPr>
          <w:p w14:paraId="04FA00F8"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2.47 (1.78, 3.46)</w:t>
            </w:r>
          </w:p>
        </w:tc>
        <w:tc>
          <w:tcPr>
            <w:tcW w:w="1072" w:type="pct"/>
            <w:vAlign w:val="center"/>
          </w:tcPr>
          <w:p w14:paraId="0603EF8E"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0.227 (0.150, 0.303)</w:t>
            </w:r>
          </w:p>
        </w:tc>
      </w:tr>
      <w:tr w:rsidR="00F818F2" w:rsidRPr="000A33D2" w14:paraId="42FE8778" w14:textId="77777777" w:rsidTr="00DB2B5C">
        <w:tc>
          <w:tcPr>
            <w:tcW w:w="1019" w:type="pct"/>
            <w:shd w:val="clear" w:color="auto" w:fill="auto"/>
            <w:vAlign w:val="center"/>
          </w:tcPr>
          <w:p w14:paraId="75639443"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Arthralgia</w:t>
            </w:r>
          </w:p>
        </w:tc>
        <w:tc>
          <w:tcPr>
            <w:tcW w:w="491" w:type="pct"/>
            <w:shd w:val="clear" w:color="auto" w:fill="auto"/>
            <w:vAlign w:val="center"/>
          </w:tcPr>
          <w:p w14:paraId="083BD01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32 (13.3)</w:t>
            </w:r>
          </w:p>
        </w:tc>
        <w:tc>
          <w:tcPr>
            <w:tcW w:w="491" w:type="pct"/>
            <w:shd w:val="clear" w:color="auto" w:fill="auto"/>
            <w:vAlign w:val="center"/>
          </w:tcPr>
          <w:p w14:paraId="79ABD97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14 (5.8)</w:t>
            </w:r>
          </w:p>
        </w:tc>
        <w:tc>
          <w:tcPr>
            <w:tcW w:w="491" w:type="pct"/>
            <w:shd w:val="clear" w:color="auto" w:fill="auto"/>
            <w:vAlign w:val="center"/>
          </w:tcPr>
          <w:p w14:paraId="50C206B7"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31 (12.6)</w:t>
            </w:r>
          </w:p>
        </w:tc>
        <w:tc>
          <w:tcPr>
            <w:tcW w:w="491" w:type="pct"/>
            <w:shd w:val="clear" w:color="auto" w:fill="auto"/>
            <w:vAlign w:val="center"/>
          </w:tcPr>
          <w:p w14:paraId="3E8870B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16 (6.5)</w:t>
            </w:r>
          </w:p>
        </w:tc>
        <w:tc>
          <w:tcPr>
            <w:tcW w:w="944" w:type="pct"/>
            <w:vAlign w:val="center"/>
          </w:tcPr>
          <w:p w14:paraId="135945AC"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0.89 (0.45, 1.77)</w:t>
            </w:r>
          </w:p>
        </w:tc>
        <w:tc>
          <w:tcPr>
            <w:tcW w:w="1072" w:type="pct"/>
            <w:vAlign w:val="center"/>
          </w:tcPr>
          <w:p w14:paraId="62D29081"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-0.007 (-0.052, 0.038)</w:t>
            </w:r>
          </w:p>
        </w:tc>
      </w:tr>
      <w:tr w:rsidR="00F818F2" w:rsidRPr="000A33D2" w14:paraId="460959F9" w14:textId="77777777" w:rsidTr="00DB2B5C">
        <w:tc>
          <w:tcPr>
            <w:tcW w:w="1019" w:type="pct"/>
            <w:shd w:val="clear" w:color="auto" w:fill="auto"/>
            <w:vAlign w:val="center"/>
          </w:tcPr>
          <w:p w14:paraId="399FE1EF"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Infusion-related reaction</w:t>
            </w:r>
          </w:p>
        </w:tc>
        <w:tc>
          <w:tcPr>
            <w:tcW w:w="491" w:type="pct"/>
            <w:shd w:val="clear" w:color="auto" w:fill="auto"/>
            <w:vAlign w:val="center"/>
          </w:tcPr>
          <w:p w14:paraId="45AB516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31 (12.9)</w:t>
            </w:r>
          </w:p>
        </w:tc>
        <w:tc>
          <w:tcPr>
            <w:tcW w:w="491" w:type="pct"/>
            <w:shd w:val="clear" w:color="auto" w:fill="auto"/>
            <w:vAlign w:val="center"/>
          </w:tcPr>
          <w:p w14:paraId="585EFCD7"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4 (1.7)</w:t>
            </w:r>
          </w:p>
        </w:tc>
        <w:tc>
          <w:tcPr>
            <w:tcW w:w="491" w:type="pct"/>
            <w:shd w:val="clear" w:color="auto" w:fill="auto"/>
            <w:vAlign w:val="center"/>
          </w:tcPr>
          <w:p w14:paraId="4F1699D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30 (12.2)</w:t>
            </w:r>
          </w:p>
        </w:tc>
        <w:tc>
          <w:tcPr>
            <w:tcW w:w="491" w:type="pct"/>
            <w:shd w:val="clear" w:color="auto" w:fill="auto"/>
            <w:vAlign w:val="center"/>
          </w:tcPr>
          <w:p w14:paraId="311805B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w:t>
            </w:r>
          </w:p>
        </w:tc>
        <w:tc>
          <w:tcPr>
            <w:tcW w:w="944" w:type="pct"/>
            <w:vAlign w:val="center"/>
          </w:tcPr>
          <w:p w14:paraId="019F79E6"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9.19 (1.07,</w:t>
            </w:r>
            <w:r w:rsidRPr="000A33D2">
              <w:rPr>
                <w:b/>
                <w:bCs/>
                <w:sz w:val="20"/>
                <w:szCs w:val="20"/>
              </w:rPr>
              <w:t xml:space="preserve"> </w:t>
            </w:r>
            <w:r w:rsidRPr="000A33D2">
              <w:rPr>
                <w:rFonts w:ascii="Arial Narrow" w:hAnsi="Arial Narrow"/>
                <w:b/>
                <w:bCs/>
                <w:sz w:val="20"/>
                <w:szCs w:val="20"/>
              </w:rPr>
              <w:t>∞)</w:t>
            </w:r>
          </w:p>
        </w:tc>
        <w:tc>
          <w:tcPr>
            <w:tcW w:w="1072" w:type="pct"/>
            <w:vAlign w:val="center"/>
          </w:tcPr>
          <w:p w14:paraId="5E14262C"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b/>
                <w:bCs/>
                <w:sz w:val="20"/>
                <w:szCs w:val="20"/>
              </w:rPr>
              <w:t>0.017 (0.001, 0.042)</w:t>
            </w:r>
          </w:p>
        </w:tc>
      </w:tr>
      <w:tr w:rsidR="00F818F2" w:rsidRPr="000A33D2" w14:paraId="607AD3B5" w14:textId="77777777" w:rsidTr="00DB2B5C">
        <w:tc>
          <w:tcPr>
            <w:tcW w:w="1019" w:type="pct"/>
            <w:shd w:val="clear" w:color="auto" w:fill="auto"/>
            <w:vAlign w:val="center"/>
          </w:tcPr>
          <w:p w14:paraId="6FCD91A7"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Hypothyroidism</w:t>
            </w:r>
          </w:p>
        </w:tc>
        <w:tc>
          <w:tcPr>
            <w:tcW w:w="491" w:type="pct"/>
            <w:shd w:val="clear" w:color="auto" w:fill="auto"/>
            <w:vAlign w:val="center"/>
          </w:tcPr>
          <w:p w14:paraId="3C59989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27 (11.2)</w:t>
            </w:r>
          </w:p>
        </w:tc>
        <w:tc>
          <w:tcPr>
            <w:tcW w:w="491" w:type="pct"/>
            <w:shd w:val="clear" w:color="auto" w:fill="auto"/>
            <w:vAlign w:val="center"/>
          </w:tcPr>
          <w:p w14:paraId="543FF2D5"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27 (11.2)</w:t>
            </w:r>
          </w:p>
        </w:tc>
        <w:tc>
          <w:tcPr>
            <w:tcW w:w="491" w:type="pct"/>
            <w:shd w:val="clear" w:color="auto" w:fill="auto"/>
            <w:vAlign w:val="center"/>
          </w:tcPr>
          <w:p w14:paraId="3453B9A2"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8 (3.3)</w:t>
            </w:r>
          </w:p>
        </w:tc>
        <w:tc>
          <w:tcPr>
            <w:tcW w:w="491" w:type="pct"/>
            <w:shd w:val="clear" w:color="auto" w:fill="auto"/>
            <w:vAlign w:val="center"/>
          </w:tcPr>
          <w:p w14:paraId="0B05570B"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7 (2.8)</w:t>
            </w:r>
          </w:p>
        </w:tc>
        <w:tc>
          <w:tcPr>
            <w:tcW w:w="944" w:type="pct"/>
            <w:vAlign w:val="center"/>
          </w:tcPr>
          <w:p w14:paraId="66E8F6A5"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3.94 (1.79, 8.72)</w:t>
            </w:r>
          </w:p>
        </w:tc>
        <w:tc>
          <w:tcPr>
            <w:tcW w:w="1072" w:type="pct"/>
            <w:vAlign w:val="center"/>
          </w:tcPr>
          <w:p w14:paraId="124AF3E2"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b/>
                <w:bCs/>
                <w:sz w:val="20"/>
                <w:szCs w:val="20"/>
              </w:rPr>
              <w:t>0.084 (0.040, 0.133)</w:t>
            </w:r>
          </w:p>
        </w:tc>
      </w:tr>
      <w:tr w:rsidR="00F818F2" w:rsidRPr="000A33D2" w14:paraId="49E780A5" w14:textId="77777777" w:rsidTr="00DB2B5C">
        <w:tc>
          <w:tcPr>
            <w:tcW w:w="1019" w:type="pct"/>
            <w:shd w:val="clear" w:color="auto" w:fill="auto"/>
            <w:vAlign w:val="center"/>
          </w:tcPr>
          <w:p w14:paraId="63189FD8"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Hypersensitivity</w:t>
            </w:r>
          </w:p>
        </w:tc>
        <w:tc>
          <w:tcPr>
            <w:tcW w:w="491" w:type="pct"/>
            <w:shd w:val="clear" w:color="auto" w:fill="auto"/>
            <w:vAlign w:val="center"/>
          </w:tcPr>
          <w:p w14:paraId="42B8FA2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6 (2.5)</w:t>
            </w:r>
          </w:p>
        </w:tc>
        <w:tc>
          <w:tcPr>
            <w:tcW w:w="491" w:type="pct"/>
            <w:shd w:val="clear" w:color="auto" w:fill="auto"/>
            <w:vAlign w:val="center"/>
          </w:tcPr>
          <w:p w14:paraId="4D62B94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w:t>
            </w:r>
          </w:p>
        </w:tc>
        <w:tc>
          <w:tcPr>
            <w:tcW w:w="491" w:type="pct"/>
            <w:shd w:val="clear" w:color="auto" w:fill="auto"/>
            <w:vAlign w:val="center"/>
          </w:tcPr>
          <w:p w14:paraId="5F6BFC8A"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4 (1.6)</w:t>
            </w:r>
          </w:p>
        </w:tc>
        <w:tc>
          <w:tcPr>
            <w:tcW w:w="491" w:type="pct"/>
            <w:shd w:val="clear" w:color="auto" w:fill="auto"/>
            <w:vAlign w:val="center"/>
          </w:tcPr>
          <w:p w14:paraId="4CC4291A"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 (0.4)</w:t>
            </w:r>
          </w:p>
        </w:tc>
        <w:tc>
          <w:tcPr>
            <w:tcW w:w="944" w:type="pct"/>
            <w:vAlign w:val="center"/>
          </w:tcPr>
          <w:p w14:paraId="1C69A4A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0.34 (0.00, 3.91)</w:t>
            </w:r>
          </w:p>
        </w:tc>
        <w:tc>
          <w:tcPr>
            <w:tcW w:w="1072" w:type="pct"/>
            <w:vAlign w:val="center"/>
          </w:tcPr>
          <w:p w14:paraId="1BDEB58C"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-0.004 (-0.023, 0.012)</w:t>
            </w:r>
          </w:p>
        </w:tc>
      </w:tr>
      <w:tr w:rsidR="00F818F2" w:rsidRPr="000A33D2" w14:paraId="4FE28C2D" w14:textId="77777777" w:rsidTr="00DB2B5C">
        <w:tc>
          <w:tcPr>
            <w:tcW w:w="1019" w:type="pct"/>
            <w:shd w:val="clear" w:color="auto" w:fill="auto"/>
            <w:vAlign w:val="center"/>
          </w:tcPr>
          <w:p w14:paraId="513F0A0A"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Drug Hypersensitivity</w:t>
            </w:r>
          </w:p>
        </w:tc>
        <w:tc>
          <w:tcPr>
            <w:tcW w:w="491" w:type="pct"/>
            <w:shd w:val="clear" w:color="auto" w:fill="auto"/>
            <w:vAlign w:val="center"/>
          </w:tcPr>
          <w:p w14:paraId="7A71022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7 (2.9)</w:t>
            </w:r>
          </w:p>
        </w:tc>
        <w:tc>
          <w:tcPr>
            <w:tcW w:w="491" w:type="pct"/>
            <w:shd w:val="clear" w:color="auto" w:fill="auto"/>
            <w:vAlign w:val="center"/>
          </w:tcPr>
          <w:p w14:paraId="5C6BF71E"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w:t>
            </w:r>
          </w:p>
        </w:tc>
        <w:tc>
          <w:tcPr>
            <w:tcW w:w="491" w:type="pct"/>
            <w:shd w:val="clear" w:color="auto" w:fill="auto"/>
            <w:vAlign w:val="center"/>
          </w:tcPr>
          <w:p w14:paraId="34F4243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11 (4.5)</w:t>
            </w:r>
          </w:p>
        </w:tc>
        <w:tc>
          <w:tcPr>
            <w:tcW w:w="491" w:type="pct"/>
            <w:shd w:val="clear" w:color="auto" w:fill="auto"/>
            <w:vAlign w:val="center"/>
          </w:tcPr>
          <w:p w14:paraId="151E6EE2"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 (0.4)</w:t>
            </w:r>
          </w:p>
        </w:tc>
        <w:tc>
          <w:tcPr>
            <w:tcW w:w="944" w:type="pct"/>
            <w:vAlign w:val="center"/>
          </w:tcPr>
          <w:p w14:paraId="4B909537"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0.34 (0.00, 3.91)</w:t>
            </w:r>
          </w:p>
        </w:tc>
        <w:tc>
          <w:tcPr>
            <w:tcW w:w="1072" w:type="pct"/>
            <w:vAlign w:val="center"/>
          </w:tcPr>
          <w:p w14:paraId="04B932E7"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-0.004 (-0.023, 0.012)</w:t>
            </w:r>
          </w:p>
        </w:tc>
      </w:tr>
      <w:tr w:rsidR="00F818F2" w:rsidRPr="000A33D2" w14:paraId="35FDC0A9" w14:textId="77777777" w:rsidTr="00DB2B5C">
        <w:tc>
          <w:tcPr>
            <w:tcW w:w="1019" w:type="pct"/>
            <w:shd w:val="clear" w:color="auto" w:fill="auto"/>
            <w:vAlign w:val="center"/>
          </w:tcPr>
          <w:p w14:paraId="41288665"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Rash</w:t>
            </w:r>
          </w:p>
        </w:tc>
        <w:tc>
          <w:tcPr>
            <w:tcW w:w="491" w:type="pct"/>
            <w:shd w:val="clear" w:color="auto" w:fill="auto"/>
            <w:vAlign w:val="center"/>
          </w:tcPr>
          <w:p w14:paraId="4AB8A7A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21 (8.7)</w:t>
            </w:r>
          </w:p>
        </w:tc>
        <w:tc>
          <w:tcPr>
            <w:tcW w:w="491" w:type="pct"/>
            <w:shd w:val="clear" w:color="auto" w:fill="auto"/>
            <w:vAlign w:val="center"/>
          </w:tcPr>
          <w:p w14:paraId="2905B9F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16 (6.6)</w:t>
            </w:r>
          </w:p>
        </w:tc>
        <w:tc>
          <w:tcPr>
            <w:tcW w:w="491" w:type="pct"/>
            <w:shd w:val="clear" w:color="auto" w:fill="auto"/>
            <w:vAlign w:val="center"/>
          </w:tcPr>
          <w:p w14:paraId="5BBD21C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6 (2.4)</w:t>
            </w:r>
          </w:p>
        </w:tc>
        <w:tc>
          <w:tcPr>
            <w:tcW w:w="491" w:type="pct"/>
            <w:shd w:val="clear" w:color="auto" w:fill="auto"/>
            <w:vAlign w:val="center"/>
          </w:tcPr>
          <w:p w14:paraId="01C6E88E"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5 (2.0)</w:t>
            </w:r>
          </w:p>
        </w:tc>
        <w:tc>
          <w:tcPr>
            <w:tcW w:w="944" w:type="pct"/>
            <w:vAlign w:val="center"/>
          </w:tcPr>
          <w:p w14:paraId="46D447B5"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3.27 (1.27, 8.49)</w:t>
            </w:r>
          </w:p>
        </w:tc>
        <w:tc>
          <w:tcPr>
            <w:tcW w:w="1072" w:type="pct"/>
            <w:vAlign w:val="center"/>
          </w:tcPr>
          <w:p w14:paraId="58CFC678"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b/>
                <w:bCs/>
                <w:sz w:val="20"/>
                <w:szCs w:val="20"/>
              </w:rPr>
              <w:t>0.046 (0.011, 0.087)</w:t>
            </w:r>
          </w:p>
        </w:tc>
      </w:tr>
      <w:tr w:rsidR="00F818F2" w:rsidRPr="000A33D2" w14:paraId="634ABF1E" w14:textId="77777777" w:rsidTr="00DB2B5C">
        <w:tc>
          <w:tcPr>
            <w:tcW w:w="1019" w:type="pct"/>
            <w:shd w:val="clear" w:color="auto" w:fill="auto"/>
            <w:vAlign w:val="center"/>
          </w:tcPr>
          <w:p w14:paraId="62D4EFC8"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Rash maculo-papular</w:t>
            </w:r>
          </w:p>
        </w:tc>
        <w:tc>
          <w:tcPr>
            <w:tcW w:w="491" w:type="pct"/>
            <w:shd w:val="clear" w:color="auto" w:fill="auto"/>
            <w:vAlign w:val="center"/>
          </w:tcPr>
          <w:p w14:paraId="1DFFA41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16 (6.6)</w:t>
            </w:r>
          </w:p>
        </w:tc>
        <w:tc>
          <w:tcPr>
            <w:tcW w:w="491" w:type="pct"/>
            <w:shd w:val="clear" w:color="auto" w:fill="auto"/>
            <w:vAlign w:val="center"/>
          </w:tcPr>
          <w:p w14:paraId="73462D4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11 (4.6)</w:t>
            </w:r>
          </w:p>
        </w:tc>
        <w:tc>
          <w:tcPr>
            <w:tcW w:w="491" w:type="pct"/>
            <w:shd w:val="clear" w:color="auto" w:fill="auto"/>
            <w:vAlign w:val="center"/>
          </w:tcPr>
          <w:p w14:paraId="664364AA"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w:t>
            </w:r>
          </w:p>
        </w:tc>
        <w:tc>
          <w:tcPr>
            <w:tcW w:w="491" w:type="pct"/>
            <w:shd w:val="clear" w:color="auto" w:fill="auto"/>
            <w:vAlign w:val="center"/>
          </w:tcPr>
          <w:p w14:paraId="4279BB61"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w:t>
            </w:r>
          </w:p>
        </w:tc>
        <w:tc>
          <w:tcPr>
            <w:tcW w:w="944" w:type="pct"/>
            <w:vAlign w:val="center"/>
          </w:tcPr>
          <w:p w14:paraId="5316481C"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23.48 (2.95, ∞)</w:t>
            </w:r>
          </w:p>
        </w:tc>
        <w:tc>
          <w:tcPr>
            <w:tcW w:w="1072" w:type="pct"/>
            <w:vAlign w:val="center"/>
          </w:tcPr>
          <w:p w14:paraId="18D94C24"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b/>
                <w:bCs/>
                <w:sz w:val="20"/>
                <w:szCs w:val="20"/>
              </w:rPr>
              <w:t>0.046 (0.026, 0.080)</w:t>
            </w:r>
          </w:p>
        </w:tc>
      </w:tr>
      <w:tr w:rsidR="00F818F2" w:rsidRPr="000A33D2" w14:paraId="4AE6B339" w14:textId="77777777" w:rsidTr="00DB2B5C">
        <w:tc>
          <w:tcPr>
            <w:tcW w:w="1019" w:type="pct"/>
            <w:shd w:val="clear" w:color="auto" w:fill="auto"/>
            <w:vAlign w:val="center"/>
          </w:tcPr>
          <w:p w14:paraId="4592CB06"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Pruritus</w:t>
            </w:r>
          </w:p>
        </w:tc>
        <w:tc>
          <w:tcPr>
            <w:tcW w:w="491" w:type="pct"/>
            <w:shd w:val="clear" w:color="auto" w:fill="auto"/>
            <w:vAlign w:val="center"/>
          </w:tcPr>
          <w:p w14:paraId="2B8378F3"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15 (6.2)</w:t>
            </w:r>
          </w:p>
        </w:tc>
        <w:tc>
          <w:tcPr>
            <w:tcW w:w="491" w:type="pct"/>
            <w:shd w:val="clear" w:color="auto" w:fill="auto"/>
            <w:vAlign w:val="center"/>
          </w:tcPr>
          <w:p w14:paraId="6DC3DEF6"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8 (3.3)</w:t>
            </w:r>
          </w:p>
        </w:tc>
        <w:tc>
          <w:tcPr>
            <w:tcW w:w="491" w:type="pct"/>
            <w:shd w:val="clear" w:color="auto" w:fill="auto"/>
            <w:vAlign w:val="center"/>
          </w:tcPr>
          <w:p w14:paraId="0E4D77A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4 (1.6)</w:t>
            </w:r>
          </w:p>
        </w:tc>
        <w:tc>
          <w:tcPr>
            <w:tcW w:w="491" w:type="pct"/>
            <w:shd w:val="clear" w:color="auto" w:fill="auto"/>
            <w:vAlign w:val="center"/>
          </w:tcPr>
          <w:p w14:paraId="4CF43E46"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3 (1.2)</w:t>
            </w:r>
          </w:p>
        </w:tc>
        <w:tc>
          <w:tcPr>
            <w:tcW w:w="944" w:type="pct"/>
            <w:vAlign w:val="center"/>
          </w:tcPr>
          <w:p w14:paraId="5105DFE4"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2.72 (0.79, 9.38)</w:t>
            </w:r>
          </w:p>
        </w:tc>
        <w:tc>
          <w:tcPr>
            <w:tcW w:w="1072" w:type="pct"/>
            <w:vAlign w:val="center"/>
          </w:tcPr>
          <w:p w14:paraId="696B0D36"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0.021 (-0.006, 0.053)</w:t>
            </w:r>
          </w:p>
        </w:tc>
      </w:tr>
      <w:tr w:rsidR="00F818F2" w:rsidRPr="000A33D2" w14:paraId="3910B66E" w14:textId="77777777" w:rsidTr="00DB2B5C">
        <w:tc>
          <w:tcPr>
            <w:tcW w:w="1019" w:type="pct"/>
            <w:shd w:val="clear" w:color="auto" w:fill="auto"/>
            <w:vAlign w:val="center"/>
          </w:tcPr>
          <w:p w14:paraId="0F766D0C"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ALT increased</w:t>
            </w:r>
          </w:p>
        </w:tc>
        <w:tc>
          <w:tcPr>
            <w:tcW w:w="491" w:type="pct"/>
            <w:shd w:val="clear" w:color="auto" w:fill="auto"/>
            <w:vAlign w:val="center"/>
          </w:tcPr>
          <w:p w14:paraId="4D4228F2"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15 (6.2)</w:t>
            </w:r>
          </w:p>
        </w:tc>
        <w:tc>
          <w:tcPr>
            <w:tcW w:w="491" w:type="pct"/>
            <w:shd w:val="clear" w:color="auto" w:fill="auto"/>
            <w:vAlign w:val="center"/>
          </w:tcPr>
          <w:p w14:paraId="7E299F9B"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14 (5.8)</w:t>
            </w:r>
          </w:p>
        </w:tc>
        <w:tc>
          <w:tcPr>
            <w:tcW w:w="491" w:type="pct"/>
            <w:shd w:val="clear" w:color="auto" w:fill="auto"/>
            <w:vAlign w:val="center"/>
          </w:tcPr>
          <w:p w14:paraId="1DDCF964"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2 (0.8)</w:t>
            </w:r>
          </w:p>
        </w:tc>
        <w:tc>
          <w:tcPr>
            <w:tcW w:w="491" w:type="pct"/>
            <w:shd w:val="clear" w:color="auto" w:fill="auto"/>
            <w:vAlign w:val="center"/>
          </w:tcPr>
          <w:p w14:paraId="41584360"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2 (0.8)</w:t>
            </w:r>
          </w:p>
        </w:tc>
        <w:tc>
          <w:tcPr>
            <w:tcW w:w="944" w:type="pct"/>
            <w:vAlign w:val="center"/>
          </w:tcPr>
          <w:p w14:paraId="721D8FBD"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7.15 (1.84, 28.00)</w:t>
            </w:r>
          </w:p>
        </w:tc>
        <w:tc>
          <w:tcPr>
            <w:tcW w:w="1072" w:type="pct"/>
            <w:vAlign w:val="center"/>
          </w:tcPr>
          <w:p w14:paraId="73204C01"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0.050 (0.021, 0.088)</w:t>
            </w:r>
          </w:p>
        </w:tc>
      </w:tr>
      <w:tr w:rsidR="00F818F2" w:rsidRPr="000A33D2" w14:paraId="77B5252E" w14:textId="77777777" w:rsidTr="00DB2B5C">
        <w:tc>
          <w:tcPr>
            <w:tcW w:w="1019" w:type="pct"/>
            <w:shd w:val="clear" w:color="auto" w:fill="auto"/>
            <w:vAlign w:val="center"/>
          </w:tcPr>
          <w:p w14:paraId="51335B5F"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AST increased</w:t>
            </w:r>
          </w:p>
        </w:tc>
        <w:tc>
          <w:tcPr>
            <w:tcW w:w="491" w:type="pct"/>
            <w:shd w:val="clear" w:color="auto" w:fill="auto"/>
            <w:vAlign w:val="center"/>
          </w:tcPr>
          <w:p w14:paraId="3A453B4E"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12 (5.0)</w:t>
            </w:r>
          </w:p>
        </w:tc>
        <w:tc>
          <w:tcPr>
            <w:tcW w:w="491" w:type="pct"/>
            <w:shd w:val="clear" w:color="auto" w:fill="auto"/>
            <w:vAlign w:val="center"/>
          </w:tcPr>
          <w:p w14:paraId="0D00F97A"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10 (4.1)</w:t>
            </w:r>
          </w:p>
        </w:tc>
        <w:tc>
          <w:tcPr>
            <w:tcW w:w="491" w:type="pct"/>
            <w:shd w:val="clear" w:color="auto" w:fill="auto"/>
            <w:vAlign w:val="center"/>
          </w:tcPr>
          <w:p w14:paraId="796F8480"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 (0.4)</w:t>
            </w:r>
          </w:p>
        </w:tc>
        <w:tc>
          <w:tcPr>
            <w:tcW w:w="491" w:type="pct"/>
            <w:shd w:val="clear" w:color="auto" w:fill="auto"/>
            <w:vAlign w:val="center"/>
          </w:tcPr>
          <w:p w14:paraId="463B11C5"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 (0.4)</w:t>
            </w:r>
          </w:p>
        </w:tc>
        <w:tc>
          <w:tcPr>
            <w:tcW w:w="944" w:type="pct"/>
            <w:vAlign w:val="center"/>
          </w:tcPr>
          <w:p w14:paraId="6325825D"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10.21 (1.71, 61.65)</w:t>
            </w:r>
          </w:p>
        </w:tc>
        <w:tc>
          <w:tcPr>
            <w:tcW w:w="1072" w:type="pct"/>
            <w:vAlign w:val="center"/>
          </w:tcPr>
          <w:p w14:paraId="310714C9"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b/>
                <w:bCs/>
                <w:sz w:val="20"/>
                <w:szCs w:val="20"/>
              </w:rPr>
              <w:t>0.037 (0.014, 0.071)</w:t>
            </w:r>
          </w:p>
        </w:tc>
      </w:tr>
      <w:tr w:rsidR="00F818F2" w:rsidRPr="000A33D2" w14:paraId="1ABFC5E3" w14:textId="77777777" w:rsidTr="00DB2B5C">
        <w:tc>
          <w:tcPr>
            <w:tcW w:w="1019" w:type="pct"/>
            <w:shd w:val="clear" w:color="auto" w:fill="auto"/>
            <w:vAlign w:val="center"/>
          </w:tcPr>
          <w:p w14:paraId="7B603E75" w14:textId="77777777" w:rsidR="00F818F2" w:rsidRPr="000A33D2" w:rsidRDefault="00F818F2" w:rsidP="00DB2B5C">
            <w:pPr>
              <w:keepNext/>
              <w:keepLines/>
              <w:rPr>
                <w:rFonts w:ascii="Arial Narrow" w:hAnsi="Arial Narrow"/>
                <w:sz w:val="20"/>
                <w:szCs w:val="20"/>
              </w:rPr>
            </w:pPr>
            <w:r w:rsidRPr="000A33D2">
              <w:rPr>
                <w:rFonts w:ascii="Arial Narrow" w:hAnsi="Arial Narrow"/>
                <w:sz w:val="20"/>
                <w:szCs w:val="20"/>
              </w:rPr>
              <w:t>Hyperthyroidism</w:t>
            </w:r>
          </w:p>
        </w:tc>
        <w:tc>
          <w:tcPr>
            <w:tcW w:w="491" w:type="pct"/>
            <w:shd w:val="clear" w:color="auto" w:fill="auto"/>
            <w:vAlign w:val="center"/>
          </w:tcPr>
          <w:p w14:paraId="36490C4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8 (3.3)</w:t>
            </w:r>
          </w:p>
        </w:tc>
        <w:tc>
          <w:tcPr>
            <w:tcW w:w="491" w:type="pct"/>
            <w:shd w:val="clear" w:color="auto" w:fill="auto"/>
            <w:vAlign w:val="center"/>
          </w:tcPr>
          <w:p w14:paraId="2B6A0BA4"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8 (3.3)</w:t>
            </w:r>
          </w:p>
        </w:tc>
        <w:tc>
          <w:tcPr>
            <w:tcW w:w="491" w:type="pct"/>
            <w:shd w:val="clear" w:color="auto" w:fill="auto"/>
            <w:vAlign w:val="center"/>
          </w:tcPr>
          <w:p w14:paraId="1E4D5D5C"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 (0.4)</w:t>
            </w:r>
          </w:p>
        </w:tc>
        <w:tc>
          <w:tcPr>
            <w:tcW w:w="491" w:type="pct"/>
            <w:shd w:val="clear" w:color="auto" w:fill="auto"/>
            <w:vAlign w:val="center"/>
          </w:tcPr>
          <w:p w14:paraId="1903508A"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sz w:val="20"/>
                <w:szCs w:val="20"/>
              </w:rPr>
              <w:t>1 (0.4)</w:t>
            </w:r>
          </w:p>
        </w:tc>
        <w:tc>
          <w:tcPr>
            <w:tcW w:w="944" w:type="pct"/>
            <w:vAlign w:val="center"/>
          </w:tcPr>
          <w:p w14:paraId="2F3587DD" w14:textId="77777777" w:rsidR="00F818F2" w:rsidRPr="000A33D2" w:rsidRDefault="00F818F2" w:rsidP="00DB2B5C">
            <w:pPr>
              <w:keepNext/>
              <w:keepLines/>
              <w:jc w:val="center"/>
              <w:rPr>
                <w:rFonts w:ascii="Arial Narrow" w:hAnsi="Arial Narrow"/>
                <w:b/>
                <w:bCs/>
                <w:sz w:val="20"/>
                <w:szCs w:val="20"/>
              </w:rPr>
            </w:pPr>
            <w:r w:rsidRPr="000A33D2">
              <w:rPr>
                <w:rFonts w:ascii="Arial Narrow" w:hAnsi="Arial Narrow"/>
                <w:b/>
                <w:bCs/>
                <w:sz w:val="20"/>
                <w:szCs w:val="20"/>
              </w:rPr>
              <w:t>8.17 (1.34, 50.13)</w:t>
            </w:r>
          </w:p>
        </w:tc>
        <w:tc>
          <w:tcPr>
            <w:tcW w:w="1072" w:type="pct"/>
            <w:vAlign w:val="center"/>
          </w:tcPr>
          <w:p w14:paraId="33A9F8EF" w14:textId="77777777" w:rsidR="00F818F2" w:rsidRPr="000A33D2" w:rsidRDefault="00F818F2" w:rsidP="00DB2B5C">
            <w:pPr>
              <w:keepNext/>
              <w:keepLines/>
              <w:jc w:val="center"/>
              <w:rPr>
                <w:rFonts w:ascii="Arial Narrow" w:hAnsi="Arial Narrow"/>
                <w:sz w:val="20"/>
                <w:szCs w:val="20"/>
              </w:rPr>
            </w:pPr>
            <w:r w:rsidRPr="000A33D2">
              <w:rPr>
                <w:rFonts w:ascii="Arial Narrow" w:hAnsi="Arial Narrow"/>
                <w:b/>
                <w:bCs/>
                <w:sz w:val="20"/>
                <w:szCs w:val="20"/>
              </w:rPr>
              <w:t>0.029 (0.007, 0.061)</w:t>
            </w:r>
          </w:p>
        </w:tc>
      </w:tr>
    </w:tbl>
    <w:p w14:paraId="4A175FDE" w14:textId="77777777" w:rsidR="00F818F2" w:rsidRPr="000A33D2" w:rsidRDefault="00F818F2" w:rsidP="00F818F2">
      <w:pPr>
        <w:pStyle w:val="TableFooter"/>
        <w:keepNext/>
        <w:keepLines/>
      </w:pPr>
      <w:r w:rsidRPr="000A33D2">
        <w:t xml:space="preserve">Source: Table 43, p85 of the submission. The relative risk and risk difference were analysed during the evaluation. This was performed via </w:t>
      </w:r>
      <w:proofErr w:type="spellStart"/>
      <w:r w:rsidRPr="000A33D2">
        <w:t>StatsDirect</w:t>
      </w:r>
      <w:proofErr w:type="spellEnd"/>
      <w:r w:rsidRPr="000A33D2">
        <w:t xml:space="preserve"> (version3.3.3), using the random effects model.</w:t>
      </w:r>
    </w:p>
    <w:p w14:paraId="7DC5AFA5" w14:textId="77777777" w:rsidR="00F818F2" w:rsidRPr="000A33D2" w:rsidRDefault="00F818F2" w:rsidP="00F818F2">
      <w:pPr>
        <w:pStyle w:val="TableFooter"/>
        <w:keepNext/>
        <w:keepLines/>
      </w:pPr>
      <w:r w:rsidRPr="000A33D2">
        <w:t xml:space="preserve">Bold indicates values where the 95% CI did not include ‘1’ for relative risk, or ‘0’ for risk difference </w:t>
      </w:r>
    </w:p>
    <w:p w14:paraId="4A4BD5C6" w14:textId="75C68637" w:rsidR="00F818F2" w:rsidRDefault="00F818F2" w:rsidP="00A655B1">
      <w:pPr>
        <w:pStyle w:val="ListBullet"/>
        <w:keepLines/>
        <w:contextualSpacing w:val="0"/>
        <w:rPr>
          <w:rFonts w:ascii="Arial Narrow" w:eastAsia="Calibri" w:hAnsi="Arial Narrow"/>
          <w:snapToGrid w:val="0"/>
          <w:sz w:val="18"/>
          <w:szCs w:val="22"/>
        </w:rPr>
      </w:pPr>
      <w:r w:rsidRPr="000A33D2">
        <w:rPr>
          <w:rFonts w:ascii="Arial Narrow" w:eastAsia="Calibri" w:hAnsi="Arial Narrow"/>
          <w:snapToGrid w:val="0"/>
          <w:sz w:val="18"/>
          <w:szCs w:val="22"/>
        </w:rPr>
        <w:t>ALT=alanine aminotransferase; AST aspartate aminotransferase; CP=carboplatin-paclitaxel; DOS=dostarlimab; PBO=placebo TEAE=treatment-emergent adverse event</w:t>
      </w:r>
    </w:p>
    <w:p w14:paraId="183E4E87" w14:textId="46109028" w:rsidR="00A655B1" w:rsidRPr="00A655B1" w:rsidRDefault="00A655B1" w:rsidP="00071940">
      <w:pPr>
        <w:pStyle w:val="ListBullet"/>
        <w:keepLines/>
        <w:spacing w:after="120"/>
        <w:contextualSpacing w:val="0"/>
        <w:rPr>
          <w:rFonts w:ascii="Arial Narrow" w:eastAsia="Calibri" w:hAnsi="Arial Narrow"/>
          <w:i/>
          <w:iCs/>
          <w:snapToGrid w:val="0"/>
          <w:sz w:val="18"/>
          <w:szCs w:val="22"/>
        </w:rPr>
      </w:pPr>
      <w:r w:rsidRPr="00A655B1">
        <w:rPr>
          <w:rFonts w:ascii="Arial Narrow" w:eastAsia="Calibri" w:hAnsi="Arial Narrow"/>
          <w:i/>
          <w:iCs/>
          <w:snapToGrid w:val="0"/>
          <w:sz w:val="18"/>
          <w:szCs w:val="22"/>
        </w:rPr>
        <w:t>*Note that the results for relative risk (RR) and risk difference (RD) presented in Table 11 are derived from ad-hoc /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p>
    <w:p w14:paraId="7C367039" w14:textId="4D5989A3" w:rsidR="00393CEC" w:rsidRPr="000A33D2" w:rsidRDefault="009F787B" w:rsidP="00C85C84">
      <w:pPr>
        <w:pStyle w:val="3-BodyText"/>
      </w:pPr>
      <w:r w:rsidRPr="000A33D2">
        <w:t>The most recent Periodic Benefit Risk Evaluation Report (PBRER) for DOS, from 21</w:t>
      </w:r>
      <w:r w:rsidR="00071940">
        <w:t> </w:t>
      </w:r>
      <w:r w:rsidRPr="000A33D2">
        <w:t>October</w:t>
      </w:r>
      <w:r w:rsidR="00071940">
        <w:t> </w:t>
      </w:r>
      <w:r w:rsidRPr="000A33D2">
        <w:t>2022 to 20 April 2023, found that, at present, no significant efficacy or safety issues were highlighted from long-term follow-up of patients in clinical trials assessing DOS.</w:t>
      </w:r>
    </w:p>
    <w:p w14:paraId="04908C7F" w14:textId="415B9B7D" w:rsidR="007F1017" w:rsidRPr="000A33D2" w:rsidRDefault="007F1017" w:rsidP="00D86231">
      <w:pPr>
        <w:pStyle w:val="4-SubsectionHeading"/>
      </w:pPr>
      <w:bookmarkStart w:id="52" w:name="_Toc22897643"/>
      <w:bookmarkStart w:id="53" w:name="_Toc145426899"/>
      <w:r w:rsidRPr="000A33D2">
        <w:t>Benefits/harms</w:t>
      </w:r>
      <w:bookmarkEnd w:id="52"/>
      <w:bookmarkEnd w:id="53"/>
    </w:p>
    <w:p w14:paraId="661DF5E9" w14:textId="38A7E9F1" w:rsidR="003F7B60" w:rsidRPr="000A33D2" w:rsidRDefault="00EC00C9" w:rsidP="008A4D03">
      <w:pPr>
        <w:pStyle w:val="3-BodyText"/>
        <w:rPr>
          <w:rStyle w:val="CommentReference"/>
          <w:rFonts w:asciiTheme="minorHAnsi" w:hAnsiTheme="minorHAnsi"/>
          <w:b w:val="0"/>
          <w:sz w:val="24"/>
          <w:szCs w:val="24"/>
        </w:rPr>
      </w:pPr>
      <w:r w:rsidRPr="000A33D2">
        <w:t xml:space="preserve">A summary of the comparative benefits and harms for </w:t>
      </w:r>
      <w:r w:rsidR="008A4D03" w:rsidRPr="000A33D2">
        <w:t>DOS+CP</w:t>
      </w:r>
      <w:r w:rsidRPr="000A33D2">
        <w:t xml:space="preserve"> versus </w:t>
      </w:r>
      <w:r w:rsidR="00E97615" w:rsidRPr="000A33D2">
        <w:t>PBO+</w:t>
      </w:r>
      <w:r w:rsidR="008A4D03" w:rsidRPr="000A33D2">
        <w:t>CP</w:t>
      </w:r>
      <w:r w:rsidRPr="000A33D2">
        <w:t xml:space="preserve"> is presented in</w:t>
      </w:r>
      <w:r w:rsidR="00E16AD8" w:rsidRPr="000A33D2">
        <w:t xml:space="preserve"> </w:t>
      </w:r>
      <w:r w:rsidR="00E16AD8" w:rsidRPr="000A33D2">
        <w:fldChar w:fldCharType="begin" w:fldLock="1"/>
      </w:r>
      <w:r w:rsidR="00E16AD8" w:rsidRPr="000A33D2">
        <w:instrText xml:space="preserve"> REF _Ref104805037 \h </w:instrText>
      </w:r>
      <w:r w:rsidR="00E16AD8" w:rsidRPr="000A33D2">
        <w:fldChar w:fldCharType="separate"/>
      </w:r>
      <w:r w:rsidR="00B62E71" w:rsidRPr="000A33D2">
        <w:t xml:space="preserve">Table </w:t>
      </w:r>
      <w:r w:rsidR="00B62E71">
        <w:rPr>
          <w:noProof/>
        </w:rPr>
        <w:t>12</w:t>
      </w:r>
      <w:r w:rsidR="00E16AD8" w:rsidRPr="000A33D2">
        <w:fldChar w:fldCharType="end"/>
      </w:r>
      <w:r w:rsidRPr="000A33D2">
        <w:t>.</w:t>
      </w:r>
    </w:p>
    <w:p w14:paraId="04AC1B54" w14:textId="2744FD2D" w:rsidR="00B62715" w:rsidRPr="000A33D2" w:rsidRDefault="00D6076E" w:rsidP="00CF5201">
      <w:pPr>
        <w:pStyle w:val="Caption"/>
        <w:rPr>
          <w:rStyle w:val="CommentReference"/>
          <w:b/>
          <w:szCs w:val="24"/>
        </w:rPr>
      </w:pPr>
      <w:bookmarkStart w:id="54" w:name="_Ref104805037"/>
      <w:r w:rsidRPr="000A33D2">
        <w:lastRenderedPageBreak/>
        <w:t xml:space="preserve">Table </w:t>
      </w:r>
      <w:r>
        <w:fldChar w:fldCharType="begin" w:fldLock="1"/>
      </w:r>
      <w:r>
        <w:instrText>SEQ Table \* ARABIC</w:instrText>
      </w:r>
      <w:r>
        <w:fldChar w:fldCharType="separate"/>
      </w:r>
      <w:r w:rsidR="00B62E71">
        <w:rPr>
          <w:noProof/>
        </w:rPr>
        <w:t>12</w:t>
      </w:r>
      <w:r>
        <w:fldChar w:fldCharType="end"/>
      </w:r>
      <w:bookmarkEnd w:id="54"/>
      <w:r w:rsidRPr="000A33D2">
        <w:t xml:space="preserve">: </w:t>
      </w:r>
      <w:r w:rsidR="00B62715" w:rsidRPr="000A33D2">
        <w:rPr>
          <w:rStyle w:val="CommentReference"/>
          <w:b/>
          <w:szCs w:val="24"/>
        </w:rPr>
        <w:t xml:space="preserve">Summary of comparative benefits </w:t>
      </w:r>
      <w:r w:rsidR="00F56CC0" w:rsidRPr="000A33D2">
        <w:rPr>
          <w:rStyle w:val="CommentReference"/>
          <w:b/>
          <w:szCs w:val="24"/>
        </w:rPr>
        <w:t>for DOS+CP and PBO+CP</w:t>
      </w:r>
    </w:p>
    <w:tbl>
      <w:tblPr>
        <w:tblStyle w:val="TableGrid"/>
        <w:tblW w:w="5002" w:type="pct"/>
        <w:tblCellMar>
          <w:left w:w="28" w:type="dxa"/>
          <w:right w:w="28" w:type="dxa"/>
        </w:tblCellMar>
        <w:tblLook w:val="04A0" w:firstRow="1" w:lastRow="0" w:firstColumn="1" w:lastColumn="0" w:noHBand="0" w:noVBand="1"/>
      </w:tblPr>
      <w:tblGrid>
        <w:gridCol w:w="1015"/>
        <w:gridCol w:w="1016"/>
        <w:gridCol w:w="2398"/>
        <w:gridCol w:w="1274"/>
        <w:gridCol w:w="1274"/>
        <w:gridCol w:w="2044"/>
      </w:tblGrid>
      <w:tr w:rsidR="003F7B60" w:rsidRPr="000A33D2" w14:paraId="3E022290" w14:textId="77777777" w:rsidTr="000B30C0">
        <w:trPr>
          <w:trHeight w:val="20"/>
        </w:trPr>
        <w:tc>
          <w:tcPr>
            <w:tcW w:w="5000" w:type="pct"/>
            <w:gridSpan w:val="6"/>
            <w:shd w:val="clear" w:color="auto" w:fill="auto"/>
          </w:tcPr>
          <w:p w14:paraId="61E58A93" w14:textId="77777777" w:rsidR="003F7B60" w:rsidRPr="000A33D2" w:rsidRDefault="003F7B60" w:rsidP="00CF5201">
            <w:pPr>
              <w:pStyle w:val="TableText0"/>
              <w:keepLines/>
              <w:widowControl w:val="0"/>
              <w:rPr>
                <w:b/>
              </w:rPr>
            </w:pPr>
            <w:r w:rsidRPr="000A33D2">
              <w:rPr>
                <w:b/>
              </w:rPr>
              <w:t>Benefits</w:t>
            </w:r>
          </w:p>
        </w:tc>
      </w:tr>
      <w:tr w:rsidR="003F7B60" w:rsidRPr="000A33D2" w14:paraId="3208C4DA" w14:textId="77777777" w:rsidTr="000B30C0">
        <w:trPr>
          <w:trHeight w:val="20"/>
        </w:trPr>
        <w:tc>
          <w:tcPr>
            <w:tcW w:w="5000" w:type="pct"/>
            <w:gridSpan w:val="6"/>
            <w:shd w:val="clear" w:color="auto" w:fill="auto"/>
          </w:tcPr>
          <w:p w14:paraId="72F4BD22" w14:textId="1307ED27" w:rsidR="003F7B60" w:rsidRPr="000A33D2" w:rsidRDefault="00B75B63" w:rsidP="00CF5201">
            <w:pPr>
              <w:pStyle w:val="TableText0"/>
              <w:keepLines/>
              <w:widowControl w:val="0"/>
              <w:rPr>
                <w:b/>
              </w:rPr>
            </w:pPr>
            <w:r w:rsidRPr="000A33D2">
              <w:rPr>
                <w:b/>
              </w:rPr>
              <w:t>S</w:t>
            </w:r>
            <w:r w:rsidR="00706C7B" w:rsidRPr="000A33D2">
              <w:rPr>
                <w:b/>
              </w:rPr>
              <w:t xml:space="preserve">urvival </w:t>
            </w:r>
            <w:r w:rsidR="003F7B60" w:rsidRPr="000A33D2">
              <w:rPr>
                <w:b/>
              </w:rPr>
              <w:t xml:space="preserve">(median duration of follow up </w:t>
            </w:r>
            <w:r w:rsidR="005C47FE" w:rsidRPr="000A33D2">
              <w:rPr>
                <w:b/>
              </w:rPr>
              <w:t>25.5</w:t>
            </w:r>
            <w:r w:rsidR="003F7B60" w:rsidRPr="000A33D2">
              <w:rPr>
                <w:b/>
              </w:rPr>
              <w:t xml:space="preserve"> months for </w:t>
            </w:r>
            <w:r w:rsidR="005C47FE" w:rsidRPr="000A33D2">
              <w:rPr>
                <w:b/>
              </w:rPr>
              <w:t xml:space="preserve">DOS+CP </w:t>
            </w:r>
            <w:r w:rsidR="003F7B60" w:rsidRPr="000A33D2">
              <w:rPr>
                <w:b/>
              </w:rPr>
              <w:t xml:space="preserve">and </w:t>
            </w:r>
            <w:r w:rsidR="005C47FE" w:rsidRPr="000A33D2">
              <w:rPr>
                <w:b/>
              </w:rPr>
              <w:t>25.3</w:t>
            </w:r>
            <w:r w:rsidR="003F7B60" w:rsidRPr="000A33D2">
              <w:rPr>
                <w:b/>
              </w:rPr>
              <w:t xml:space="preserve"> months for </w:t>
            </w:r>
            <w:r w:rsidR="005C47FE" w:rsidRPr="000A33D2">
              <w:rPr>
                <w:b/>
              </w:rPr>
              <w:t>PBO+CP</w:t>
            </w:r>
            <w:r w:rsidR="003F7B60" w:rsidRPr="000A33D2">
              <w:rPr>
                <w:b/>
              </w:rPr>
              <w:t xml:space="preserve">, at </w:t>
            </w:r>
            <w:r w:rsidR="00706C7B" w:rsidRPr="000A33D2">
              <w:rPr>
                <w:b/>
              </w:rPr>
              <w:t>first interim analysis)</w:t>
            </w:r>
            <w:r w:rsidR="005C47FE" w:rsidRPr="000A33D2">
              <w:rPr>
                <w:b/>
              </w:rPr>
              <w:t xml:space="preserve">; all-comers </w:t>
            </w:r>
          </w:p>
        </w:tc>
      </w:tr>
      <w:tr w:rsidR="0054499A" w:rsidRPr="000A33D2" w14:paraId="3253C4B8" w14:textId="77777777" w:rsidTr="00013847">
        <w:trPr>
          <w:trHeight w:val="20"/>
        </w:trPr>
        <w:tc>
          <w:tcPr>
            <w:tcW w:w="1126" w:type="pct"/>
            <w:gridSpan w:val="2"/>
            <w:tcBorders>
              <w:bottom w:val="single" w:sz="4" w:space="0" w:color="auto"/>
            </w:tcBorders>
            <w:shd w:val="clear" w:color="auto" w:fill="auto"/>
          </w:tcPr>
          <w:p w14:paraId="1574B0A5" w14:textId="77777777" w:rsidR="003F7B60" w:rsidRPr="000A33D2" w:rsidRDefault="003F7B60" w:rsidP="00CF5201">
            <w:pPr>
              <w:pStyle w:val="TableText0"/>
              <w:keepLines/>
              <w:widowControl w:val="0"/>
              <w:rPr>
                <w:b/>
              </w:rPr>
            </w:pPr>
            <w:r w:rsidRPr="000A33D2">
              <w:rPr>
                <w:b/>
              </w:rPr>
              <w:t>Event</w:t>
            </w:r>
          </w:p>
        </w:tc>
        <w:tc>
          <w:tcPr>
            <w:tcW w:w="1309" w:type="pct"/>
            <w:tcBorders>
              <w:bottom w:val="single" w:sz="4" w:space="0" w:color="auto"/>
            </w:tcBorders>
            <w:shd w:val="clear" w:color="auto" w:fill="auto"/>
          </w:tcPr>
          <w:p w14:paraId="38A96E6D" w14:textId="6BFC4C50" w:rsidR="003F7B60" w:rsidRPr="000A33D2" w:rsidRDefault="00DE2C29" w:rsidP="00CF5201">
            <w:pPr>
              <w:pStyle w:val="TableText0"/>
              <w:keepLines/>
              <w:widowControl w:val="0"/>
              <w:jc w:val="center"/>
              <w:rPr>
                <w:b/>
              </w:rPr>
            </w:pPr>
            <w:r w:rsidRPr="000A33D2">
              <w:rPr>
                <w:b/>
              </w:rPr>
              <w:t>DOS+CP</w:t>
            </w:r>
          </w:p>
        </w:tc>
        <w:tc>
          <w:tcPr>
            <w:tcW w:w="1236" w:type="pct"/>
            <w:gridSpan w:val="2"/>
            <w:tcBorders>
              <w:bottom w:val="single" w:sz="4" w:space="0" w:color="auto"/>
            </w:tcBorders>
            <w:shd w:val="clear" w:color="auto" w:fill="auto"/>
          </w:tcPr>
          <w:p w14:paraId="56FE262F" w14:textId="0D443F2F" w:rsidR="003F7B60" w:rsidRPr="000A33D2" w:rsidRDefault="005C47FE" w:rsidP="00CF5201">
            <w:pPr>
              <w:pStyle w:val="TableText0"/>
              <w:keepLines/>
              <w:widowControl w:val="0"/>
              <w:jc w:val="center"/>
              <w:rPr>
                <w:b/>
              </w:rPr>
            </w:pPr>
            <w:r w:rsidRPr="000A33D2">
              <w:rPr>
                <w:b/>
              </w:rPr>
              <w:t>PBO+CP</w:t>
            </w:r>
          </w:p>
        </w:tc>
        <w:tc>
          <w:tcPr>
            <w:tcW w:w="1329" w:type="pct"/>
            <w:tcBorders>
              <w:bottom w:val="single" w:sz="4" w:space="0" w:color="auto"/>
            </w:tcBorders>
            <w:shd w:val="clear" w:color="auto" w:fill="auto"/>
          </w:tcPr>
          <w:p w14:paraId="6F0BCA10" w14:textId="77777777" w:rsidR="003F7B60" w:rsidRPr="000A33D2" w:rsidRDefault="003F7B60" w:rsidP="00CF5201">
            <w:pPr>
              <w:pStyle w:val="TableText0"/>
              <w:keepLines/>
              <w:widowControl w:val="0"/>
              <w:jc w:val="center"/>
              <w:rPr>
                <w:b/>
              </w:rPr>
            </w:pPr>
            <w:r w:rsidRPr="000A33D2">
              <w:rPr>
                <w:b/>
              </w:rPr>
              <w:t>HR (95% CI)</w:t>
            </w:r>
          </w:p>
        </w:tc>
      </w:tr>
      <w:tr w:rsidR="0054499A" w:rsidRPr="000A33D2" w14:paraId="07946832" w14:textId="77777777" w:rsidTr="00013847">
        <w:trPr>
          <w:trHeight w:val="20"/>
        </w:trPr>
        <w:tc>
          <w:tcPr>
            <w:tcW w:w="1126" w:type="pct"/>
            <w:gridSpan w:val="2"/>
            <w:tcBorders>
              <w:bottom w:val="single" w:sz="4" w:space="0" w:color="auto"/>
              <w:right w:val="single" w:sz="4" w:space="0" w:color="auto"/>
            </w:tcBorders>
            <w:shd w:val="clear" w:color="auto" w:fill="auto"/>
          </w:tcPr>
          <w:p w14:paraId="52AE98E4" w14:textId="396F3D96" w:rsidR="003F7B60" w:rsidRPr="000A33D2" w:rsidRDefault="00B75B63" w:rsidP="00CF5201">
            <w:pPr>
              <w:pStyle w:val="TableText0"/>
              <w:keepLines/>
              <w:widowControl w:val="0"/>
            </w:pPr>
            <w:proofErr w:type="spellStart"/>
            <w:r w:rsidRPr="000A33D2">
              <w:t>PFS</w:t>
            </w:r>
            <w:r w:rsidRPr="000A33D2">
              <w:rPr>
                <w:vertAlign w:val="superscript"/>
              </w:rPr>
              <w:t>a</w:t>
            </w:r>
            <w:proofErr w:type="spellEnd"/>
            <w:r w:rsidRPr="000A33D2">
              <w:t xml:space="preserve"> </w:t>
            </w:r>
            <w:r w:rsidR="00F56CC0" w:rsidRPr="000A33D2">
              <w:t>Events</w:t>
            </w:r>
            <w:r w:rsidR="003F7B60" w:rsidRPr="000A33D2">
              <w:t xml:space="preserve">, n/N (%) </w:t>
            </w:r>
          </w:p>
        </w:tc>
        <w:tc>
          <w:tcPr>
            <w:tcW w:w="1309" w:type="pct"/>
            <w:tcBorders>
              <w:left w:val="single" w:sz="4" w:space="0" w:color="auto"/>
              <w:bottom w:val="single" w:sz="4" w:space="0" w:color="auto"/>
              <w:right w:val="single" w:sz="4" w:space="0" w:color="auto"/>
            </w:tcBorders>
            <w:shd w:val="clear" w:color="auto" w:fill="auto"/>
          </w:tcPr>
          <w:p w14:paraId="0F2C38B3" w14:textId="33E554DA" w:rsidR="003F7B60" w:rsidRPr="000A33D2" w:rsidRDefault="00F56CC0" w:rsidP="00CF5201">
            <w:pPr>
              <w:pStyle w:val="TableText0"/>
              <w:keepLines/>
              <w:widowControl w:val="0"/>
              <w:jc w:val="center"/>
            </w:pPr>
            <w:r w:rsidRPr="000A33D2">
              <w:t>135/245 (55.1)</w:t>
            </w:r>
          </w:p>
        </w:tc>
        <w:tc>
          <w:tcPr>
            <w:tcW w:w="1236" w:type="pct"/>
            <w:gridSpan w:val="2"/>
            <w:tcBorders>
              <w:left w:val="single" w:sz="4" w:space="0" w:color="auto"/>
              <w:bottom w:val="single" w:sz="4" w:space="0" w:color="auto"/>
              <w:right w:val="single" w:sz="4" w:space="0" w:color="auto"/>
            </w:tcBorders>
            <w:shd w:val="clear" w:color="auto" w:fill="auto"/>
          </w:tcPr>
          <w:p w14:paraId="2E87E4A6" w14:textId="179630E8" w:rsidR="003F7B60" w:rsidRPr="000A33D2" w:rsidRDefault="00F56CC0" w:rsidP="00CF5201">
            <w:pPr>
              <w:pStyle w:val="TableText0"/>
              <w:keepLines/>
              <w:widowControl w:val="0"/>
              <w:jc w:val="center"/>
            </w:pPr>
            <w:r w:rsidRPr="000A33D2">
              <w:t>177/249 (71.1)</w:t>
            </w:r>
          </w:p>
        </w:tc>
        <w:tc>
          <w:tcPr>
            <w:tcW w:w="1329" w:type="pct"/>
            <w:tcBorders>
              <w:left w:val="single" w:sz="4" w:space="0" w:color="auto"/>
              <w:bottom w:val="single" w:sz="4" w:space="0" w:color="auto"/>
            </w:tcBorders>
            <w:shd w:val="clear" w:color="auto" w:fill="auto"/>
          </w:tcPr>
          <w:p w14:paraId="2E5B81EF" w14:textId="3C5FA28D" w:rsidR="003F7B60" w:rsidRPr="000A33D2" w:rsidRDefault="005C47FE" w:rsidP="00CF5201">
            <w:pPr>
              <w:pStyle w:val="TableText0"/>
              <w:keepLines/>
              <w:widowControl w:val="0"/>
              <w:jc w:val="center"/>
            </w:pPr>
            <w:r w:rsidRPr="000A33D2">
              <w:t>0.64 (0.51, 0.80); p&lt;0.0001</w:t>
            </w:r>
          </w:p>
        </w:tc>
      </w:tr>
      <w:tr w:rsidR="00B75B63" w:rsidRPr="000A33D2" w14:paraId="312BE3C5" w14:textId="77777777" w:rsidTr="00013847">
        <w:trPr>
          <w:trHeight w:val="20"/>
        </w:trPr>
        <w:tc>
          <w:tcPr>
            <w:tcW w:w="1126" w:type="pct"/>
            <w:gridSpan w:val="2"/>
            <w:tcBorders>
              <w:bottom w:val="single" w:sz="4" w:space="0" w:color="auto"/>
              <w:right w:val="single" w:sz="4" w:space="0" w:color="auto"/>
            </w:tcBorders>
            <w:shd w:val="clear" w:color="auto" w:fill="auto"/>
          </w:tcPr>
          <w:p w14:paraId="13D87AF0" w14:textId="7D213C50" w:rsidR="00B75B63" w:rsidRPr="000A33D2" w:rsidRDefault="00B75B63" w:rsidP="00CF5201">
            <w:pPr>
              <w:pStyle w:val="TableText0"/>
              <w:keepLines/>
              <w:widowControl w:val="0"/>
            </w:pPr>
            <w:r w:rsidRPr="000A33D2">
              <w:t>OS Events, n/N (%)</w:t>
            </w:r>
          </w:p>
        </w:tc>
        <w:tc>
          <w:tcPr>
            <w:tcW w:w="1309" w:type="pct"/>
            <w:tcBorders>
              <w:left w:val="single" w:sz="4" w:space="0" w:color="auto"/>
              <w:bottom w:val="single" w:sz="4" w:space="0" w:color="auto"/>
              <w:right w:val="single" w:sz="4" w:space="0" w:color="auto"/>
            </w:tcBorders>
            <w:shd w:val="clear" w:color="auto" w:fill="auto"/>
          </w:tcPr>
          <w:p w14:paraId="72F111B7" w14:textId="5C49D793" w:rsidR="00B75B63" w:rsidRPr="000A33D2" w:rsidRDefault="00094E98" w:rsidP="00CF5201">
            <w:pPr>
              <w:pStyle w:val="TableText0"/>
              <w:keepLines/>
              <w:widowControl w:val="0"/>
              <w:jc w:val="center"/>
            </w:pPr>
            <w:r w:rsidRPr="000A33D2">
              <w:t>65/245 (26.5)</w:t>
            </w:r>
          </w:p>
        </w:tc>
        <w:tc>
          <w:tcPr>
            <w:tcW w:w="1236" w:type="pct"/>
            <w:gridSpan w:val="2"/>
            <w:tcBorders>
              <w:left w:val="single" w:sz="4" w:space="0" w:color="auto"/>
              <w:bottom w:val="single" w:sz="4" w:space="0" w:color="auto"/>
              <w:right w:val="single" w:sz="4" w:space="0" w:color="auto"/>
            </w:tcBorders>
            <w:shd w:val="clear" w:color="auto" w:fill="auto"/>
          </w:tcPr>
          <w:p w14:paraId="25419317" w14:textId="5AA5D176" w:rsidR="00B75B63" w:rsidRPr="000A33D2" w:rsidRDefault="00094E98" w:rsidP="00CF5201">
            <w:pPr>
              <w:pStyle w:val="TableText0"/>
              <w:keepLines/>
              <w:widowControl w:val="0"/>
              <w:jc w:val="center"/>
            </w:pPr>
            <w:r w:rsidRPr="000A33D2">
              <w:t>100/249 (40.2)</w:t>
            </w:r>
          </w:p>
        </w:tc>
        <w:tc>
          <w:tcPr>
            <w:tcW w:w="1329" w:type="pct"/>
            <w:tcBorders>
              <w:left w:val="single" w:sz="4" w:space="0" w:color="auto"/>
              <w:bottom w:val="single" w:sz="4" w:space="0" w:color="auto"/>
            </w:tcBorders>
            <w:shd w:val="clear" w:color="auto" w:fill="auto"/>
          </w:tcPr>
          <w:p w14:paraId="5FB4ABB3" w14:textId="777A7BE1" w:rsidR="00B75B63" w:rsidRPr="000A33D2" w:rsidRDefault="00094E98" w:rsidP="00CF5201">
            <w:pPr>
              <w:pStyle w:val="TableText0"/>
              <w:keepLines/>
              <w:widowControl w:val="0"/>
              <w:jc w:val="center"/>
            </w:pPr>
            <w:r w:rsidRPr="000A33D2">
              <w:t>0.64 (0.46, 0.87); p=0.0021</w:t>
            </w:r>
          </w:p>
        </w:tc>
      </w:tr>
      <w:tr w:rsidR="00BE5673" w:rsidRPr="000A33D2" w14:paraId="36FD0FA5" w14:textId="77777777" w:rsidTr="000B30C0">
        <w:trPr>
          <w:trHeight w:val="20"/>
        </w:trPr>
        <w:tc>
          <w:tcPr>
            <w:tcW w:w="5000" w:type="pct"/>
            <w:gridSpan w:val="6"/>
            <w:tcBorders>
              <w:bottom w:val="single" w:sz="4" w:space="0" w:color="auto"/>
            </w:tcBorders>
            <w:shd w:val="clear" w:color="auto" w:fill="auto"/>
          </w:tcPr>
          <w:p w14:paraId="1A3D2690" w14:textId="3221A2FF" w:rsidR="00BE5673" w:rsidRPr="000A33D2" w:rsidRDefault="00BE5673" w:rsidP="00CF5201">
            <w:pPr>
              <w:pStyle w:val="TableText0"/>
              <w:keepLines/>
              <w:widowControl w:val="0"/>
              <w:rPr>
                <w:b/>
                <w:bCs w:val="0"/>
              </w:rPr>
            </w:pPr>
            <w:r w:rsidRPr="000A33D2">
              <w:rPr>
                <w:b/>
                <w:bCs w:val="0"/>
              </w:rPr>
              <w:t xml:space="preserve">Landmark </w:t>
            </w:r>
            <w:r w:rsidR="00AD07A5" w:rsidRPr="000A33D2">
              <w:rPr>
                <w:b/>
                <w:bCs w:val="0"/>
              </w:rPr>
              <w:t xml:space="preserve">PFS </w:t>
            </w:r>
            <w:r w:rsidRPr="000A33D2">
              <w:rPr>
                <w:b/>
                <w:bCs w:val="0"/>
              </w:rPr>
              <w:t>estimates, probability (95% CI)</w:t>
            </w:r>
          </w:p>
        </w:tc>
      </w:tr>
      <w:tr w:rsidR="0054499A" w:rsidRPr="000A33D2" w14:paraId="46B09B12" w14:textId="77777777" w:rsidTr="00013847">
        <w:trPr>
          <w:trHeight w:val="20"/>
        </w:trPr>
        <w:tc>
          <w:tcPr>
            <w:tcW w:w="1126" w:type="pct"/>
            <w:gridSpan w:val="2"/>
            <w:shd w:val="clear" w:color="auto" w:fill="auto"/>
            <w:vAlign w:val="center"/>
          </w:tcPr>
          <w:p w14:paraId="38813CFB" w14:textId="104F35EC" w:rsidR="00BE5673" w:rsidRPr="000A33D2" w:rsidRDefault="00BE5673" w:rsidP="00CF5201">
            <w:pPr>
              <w:pStyle w:val="TableText0"/>
              <w:keepLines/>
              <w:widowControl w:val="0"/>
            </w:pPr>
            <w:r w:rsidRPr="000A33D2">
              <w:rPr>
                <w:szCs w:val="20"/>
              </w:rPr>
              <w:t>6 months</w:t>
            </w:r>
          </w:p>
        </w:tc>
        <w:tc>
          <w:tcPr>
            <w:tcW w:w="1309" w:type="pct"/>
            <w:shd w:val="clear" w:color="auto" w:fill="auto"/>
            <w:vAlign w:val="center"/>
          </w:tcPr>
          <w:p w14:paraId="510D316A" w14:textId="48149FBC"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75.0 (68.7, 80.2)</w:t>
            </w:r>
          </w:p>
        </w:tc>
        <w:tc>
          <w:tcPr>
            <w:tcW w:w="1236" w:type="pct"/>
            <w:gridSpan w:val="2"/>
            <w:shd w:val="clear" w:color="auto" w:fill="auto"/>
            <w:vAlign w:val="center"/>
          </w:tcPr>
          <w:p w14:paraId="022D8D3F" w14:textId="524E9A4B"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65.9 (59.3, 71.7)</w:t>
            </w:r>
          </w:p>
        </w:tc>
        <w:tc>
          <w:tcPr>
            <w:tcW w:w="1329" w:type="pct"/>
            <w:tcBorders>
              <w:left w:val="single" w:sz="4" w:space="0" w:color="auto"/>
              <w:bottom w:val="single" w:sz="4" w:space="0" w:color="auto"/>
            </w:tcBorders>
            <w:shd w:val="clear" w:color="auto" w:fill="auto"/>
          </w:tcPr>
          <w:p w14:paraId="28906648" w14:textId="6476FF13" w:rsidR="00BE5673" w:rsidRPr="000A33D2" w:rsidRDefault="00BE5673" w:rsidP="00CF5201">
            <w:pPr>
              <w:pStyle w:val="TableText0"/>
              <w:keepLines/>
              <w:widowControl w:val="0"/>
              <w:jc w:val="center"/>
            </w:pPr>
          </w:p>
        </w:tc>
      </w:tr>
      <w:tr w:rsidR="0054499A" w:rsidRPr="000A33D2" w14:paraId="4277F15D" w14:textId="77777777" w:rsidTr="00013847">
        <w:trPr>
          <w:trHeight w:val="20"/>
        </w:trPr>
        <w:tc>
          <w:tcPr>
            <w:tcW w:w="1126" w:type="pct"/>
            <w:gridSpan w:val="2"/>
            <w:shd w:val="clear" w:color="auto" w:fill="auto"/>
            <w:vAlign w:val="center"/>
          </w:tcPr>
          <w:p w14:paraId="21478FF3" w14:textId="49D44B8B" w:rsidR="00BE5673" w:rsidRPr="000A33D2" w:rsidRDefault="00BE5673" w:rsidP="00CF5201">
            <w:pPr>
              <w:pStyle w:val="TableText0"/>
              <w:keepLines/>
              <w:widowControl w:val="0"/>
            </w:pPr>
            <w:r w:rsidRPr="000A33D2">
              <w:rPr>
                <w:szCs w:val="20"/>
              </w:rPr>
              <w:t>12 months</w:t>
            </w:r>
          </w:p>
        </w:tc>
        <w:tc>
          <w:tcPr>
            <w:tcW w:w="1309" w:type="pct"/>
            <w:shd w:val="clear" w:color="auto" w:fill="auto"/>
            <w:vAlign w:val="center"/>
          </w:tcPr>
          <w:p w14:paraId="516A0E81" w14:textId="179FD4C2"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48.2 (41.3, 54.8)</w:t>
            </w:r>
          </w:p>
        </w:tc>
        <w:tc>
          <w:tcPr>
            <w:tcW w:w="1236" w:type="pct"/>
            <w:gridSpan w:val="2"/>
            <w:shd w:val="clear" w:color="auto" w:fill="auto"/>
            <w:vAlign w:val="center"/>
          </w:tcPr>
          <w:p w14:paraId="6CBB51AA" w14:textId="63C5D103"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29.0 (23.0, 35.2)</w:t>
            </w:r>
          </w:p>
        </w:tc>
        <w:tc>
          <w:tcPr>
            <w:tcW w:w="1329" w:type="pct"/>
            <w:tcBorders>
              <w:left w:val="single" w:sz="4" w:space="0" w:color="auto"/>
              <w:bottom w:val="single" w:sz="4" w:space="0" w:color="auto"/>
            </w:tcBorders>
            <w:shd w:val="clear" w:color="auto" w:fill="auto"/>
          </w:tcPr>
          <w:p w14:paraId="6938C8B0" w14:textId="58A3F3AA" w:rsidR="00BE5673" w:rsidRPr="000A33D2" w:rsidRDefault="00BE5673" w:rsidP="00CF5201">
            <w:pPr>
              <w:pStyle w:val="TableText0"/>
              <w:keepLines/>
              <w:widowControl w:val="0"/>
              <w:jc w:val="center"/>
            </w:pPr>
          </w:p>
        </w:tc>
      </w:tr>
      <w:tr w:rsidR="0054499A" w:rsidRPr="000A33D2" w14:paraId="4377EC8F" w14:textId="77777777" w:rsidTr="00013847">
        <w:trPr>
          <w:trHeight w:val="20"/>
        </w:trPr>
        <w:tc>
          <w:tcPr>
            <w:tcW w:w="1126" w:type="pct"/>
            <w:gridSpan w:val="2"/>
            <w:shd w:val="clear" w:color="auto" w:fill="auto"/>
            <w:vAlign w:val="center"/>
          </w:tcPr>
          <w:p w14:paraId="0C32339E" w14:textId="7062DECC" w:rsidR="00BE5673" w:rsidRPr="000A33D2" w:rsidRDefault="00BE5673" w:rsidP="00CF5201">
            <w:pPr>
              <w:pStyle w:val="TableText0"/>
              <w:keepLines/>
              <w:widowControl w:val="0"/>
            </w:pPr>
            <w:r w:rsidRPr="000A33D2">
              <w:rPr>
                <w:szCs w:val="20"/>
              </w:rPr>
              <w:t>18 months</w:t>
            </w:r>
          </w:p>
        </w:tc>
        <w:tc>
          <w:tcPr>
            <w:tcW w:w="1309" w:type="pct"/>
            <w:shd w:val="clear" w:color="auto" w:fill="auto"/>
            <w:vAlign w:val="center"/>
          </w:tcPr>
          <w:p w14:paraId="7CF2E58C" w14:textId="392D4E29"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41.9 (35.1, 48.6)</w:t>
            </w:r>
          </w:p>
        </w:tc>
        <w:tc>
          <w:tcPr>
            <w:tcW w:w="1236" w:type="pct"/>
            <w:gridSpan w:val="2"/>
            <w:shd w:val="clear" w:color="auto" w:fill="auto"/>
            <w:vAlign w:val="center"/>
          </w:tcPr>
          <w:p w14:paraId="0D5D320F" w14:textId="492581E9"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21.6 (16.3, 27.4)</w:t>
            </w:r>
          </w:p>
        </w:tc>
        <w:tc>
          <w:tcPr>
            <w:tcW w:w="1329" w:type="pct"/>
            <w:tcBorders>
              <w:left w:val="single" w:sz="4" w:space="0" w:color="auto"/>
              <w:bottom w:val="single" w:sz="4" w:space="0" w:color="auto"/>
            </w:tcBorders>
            <w:shd w:val="clear" w:color="auto" w:fill="auto"/>
          </w:tcPr>
          <w:p w14:paraId="4B562936" w14:textId="55A8EBEF" w:rsidR="00BE5673" w:rsidRPr="000A33D2" w:rsidRDefault="00BE5673" w:rsidP="00CF5201">
            <w:pPr>
              <w:pStyle w:val="TableText0"/>
              <w:keepLines/>
              <w:widowControl w:val="0"/>
              <w:jc w:val="center"/>
            </w:pPr>
          </w:p>
        </w:tc>
      </w:tr>
      <w:tr w:rsidR="0054499A" w:rsidRPr="000A33D2" w14:paraId="3B2884B9" w14:textId="77777777" w:rsidTr="00013847">
        <w:trPr>
          <w:trHeight w:val="20"/>
        </w:trPr>
        <w:tc>
          <w:tcPr>
            <w:tcW w:w="1126" w:type="pct"/>
            <w:gridSpan w:val="2"/>
            <w:shd w:val="clear" w:color="auto" w:fill="auto"/>
            <w:vAlign w:val="center"/>
          </w:tcPr>
          <w:p w14:paraId="6ABB1206" w14:textId="1C0A2701" w:rsidR="00BE5673" w:rsidRPr="000A33D2" w:rsidRDefault="00BE5673" w:rsidP="00CF5201">
            <w:pPr>
              <w:pStyle w:val="TableText0"/>
              <w:keepLines/>
              <w:widowControl w:val="0"/>
            </w:pPr>
            <w:r w:rsidRPr="000A33D2">
              <w:rPr>
                <w:szCs w:val="20"/>
              </w:rPr>
              <w:t>24 months</w:t>
            </w:r>
          </w:p>
        </w:tc>
        <w:tc>
          <w:tcPr>
            <w:tcW w:w="1309" w:type="pct"/>
            <w:shd w:val="clear" w:color="auto" w:fill="auto"/>
            <w:vAlign w:val="center"/>
          </w:tcPr>
          <w:p w14:paraId="25AF557C" w14:textId="73406130"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36.1 (29.3, 42.9)</w:t>
            </w:r>
          </w:p>
        </w:tc>
        <w:tc>
          <w:tcPr>
            <w:tcW w:w="1236" w:type="pct"/>
            <w:gridSpan w:val="2"/>
            <w:shd w:val="clear" w:color="auto" w:fill="auto"/>
            <w:vAlign w:val="center"/>
          </w:tcPr>
          <w:p w14:paraId="526F3FB3" w14:textId="50EDE929"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18.1 (13.0, 23.9)</w:t>
            </w:r>
          </w:p>
        </w:tc>
        <w:tc>
          <w:tcPr>
            <w:tcW w:w="1329" w:type="pct"/>
            <w:tcBorders>
              <w:left w:val="single" w:sz="4" w:space="0" w:color="auto"/>
              <w:bottom w:val="single" w:sz="4" w:space="0" w:color="auto"/>
            </w:tcBorders>
            <w:shd w:val="clear" w:color="auto" w:fill="auto"/>
          </w:tcPr>
          <w:p w14:paraId="10EBA513" w14:textId="104F7EC4" w:rsidR="00BE5673" w:rsidRPr="000A33D2" w:rsidRDefault="00BE5673" w:rsidP="00CF5201">
            <w:pPr>
              <w:pStyle w:val="TableText0"/>
              <w:keepLines/>
              <w:widowControl w:val="0"/>
              <w:jc w:val="center"/>
            </w:pPr>
          </w:p>
        </w:tc>
      </w:tr>
      <w:tr w:rsidR="00BE5673" w:rsidRPr="000A33D2" w14:paraId="2FE2F61C" w14:textId="77777777" w:rsidTr="000B30C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2D8BD4C" w14:textId="64579A49" w:rsidR="00BE5673" w:rsidRPr="000A33D2" w:rsidRDefault="00094E98" w:rsidP="00CF5201">
            <w:pPr>
              <w:pStyle w:val="TableText0"/>
              <w:keepLines/>
              <w:widowControl w:val="0"/>
            </w:pPr>
            <w:r w:rsidRPr="000A33D2">
              <w:rPr>
                <w:b/>
              </w:rPr>
              <w:t>S</w:t>
            </w:r>
            <w:r w:rsidR="00BE5673" w:rsidRPr="000A33D2">
              <w:rPr>
                <w:b/>
              </w:rPr>
              <w:t>urvival (median duration of follow up 24.6 months for DOS+CP and 25.1 months for PBO+CP, at first interim analysis); dMMR</w:t>
            </w:r>
          </w:p>
        </w:tc>
      </w:tr>
      <w:tr w:rsidR="0054499A" w:rsidRPr="000A33D2" w14:paraId="384AD064" w14:textId="77777777" w:rsidTr="00013847">
        <w:trPr>
          <w:trHeight w:val="20"/>
        </w:trPr>
        <w:tc>
          <w:tcPr>
            <w:tcW w:w="1126" w:type="pct"/>
            <w:gridSpan w:val="2"/>
            <w:tcBorders>
              <w:top w:val="single" w:sz="4" w:space="0" w:color="auto"/>
              <w:left w:val="single" w:sz="4" w:space="0" w:color="auto"/>
              <w:bottom w:val="single" w:sz="4" w:space="0" w:color="auto"/>
              <w:right w:val="single" w:sz="4" w:space="0" w:color="auto"/>
            </w:tcBorders>
            <w:shd w:val="clear" w:color="auto" w:fill="auto"/>
          </w:tcPr>
          <w:p w14:paraId="65FB1CC2" w14:textId="5197B2BA" w:rsidR="00BE5673" w:rsidRPr="000A33D2" w:rsidRDefault="00094E98" w:rsidP="00CF5201">
            <w:pPr>
              <w:pStyle w:val="TableText0"/>
              <w:keepLines/>
              <w:widowControl w:val="0"/>
            </w:pPr>
            <w:proofErr w:type="spellStart"/>
            <w:r w:rsidRPr="000A33D2">
              <w:t>PFS</w:t>
            </w:r>
            <w:r w:rsidRPr="000A33D2">
              <w:rPr>
                <w:vertAlign w:val="superscript"/>
              </w:rPr>
              <w:t>a</w:t>
            </w:r>
            <w:proofErr w:type="spellEnd"/>
            <w:r w:rsidRPr="000A33D2">
              <w:t xml:space="preserve"> </w:t>
            </w:r>
            <w:r w:rsidR="00BE5673" w:rsidRPr="000A33D2">
              <w:t xml:space="preserve">Events, n/N (%) </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6D8B1F82" w14:textId="7F2DC05C" w:rsidR="00BE5673" w:rsidRPr="000A33D2" w:rsidRDefault="00BE5673" w:rsidP="00CF5201">
            <w:pPr>
              <w:pStyle w:val="TableText0"/>
              <w:keepLines/>
              <w:widowControl w:val="0"/>
              <w:jc w:val="center"/>
            </w:pPr>
            <w:r w:rsidRPr="000A33D2">
              <w:t>19/53 (35.8)</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tcPr>
          <w:p w14:paraId="0D44A0B0" w14:textId="13586E7E" w:rsidR="00BE5673" w:rsidRPr="000A33D2" w:rsidRDefault="00BE5673" w:rsidP="00CF5201">
            <w:pPr>
              <w:pStyle w:val="TableText0"/>
              <w:keepLines/>
              <w:widowControl w:val="0"/>
              <w:jc w:val="center"/>
            </w:pPr>
            <w:r w:rsidRPr="000A33D2">
              <w:t>47/65 (72.3)</w:t>
            </w:r>
          </w:p>
        </w:tc>
        <w:tc>
          <w:tcPr>
            <w:tcW w:w="1329" w:type="pct"/>
            <w:tcBorders>
              <w:top w:val="single" w:sz="4" w:space="0" w:color="auto"/>
              <w:left w:val="single" w:sz="4" w:space="0" w:color="auto"/>
              <w:bottom w:val="single" w:sz="4" w:space="0" w:color="auto"/>
              <w:right w:val="single" w:sz="4" w:space="0" w:color="auto"/>
            </w:tcBorders>
            <w:shd w:val="clear" w:color="auto" w:fill="auto"/>
          </w:tcPr>
          <w:p w14:paraId="1CD52721" w14:textId="2AD9FE48" w:rsidR="00BE5673" w:rsidRPr="000A33D2" w:rsidRDefault="00BE5673" w:rsidP="00CF5201">
            <w:pPr>
              <w:pStyle w:val="TableText0"/>
              <w:keepLines/>
              <w:widowControl w:val="0"/>
              <w:jc w:val="center"/>
            </w:pPr>
            <w:r w:rsidRPr="000A33D2">
              <w:t>0.28 (0.16, 0.50); p&lt;0.0001</w:t>
            </w:r>
          </w:p>
        </w:tc>
      </w:tr>
      <w:tr w:rsidR="00094E98" w:rsidRPr="000A33D2" w14:paraId="10ED3856" w14:textId="77777777" w:rsidTr="00013847">
        <w:trPr>
          <w:trHeight w:val="20"/>
        </w:trPr>
        <w:tc>
          <w:tcPr>
            <w:tcW w:w="1126" w:type="pct"/>
            <w:gridSpan w:val="2"/>
            <w:tcBorders>
              <w:top w:val="single" w:sz="4" w:space="0" w:color="auto"/>
              <w:left w:val="single" w:sz="4" w:space="0" w:color="auto"/>
              <w:bottom w:val="single" w:sz="4" w:space="0" w:color="auto"/>
              <w:right w:val="single" w:sz="4" w:space="0" w:color="auto"/>
            </w:tcBorders>
            <w:shd w:val="clear" w:color="auto" w:fill="auto"/>
          </w:tcPr>
          <w:p w14:paraId="73BF0245" w14:textId="293A5F2E" w:rsidR="00094E98" w:rsidRPr="000A33D2" w:rsidRDefault="00094E98" w:rsidP="00CF5201">
            <w:pPr>
              <w:pStyle w:val="TableText0"/>
              <w:keepLines/>
              <w:widowControl w:val="0"/>
            </w:pPr>
            <w:r w:rsidRPr="000A33D2">
              <w:t>OS Events, n/N (%)</w:t>
            </w:r>
          </w:p>
        </w:tc>
        <w:tc>
          <w:tcPr>
            <w:tcW w:w="1309" w:type="pct"/>
            <w:tcBorders>
              <w:top w:val="single" w:sz="4" w:space="0" w:color="auto"/>
              <w:left w:val="single" w:sz="4" w:space="0" w:color="auto"/>
              <w:bottom w:val="single" w:sz="4" w:space="0" w:color="auto"/>
              <w:right w:val="single" w:sz="4" w:space="0" w:color="auto"/>
            </w:tcBorders>
            <w:shd w:val="clear" w:color="auto" w:fill="auto"/>
          </w:tcPr>
          <w:p w14:paraId="01C6F8B2" w14:textId="261182CB" w:rsidR="00094E98" w:rsidRPr="000A33D2" w:rsidRDefault="00094E98" w:rsidP="00CF5201">
            <w:pPr>
              <w:pStyle w:val="TableText0"/>
              <w:keepLines/>
              <w:widowControl w:val="0"/>
              <w:jc w:val="center"/>
            </w:pPr>
            <w:r w:rsidRPr="000A33D2">
              <w:t>7/53 (13.2)</w:t>
            </w:r>
          </w:p>
        </w:tc>
        <w:tc>
          <w:tcPr>
            <w:tcW w:w="1236" w:type="pct"/>
            <w:gridSpan w:val="2"/>
            <w:tcBorders>
              <w:top w:val="single" w:sz="4" w:space="0" w:color="auto"/>
              <w:left w:val="single" w:sz="4" w:space="0" w:color="auto"/>
              <w:bottom w:val="single" w:sz="4" w:space="0" w:color="auto"/>
              <w:right w:val="single" w:sz="4" w:space="0" w:color="auto"/>
            </w:tcBorders>
            <w:shd w:val="clear" w:color="auto" w:fill="auto"/>
          </w:tcPr>
          <w:p w14:paraId="493F803B" w14:textId="41FA96CB" w:rsidR="00094E98" w:rsidRPr="000A33D2" w:rsidRDefault="00094E98" w:rsidP="00CF5201">
            <w:pPr>
              <w:pStyle w:val="TableText0"/>
              <w:keepLines/>
              <w:widowControl w:val="0"/>
              <w:jc w:val="center"/>
            </w:pPr>
            <w:r w:rsidRPr="000A33D2">
              <w:t>24/65 (36.9)</w:t>
            </w:r>
          </w:p>
        </w:tc>
        <w:tc>
          <w:tcPr>
            <w:tcW w:w="1329" w:type="pct"/>
            <w:tcBorders>
              <w:top w:val="single" w:sz="4" w:space="0" w:color="auto"/>
              <w:left w:val="single" w:sz="4" w:space="0" w:color="auto"/>
              <w:bottom w:val="single" w:sz="4" w:space="0" w:color="auto"/>
              <w:right w:val="single" w:sz="4" w:space="0" w:color="auto"/>
            </w:tcBorders>
            <w:shd w:val="clear" w:color="auto" w:fill="auto"/>
          </w:tcPr>
          <w:p w14:paraId="242740CA" w14:textId="6CC6D223" w:rsidR="00094E98" w:rsidRPr="000A33D2" w:rsidRDefault="00094E98" w:rsidP="00CF5201">
            <w:pPr>
              <w:pStyle w:val="TableText0"/>
              <w:keepLines/>
              <w:widowControl w:val="0"/>
              <w:jc w:val="center"/>
            </w:pPr>
            <w:r w:rsidRPr="000A33D2">
              <w:t>0.30 (0.13, 0.70); p=0.0016</w:t>
            </w:r>
          </w:p>
        </w:tc>
      </w:tr>
      <w:tr w:rsidR="00BE5673" w:rsidRPr="000A33D2" w14:paraId="31FCAB6B" w14:textId="77777777" w:rsidTr="000B30C0">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9295709" w14:textId="0FC6CDD2" w:rsidR="00BE5673" w:rsidRPr="000A33D2" w:rsidRDefault="00BE5673" w:rsidP="00CF5201">
            <w:pPr>
              <w:pStyle w:val="TableText0"/>
              <w:keepLines/>
              <w:widowControl w:val="0"/>
              <w:rPr>
                <w:b/>
                <w:szCs w:val="20"/>
              </w:rPr>
            </w:pPr>
            <w:r w:rsidRPr="000A33D2">
              <w:rPr>
                <w:b/>
                <w:szCs w:val="20"/>
              </w:rPr>
              <w:t xml:space="preserve">Landmark </w:t>
            </w:r>
            <w:r w:rsidR="00AD07A5" w:rsidRPr="000A33D2">
              <w:rPr>
                <w:b/>
                <w:szCs w:val="20"/>
              </w:rPr>
              <w:t xml:space="preserve">PFS </w:t>
            </w:r>
            <w:r w:rsidRPr="000A33D2">
              <w:rPr>
                <w:b/>
                <w:szCs w:val="20"/>
              </w:rPr>
              <w:t>estimates, probability (95% CI)</w:t>
            </w:r>
          </w:p>
        </w:tc>
      </w:tr>
      <w:tr w:rsidR="0054499A" w:rsidRPr="000A33D2" w14:paraId="0DD8533F" w14:textId="77777777" w:rsidTr="00013847">
        <w:trPr>
          <w:trHeight w:val="20"/>
        </w:trPr>
        <w:tc>
          <w:tcPr>
            <w:tcW w:w="1126" w:type="pct"/>
            <w:gridSpan w:val="2"/>
            <w:shd w:val="clear" w:color="auto" w:fill="auto"/>
            <w:vAlign w:val="center"/>
          </w:tcPr>
          <w:p w14:paraId="4548F5B9" w14:textId="7F30D516" w:rsidR="00BE5673" w:rsidRPr="000A33D2" w:rsidRDefault="00BE5673" w:rsidP="00CF5201">
            <w:pPr>
              <w:pStyle w:val="TableText0"/>
              <w:keepLines/>
              <w:widowControl w:val="0"/>
            </w:pPr>
            <w:r w:rsidRPr="000A33D2">
              <w:rPr>
                <w:szCs w:val="20"/>
              </w:rPr>
              <w:t>6 months</w:t>
            </w:r>
          </w:p>
        </w:tc>
        <w:tc>
          <w:tcPr>
            <w:tcW w:w="1309" w:type="pct"/>
            <w:shd w:val="clear" w:color="auto" w:fill="auto"/>
            <w:vAlign w:val="center"/>
          </w:tcPr>
          <w:p w14:paraId="1B07897C" w14:textId="4A494CD2"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80.2 (66.3, 88.8)</w:t>
            </w:r>
          </w:p>
        </w:tc>
        <w:tc>
          <w:tcPr>
            <w:tcW w:w="1236" w:type="pct"/>
            <w:gridSpan w:val="2"/>
            <w:shd w:val="clear" w:color="auto" w:fill="auto"/>
            <w:vAlign w:val="center"/>
          </w:tcPr>
          <w:p w14:paraId="0B321445" w14:textId="01F57C56"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59.7 (46.2, 70.9)</w:t>
            </w:r>
          </w:p>
        </w:tc>
        <w:tc>
          <w:tcPr>
            <w:tcW w:w="1329" w:type="pct"/>
            <w:tcBorders>
              <w:top w:val="single" w:sz="4" w:space="0" w:color="auto"/>
              <w:left w:val="single" w:sz="4" w:space="0" w:color="auto"/>
              <w:bottom w:val="single" w:sz="4" w:space="0" w:color="auto"/>
              <w:right w:val="single" w:sz="4" w:space="0" w:color="auto"/>
            </w:tcBorders>
            <w:shd w:val="clear" w:color="auto" w:fill="auto"/>
          </w:tcPr>
          <w:p w14:paraId="1B4053B7" w14:textId="1FBB7E16" w:rsidR="00BE5673" w:rsidRPr="000A33D2" w:rsidRDefault="00BE5673" w:rsidP="00CF5201">
            <w:pPr>
              <w:pStyle w:val="TableText0"/>
              <w:keepLines/>
              <w:widowControl w:val="0"/>
              <w:jc w:val="center"/>
              <w:rPr>
                <w:szCs w:val="20"/>
              </w:rPr>
            </w:pPr>
          </w:p>
        </w:tc>
      </w:tr>
      <w:tr w:rsidR="0054499A" w:rsidRPr="000A33D2" w14:paraId="7A1A0F28" w14:textId="77777777" w:rsidTr="00013847">
        <w:trPr>
          <w:trHeight w:val="20"/>
        </w:trPr>
        <w:tc>
          <w:tcPr>
            <w:tcW w:w="1126" w:type="pct"/>
            <w:gridSpan w:val="2"/>
            <w:shd w:val="clear" w:color="auto" w:fill="auto"/>
            <w:vAlign w:val="center"/>
          </w:tcPr>
          <w:p w14:paraId="52F39750" w14:textId="0F6BBB49" w:rsidR="00BE5673" w:rsidRPr="000A33D2" w:rsidRDefault="00BE5673" w:rsidP="00CF5201">
            <w:pPr>
              <w:pStyle w:val="TableText0"/>
              <w:keepLines/>
              <w:widowControl w:val="0"/>
            </w:pPr>
            <w:r w:rsidRPr="000A33D2">
              <w:rPr>
                <w:szCs w:val="20"/>
              </w:rPr>
              <w:t>12 months</w:t>
            </w:r>
          </w:p>
        </w:tc>
        <w:tc>
          <w:tcPr>
            <w:tcW w:w="1309" w:type="pct"/>
            <w:shd w:val="clear" w:color="auto" w:fill="auto"/>
            <w:vAlign w:val="center"/>
          </w:tcPr>
          <w:p w14:paraId="6600B891" w14:textId="34450B0C"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63.5 (48.5, 75.3)</w:t>
            </w:r>
          </w:p>
        </w:tc>
        <w:tc>
          <w:tcPr>
            <w:tcW w:w="1236" w:type="pct"/>
            <w:gridSpan w:val="2"/>
            <w:shd w:val="clear" w:color="auto" w:fill="auto"/>
            <w:vAlign w:val="center"/>
          </w:tcPr>
          <w:p w14:paraId="44B59114" w14:textId="06FA2171"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24.4 (13.9, 36.4)</w:t>
            </w:r>
          </w:p>
        </w:tc>
        <w:tc>
          <w:tcPr>
            <w:tcW w:w="1329" w:type="pct"/>
            <w:tcBorders>
              <w:top w:val="single" w:sz="4" w:space="0" w:color="auto"/>
              <w:left w:val="single" w:sz="4" w:space="0" w:color="auto"/>
              <w:bottom w:val="single" w:sz="4" w:space="0" w:color="auto"/>
              <w:right w:val="single" w:sz="4" w:space="0" w:color="auto"/>
            </w:tcBorders>
            <w:shd w:val="clear" w:color="auto" w:fill="auto"/>
          </w:tcPr>
          <w:p w14:paraId="048B9685" w14:textId="26E47B4A" w:rsidR="00BE5673" w:rsidRPr="000A33D2" w:rsidRDefault="00BE5673" w:rsidP="00CF5201">
            <w:pPr>
              <w:pStyle w:val="TableText0"/>
              <w:keepLines/>
              <w:widowControl w:val="0"/>
              <w:jc w:val="center"/>
              <w:rPr>
                <w:szCs w:val="20"/>
              </w:rPr>
            </w:pPr>
          </w:p>
        </w:tc>
      </w:tr>
      <w:tr w:rsidR="0054499A" w:rsidRPr="000A33D2" w14:paraId="53BA6E7A" w14:textId="77777777" w:rsidTr="00013847">
        <w:trPr>
          <w:trHeight w:val="20"/>
        </w:trPr>
        <w:tc>
          <w:tcPr>
            <w:tcW w:w="1126" w:type="pct"/>
            <w:gridSpan w:val="2"/>
            <w:shd w:val="clear" w:color="auto" w:fill="auto"/>
            <w:vAlign w:val="center"/>
          </w:tcPr>
          <w:p w14:paraId="3EFE6177" w14:textId="32FC9099" w:rsidR="00BE5673" w:rsidRPr="000A33D2" w:rsidRDefault="00BE5673" w:rsidP="00CF5201">
            <w:pPr>
              <w:pStyle w:val="TableText0"/>
              <w:keepLines/>
              <w:widowControl w:val="0"/>
            </w:pPr>
            <w:r w:rsidRPr="000A33D2">
              <w:rPr>
                <w:szCs w:val="20"/>
              </w:rPr>
              <w:t>18 months</w:t>
            </w:r>
          </w:p>
        </w:tc>
        <w:tc>
          <w:tcPr>
            <w:tcW w:w="1309" w:type="pct"/>
            <w:shd w:val="clear" w:color="auto" w:fill="auto"/>
            <w:vAlign w:val="center"/>
          </w:tcPr>
          <w:p w14:paraId="3FEDFA4E" w14:textId="5384F107"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61.4 (46.3, 73.4)</w:t>
            </w:r>
          </w:p>
        </w:tc>
        <w:tc>
          <w:tcPr>
            <w:tcW w:w="1236" w:type="pct"/>
            <w:gridSpan w:val="2"/>
            <w:shd w:val="clear" w:color="auto" w:fill="auto"/>
            <w:vAlign w:val="center"/>
          </w:tcPr>
          <w:p w14:paraId="27A867A4" w14:textId="1C590ABF"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17.9 (8.9, 29.5)</w:t>
            </w:r>
          </w:p>
        </w:tc>
        <w:tc>
          <w:tcPr>
            <w:tcW w:w="1329" w:type="pct"/>
            <w:tcBorders>
              <w:top w:val="single" w:sz="4" w:space="0" w:color="auto"/>
              <w:left w:val="single" w:sz="4" w:space="0" w:color="auto"/>
              <w:bottom w:val="single" w:sz="4" w:space="0" w:color="auto"/>
              <w:right w:val="single" w:sz="4" w:space="0" w:color="auto"/>
            </w:tcBorders>
            <w:shd w:val="clear" w:color="auto" w:fill="auto"/>
          </w:tcPr>
          <w:p w14:paraId="029CC83D" w14:textId="395A3399" w:rsidR="00BE5673" w:rsidRPr="000A33D2" w:rsidRDefault="00BE5673" w:rsidP="00CF5201">
            <w:pPr>
              <w:pStyle w:val="TableText0"/>
              <w:keepLines/>
              <w:widowControl w:val="0"/>
              <w:jc w:val="center"/>
              <w:rPr>
                <w:szCs w:val="20"/>
              </w:rPr>
            </w:pPr>
          </w:p>
        </w:tc>
      </w:tr>
      <w:tr w:rsidR="0054499A" w:rsidRPr="000A33D2" w14:paraId="2B942795" w14:textId="77777777" w:rsidTr="00013847">
        <w:trPr>
          <w:trHeight w:val="20"/>
        </w:trPr>
        <w:tc>
          <w:tcPr>
            <w:tcW w:w="1126" w:type="pct"/>
            <w:gridSpan w:val="2"/>
            <w:tcBorders>
              <w:bottom w:val="double" w:sz="4" w:space="0" w:color="auto"/>
            </w:tcBorders>
            <w:shd w:val="clear" w:color="auto" w:fill="auto"/>
            <w:vAlign w:val="center"/>
          </w:tcPr>
          <w:p w14:paraId="322D1F81" w14:textId="1E441673" w:rsidR="00BE5673" w:rsidRPr="000A33D2" w:rsidRDefault="00BE5673" w:rsidP="00CF5201">
            <w:pPr>
              <w:pStyle w:val="TableText0"/>
              <w:keepLines/>
              <w:widowControl w:val="0"/>
            </w:pPr>
            <w:r w:rsidRPr="000A33D2">
              <w:rPr>
                <w:szCs w:val="20"/>
              </w:rPr>
              <w:t>24 months</w:t>
            </w:r>
          </w:p>
        </w:tc>
        <w:tc>
          <w:tcPr>
            <w:tcW w:w="1309" w:type="pct"/>
            <w:tcBorders>
              <w:bottom w:val="double" w:sz="4" w:space="0" w:color="auto"/>
            </w:tcBorders>
            <w:shd w:val="clear" w:color="auto" w:fill="auto"/>
            <w:vAlign w:val="center"/>
          </w:tcPr>
          <w:p w14:paraId="081E78E6" w14:textId="087A7E31"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61.4 (46.3, 73.4)</w:t>
            </w:r>
          </w:p>
        </w:tc>
        <w:tc>
          <w:tcPr>
            <w:tcW w:w="1236" w:type="pct"/>
            <w:gridSpan w:val="2"/>
            <w:tcBorders>
              <w:bottom w:val="double" w:sz="4" w:space="0" w:color="auto"/>
            </w:tcBorders>
            <w:shd w:val="clear" w:color="auto" w:fill="auto"/>
            <w:vAlign w:val="center"/>
          </w:tcPr>
          <w:p w14:paraId="1410CBA6" w14:textId="122E56DD" w:rsidR="00BE5673" w:rsidRPr="000A33D2" w:rsidRDefault="00BE5673" w:rsidP="00CF5201">
            <w:pPr>
              <w:keepNext/>
              <w:keepLines/>
              <w:jc w:val="center"/>
              <w:rPr>
                <w:rFonts w:ascii="Arial Narrow" w:hAnsi="Arial Narrow"/>
                <w:sz w:val="20"/>
                <w:szCs w:val="20"/>
              </w:rPr>
            </w:pPr>
            <w:r w:rsidRPr="000A33D2">
              <w:rPr>
                <w:rFonts w:ascii="Arial Narrow" w:hAnsi="Arial Narrow"/>
                <w:sz w:val="20"/>
                <w:szCs w:val="20"/>
              </w:rPr>
              <w:t>15.7 (7.2, 27.0)</w:t>
            </w:r>
          </w:p>
        </w:tc>
        <w:tc>
          <w:tcPr>
            <w:tcW w:w="1329" w:type="pct"/>
            <w:tcBorders>
              <w:top w:val="single" w:sz="4" w:space="0" w:color="auto"/>
              <w:left w:val="single" w:sz="4" w:space="0" w:color="auto"/>
              <w:bottom w:val="single" w:sz="4" w:space="0" w:color="auto"/>
              <w:right w:val="single" w:sz="4" w:space="0" w:color="auto"/>
            </w:tcBorders>
            <w:shd w:val="clear" w:color="auto" w:fill="auto"/>
          </w:tcPr>
          <w:p w14:paraId="63616CB4" w14:textId="5859CF34" w:rsidR="00BE5673" w:rsidRPr="000A33D2" w:rsidRDefault="00BE5673" w:rsidP="00CF5201">
            <w:pPr>
              <w:pStyle w:val="TableText0"/>
              <w:keepLines/>
              <w:widowControl w:val="0"/>
              <w:jc w:val="center"/>
              <w:rPr>
                <w:szCs w:val="20"/>
              </w:rPr>
            </w:pPr>
          </w:p>
        </w:tc>
      </w:tr>
      <w:tr w:rsidR="000B30C0" w:rsidRPr="000A33D2" w14:paraId="54662559" w14:textId="77777777" w:rsidTr="000B30C0">
        <w:trPr>
          <w:trHeight w:val="20"/>
        </w:trPr>
        <w:tc>
          <w:tcPr>
            <w:tcW w:w="5000" w:type="pct"/>
            <w:gridSpan w:val="6"/>
            <w:tcBorders>
              <w:top w:val="double" w:sz="4" w:space="0" w:color="auto"/>
              <w:right w:val="single" w:sz="4" w:space="0" w:color="auto"/>
            </w:tcBorders>
            <w:shd w:val="clear" w:color="auto" w:fill="auto"/>
            <w:vAlign w:val="center"/>
          </w:tcPr>
          <w:p w14:paraId="098BD48F" w14:textId="0CF98561" w:rsidR="000B30C0" w:rsidRPr="000A33D2" w:rsidRDefault="000B30C0" w:rsidP="00CF5201">
            <w:pPr>
              <w:pStyle w:val="TableText0"/>
              <w:keepLines/>
              <w:widowControl w:val="0"/>
              <w:rPr>
                <w:b/>
                <w:bCs w:val="0"/>
                <w:szCs w:val="20"/>
              </w:rPr>
            </w:pPr>
            <w:r w:rsidRPr="000A33D2">
              <w:rPr>
                <w:b/>
                <w:bCs w:val="0"/>
                <w:szCs w:val="20"/>
              </w:rPr>
              <w:t>Harms</w:t>
            </w:r>
          </w:p>
        </w:tc>
      </w:tr>
      <w:tr w:rsidR="00013847" w:rsidRPr="000A33D2" w14:paraId="58186402" w14:textId="77777777" w:rsidTr="00013847">
        <w:trPr>
          <w:trHeight w:val="179"/>
        </w:trPr>
        <w:tc>
          <w:tcPr>
            <w:tcW w:w="563" w:type="pct"/>
            <w:vMerge w:val="restart"/>
            <w:shd w:val="clear" w:color="auto" w:fill="auto"/>
            <w:vAlign w:val="center"/>
          </w:tcPr>
          <w:p w14:paraId="6DB3B865" w14:textId="786794F4" w:rsidR="000B30C0" w:rsidRPr="000A33D2" w:rsidRDefault="000B30C0" w:rsidP="00CF5201">
            <w:pPr>
              <w:pStyle w:val="TableText0"/>
              <w:keepLines/>
              <w:widowControl w:val="0"/>
              <w:rPr>
                <w:b/>
                <w:bCs w:val="0"/>
                <w:szCs w:val="20"/>
              </w:rPr>
            </w:pPr>
            <w:r w:rsidRPr="000A33D2">
              <w:rPr>
                <w:b/>
                <w:bCs w:val="0"/>
                <w:szCs w:val="20"/>
              </w:rPr>
              <w:t>DOS+CP</w:t>
            </w:r>
            <w:r w:rsidR="0067518D" w:rsidRPr="000A33D2">
              <w:rPr>
                <w:b/>
                <w:bCs w:val="0"/>
                <w:szCs w:val="20"/>
              </w:rPr>
              <w:t>, n/N</w:t>
            </w:r>
          </w:p>
        </w:tc>
        <w:tc>
          <w:tcPr>
            <w:tcW w:w="563" w:type="pct"/>
            <w:vMerge w:val="restart"/>
            <w:shd w:val="clear" w:color="auto" w:fill="auto"/>
            <w:vAlign w:val="center"/>
          </w:tcPr>
          <w:p w14:paraId="466505BF" w14:textId="7281CB77" w:rsidR="000B30C0" w:rsidRPr="000A33D2" w:rsidRDefault="000B30C0" w:rsidP="00CF5201">
            <w:pPr>
              <w:keepNext/>
              <w:keepLines/>
              <w:jc w:val="center"/>
              <w:rPr>
                <w:rFonts w:ascii="Arial Narrow" w:hAnsi="Arial Narrow"/>
                <w:b/>
                <w:sz w:val="20"/>
                <w:szCs w:val="20"/>
              </w:rPr>
            </w:pPr>
            <w:r w:rsidRPr="000A33D2">
              <w:rPr>
                <w:rFonts w:ascii="Arial Narrow" w:hAnsi="Arial Narrow"/>
                <w:b/>
                <w:sz w:val="20"/>
                <w:szCs w:val="20"/>
              </w:rPr>
              <w:t>PBO+CP</w:t>
            </w:r>
            <w:r w:rsidR="0067518D" w:rsidRPr="000A33D2">
              <w:rPr>
                <w:rFonts w:ascii="Arial Narrow" w:hAnsi="Arial Narrow"/>
                <w:b/>
                <w:sz w:val="20"/>
                <w:szCs w:val="20"/>
              </w:rPr>
              <w:t>, n/N</w:t>
            </w:r>
          </w:p>
        </w:tc>
        <w:tc>
          <w:tcPr>
            <w:tcW w:w="1329" w:type="pct"/>
            <w:vMerge w:val="restart"/>
            <w:shd w:val="clear" w:color="auto" w:fill="auto"/>
            <w:vAlign w:val="center"/>
          </w:tcPr>
          <w:p w14:paraId="22B5FE91" w14:textId="3D9E575E" w:rsidR="000B30C0" w:rsidRPr="000A33D2" w:rsidRDefault="000B30C0" w:rsidP="00CF5201">
            <w:pPr>
              <w:keepNext/>
              <w:keepLines/>
              <w:jc w:val="center"/>
              <w:rPr>
                <w:rFonts w:ascii="Arial Narrow" w:hAnsi="Arial Narrow"/>
                <w:b/>
                <w:sz w:val="20"/>
                <w:szCs w:val="20"/>
              </w:rPr>
            </w:pPr>
            <w:r w:rsidRPr="000A33D2">
              <w:rPr>
                <w:rFonts w:ascii="Arial Narrow" w:hAnsi="Arial Narrow"/>
                <w:b/>
                <w:sz w:val="20"/>
                <w:szCs w:val="20"/>
              </w:rPr>
              <w:t>RR</w:t>
            </w:r>
            <w:r w:rsidR="00BB1E7C">
              <w:rPr>
                <w:rFonts w:ascii="Arial Narrow" w:hAnsi="Arial Narrow"/>
                <w:b/>
                <w:sz w:val="20"/>
                <w:szCs w:val="20"/>
              </w:rPr>
              <w:t>*</w:t>
            </w:r>
            <w:r w:rsidR="0067518D" w:rsidRPr="000A33D2">
              <w:rPr>
                <w:rFonts w:ascii="Arial Narrow" w:hAnsi="Arial Narrow"/>
                <w:b/>
                <w:sz w:val="20"/>
                <w:szCs w:val="20"/>
              </w:rPr>
              <w:t xml:space="preserve"> (95% CI)</w:t>
            </w:r>
          </w:p>
        </w:tc>
        <w:tc>
          <w:tcPr>
            <w:tcW w:w="1412" w:type="pct"/>
            <w:gridSpan w:val="2"/>
            <w:shd w:val="clear" w:color="auto" w:fill="auto"/>
            <w:vAlign w:val="center"/>
          </w:tcPr>
          <w:p w14:paraId="3AF3CE87" w14:textId="1B942CF8" w:rsidR="000B30C0" w:rsidRPr="000A33D2" w:rsidRDefault="000B30C0" w:rsidP="00CF5201">
            <w:pPr>
              <w:keepNext/>
              <w:keepLines/>
              <w:jc w:val="center"/>
              <w:rPr>
                <w:rFonts w:ascii="Arial Narrow" w:hAnsi="Arial Narrow"/>
                <w:b/>
                <w:sz w:val="20"/>
                <w:szCs w:val="20"/>
              </w:rPr>
            </w:pPr>
            <w:r w:rsidRPr="000A33D2">
              <w:rPr>
                <w:rFonts w:ascii="Arial Narrow" w:hAnsi="Arial Narrow"/>
                <w:b/>
                <w:sz w:val="20"/>
                <w:szCs w:val="20"/>
              </w:rPr>
              <w:t>Event rate/100 patients</w:t>
            </w:r>
          </w:p>
        </w:tc>
        <w:tc>
          <w:tcPr>
            <w:tcW w:w="1133" w:type="pct"/>
            <w:vMerge w:val="restart"/>
            <w:tcBorders>
              <w:top w:val="single" w:sz="4" w:space="0" w:color="auto"/>
              <w:left w:val="single" w:sz="4" w:space="0" w:color="auto"/>
              <w:right w:val="single" w:sz="4" w:space="0" w:color="auto"/>
            </w:tcBorders>
            <w:shd w:val="clear" w:color="auto" w:fill="auto"/>
          </w:tcPr>
          <w:p w14:paraId="3646E051" w14:textId="7D138DDF" w:rsidR="000B30C0" w:rsidRPr="000A33D2" w:rsidRDefault="000B30C0" w:rsidP="00CF5201">
            <w:pPr>
              <w:pStyle w:val="TableText0"/>
              <w:keepLines/>
              <w:widowControl w:val="0"/>
              <w:jc w:val="center"/>
              <w:rPr>
                <w:b/>
                <w:bCs w:val="0"/>
                <w:szCs w:val="20"/>
              </w:rPr>
            </w:pPr>
            <w:r w:rsidRPr="000A33D2">
              <w:rPr>
                <w:b/>
                <w:bCs w:val="0"/>
                <w:szCs w:val="20"/>
              </w:rPr>
              <w:t>RD</w:t>
            </w:r>
            <w:r w:rsidR="00BB1E7C">
              <w:rPr>
                <w:b/>
                <w:bCs w:val="0"/>
                <w:szCs w:val="20"/>
              </w:rPr>
              <w:t>*</w:t>
            </w:r>
            <w:r w:rsidRPr="000A33D2">
              <w:rPr>
                <w:b/>
                <w:bCs w:val="0"/>
                <w:szCs w:val="20"/>
              </w:rPr>
              <w:t xml:space="preserve"> (95% CI)</w:t>
            </w:r>
          </w:p>
        </w:tc>
      </w:tr>
      <w:tr w:rsidR="0054499A" w:rsidRPr="000A33D2" w14:paraId="683B8FA8" w14:textId="77777777" w:rsidTr="00357F65">
        <w:trPr>
          <w:trHeight w:val="178"/>
        </w:trPr>
        <w:tc>
          <w:tcPr>
            <w:tcW w:w="563" w:type="pct"/>
            <w:vMerge/>
            <w:shd w:val="clear" w:color="auto" w:fill="auto"/>
            <w:vAlign w:val="center"/>
          </w:tcPr>
          <w:p w14:paraId="7A0D7E00" w14:textId="77777777" w:rsidR="000B30C0" w:rsidRPr="000A33D2" w:rsidRDefault="000B30C0" w:rsidP="00CF5201">
            <w:pPr>
              <w:pStyle w:val="TableText0"/>
              <w:keepLines/>
              <w:widowControl w:val="0"/>
              <w:rPr>
                <w:b/>
                <w:bCs w:val="0"/>
                <w:szCs w:val="20"/>
              </w:rPr>
            </w:pPr>
          </w:p>
        </w:tc>
        <w:tc>
          <w:tcPr>
            <w:tcW w:w="563" w:type="pct"/>
            <w:vMerge/>
            <w:shd w:val="clear" w:color="auto" w:fill="auto"/>
            <w:vAlign w:val="center"/>
          </w:tcPr>
          <w:p w14:paraId="72A7B7AA" w14:textId="77777777" w:rsidR="000B30C0" w:rsidRPr="000A33D2" w:rsidRDefault="000B30C0" w:rsidP="00CF5201">
            <w:pPr>
              <w:keepNext/>
              <w:keepLines/>
              <w:jc w:val="center"/>
              <w:rPr>
                <w:rFonts w:ascii="Arial Narrow" w:hAnsi="Arial Narrow"/>
                <w:b/>
                <w:sz w:val="20"/>
                <w:szCs w:val="20"/>
              </w:rPr>
            </w:pPr>
          </w:p>
        </w:tc>
        <w:tc>
          <w:tcPr>
            <w:tcW w:w="1329" w:type="pct"/>
            <w:vMerge/>
            <w:shd w:val="clear" w:color="auto" w:fill="auto"/>
            <w:vAlign w:val="center"/>
          </w:tcPr>
          <w:p w14:paraId="273DE3BA" w14:textId="77777777" w:rsidR="000B30C0" w:rsidRPr="000A33D2" w:rsidRDefault="000B30C0" w:rsidP="00CF5201">
            <w:pPr>
              <w:keepNext/>
              <w:keepLines/>
              <w:jc w:val="center"/>
              <w:rPr>
                <w:rFonts w:ascii="Arial Narrow" w:hAnsi="Arial Narrow"/>
                <w:b/>
                <w:sz w:val="20"/>
                <w:szCs w:val="20"/>
              </w:rPr>
            </w:pPr>
          </w:p>
        </w:tc>
        <w:tc>
          <w:tcPr>
            <w:tcW w:w="706" w:type="pct"/>
            <w:shd w:val="clear" w:color="auto" w:fill="auto"/>
            <w:vAlign w:val="center"/>
          </w:tcPr>
          <w:p w14:paraId="71505643" w14:textId="3F3D065B" w:rsidR="000B30C0" w:rsidRPr="000A33D2" w:rsidRDefault="000D348D" w:rsidP="00CF5201">
            <w:pPr>
              <w:keepNext/>
              <w:keepLines/>
              <w:jc w:val="center"/>
              <w:rPr>
                <w:rFonts w:ascii="Arial Narrow" w:hAnsi="Arial Narrow"/>
                <w:b/>
                <w:sz w:val="20"/>
                <w:szCs w:val="20"/>
              </w:rPr>
            </w:pPr>
            <w:r w:rsidRPr="000A33D2">
              <w:rPr>
                <w:rFonts w:ascii="Arial Narrow" w:hAnsi="Arial Narrow"/>
                <w:b/>
                <w:sz w:val="20"/>
                <w:szCs w:val="20"/>
              </w:rPr>
              <w:t>DOS+CP</w:t>
            </w:r>
          </w:p>
        </w:tc>
        <w:tc>
          <w:tcPr>
            <w:tcW w:w="706" w:type="pct"/>
            <w:shd w:val="clear" w:color="auto" w:fill="auto"/>
            <w:vAlign w:val="center"/>
          </w:tcPr>
          <w:p w14:paraId="0C5630DD" w14:textId="72CF2B6B" w:rsidR="000B30C0" w:rsidRPr="000A33D2" w:rsidRDefault="000D348D" w:rsidP="00CF5201">
            <w:pPr>
              <w:keepNext/>
              <w:keepLines/>
              <w:jc w:val="center"/>
              <w:rPr>
                <w:rFonts w:ascii="Arial Narrow" w:hAnsi="Arial Narrow"/>
                <w:b/>
                <w:sz w:val="20"/>
                <w:szCs w:val="20"/>
              </w:rPr>
            </w:pPr>
            <w:r w:rsidRPr="000A33D2">
              <w:rPr>
                <w:rFonts w:ascii="Arial Narrow" w:hAnsi="Arial Narrow"/>
                <w:b/>
                <w:sz w:val="20"/>
                <w:szCs w:val="20"/>
              </w:rPr>
              <w:t>PBO+CP</w:t>
            </w:r>
          </w:p>
        </w:tc>
        <w:tc>
          <w:tcPr>
            <w:tcW w:w="1133" w:type="pct"/>
            <w:vMerge/>
            <w:tcBorders>
              <w:left w:val="single" w:sz="4" w:space="0" w:color="auto"/>
              <w:right w:val="single" w:sz="4" w:space="0" w:color="auto"/>
            </w:tcBorders>
            <w:shd w:val="clear" w:color="auto" w:fill="auto"/>
          </w:tcPr>
          <w:p w14:paraId="619D3D0A" w14:textId="77777777" w:rsidR="000B30C0" w:rsidRPr="000A33D2" w:rsidRDefault="000B30C0" w:rsidP="00CF5201">
            <w:pPr>
              <w:pStyle w:val="TableText0"/>
              <w:keepLines/>
              <w:widowControl w:val="0"/>
              <w:jc w:val="center"/>
              <w:rPr>
                <w:b/>
                <w:bCs w:val="0"/>
                <w:szCs w:val="20"/>
              </w:rPr>
            </w:pPr>
          </w:p>
        </w:tc>
      </w:tr>
      <w:tr w:rsidR="00EE785E" w:rsidRPr="000A33D2" w14:paraId="2D637E03" w14:textId="77777777" w:rsidTr="00EE785E">
        <w:trPr>
          <w:trHeight w:val="178"/>
        </w:trPr>
        <w:tc>
          <w:tcPr>
            <w:tcW w:w="5000" w:type="pct"/>
            <w:gridSpan w:val="6"/>
            <w:tcBorders>
              <w:right w:val="single" w:sz="4" w:space="0" w:color="auto"/>
            </w:tcBorders>
            <w:shd w:val="clear" w:color="auto" w:fill="auto"/>
            <w:vAlign w:val="center"/>
          </w:tcPr>
          <w:p w14:paraId="0C1C1BCF" w14:textId="6AF0F72F" w:rsidR="00EE785E" w:rsidRPr="000A33D2" w:rsidRDefault="00C222A6" w:rsidP="00CF5201">
            <w:pPr>
              <w:pStyle w:val="TableText0"/>
              <w:keepLines/>
              <w:widowControl w:val="0"/>
              <w:rPr>
                <w:b/>
                <w:bCs w:val="0"/>
                <w:szCs w:val="20"/>
              </w:rPr>
            </w:pPr>
            <w:r w:rsidRPr="000A33D2">
              <w:rPr>
                <w:b/>
                <w:bCs w:val="0"/>
                <w:szCs w:val="20"/>
              </w:rPr>
              <w:t>Any Grade ≥3 TEAEs</w:t>
            </w:r>
            <w:r w:rsidR="00FB5850" w:rsidRPr="000A33D2">
              <w:rPr>
                <w:b/>
                <w:bCs w:val="0"/>
                <w:szCs w:val="20"/>
              </w:rPr>
              <w:t xml:space="preserve"> (all-comers)</w:t>
            </w:r>
          </w:p>
        </w:tc>
      </w:tr>
      <w:tr w:rsidR="0054499A" w:rsidRPr="000A33D2" w14:paraId="6C9E21DD" w14:textId="77777777" w:rsidTr="00357F65">
        <w:trPr>
          <w:trHeight w:val="178"/>
        </w:trPr>
        <w:tc>
          <w:tcPr>
            <w:tcW w:w="563" w:type="pct"/>
            <w:shd w:val="clear" w:color="auto" w:fill="auto"/>
            <w:vAlign w:val="center"/>
          </w:tcPr>
          <w:p w14:paraId="05DEDEB9" w14:textId="7BBB192F" w:rsidR="00EE785E" w:rsidRPr="000A33D2" w:rsidRDefault="0067518D" w:rsidP="00CF5201">
            <w:pPr>
              <w:pStyle w:val="TableText0"/>
              <w:keepLines/>
              <w:widowControl w:val="0"/>
              <w:rPr>
                <w:szCs w:val="20"/>
              </w:rPr>
            </w:pPr>
            <w:r w:rsidRPr="000A33D2">
              <w:rPr>
                <w:szCs w:val="20"/>
              </w:rPr>
              <w:t>170/241</w:t>
            </w:r>
          </w:p>
        </w:tc>
        <w:tc>
          <w:tcPr>
            <w:tcW w:w="563" w:type="pct"/>
            <w:shd w:val="clear" w:color="auto" w:fill="auto"/>
            <w:vAlign w:val="center"/>
          </w:tcPr>
          <w:p w14:paraId="52131BAC" w14:textId="72D1FD74" w:rsidR="00EE785E" w:rsidRPr="000A33D2" w:rsidRDefault="0067518D" w:rsidP="00CF5201">
            <w:pPr>
              <w:keepNext/>
              <w:keepLines/>
              <w:jc w:val="center"/>
              <w:rPr>
                <w:rFonts w:ascii="Arial Narrow" w:hAnsi="Arial Narrow"/>
                <w:sz w:val="20"/>
                <w:szCs w:val="20"/>
              </w:rPr>
            </w:pPr>
            <w:r w:rsidRPr="000A33D2">
              <w:rPr>
                <w:rFonts w:ascii="Arial Narrow" w:hAnsi="Arial Narrow"/>
                <w:sz w:val="20"/>
                <w:szCs w:val="20"/>
              </w:rPr>
              <w:t>147/246</w:t>
            </w:r>
          </w:p>
        </w:tc>
        <w:tc>
          <w:tcPr>
            <w:tcW w:w="1329" w:type="pct"/>
            <w:shd w:val="clear" w:color="auto" w:fill="auto"/>
            <w:vAlign w:val="center"/>
          </w:tcPr>
          <w:p w14:paraId="421985BA" w14:textId="5DE1ACCF" w:rsidR="00EE785E" w:rsidRPr="000A33D2" w:rsidRDefault="0067518D" w:rsidP="00CF5201">
            <w:pPr>
              <w:keepNext/>
              <w:keepLines/>
              <w:jc w:val="center"/>
              <w:rPr>
                <w:rFonts w:ascii="Arial Narrow" w:hAnsi="Arial Narrow"/>
                <w:sz w:val="20"/>
                <w:szCs w:val="20"/>
              </w:rPr>
            </w:pPr>
            <w:r w:rsidRPr="000A33D2">
              <w:rPr>
                <w:rFonts w:ascii="Arial Narrow" w:hAnsi="Arial Narrow"/>
                <w:sz w:val="20"/>
                <w:szCs w:val="20"/>
              </w:rPr>
              <w:t>1.18 (1.04, 1.35)</w:t>
            </w:r>
          </w:p>
        </w:tc>
        <w:tc>
          <w:tcPr>
            <w:tcW w:w="706" w:type="pct"/>
            <w:shd w:val="clear" w:color="auto" w:fill="auto"/>
            <w:vAlign w:val="center"/>
          </w:tcPr>
          <w:p w14:paraId="682C0E27" w14:textId="16A29D12" w:rsidR="00EE785E" w:rsidRPr="000A33D2" w:rsidRDefault="00AF4238" w:rsidP="00CF5201">
            <w:pPr>
              <w:keepNext/>
              <w:keepLines/>
              <w:jc w:val="center"/>
              <w:rPr>
                <w:rFonts w:ascii="Arial Narrow" w:hAnsi="Arial Narrow"/>
                <w:sz w:val="20"/>
                <w:szCs w:val="20"/>
              </w:rPr>
            </w:pPr>
            <w:r w:rsidRPr="000A33D2">
              <w:rPr>
                <w:rFonts w:ascii="Arial Narrow" w:hAnsi="Arial Narrow"/>
                <w:sz w:val="20"/>
                <w:szCs w:val="20"/>
              </w:rPr>
              <w:t>70.5</w:t>
            </w:r>
          </w:p>
        </w:tc>
        <w:tc>
          <w:tcPr>
            <w:tcW w:w="706" w:type="pct"/>
            <w:shd w:val="clear" w:color="auto" w:fill="auto"/>
            <w:vAlign w:val="center"/>
          </w:tcPr>
          <w:p w14:paraId="7D27E959" w14:textId="00F0B383" w:rsidR="00EE785E" w:rsidRPr="000A33D2" w:rsidRDefault="00AF4238" w:rsidP="00CF5201">
            <w:pPr>
              <w:keepNext/>
              <w:keepLines/>
              <w:jc w:val="center"/>
              <w:rPr>
                <w:rFonts w:ascii="Arial Narrow" w:hAnsi="Arial Narrow"/>
                <w:sz w:val="20"/>
                <w:szCs w:val="20"/>
              </w:rPr>
            </w:pPr>
            <w:r w:rsidRPr="000A33D2">
              <w:rPr>
                <w:rFonts w:ascii="Arial Narrow" w:hAnsi="Arial Narrow"/>
                <w:sz w:val="20"/>
                <w:szCs w:val="20"/>
              </w:rPr>
              <w:t>59.8</w:t>
            </w:r>
          </w:p>
        </w:tc>
        <w:tc>
          <w:tcPr>
            <w:tcW w:w="1133" w:type="pct"/>
            <w:tcBorders>
              <w:left w:val="single" w:sz="4" w:space="0" w:color="auto"/>
              <w:right w:val="single" w:sz="4" w:space="0" w:color="auto"/>
            </w:tcBorders>
            <w:shd w:val="clear" w:color="auto" w:fill="auto"/>
          </w:tcPr>
          <w:p w14:paraId="7F2FECD8" w14:textId="62793D9F" w:rsidR="00EE785E" w:rsidRPr="000A33D2" w:rsidRDefault="0067518D" w:rsidP="00CF5201">
            <w:pPr>
              <w:pStyle w:val="TableText0"/>
              <w:keepLines/>
              <w:widowControl w:val="0"/>
              <w:jc w:val="center"/>
              <w:rPr>
                <w:szCs w:val="20"/>
              </w:rPr>
            </w:pPr>
            <w:r w:rsidRPr="000A33D2">
              <w:rPr>
                <w:szCs w:val="20"/>
              </w:rPr>
              <w:t>0.11 (0.02, 0.19)</w:t>
            </w:r>
          </w:p>
        </w:tc>
      </w:tr>
      <w:tr w:rsidR="00C222A6" w:rsidRPr="000A33D2" w14:paraId="279443AE" w14:textId="77777777" w:rsidTr="00C222A6">
        <w:trPr>
          <w:trHeight w:val="178"/>
        </w:trPr>
        <w:tc>
          <w:tcPr>
            <w:tcW w:w="5000" w:type="pct"/>
            <w:gridSpan w:val="6"/>
            <w:tcBorders>
              <w:right w:val="single" w:sz="4" w:space="0" w:color="auto"/>
            </w:tcBorders>
            <w:shd w:val="clear" w:color="auto" w:fill="auto"/>
            <w:vAlign w:val="center"/>
          </w:tcPr>
          <w:p w14:paraId="0E4C7E41" w14:textId="3BF59ECB" w:rsidR="00C222A6" w:rsidRPr="000A33D2" w:rsidRDefault="00C222A6" w:rsidP="00CF5201">
            <w:pPr>
              <w:pStyle w:val="TableText0"/>
              <w:keepLines/>
              <w:widowControl w:val="0"/>
              <w:rPr>
                <w:szCs w:val="20"/>
              </w:rPr>
            </w:pPr>
            <w:r w:rsidRPr="000A33D2">
              <w:rPr>
                <w:b/>
                <w:bCs w:val="0"/>
                <w:szCs w:val="20"/>
              </w:rPr>
              <w:t>Any SAEs</w:t>
            </w:r>
            <w:r w:rsidR="00FB5850" w:rsidRPr="000A33D2">
              <w:rPr>
                <w:b/>
                <w:bCs w:val="0"/>
                <w:szCs w:val="20"/>
              </w:rPr>
              <w:t xml:space="preserve"> (all-comers)</w:t>
            </w:r>
          </w:p>
        </w:tc>
      </w:tr>
      <w:tr w:rsidR="0054499A" w:rsidRPr="000A33D2" w14:paraId="598334BF" w14:textId="77777777" w:rsidTr="00013847">
        <w:trPr>
          <w:trHeight w:val="178"/>
        </w:trPr>
        <w:tc>
          <w:tcPr>
            <w:tcW w:w="563" w:type="pct"/>
            <w:shd w:val="clear" w:color="auto" w:fill="auto"/>
            <w:vAlign w:val="center"/>
          </w:tcPr>
          <w:p w14:paraId="7DF5294C" w14:textId="58D2A8F6" w:rsidR="00EE785E" w:rsidRPr="000A33D2" w:rsidRDefault="00AF4238" w:rsidP="00CF5201">
            <w:pPr>
              <w:pStyle w:val="TableText0"/>
              <w:keepLines/>
              <w:widowControl w:val="0"/>
              <w:rPr>
                <w:szCs w:val="20"/>
              </w:rPr>
            </w:pPr>
            <w:r w:rsidRPr="000A33D2">
              <w:rPr>
                <w:szCs w:val="20"/>
              </w:rPr>
              <w:t>9</w:t>
            </w:r>
            <w:r w:rsidR="002F4F5C" w:rsidRPr="000A33D2">
              <w:rPr>
                <w:szCs w:val="20"/>
              </w:rPr>
              <w:t>1</w:t>
            </w:r>
            <w:r w:rsidRPr="000A33D2">
              <w:rPr>
                <w:szCs w:val="20"/>
              </w:rPr>
              <w:t>/241</w:t>
            </w:r>
          </w:p>
        </w:tc>
        <w:tc>
          <w:tcPr>
            <w:tcW w:w="563" w:type="pct"/>
            <w:shd w:val="clear" w:color="auto" w:fill="auto"/>
            <w:vAlign w:val="center"/>
          </w:tcPr>
          <w:p w14:paraId="413E4690" w14:textId="50F6EAB6" w:rsidR="00EE785E" w:rsidRPr="000A33D2" w:rsidRDefault="00AF4238" w:rsidP="00CF5201">
            <w:pPr>
              <w:keepNext/>
              <w:keepLines/>
              <w:jc w:val="center"/>
              <w:rPr>
                <w:rFonts w:ascii="Arial Narrow" w:hAnsi="Arial Narrow"/>
                <w:sz w:val="20"/>
                <w:szCs w:val="20"/>
              </w:rPr>
            </w:pPr>
            <w:r w:rsidRPr="000A33D2">
              <w:rPr>
                <w:rFonts w:ascii="Arial Narrow" w:hAnsi="Arial Narrow"/>
                <w:sz w:val="20"/>
                <w:szCs w:val="20"/>
              </w:rPr>
              <w:t>68/246</w:t>
            </w:r>
          </w:p>
        </w:tc>
        <w:tc>
          <w:tcPr>
            <w:tcW w:w="1329" w:type="pct"/>
            <w:shd w:val="clear" w:color="auto" w:fill="auto"/>
            <w:vAlign w:val="center"/>
          </w:tcPr>
          <w:p w14:paraId="0D25E931" w14:textId="2597F1E6" w:rsidR="00EE785E" w:rsidRPr="000A33D2" w:rsidRDefault="00AF4238" w:rsidP="00CF5201">
            <w:pPr>
              <w:keepNext/>
              <w:keepLines/>
              <w:jc w:val="center"/>
              <w:rPr>
                <w:rFonts w:ascii="Arial Narrow" w:hAnsi="Arial Narrow"/>
                <w:sz w:val="20"/>
                <w:szCs w:val="20"/>
              </w:rPr>
            </w:pPr>
            <w:r w:rsidRPr="000A33D2">
              <w:rPr>
                <w:rFonts w:ascii="Arial Narrow" w:hAnsi="Arial Narrow"/>
                <w:sz w:val="20"/>
                <w:szCs w:val="20"/>
              </w:rPr>
              <w:t>1.37 (1.06, 1.77)</w:t>
            </w:r>
          </w:p>
        </w:tc>
        <w:tc>
          <w:tcPr>
            <w:tcW w:w="706" w:type="pct"/>
            <w:shd w:val="clear" w:color="auto" w:fill="auto"/>
            <w:vAlign w:val="center"/>
          </w:tcPr>
          <w:p w14:paraId="026FBF57" w14:textId="30280545" w:rsidR="00EE785E" w:rsidRPr="000A33D2" w:rsidRDefault="00AF4238" w:rsidP="00CF5201">
            <w:pPr>
              <w:keepNext/>
              <w:keepLines/>
              <w:jc w:val="center"/>
              <w:rPr>
                <w:rFonts w:ascii="Arial Narrow" w:hAnsi="Arial Narrow"/>
                <w:sz w:val="20"/>
                <w:szCs w:val="20"/>
              </w:rPr>
            </w:pPr>
            <w:r w:rsidRPr="000A33D2">
              <w:rPr>
                <w:rFonts w:ascii="Arial Narrow" w:hAnsi="Arial Narrow"/>
                <w:sz w:val="20"/>
                <w:szCs w:val="20"/>
              </w:rPr>
              <w:t>37.8</w:t>
            </w:r>
          </w:p>
        </w:tc>
        <w:tc>
          <w:tcPr>
            <w:tcW w:w="706" w:type="pct"/>
            <w:shd w:val="clear" w:color="auto" w:fill="auto"/>
            <w:vAlign w:val="center"/>
          </w:tcPr>
          <w:p w14:paraId="140C2B79" w14:textId="478C38B7" w:rsidR="00EE785E" w:rsidRPr="000A33D2" w:rsidRDefault="00AF4238" w:rsidP="00CF5201">
            <w:pPr>
              <w:keepNext/>
              <w:keepLines/>
              <w:jc w:val="center"/>
              <w:rPr>
                <w:rFonts w:ascii="Arial Narrow" w:hAnsi="Arial Narrow"/>
                <w:sz w:val="20"/>
                <w:szCs w:val="20"/>
              </w:rPr>
            </w:pPr>
            <w:r w:rsidRPr="000A33D2">
              <w:rPr>
                <w:rFonts w:ascii="Arial Narrow" w:hAnsi="Arial Narrow"/>
                <w:sz w:val="20"/>
                <w:szCs w:val="20"/>
              </w:rPr>
              <w:t>27.6</w:t>
            </w:r>
          </w:p>
        </w:tc>
        <w:tc>
          <w:tcPr>
            <w:tcW w:w="1133" w:type="pct"/>
            <w:tcBorders>
              <w:left w:val="single" w:sz="4" w:space="0" w:color="auto"/>
              <w:right w:val="single" w:sz="4" w:space="0" w:color="auto"/>
            </w:tcBorders>
            <w:shd w:val="clear" w:color="auto" w:fill="auto"/>
          </w:tcPr>
          <w:p w14:paraId="31EC83A6" w14:textId="2AD599C9" w:rsidR="00EE785E" w:rsidRPr="000A33D2" w:rsidRDefault="00AF4238" w:rsidP="00CF5201">
            <w:pPr>
              <w:pStyle w:val="TableText0"/>
              <w:keepLines/>
              <w:widowControl w:val="0"/>
              <w:jc w:val="center"/>
              <w:rPr>
                <w:szCs w:val="20"/>
              </w:rPr>
            </w:pPr>
            <w:r w:rsidRPr="000A33D2">
              <w:rPr>
                <w:szCs w:val="20"/>
              </w:rPr>
              <w:t>0.10 (0.02, 0.18)</w:t>
            </w:r>
          </w:p>
        </w:tc>
      </w:tr>
      <w:tr w:rsidR="00C222A6" w:rsidRPr="000A33D2" w14:paraId="5B861673" w14:textId="77777777" w:rsidTr="00C222A6">
        <w:trPr>
          <w:trHeight w:val="178"/>
        </w:trPr>
        <w:tc>
          <w:tcPr>
            <w:tcW w:w="5000" w:type="pct"/>
            <w:gridSpan w:val="6"/>
            <w:shd w:val="clear" w:color="auto" w:fill="auto"/>
            <w:vAlign w:val="center"/>
          </w:tcPr>
          <w:p w14:paraId="18CF15DA" w14:textId="32F43B84" w:rsidR="00C222A6" w:rsidRPr="000A33D2" w:rsidRDefault="00C222A6" w:rsidP="00CF5201">
            <w:pPr>
              <w:pStyle w:val="TableText0"/>
              <w:keepLines/>
              <w:widowControl w:val="0"/>
              <w:rPr>
                <w:szCs w:val="20"/>
              </w:rPr>
            </w:pPr>
            <w:r w:rsidRPr="000A33D2">
              <w:rPr>
                <w:b/>
                <w:bCs w:val="0"/>
                <w:szCs w:val="20"/>
              </w:rPr>
              <w:t>Any immune-related TEAEs</w:t>
            </w:r>
            <w:r w:rsidR="00FB5850" w:rsidRPr="000A33D2">
              <w:rPr>
                <w:b/>
                <w:bCs w:val="0"/>
                <w:szCs w:val="20"/>
              </w:rPr>
              <w:t xml:space="preserve"> (all-comers)</w:t>
            </w:r>
          </w:p>
        </w:tc>
      </w:tr>
      <w:tr w:rsidR="0054499A" w:rsidRPr="000A33D2" w14:paraId="3A719337" w14:textId="77777777" w:rsidTr="00013847">
        <w:trPr>
          <w:trHeight w:val="178"/>
        </w:trPr>
        <w:tc>
          <w:tcPr>
            <w:tcW w:w="563" w:type="pct"/>
            <w:shd w:val="clear" w:color="auto" w:fill="auto"/>
            <w:vAlign w:val="center"/>
          </w:tcPr>
          <w:p w14:paraId="421813D7" w14:textId="43ADC763" w:rsidR="00EE785E" w:rsidRPr="000A33D2" w:rsidRDefault="003F5961" w:rsidP="00CF5201">
            <w:pPr>
              <w:pStyle w:val="TableText0"/>
              <w:keepLines/>
              <w:widowControl w:val="0"/>
              <w:rPr>
                <w:szCs w:val="20"/>
              </w:rPr>
            </w:pPr>
            <w:r w:rsidRPr="000A33D2">
              <w:rPr>
                <w:szCs w:val="20"/>
              </w:rPr>
              <w:t>137/241</w:t>
            </w:r>
          </w:p>
        </w:tc>
        <w:tc>
          <w:tcPr>
            <w:tcW w:w="563" w:type="pct"/>
            <w:shd w:val="clear" w:color="auto" w:fill="auto"/>
            <w:vAlign w:val="center"/>
          </w:tcPr>
          <w:p w14:paraId="30BE05AF" w14:textId="52ECEBCD"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88/246</w:t>
            </w:r>
          </w:p>
        </w:tc>
        <w:tc>
          <w:tcPr>
            <w:tcW w:w="1329" w:type="pct"/>
            <w:shd w:val="clear" w:color="auto" w:fill="auto"/>
            <w:vAlign w:val="center"/>
          </w:tcPr>
          <w:p w14:paraId="04ECD79B" w14:textId="7757DC31"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1.59 (1.30, 1.95)</w:t>
            </w:r>
          </w:p>
        </w:tc>
        <w:tc>
          <w:tcPr>
            <w:tcW w:w="706" w:type="pct"/>
            <w:shd w:val="clear" w:color="auto" w:fill="auto"/>
            <w:vAlign w:val="center"/>
          </w:tcPr>
          <w:p w14:paraId="0D17FE4C" w14:textId="46E1935D"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56.8</w:t>
            </w:r>
          </w:p>
        </w:tc>
        <w:tc>
          <w:tcPr>
            <w:tcW w:w="706" w:type="pct"/>
            <w:shd w:val="clear" w:color="auto" w:fill="auto"/>
            <w:vAlign w:val="center"/>
          </w:tcPr>
          <w:p w14:paraId="6C836ACB" w14:textId="3CE433A4"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35.8</w:t>
            </w:r>
          </w:p>
        </w:tc>
        <w:tc>
          <w:tcPr>
            <w:tcW w:w="1133" w:type="pct"/>
            <w:tcBorders>
              <w:left w:val="single" w:sz="4" w:space="0" w:color="auto"/>
              <w:right w:val="single" w:sz="4" w:space="0" w:color="auto"/>
            </w:tcBorders>
            <w:shd w:val="clear" w:color="auto" w:fill="auto"/>
          </w:tcPr>
          <w:p w14:paraId="08A4EF00" w14:textId="1EBDC1EE" w:rsidR="00EE785E" w:rsidRPr="000A33D2" w:rsidRDefault="003F5961" w:rsidP="00CF5201">
            <w:pPr>
              <w:pStyle w:val="TableText0"/>
              <w:keepLines/>
              <w:widowControl w:val="0"/>
              <w:jc w:val="center"/>
              <w:rPr>
                <w:szCs w:val="20"/>
              </w:rPr>
            </w:pPr>
            <w:r w:rsidRPr="000A33D2">
              <w:rPr>
                <w:szCs w:val="20"/>
              </w:rPr>
              <w:t>0.21 (0.12, 0.30)</w:t>
            </w:r>
          </w:p>
        </w:tc>
      </w:tr>
      <w:tr w:rsidR="00C222A6" w:rsidRPr="000A33D2" w14:paraId="53C150BF" w14:textId="77777777" w:rsidTr="00C222A6">
        <w:trPr>
          <w:trHeight w:val="178"/>
        </w:trPr>
        <w:tc>
          <w:tcPr>
            <w:tcW w:w="5000" w:type="pct"/>
            <w:gridSpan w:val="6"/>
            <w:tcBorders>
              <w:right w:val="single" w:sz="4" w:space="0" w:color="auto"/>
            </w:tcBorders>
            <w:shd w:val="clear" w:color="auto" w:fill="auto"/>
            <w:vAlign w:val="center"/>
          </w:tcPr>
          <w:p w14:paraId="4BE2B833" w14:textId="242EAE11" w:rsidR="00C222A6" w:rsidRPr="000A33D2" w:rsidRDefault="00C222A6" w:rsidP="00CF5201">
            <w:pPr>
              <w:pStyle w:val="TableText0"/>
              <w:keepLines/>
              <w:widowControl w:val="0"/>
              <w:rPr>
                <w:szCs w:val="20"/>
              </w:rPr>
            </w:pPr>
            <w:r w:rsidRPr="000A33D2">
              <w:rPr>
                <w:b/>
                <w:bCs w:val="0"/>
                <w:szCs w:val="20"/>
              </w:rPr>
              <w:t>Any DOS- or PBO-related immune-related TEAEs</w:t>
            </w:r>
            <w:r w:rsidR="00FB5850" w:rsidRPr="000A33D2">
              <w:rPr>
                <w:b/>
                <w:bCs w:val="0"/>
                <w:szCs w:val="20"/>
              </w:rPr>
              <w:t xml:space="preserve"> (all-comers)</w:t>
            </w:r>
          </w:p>
        </w:tc>
      </w:tr>
      <w:tr w:rsidR="0054499A" w:rsidRPr="000A33D2" w14:paraId="21DB9BE3" w14:textId="77777777" w:rsidTr="00013847">
        <w:trPr>
          <w:trHeight w:val="178"/>
        </w:trPr>
        <w:tc>
          <w:tcPr>
            <w:tcW w:w="563" w:type="pct"/>
            <w:shd w:val="clear" w:color="auto" w:fill="auto"/>
            <w:vAlign w:val="center"/>
          </w:tcPr>
          <w:p w14:paraId="3A438F85" w14:textId="3942A9A0" w:rsidR="00EE785E" w:rsidRPr="000A33D2" w:rsidRDefault="003F5961" w:rsidP="00CF5201">
            <w:pPr>
              <w:pStyle w:val="TableText0"/>
              <w:keepLines/>
              <w:widowControl w:val="0"/>
              <w:rPr>
                <w:szCs w:val="20"/>
              </w:rPr>
            </w:pPr>
            <w:r w:rsidRPr="000A33D2">
              <w:rPr>
                <w:szCs w:val="20"/>
              </w:rPr>
              <w:t>92/241</w:t>
            </w:r>
          </w:p>
        </w:tc>
        <w:tc>
          <w:tcPr>
            <w:tcW w:w="563" w:type="pct"/>
            <w:shd w:val="clear" w:color="auto" w:fill="auto"/>
            <w:vAlign w:val="center"/>
          </w:tcPr>
          <w:p w14:paraId="4CE5BCE1" w14:textId="5B5627B1"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38/246</w:t>
            </w:r>
          </w:p>
        </w:tc>
        <w:tc>
          <w:tcPr>
            <w:tcW w:w="1329" w:type="pct"/>
            <w:shd w:val="clear" w:color="auto" w:fill="auto"/>
            <w:vAlign w:val="center"/>
          </w:tcPr>
          <w:p w14:paraId="248BDC3B" w14:textId="378C267C"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2.47 (1.78, 3.46)</w:t>
            </w:r>
          </w:p>
        </w:tc>
        <w:tc>
          <w:tcPr>
            <w:tcW w:w="706" w:type="pct"/>
            <w:shd w:val="clear" w:color="auto" w:fill="auto"/>
            <w:vAlign w:val="center"/>
          </w:tcPr>
          <w:p w14:paraId="248C8AC4" w14:textId="29E4DDAF"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38.2</w:t>
            </w:r>
          </w:p>
        </w:tc>
        <w:tc>
          <w:tcPr>
            <w:tcW w:w="706" w:type="pct"/>
            <w:shd w:val="clear" w:color="auto" w:fill="auto"/>
            <w:vAlign w:val="center"/>
          </w:tcPr>
          <w:p w14:paraId="3EB4580C" w14:textId="375B3CD1" w:rsidR="00EE785E"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15.4</w:t>
            </w:r>
          </w:p>
        </w:tc>
        <w:tc>
          <w:tcPr>
            <w:tcW w:w="1133" w:type="pct"/>
            <w:tcBorders>
              <w:left w:val="single" w:sz="4" w:space="0" w:color="auto"/>
              <w:right w:val="single" w:sz="4" w:space="0" w:color="auto"/>
            </w:tcBorders>
            <w:shd w:val="clear" w:color="auto" w:fill="auto"/>
          </w:tcPr>
          <w:p w14:paraId="27A28BD8" w14:textId="46B18064" w:rsidR="00EE785E" w:rsidRPr="000A33D2" w:rsidRDefault="003F5961" w:rsidP="00CF5201">
            <w:pPr>
              <w:pStyle w:val="TableText0"/>
              <w:keepLines/>
              <w:widowControl w:val="0"/>
              <w:jc w:val="center"/>
              <w:rPr>
                <w:szCs w:val="20"/>
              </w:rPr>
            </w:pPr>
            <w:r w:rsidRPr="000A33D2">
              <w:rPr>
                <w:szCs w:val="20"/>
              </w:rPr>
              <w:t>0.23 (0.15, 0.30)</w:t>
            </w:r>
          </w:p>
        </w:tc>
      </w:tr>
      <w:tr w:rsidR="00A819F7" w:rsidRPr="000A33D2" w14:paraId="3127F716" w14:textId="77777777" w:rsidTr="00A819F7">
        <w:trPr>
          <w:trHeight w:val="178"/>
        </w:trPr>
        <w:tc>
          <w:tcPr>
            <w:tcW w:w="5000" w:type="pct"/>
            <w:gridSpan w:val="6"/>
            <w:tcBorders>
              <w:right w:val="single" w:sz="4" w:space="0" w:color="auto"/>
            </w:tcBorders>
            <w:shd w:val="clear" w:color="auto" w:fill="auto"/>
            <w:vAlign w:val="center"/>
          </w:tcPr>
          <w:p w14:paraId="3B6BC9C2" w14:textId="672B968D" w:rsidR="00A819F7" w:rsidRPr="000A33D2" w:rsidRDefault="00A819F7" w:rsidP="00CF5201">
            <w:pPr>
              <w:pStyle w:val="TableText0"/>
              <w:keepLines/>
              <w:widowControl w:val="0"/>
              <w:rPr>
                <w:b/>
                <w:bCs w:val="0"/>
                <w:szCs w:val="20"/>
              </w:rPr>
            </w:pPr>
            <w:r w:rsidRPr="000A33D2">
              <w:rPr>
                <w:b/>
                <w:bCs w:val="0"/>
                <w:szCs w:val="20"/>
              </w:rPr>
              <w:t>Any TEAE with outcome of death</w:t>
            </w:r>
            <w:r w:rsidR="00FB5850" w:rsidRPr="000A33D2">
              <w:rPr>
                <w:b/>
                <w:bCs w:val="0"/>
                <w:szCs w:val="20"/>
              </w:rPr>
              <w:t xml:space="preserve"> (all-comers)</w:t>
            </w:r>
          </w:p>
        </w:tc>
      </w:tr>
      <w:tr w:rsidR="0054499A" w:rsidRPr="000A33D2" w14:paraId="0D2EB551" w14:textId="77777777" w:rsidTr="00013847">
        <w:trPr>
          <w:trHeight w:val="178"/>
        </w:trPr>
        <w:tc>
          <w:tcPr>
            <w:tcW w:w="563" w:type="pct"/>
            <w:shd w:val="clear" w:color="auto" w:fill="auto"/>
            <w:vAlign w:val="center"/>
          </w:tcPr>
          <w:p w14:paraId="6AE5FB21" w14:textId="589FD91F" w:rsidR="00C222A6" w:rsidRPr="000A33D2" w:rsidRDefault="003F5961" w:rsidP="00CF5201">
            <w:pPr>
              <w:pStyle w:val="TableText0"/>
              <w:keepLines/>
              <w:widowControl w:val="0"/>
              <w:rPr>
                <w:szCs w:val="20"/>
              </w:rPr>
            </w:pPr>
            <w:r w:rsidRPr="000A33D2">
              <w:rPr>
                <w:szCs w:val="20"/>
              </w:rPr>
              <w:t>5/241</w:t>
            </w:r>
          </w:p>
        </w:tc>
        <w:tc>
          <w:tcPr>
            <w:tcW w:w="563" w:type="pct"/>
            <w:shd w:val="clear" w:color="auto" w:fill="auto"/>
            <w:vAlign w:val="center"/>
          </w:tcPr>
          <w:p w14:paraId="13DFFECD" w14:textId="71869B48" w:rsidR="00C222A6"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0/246</w:t>
            </w:r>
          </w:p>
        </w:tc>
        <w:tc>
          <w:tcPr>
            <w:tcW w:w="1329" w:type="pct"/>
            <w:shd w:val="clear" w:color="auto" w:fill="auto"/>
            <w:vAlign w:val="center"/>
          </w:tcPr>
          <w:p w14:paraId="133EC1D6" w14:textId="0D2563D9" w:rsidR="00C222A6"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11.23 (1.34, ∞)</w:t>
            </w:r>
          </w:p>
        </w:tc>
        <w:tc>
          <w:tcPr>
            <w:tcW w:w="706" w:type="pct"/>
            <w:shd w:val="clear" w:color="auto" w:fill="auto"/>
            <w:vAlign w:val="center"/>
          </w:tcPr>
          <w:p w14:paraId="699EED88" w14:textId="714BD35D" w:rsidR="00C222A6"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2.1</w:t>
            </w:r>
          </w:p>
        </w:tc>
        <w:tc>
          <w:tcPr>
            <w:tcW w:w="706" w:type="pct"/>
            <w:shd w:val="clear" w:color="auto" w:fill="auto"/>
            <w:vAlign w:val="center"/>
          </w:tcPr>
          <w:p w14:paraId="110B5C7E" w14:textId="139682DE" w:rsidR="00C222A6" w:rsidRPr="000A33D2" w:rsidRDefault="003F5961" w:rsidP="00CF5201">
            <w:pPr>
              <w:keepNext/>
              <w:keepLines/>
              <w:jc w:val="center"/>
              <w:rPr>
                <w:rFonts w:ascii="Arial Narrow" w:hAnsi="Arial Narrow"/>
                <w:sz w:val="20"/>
                <w:szCs w:val="20"/>
              </w:rPr>
            </w:pPr>
            <w:r w:rsidRPr="000A33D2">
              <w:rPr>
                <w:rFonts w:ascii="Arial Narrow" w:hAnsi="Arial Narrow"/>
                <w:sz w:val="20"/>
                <w:szCs w:val="20"/>
              </w:rPr>
              <w:t>0.0</w:t>
            </w:r>
          </w:p>
        </w:tc>
        <w:tc>
          <w:tcPr>
            <w:tcW w:w="1133" w:type="pct"/>
            <w:tcBorders>
              <w:left w:val="single" w:sz="4" w:space="0" w:color="auto"/>
              <w:right w:val="single" w:sz="4" w:space="0" w:color="auto"/>
            </w:tcBorders>
            <w:shd w:val="clear" w:color="auto" w:fill="auto"/>
          </w:tcPr>
          <w:p w14:paraId="7BE7F854" w14:textId="388F41C7" w:rsidR="00C222A6" w:rsidRPr="000A33D2" w:rsidRDefault="003F5961" w:rsidP="00CF5201">
            <w:pPr>
              <w:pStyle w:val="TableText0"/>
              <w:keepLines/>
              <w:widowControl w:val="0"/>
              <w:jc w:val="center"/>
              <w:rPr>
                <w:szCs w:val="20"/>
              </w:rPr>
            </w:pPr>
            <w:r w:rsidRPr="000A33D2">
              <w:rPr>
                <w:szCs w:val="20"/>
              </w:rPr>
              <w:t>0.02 (0.01, 0.05)</w:t>
            </w:r>
          </w:p>
        </w:tc>
      </w:tr>
      <w:tr w:rsidR="00A819F7" w:rsidRPr="000A33D2" w14:paraId="31987852" w14:textId="77777777" w:rsidTr="00A819F7">
        <w:trPr>
          <w:trHeight w:val="178"/>
        </w:trPr>
        <w:tc>
          <w:tcPr>
            <w:tcW w:w="5000" w:type="pct"/>
            <w:gridSpan w:val="6"/>
            <w:tcBorders>
              <w:right w:val="single" w:sz="4" w:space="0" w:color="auto"/>
            </w:tcBorders>
            <w:shd w:val="clear" w:color="auto" w:fill="auto"/>
            <w:vAlign w:val="center"/>
          </w:tcPr>
          <w:p w14:paraId="63EA6102" w14:textId="294EDEAE" w:rsidR="00A819F7" w:rsidRPr="000A33D2" w:rsidRDefault="00A819F7" w:rsidP="00CF5201">
            <w:pPr>
              <w:pStyle w:val="TableText0"/>
              <w:keepLines/>
              <w:widowControl w:val="0"/>
              <w:rPr>
                <w:szCs w:val="20"/>
              </w:rPr>
            </w:pPr>
            <w:r w:rsidRPr="000A33D2">
              <w:rPr>
                <w:b/>
                <w:bCs w:val="0"/>
                <w:szCs w:val="20"/>
              </w:rPr>
              <w:t xml:space="preserve">Any </w:t>
            </w:r>
            <w:r w:rsidR="007E38D5" w:rsidRPr="000A33D2">
              <w:rPr>
                <w:b/>
                <w:bCs w:val="0"/>
                <w:szCs w:val="20"/>
              </w:rPr>
              <w:t>immune-related TEAEs</w:t>
            </w:r>
            <w:r w:rsidRPr="000A33D2">
              <w:rPr>
                <w:b/>
                <w:bCs w:val="0"/>
                <w:szCs w:val="20"/>
              </w:rPr>
              <w:t xml:space="preserve"> (dMMR</w:t>
            </w:r>
            <w:r w:rsidR="00FB5850" w:rsidRPr="000A33D2">
              <w:rPr>
                <w:b/>
                <w:bCs w:val="0"/>
                <w:szCs w:val="20"/>
              </w:rPr>
              <w:t>/MSI-H</w:t>
            </w:r>
            <w:r w:rsidRPr="000A33D2">
              <w:rPr>
                <w:b/>
                <w:bCs w:val="0"/>
                <w:szCs w:val="20"/>
              </w:rPr>
              <w:t>)</w:t>
            </w:r>
          </w:p>
        </w:tc>
      </w:tr>
      <w:tr w:rsidR="0054499A" w:rsidRPr="000A33D2" w14:paraId="4A95CE24" w14:textId="77777777" w:rsidTr="00013847">
        <w:trPr>
          <w:trHeight w:val="178"/>
        </w:trPr>
        <w:tc>
          <w:tcPr>
            <w:tcW w:w="563" w:type="pct"/>
            <w:shd w:val="clear" w:color="auto" w:fill="auto"/>
            <w:vAlign w:val="center"/>
          </w:tcPr>
          <w:p w14:paraId="2BA312DF" w14:textId="0EFE8A94" w:rsidR="00C222A6" w:rsidRPr="000A33D2" w:rsidRDefault="009C4E99" w:rsidP="00CF5201">
            <w:pPr>
              <w:pStyle w:val="TableText0"/>
              <w:keepLines/>
              <w:widowControl w:val="0"/>
              <w:rPr>
                <w:szCs w:val="20"/>
              </w:rPr>
            </w:pPr>
            <w:r w:rsidRPr="000A33D2">
              <w:rPr>
                <w:szCs w:val="20"/>
              </w:rPr>
              <w:t>38/52</w:t>
            </w:r>
          </w:p>
        </w:tc>
        <w:tc>
          <w:tcPr>
            <w:tcW w:w="563" w:type="pct"/>
            <w:shd w:val="clear" w:color="auto" w:fill="auto"/>
            <w:vAlign w:val="center"/>
          </w:tcPr>
          <w:p w14:paraId="2A17CA82" w14:textId="5D5874E4"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24/65</w:t>
            </w:r>
          </w:p>
        </w:tc>
        <w:tc>
          <w:tcPr>
            <w:tcW w:w="1329" w:type="pct"/>
            <w:shd w:val="clear" w:color="auto" w:fill="auto"/>
            <w:vAlign w:val="center"/>
          </w:tcPr>
          <w:p w14:paraId="6DC09A5E" w14:textId="74EF86D3"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1.98 (1.40, 2.87)</w:t>
            </w:r>
          </w:p>
        </w:tc>
        <w:tc>
          <w:tcPr>
            <w:tcW w:w="706" w:type="pct"/>
            <w:shd w:val="clear" w:color="auto" w:fill="auto"/>
            <w:vAlign w:val="center"/>
          </w:tcPr>
          <w:p w14:paraId="10EEEA62" w14:textId="4B38B918"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73.1</w:t>
            </w:r>
          </w:p>
        </w:tc>
        <w:tc>
          <w:tcPr>
            <w:tcW w:w="706" w:type="pct"/>
            <w:shd w:val="clear" w:color="auto" w:fill="auto"/>
            <w:vAlign w:val="center"/>
          </w:tcPr>
          <w:p w14:paraId="38A26A2C" w14:textId="35E68999"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36.9</w:t>
            </w:r>
          </w:p>
        </w:tc>
        <w:tc>
          <w:tcPr>
            <w:tcW w:w="1133" w:type="pct"/>
            <w:tcBorders>
              <w:left w:val="single" w:sz="4" w:space="0" w:color="auto"/>
              <w:right w:val="single" w:sz="4" w:space="0" w:color="auto"/>
            </w:tcBorders>
            <w:shd w:val="clear" w:color="auto" w:fill="auto"/>
          </w:tcPr>
          <w:p w14:paraId="49CFF925" w14:textId="151C8E73" w:rsidR="00C222A6" w:rsidRPr="000A33D2" w:rsidRDefault="009C4E99" w:rsidP="00CF5201">
            <w:pPr>
              <w:pStyle w:val="TableText0"/>
              <w:keepLines/>
              <w:widowControl w:val="0"/>
              <w:jc w:val="center"/>
              <w:rPr>
                <w:szCs w:val="20"/>
              </w:rPr>
            </w:pPr>
            <w:r w:rsidRPr="000A33D2">
              <w:rPr>
                <w:szCs w:val="20"/>
              </w:rPr>
              <w:t>0.36 (0.18, 0.52)</w:t>
            </w:r>
          </w:p>
        </w:tc>
      </w:tr>
      <w:tr w:rsidR="00A819F7" w:rsidRPr="000A33D2" w14:paraId="27BDB393" w14:textId="77777777" w:rsidTr="00A819F7">
        <w:trPr>
          <w:trHeight w:val="178"/>
        </w:trPr>
        <w:tc>
          <w:tcPr>
            <w:tcW w:w="5000" w:type="pct"/>
            <w:gridSpan w:val="6"/>
            <w:tcBorders>
              <w:right w:val="single" w:sz="4" w:space="0" w:color="auto"/>
            </w:tcBorders>
            <w:shd w:val="clear" w:color="auto" w:fill="auto"/>
            <w:vAlign w:val="center"/>
          </w:tcPr>
          <w:p w14:paraId="20D508C2" w14:textId="05B5D38F" w:rsidR="00A819F7" w:rsidRPr="000A33D2" w:rsidRDefault="00A819F7" w:rsidP="00CF5201">
            <w:pPr>
              <w:pStyle w:val="TableText0"/>
              <w:keepLines/>
              <w:widowControl w:val="0"/>
              <w:rPr>
                <w:szCs w:val="20"/>
              </w:rPr>
            </w:pPr>
            <w:r w:rsidRPr="000A33D2">
              <w:rPr>
                <w:b/>
                <w:bCs w:val="0"/>
                <w:szCs w:val="20"/>
              </w:rPr>
              <w:t xml:space="preserve">Any DOS- or PBO-related immune-related TEAEs </w:t>
            </w:r>
            <w:r w:rsidR="00FB5850" w:rsidRPr="000A33D2">
              <w:rPr>
                <w:b/>
                <w:bCs w:val="0"/>
                <w:szCs w:val="20"/>
              </w:rPr>
              <w:t>(dMMR/MSI-H)</w:t>
            </w:r>
          </w:p>
        </w:tc>
      </w:tr>
      <w:tr w:rsidR="0054499A" w:rsidRPr="000A33D2" w14:paraId="34177799" w14:textId="77777777" w:rsidTr="00013847">
        <w:trPr>
          <w:trHeight w:val="178"/>
        </w:trPr>
        <w:tc>
          <w:tcPr>
            <w:tcW w:w="563" w:type="pct"/>
            <w:shd w:val="clear" w:color="auto" w:fill="auto"/>
            <w:vAlign w:val="center"/>
          </w:tcPr>
          <w:p w14:paraId="339ED19D" w14:textId="2CA9C18B" w:rsidR="00C222A6" w:rsidRPr="000A33D2" w:rsidRDefault="009C4E99" w:rsidP="00CF5201">
            <w:pPr>
              <w:pStyle w:val="TableText0"/>
              <w:keepLines/>
              <w:widowControl w:val="0"/>
              <w:rPr>
                <w:szCs w:val="20"/>
              </w:rPr>
            </w:pPr>
            <w:r w:rsidRPr="000A33D2">
              <w:rPr>
                <w:szCs w:val="20"/>
              </w:rPr>
              <w:t>25/52</w:t>
            </w:r>
          </w:p>
        </w:tc>
        <w:tc>
          <w:tcPr>
            <w:tcW w:w="563" w:type="pct"/>
            <w:shd w:val="clear" w:color="auto" w:fill="auto"/>
            <w:vAlign w:val="center"/>
          </w:tcPr>
          <w:p w14:paraId="6EDC4B40" w14:textId="099DC8B5"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8/65</w:t>
            </w:r>
          </w:p>
        </w:tc>
        <w:tc>
          <w:tcPr>
            <w:tcW w:w="1329" w:type="pct"/>
            <w:shd w:val="clear" w:color="auto" w:fill="auto"/>
            <w:vAlign w:val="center"/>
          </w:tcPr>
          <w:p w14:paraId="143FC094" w14:textId="1D784C61"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3.91 (1.99, 7.93)</w:t>
            </w:r>
          </w:p>
        </w:tc>
        <w:tc>
          <w:tcPr>
            <w:tcW w:w="706" w:type="pct"/>
            <w:shd w:val="clear" w:color="auto" w:fill="auto"/>
            <w:vAlign w:val="center"/>
          </w:tcPr>
          <w:p w14:paraId="6CCB97A6" w14:textId="50832F44"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48.1</w:t>
            </w:r>
          </w:p>
        </w:tc>
        <w:tc>
          <w:tcPr>
            <w:tcW w:w="706" w:type="pct"/>
            <w:shd w:val="clear" w:color="auto" w:fill="auto"/>
            <w:vAlign w:val="center"/>
          </w:tcPr>
          <w:p w14:paraId="5985A9BF" w14:textId="6EAC8E3F" w:rsidR="00C222A6" w:rsidRPr="000A33D2" w:rsidRDefault="009C4E99" w:rsidP="00CF5201">
            <w:pPr>
              <w:keepNext/>
              <w:keepLines/>
              <w:jc w:val="center"/>
              <w:rPr>
                <w:rFonts w:ascii="Arial Narrow" w:hAnsi="Arial Narrow"/>
                <w:sz w:val="20"/>
                <w:szCs w:val="20"/>
              </w:rPr>
            </w:pPr>
            <w:r w:rsidRPr="000A33D2">
              <w:rPr>
                <w:rFonts w:ascii="Arial Narrow" w:hAnsi="Arial Narrow"/>
                <w:sz w:val="20"/>
                <w:szCs w:val="20"/>
              </w:rPr>
              <w:t>12.3</w:t>
            </w:r>
          </w:p>
        </w:tc>
        <w:tc>
          <w:tcPr>
            <w:tcW w:w="1133" w:type="pct"/>
            <w:tcBorders>
              <w:left w:val="single" w:sz="4" w:space="0" w:color="auto"/>
              <w:right w:val="single" w:sz="4" w:space="0" w:color="auto"/>
            </w:tcBorders>
            <w:shd w:val="clear" w:color="auto" w:fill="auto"/>
          </w:tcPr>
          <w:p w14:paraId="77CDFAB2" w14:textId="09752D8F" w:rsidR="00C222A6" w:rsidRPr="000A33D2" w:rsidRDefault="009C4E99" w:rsidP="00CF5201">
            <w:pPr>
              <w:pStyle w:val="TableText0"/>
              <w:keepLines/>
              <w:widowControl w:val="0"/>
              <w:jc w:val="center"/>
              <w:rPr>
                <w:szCs w:val="20"/>
              </w:rPr>
            </w:pPr>
            <w:r w:rsidRPr="000A33D2">
              <w:rPr>
                <w:szCs w:val="20"/>
              </w:rPr>
              <w:t>0.36 (0.20, 0.51)</w:t>
            </w:r>
          </w:p>
        </w:tc>
      </w:tr>
    </w:tbl>
    <w:p w14:paraId="7157BCEB" w14:textId="72CC6E31" w:rsidR="000B30C0" w:rsidRPr="000A33D2" w:rsidRDefault="000B30C0" w:rsidP="00B75B63">
      <w:pPr>
        <w:pStyle w:val="FooterTableFigure"/>
        <w:keepNext/>
        <w:keepLines/>
        <w:spacing w:after="0"/>
        <w:rPr>
          <w:sz w:val="20"/>
        </w:rPr>
      </w:pPr>
      <w:r w:rsidRPr="000A33D2">
        <w:t xml:space="preserve">Source: </w:t>
      </w:r>
      <w:r w:rsidR="00DA6959" w:rsidRPr="000A33D2">
        <w:t xml:space="preserve">Constructed during the </w:t>
      </w:r>
      <w:r w:rsidR="00EF6C70" w:rsidRPr="000A33D2">
        <w:t>evaluation</w:t>
      </w:r>
      <w:r w:rsidR="00DA6959" w:rsidRPr="000A33D2">
        <w:t xml:space="preserve"> using information sourced from T</w:t>
      </w:r>
      <w:r w:rsidRPr="000A33D2">
        <w:t>able 31</w:t>
      </w:r>
      <w:r w:rsidR="00DA6959" w:rsidRPr="000A33D2">
        <w:t>&amp;35</w:t>
      </w:r>
      <w:r w:rsidRPr="000A33D2">
        <w:t>, pp69-70</w:t>
      </w:r>
      <w:r w:rsidR="00DA6959" w:rsidRPr="000A33D2">
        <w:t>&amp;78-79</w:t>
      </w:r>
      <w:r w:rsidRPr="000A33D2">
        <w:t xml:space="preserve"> of the submission.</w:t>
      </w:r>
    </w:p>
    <w:p w14:paraId="337016C0" w14:textId="43A1B87F" w:rsidR="00C6269F" w:rsidRPr="000A33D2" w:rsidRDefault="000B30C0" w:rsidP="00B75B63">
      <w:pPr>
        <w:keepNext/>
        <w:keepLines/>
        <w:rPr>
          <w:rFonts w:ascii="Arial Narrow" w:hAnsi="Arial Narrow"/>
          <w:sz w:val="18"/>
          <w:szCs w:val="18"/>
        </w:rPr>
      </w:pPr>
      <w:r w:rsidRPr="000A33D2">
        <w:rPr>
          <w:rFonts w:ascii="Arial Narrow" w:eastAsia="Calibri" w:hAnsi="Arial Narrow"/>
          <w:snapToGrid w:val="0"/>
          <w:sz w:val="18"/>
          <w:szCs w:val="18"/>
        </w:rPr>
        <w:t xml:space="preserve">CI=confidence interval; </w:t>
      </w:r>
      <w:r w:rsidRPr="000A33D2">
        <w:rPr>
          <w:rFonts w:ascii="Arial Narrow" w:hAnsi="Arial Narrow"/>
          <w:sz w:val="18"/>
          <w:szCs w:val="18"/>
        </w:rPr>
        <w:t>HR = hazard ratio;</w:t>
      </w:r>
      <w:r w:rsidR="00610AE7" w:rsidRPr="000A33D2">
        <w:rPr>
          <w:rFonts w:ascii="Arial Narrow" w:hAnsi="Arial Narrow"/>
          <w:sz w:val="18"/>
          <w:szCs w:val="18"/>
        </w:rPr>
        <w:t xml:space="preserve"> NR = not reported;</w:t>
      </w:r>
      <w:r w:rsidRPr="000A33D2">
        <w:rPr>
          <w:rFonts w:ascii="Arial Narrow" w:hAnsi="Arial Narrow"/>
          <w:sz w:val="18"/>
          <w:szCs w:val="18"/>
        </w:rPr>
        <w:t xml:space="preserve"> PBO = placebo; RD = risk difference; RR = risk ratio</w:t>
      </w:r>
    </w:p>
    <w:p w14:paraId="2E2FC478" w14:textId="54227C2F" w:rsidR="00B75B63" w:rsidRDefault="00B75B63" w:rsidP="00BB1E7C">
      <w:pPr>
        <w:keepLines/>
        <w:rPr>
          <w:rFonts w:ascii="Arial Narrow" w:hAnsi="Arial Narrow"/>
          <w:sz w:val="18"/>
          <w:szCs w:val="18"/>
        </w:rPr>
      </w:pPr>
      <w:proofErr w:type="spellStart"/>
      <w:r w:rsidRPr="000A33D2">
        <w:rPr>
          <w:rFonts w:ascii="Arial Narrow" w:hAnsi="Arial Narrow"/>
          <w:sz w:val="18"/>
          <w:szCs w:val="18"/>
        </w:rPr>
        <w:t>a</w:t>
      </w:r>
      <w:proofErr w:type="spellEnd"/>
      <w:r w:rsidRPr="000A33D2">
        <w:rPr>
          <w:rFonts w:ascii="Arial Narrow" w:hAnsi="Arial Narrow"/>
          <w:sz w:val="18"/>
          <w:szCs w:val="18"/>
        </w:rPr>
        <w:t xml:space="preserve"> Investigator assessed</w:t>
      </w:r>
    </w:p>
    <w:p w14:paraId="0DCA1D35" w14:textId="76F2C61D" w:rsidR="00BB1E7C" w:rsidRPr="00BB1E7C" w:rsidRDefault="00BB1E7C" w:rsidP="00071940">
      <w:pPr>
        <w:keepLines/>
        <w:spacing w:after="120"/>
        <w:rPr>
          <w:rFonts w:ascii="Arial Narrow" w:hAnsi="Arial Narrow"/>
          <w:i/>
          <w:iCs/>
          <w:sz w:val="18"/>
          <w:szCs w:val="18"/>
        </w:rPr>
      </w:pPr>
      <w:r w:rsidRPr="00BB1E7C">
        <w:rPr>
          <w:rFonts w:ascii="Arial Narrow" w:hAnsi="Arial Narrow"/>
          <w:i/>
          <w:iCs/>
          <w:sz w:val="18"/>
          <w:szCs w:val="18"/>
        </w:rPr>
        <w:t>*Note that the results for relative risk (RR) and risk difference (RD) presented in Table 12 are derived from ad-hoc /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w:t>
      </w:r>
    </w:p>
    <w:p w14:paraId="5E784877" w14:textId="77777777" w:rsidR="009F249D" w:rsidRPr="000A33D2" w:rsidRDefault="009F249D" w:rsidP="009F249D">
      <w:pPr>
        <w:pStyle w:val="3-BodyText"/>
      </w:pPr>
      <w:r w:rsidRPr="000A33D2">
        <w:t>On the basis of direct comparison evidence presented by the submission, in the all-comers population, for every 100 patients treated with DOS+CP in comparison with PBO+CP:</w:t>
      </w:r>
    </w:p>
    <w:p w14:paraId="4C849014" w14:textId="24A8BDA2" w:rsidR="00094E98" w:rsidRPr="000A33D2" w:rsidRDefault="009F249D" w:rsidP="009F249D">
      <w:pPr>
        <w:pStyle w:val="ListParagraph"/>
        <w:ind w:left="1134"/>
      </w:pPr>
      <w:r w:rsidRPr="000A33D2">
        <w:t>Approximately 16 additional patients will remain progression-free after a median of 25.4 months</w:t>
      </w:r>
    </w:p>
    <w:p w14:paraId="2C0BDF0A" w14:textId="3246CB61" w:rsidR="009F249D" w:rsidRPr="000A33D2" w:rsidRDefault="00094E98" w:rsidP="009F249D">
      <w:pPr>
        <w:pStyle w:val="ListParagraph"/>
        <w:ind w:left="1134"/>
      </w:pPr>
      <w:r w:rsidRPr="000A33D2">
        <w:lastRenderedPageBreak/>
        <w:t xml:space="preserve">Although uncertain as not statistically significant, approximately 14 additional patients will remain alive, </w:t>
      </w:r>
      <w:r w:rsidR="009F249D" w:rsidRPr="000A33D2">
        <w:t>after a median of 25.4 months.</w:t>
      </w:r>
    </w:p>
    <w:p w14:paraId="2942D430" w14:textId="0B1DF2FE" w:rsidR="009F249D" w:rsidRPr="000A33D2" w:rsidRDefault="009F249D" w:rsidP="009F249D">
      <w:pPr>
        <w:pStyle w:val="ListParagraph"/>
        <w:ind w:left="1134" w:hanging="357"/>
      </w:pPr>
      <w:r w:rsidRPr="000A33D2">
        <w:t xml:space="preserve">Approximately 11 additional patients will experience any TEAE (grade </w:t>
      </w:r>
      <w:r w:rsidRPr="000A33D2">
        <w:rPr>
          <w:rFonts w:cstheme="minorHAnsi"/>
        </w:rPr>
        <w:t>≥</w:t>
      </w:r>
      <w:r w:rsidRPr="000A33D2">
        <w:t>3).</w:t>
      </w:r>
    </w:p>
    <w:p w14:paraId="03D2F9A0" w14:textId="3AD9BAA4" w:rsidR="009F249D" w:rsidRPr="000A33D2" w:rsidRDefault="009F249D" w:rsidP="009F249D">
      <w:pPr>
        <w:pStyle w:val="ListParagraph"/>
        <w:ind w:left="1134" w:hanging="357"/>
      </w:pPr>
      <w:r w:rsidRPr="000A33D2">
        <w:t>Approximately 10 additional patients will experience any SAE.</w:t>
      </w:r>
    </w:p>
    <w:p w14:paraId="4FBF2DD7" w14:textId="7641C831" w:rsidR="009F249D" w:rsidRPr="000A33D2" w:rsidRDefault="009F249D" w:rsidP="009F249D">
      <w:pPr>
        <w:pStyle w:val="ListParagraph"/>
        <w:ind w:left="1134" w:hanging="357"/>
      </w:pPr>
      <w:r w:rsidRPr="000A33D2">
        <w:t>Approximately 21 additional patients will experience any immune-related TEAE.</w:t>
      </w:r>
    </w:p>
    <w:p w14:paraId="744E6C37" w14:textId="1337A835" w:rsidR="009F249D" w:rsidRPr="000A33D2" w:rsidRDefault="009F249D" w:rsidP="009F249D">
      <w:pPr>
        <w:pStyle w:val="ListParagraph"/>
        <w:ind w:left="1134" w:hanging="357"/>
      </w:pPr>
      <w:r w:rsidRPr="000A33D2">
        <w:t>Approximately 23 additional patients will experience any DOS-or PBO-related TEAE.</w:t>
      </w:r>
    </w:p>
    <w:p w14:paraId="7F9A7562" w14:textId="2160A96E" w:rsidR="009F249D" w:rsidRPr="000A33D2" w:rsidRDefault="009F249D" w:rsidP="009F249D">
      <w:pPr>
        <w:pStyle w:val="ListParagraph"/>
        <w:ind w:left="1134" w:hanging="357"/>
      </w:pPr>
      <w:r w:rsidRPr="000A33D2">
        <w:t>Approximately 2 additional patients will experience any TEAE with the outcome of death.</w:t>
      </w:r>
    </w:p>
    <w:p w14:paraId="2720AC53" w14:textId="7BF68381" w:rsidR="00FC1884" w:rsidRPr="000A33D2" w:rsidRDefault="00EC00C9" w:rsidP="00E9094A">
      <w:pPr>
        <w:pStyle w:val="3-BodyText"/>
      </w:pPr>
      <w:r w:rsidRPr="000A33D2">
        <w:t xml:space="preserve">On the basis of direct comparison evidence presented by the submission, </w:t>
      </w:r>
      <w:r w:rsidR="009F249D" w:rsidRPr="000A33D2">
        <w:t xml:space="preserve">in the dMMR population, </w:t>
      </w:r>
      <w:r w:rsidRPr="000A33D2">
        <w:t xml:space="preserve">for every 100 patients treated with </w:t>
      </w:r>
      <w:r w:rsidR="00BA4C4B" w:rsidRPr="000A33D2">
        <w:t>DOS+CP</w:t>
      </w:r>
      <w:r w:rsidRPr="000A33D2">
        <w:t xml:space="preserve"> in comparison </w:t>
      </w:r>
      <w:r w:rsidR="006D68FB" w:rsidRPr="000A33D2">
        <w:t xml:space="preserve">with </w:t>
      </w:r>
      <w:r w:rsidR="00BA4C4B" w:rsidRPr="000A33D2">
        <w:t>PBO+CP</w:t>
      </w:r>
      <w:r w:rsidR="001C2A9B" w:rsidRPr="000A33D2">
        <w:t>:</w:t>
      </w:r>
    </w:p>
    <w:p w14:paraId="2B098627" w14:textId="77777777" w:rsidR="00094E98" w:rsidRPr="000A33D2" w:rsidRDefault="00BA4C4B" w:rsidP="004333C1">
      <w:pPr>
        <w:pStyle w:val="ListParagraph"/>
        <w:ind w:left="1134" w:hanging="357"/>
      </w:pPr>
      <w:r w:rsidRPr="000A33D2">
        <w:t xml:space="preserve">Approximately </w:t>
      </w:r>
      <w:r w:rsidR="00BD3EDE" w:rsidRPr="000A33D2">
        <w:t>37</w:t>
      </w:r>
      <w:r w:rsidRPr="000A33D2">
        <w:t xml:space="preserve"> additional patients will remain progression-free after </w:t>
      </w:r>
      <w:r w:rsidR="0056688A" w:rsidRPr="000A33D2">
        <w:t xml:space="preserve">a median of 24.8 </w:t>
      </w:r>
      <w:r w:rsidRPr="000A33D2">
        <w:t>months</w:t>
      </w:r>
      <w:r w:rsidR="0095384C" w:rsidRPr="000A33D2">
        <w:t>.</w:t>
      </w:r>
    </w:p>
    <w:p w14:paraId="63433F92" w14:textId="7F02054F" w:rsidR="00BA4C4B" w:rsidRPr="000A33D2" w:rsidRDefault="00094E98" w:rsidP="004333C1">
      <w:pPr>
        <w:pStyle w:val="ListParagraph"/>
        <w:ind w:left="1134" w:hanging="357"/>
      </w:pPr>
      <w:r w:rsidRPr="000A33D2">
        <w:t xml:space="preserve">Although uncertain as not formally tested for statistical significance, approximately 24 additional patients </w:t>
      </w:r>
      <w:r w:rsidR="00401071" w:rsidRPr="000A33D2">
        <w:t xml:space="preserve">will remain alive </w:t>
      </w:r>
      <w:r w:rsidR="00BA4C4B" w:rsidRPr="000A33D2">
        <w:t>after</w:t>
      </w:r>
      <w:r w:rsidR="00401071" w:rsidRPr="000A33D2">
        <w:t xml:space="preserve"> a median of</w:t>
      </w:r>
      <w:r w:rsidR="00BA4C4B" w:rsidRPr="000A33D2">
        <w:t xml:space="preserve"> 2</w:t>
      </w:r>
      <w:r w:rsidR="0056688A" w:rsidRPr="000A33D2">
        <w:t>4.8</w:t>
      </w:r>
      <w:r w:rsidR="00071940">
        <w:t> </w:t>
      </w:r>
      <w:r w:rsidR="00BA4C4B" w:rsidRPr="000A33D2">
        <w:t>months</w:t>
      </w:r>
      <w:r w:rsidR="00041192" w:rsidRPr="000A33D2">
        <w:t>.</w:t>
      </w:r>
    </w:p>
    <w:p w14:paraId="334A7570" w14:textId="2C0A6F63" w:rsidR="004333C1" w:rsidRPr="000A33D2" w:rsidRDefault="004333C1" w:rsidP="004333C1">
      <w:pPr>
        <w:pStyle w:val="ListParagraph"/>
        <w:ind w:left="1134" w:hanging="357"/>
      </w:pPr>
      <w:r w:rsidRPr="000A33D2">
        <w:t xml:space="preserve">Approximately 36 additional patients will experience </w:t>
      </w:r>
      <w:r w:rsidR="007E38D5" w:rsidRPr="000A33D2">
        <w:t>any immune-related TEAEs.</w:t>
      </w:r>
    </w:p>
    <w:p w14:paraId="4A88270C" w14:textId="275FE519" w:rsidR="004333C1" w:rsidRPr="000A33D2" w:rsidRDefault="004333C1" w:rsidP="004333C1">
      <w:pPr>
        <w:pStyle w:val="ListParagraph"/>
        <w:ind w:left="1134" w:hanging="357"/>
      </w:pPr>
      <w:r w:rsidRPr="000A33D2">
        <w:t xml:space="preserve">Approximately 36 additional patients will experience </w:t>
      </w:r>
      <w:r w:rsidR="007E38D5" w:rsidRPr="000A33D2">
        <w:t xml:space="preserve">any DOS- or PBO-related immune-related TEAEs. </w:t>
      </w:r>
    </w:p>
    <w:p w14:paraId="7A1772B6" w14:textId="23BB3145" w:rsidR="00B60939" w:rsidRPr="000A33D2" w:rsidRDefault="00B60939" w:rsidP="00E9094A">
      <w:pPr>
        <w:pStyle w:val="4-SubsectionHeading"/>
      </w:pPr>
      <w:bookmarkStart w:id="55" w:name="_Toc22897644"/>
      <w:bookmarkStart w:id="56" w:name="_Toc145426900"/>
      <w:r w:rsidRPr="000A33D2">
        <w:t>Clinical claim</w:t>
      </w:r>
      <w:bookmarkEnd w:id="55"/>
      <w:bookmarkEnd w:id="56"/>
    </w:p>
    <w:p w14:paraId="10B231DD" w14:textId="6E17120B" w:rsidR="00830509" w:rsidRPr="000A33D2" w:rsidRDefault="00830509" w:rsidP="00E9094A">
      <w:pPr>
        <w:pStyle w:val="3-BodyText"/>
      </w:pPr>
      <w:bookmarkStart w:id="57" w:name="_Ref147486541"/>
      <w:r w:rsidRPr="000A33D2">
        <w:t>The submission described DOS+CP as superior in terms of effectiveness compared with CP alone in patients with A/R dMMR EC (Population 1). This was largely supported by the results of the RUBY trial (Part 1; first interim analysis) which reported a statistically significant PFS benefit in favour of DOS+CP (HR=0.28; 95%CI 0.16, 0.50). While an OS benefit in favour of the DOS+CP arm was also observed (HR=0.30; 95% CI 0.13, 0.70), the trial was not powered to detect this treatment difference, and as such, should be interpreted with caution.</w:t>
      </w:r>
      <w:r w:rsidR="0095384C" w:rsidRPr="000A33D2">
        <w:t xml:space="preserve"> The ESC agreed with the commentary that the claim of superior effectiveness was supported for the dMMR population.</w:t>
      </w:r>
      <w:bookmarkEnd w:id="57"/>
    </w:p>
    <w:p w14:paraId="0D3357FD" w14:textId="0DC0300E" w:rsidR="00286306" w:rsidRPr="000A33D2" w:rsidRDefault="00286306" w:rsidP="00286306">
      <w:pPr>
        <w:widowControl w:val="0"/>
        <w:numPr>
          <w:ilvl w:val="1"/>
          <w:numId w:val="1"/>
        </w:numPr>
        <w:spacing w:after="120"/>
        <w:rPr>
          <w:rFonts w:asciiTheme="minorHAnsi" w:hAnsiTheme="minorHAnsi"/>
          <w:snapToGrid w:val="0"/>
          <w:szCs w:val="20"/>
        </w:rPr>
      </w:pPr>
      <w:bookmarkStart w:id="58" w:name="_Ref144393182"/>
      <w:r w:rsidRPr="000A33D2">
        <w:rPr>
          <w:rFonts w:asciiTheme="minorHAnsi" w:hAnsiTheme="minorHAnsi"/>
          <w:iCs/>
          <w:snapToGrid w:val="0"/>
        </w:rPr>
        <w:t>The</w:t>
      </w:r>
      <w:r w:rsidRPr="000A33D2">
        <w:rPr>
          <w:rFonts w:asciiTheme="minorHAnsi" w:hAnsiTheme="minorHAnsi"/>
          <w:snapToGrid w:val="0"/>
          <w:szCs w:val="20"/>
        </w:rPr>
        <w:t xml:space="preserve"> PBAC considered that the claim of superior comparative effectiveness was reasonable for the dMMR population, based on a statistically significant PFS benefit. The PBAC </w:t>
      </w:r>
      <w:r w:rsidR="006E56EB" w:rsidRPr="000A33D2">
        <w:rPr>
          <w:rFonts w:asciiTheme="minorHAnsi" w:hAnsiTheme="minorHAnsi"/>
          <w:snapToGrid w:val="0"/>
          <w:szCs w:val="20"/>
        </w:rPr>
        <w:t>considered</w:t>
      </w:r>
      <w:r w:rsidRPr="000A33D2">
        <w:rPr>
          <w:rFonts w:asciiTheme="minorHAnsi" w:hAnsiTheme="minorHAnsi"/>
          <w:snapToGrid w:val="0"/>
          <w:szCs w:val="20"/>
        </w:rPr>
        <w:t xml:space="preserve"> that </w:t>
      </w:r>
      <w:r w:rsidR="006E56EB" w:rsidRPr="000A33D2">
        <w:rPr>
          <w:rFonts w:asciiTheme="minorHAnsi" w:hAnsiTheme="minorHAnsi"/>
          <w:snapToGrid w:val="0"/>
          <w:szCs w:val="20"/>
        </w:rPr>
        <w:t>it appeared likely there would</w:t>
      </w:r>
      <w:r w:rsidRPr="000A33D2">
        <w:rPr>
          <w:rFonts w:asciiTheme="minorHAnsi" w:hAnsiTheme="minorHAnsi"/>
          <w:snapToGrid w:val="0"/>
          <w:szCs w:val="20"/>
        </w:rPr>
        <w:t xml:space="preserve"> be an overall survival benefit, however this was not tested for statistical significance and was based on a small number of events. </w:t>
      </w:r>
    </w:p>
    <w:p w14:paraId="75857A21" w14:textId="049A877B" w:rsidR="003D2353" w:rsidRPr="000A33D2" w:rsidRDefault="0070627B" w:rsidP="003D2353">
      <w:pPr>
        <w:pStyle w:val="3-BodyText"/>
      </w:pPr>
      <w:r w:rsidRPr="000A33D2">
        <w:t xml:space="preserve">The submission described DOS+CP as superior in terms of effectiveness compared with CP alone in patients with A/R EC (all-comers; Population 2). </w:t>
      </w:r>
      <w:r w:rsidR="00286306" w:rsidRPr="000A33D2">
        <w:t>Al</w:t>
      </w:r>
      <w:r w:rsidRPr="000A33D2">
        <w:t xml:space="preserve">though a statistically significant PFS benefit in favour of DOS+CP was observed </w:t>
      </w:r>
      <w:r w:rsidR="004354C3" w:rsidRPr="000A33D2">
        <w:t xml:space="preserve">in the RUBY trial </w:t>
      </w:r>
      <w:r w:rsidRPr="000A33D2">
        <w:t>(HR=0.64; 95%CI 0.51, 0.80)</w:t>
      </w:r>
      <w:r w:rsidR="002A191B" w:rsidRPr="000A33D2">
        <w:t>, the</w:t>
      </w:r>
      <w:r w:rsidRPr="000A33D2">
        <w:t xml:space="preserve"> </w:t>
      </w:r>
      <w:r w:rsidR="004354C3" w:rsidRPr="000A33D2">
        <w:t xml:space="preserve">OS benefit in favour of DOS+CP (HR=0.64; 95%CI 0.46, </w:t>
      </w:r>
      <w:r w:rsidR="004354C3" w:rsidRPr="000A33D2">
        <w:lastRenderedPageBreak/>
        <w:t xml:space="preserve">0.87) did not achieve statistical significance. The ESC noted that in the pMMR subgroup, DOS+CP </w:t>
      </w:r>
      <w:r w:rsidR="00272256" w:rsidRPr="000A33D2">
        <w:t>had</w:t>
      </w:r>
      <w:r w:rsidR="004354C3" w:rsidRPr="000A33D2">
        <w:t xml:space="preserve"> uncertain efficacy, suggesting</w:t>
      </w:r>
      <w:r w:rsidR="0095384C" w:rsidRPr="000A33D2">
        <w:t xml:space="preserve"> that the benefit in the all-comers population was largely driven by the benefit in patients with dMMR EC</w:t>
      </w:r>
      <w:r w:rsidR="004354C3" w:rsidRPr="000A33D2">
        <w:t>.</w:t>
      </w:r>
      <w:r w:rsidRPr="000A33D2">
        <w:t xml:space="preserve"> </w:t>
      </w:r>
      <w:bookmarkEnd w:id="58"/>
    </w:p>
    <w:p w14:paraId="66C1D515" w14:textId="50587D00" w:rsidR="00286306" w:rsidRPr="000A33D2" w:rsidRDefault="00286306" w:rsidP="00E9094A">
      <w:pPr>
        <w:pStyle w:val="3-BodyText"/>
        <w:rPr>
          <w:rFonts w:eastAsia="Calibri"/>
        </w:rPr>
      </w:pPr>
      <w:bookmarkStart w:id="59" w:name="_Ref150242116"/>
      <w:r w:rsidRPr="000A33D2">
        <w:rPr>
          <w:iCs/>
        </w:rPr>
        <w:t>The</w:t>
      </w:r>
      <w:r w:rsidRPr="000A33D2">
        <w:rPr>
          <w:szCs w:val="20"/>
        </w:rPr>
        <w:t xml:space="preserve"> PBAC considered that the claim of superior comparative effectiveness was not sufficiently supported for the all</w:t>
      </w:r>
      <w:r w:rsidR="003006A7" w:rsidRPr="000A33D2">
        <w:rPr>
          <w:szCs w:val="20"/>
        </w:rPr>
        <w:t>-</w:t>
      </w:r>
      <w:r w:rsidRPr="000A33D2">
        <w:rPr>
          <w:szCs w:val="20"/>
        </w:rPr>
        <w:t xml:space="preserve">comers population. Although there was a statistically significant PFS benefit, this appeared to be largely driven by the dMMR cohort and </w:t>
      </w:r>
      <w:r w:rsidR="004B5934" w:rsidRPr="000A33D2">
        <w:rPr>
          <w:szCs w:val="20"/>
        </w:rPr>
        <w:t xml:space="preserve">as the data </w:t>
      </w:r>
      <w:r w:rsidR="003006A7" w:rsidRPr="000A33D2">
        <w:rPr>
          <w:szCs w:val="20"/>
        </w:rPr>
        <w:t>are</w:t>
      </w:r>
      <w:r w:rsidR="004B5934" w:rsidRPr="000A33D2">
        <w:rPr>
          <w:szCs w:val="20"/>
        </w:rPr>
        <w:t xml:space="preserve"> immature, </w:t>
      </w:r>
      <w:r w:rsidRPr="000A33D2">
        <w:rPr>
          <w:szCs w:val="20"/>
        </w:rPr>
        <w:t xml:space="preserve">it </w:t>
      </w:r>
      <w:r w:rsidR="003006A7" w:rsidRPr="000A33D2">
        <w:rPr>
          <w:szCs w:val="20"/>
        </w:rPr>
        <w:t>is</w:t>
      </w:r>
      <w:r w:rsidRPr="000A33D2">
        <w:rPr>
          <w:szCs w:val="20"/>
        </w:rPr>
        <w:t xml:space="preserve"> unclear whether patients with pMMR </w:t>
      </w:r>
      <w:r w:rsidR="003006A7" w:rsidRPr="000A33D2">
        <w:rPr>
          <w:szCs w:val="20"/>
        </w:rPr>
        <w:t xml:space="preserve">EC </w:t>
      </w:r>
      <w:r w:rsidRPr="000A33D2">
        <w:rPr>
          <w:szCs w:val="20"/>
        </w:rPr>
        <w:t xml:space="preserve">would have </w:t>
      </w:r>
      <w:r w:rsidR="004B5934" w:rsidRPr="000A33D2">
        <w:rPr>
          <w:szCs w:val="20"/>
        </w:rPr>
        <w:t xml:space="preserve">the same benefit from first line dostarlimab as for </w:t>
      </w:r>
      <w:r w:rsidR="003006A7" w:rsidRPr="000A33D2">
        <w:rPr>
          <w:szCs w:val="20"/>
        </w:rPr>
        <w:t xml:space="preserve">first line </w:t>
      </w:r>
      <w:r w:rsidR="00DD716D">
        <w:rPr>
          <w:szCs w:val="20"/>
        </w:rPr>
        <w:t>PBC</w:t>
      </w:r>
      <w:r w:rsidR="00DD716D" w:rsidRPr="000A33D2">
        <w:rPr>
          <w:szCs w:val="20"/>
        </w:rPr>
        <w:t xml:space="preserve"> </w:t>
      </w:r>
      <w:r w:rsidR="003006A7" w:rsidRPr="000A33D2">
        <w:rPr>
          <w:szCs w:val="20"/>
        </w:rPr>
        <w:t xml:space="preserve">followed by </w:t>
      </w:r>
      <w:r w:rsidR="004B5934" w:rsidRPr="000A33D2">
        <w:rPr>
          <w:szCs w:val="20"/>
        </w:rPr>
        <w:t>second line combination treatment with PEM+LEN (where an OS benefit was demonstrated)</w:t>
      </w:r>
      <w:r w:rsidRPr="000A33D2">
        <w:rPr>
          <w:szCs w:val="20"/>
        </w:rPr>
        <w:t xml:space="preserve">. </w:t>
      </w:r>
      <w:r w:rsidR="003006A7" w:rsidRPr="000A33D2">
        <w:rPr>
          <w:szCs w:val="20"/>
        </w:rPr>
        <w:t>The PBAC noted that there are a number of trials underway for near-market comparators, with different combinations of treatment that are likely to provide additional data regarding the best course of treatment for patients with pMMR EC.</w:t>
      </w:r>
      <w:bookmarkEnd w:id="59"/>
    </w:p>
    <w:p w14:paraId="7F613CD1" w14:textId="20794110" w:rsidR="005F7588" w:rsidRPr="000A33D2" w:rsidRDefault="005F7588" w:rsidP="00E9094A">
      <w:pPr>
        <w:pStyle w:val="3-BodyText"/>
        <w:rPr>
          <w:rFonts w:eastAsia="Calibri"/>
        </w:rPr>
      </w:pPr>
      <w:r w:rsidRPr="000A33D2">
        <w:rPr>
          <w:rFonts w:eastAsia="Calibri"/>
        </w:rPr>
        <w:t xml:space="preserve">The submission described </w:t>
      </w:r>
      <w:r w:rsidR="00342C33" w:rsidRPr="000A33D2">
        <w:rPr>
          <w:rFonts w:eastAsia="Calibri"/>
        </w:rPr>
        <w:t>DOS+CP</w:t>
      </w:r>
      <w:r w:rsidRPr="000A33D2">
        <w:rPr>
          <w:rFonts w:eastAsia="Calibri"/>
        </w:rPr>
        <w:t xml:space="preserve"> as inferior</w:t>
      </w:r>
      <w:r w:rsidR="00342C33" w:rsidRPr="000A33D2">
        <w:rPr>
          <w:rFonts w:eastAsia="Calibri"/>
        </w:rPr>
        <w:t xml:space="preserve"> (but with a manageable safety profile)</w:t>
      </w:r>
      <w:r w:rsidRPr="000A33D2">
        <w:rPr>
          <w:rFonts w:eastAsia="Calibri"/>
        </w:rPr>
        <w:t xml:space="preserve"> in term</w:t>
      </w:r>
      <w:r w:rsidR="00156F8F" w:rsidRPr="000A33D2">
        <w:rPr>
          <w:rFonts w:eastAsia="Calibri"/>
        </w:rPr>
        <w:t>s</w:t>
      </w:r>
      <w:r w:rsidRPr="000A33D2">
        <w:rPr>
          <w:rFonts w:eastAsia="Calibri"/>
        </w:rPr>
        <w:t xml:space="preserve"> of safety compared to </w:t>
      </w:r>
      <w:r w:rsidR="00342C33" w:rsidRPr="000A33D2">
        <w:rPr>
          <w:rFonts w:eastAsia="Calibri"/>
        </w:rPr>
        <w:t>CP alone</w:t>
      </w:r>
      <w:r w:rsidRPr="000A33D2">
        <w:rPr>
          <w:rFonts w:eastAsia="Calibri"/>
        </w:rPr>
        <w:t>. This claim was adequately supported</w:t>
      </w:r>
      <w:r w:rsidR="007C70FF" w:rsidRPr="000A33D2">
        <w:rPr>
          <w:rFonts w:eastAsia="Calibri"/>
        </w:rPr>
        <w:t>.</w:t>
      </w:r>
      <w:r w:rsidR="004354C3" w:rsidRPr="000A33D2">
        <w:rPr>
          <w:rFonts w:eastAsia="Calibri"/>
        </w:rPr>
        <w:t xml:space="preserve"> The ESC noted that the rate of irAEs was higher in the dMMR subgroup but that this was consistent with the longer duration of treatment for dMMR patients.</w:t>
      </w:r>
    </w:p>
    <w:p w14:paraId="29E751EF" w14:textId="0B929267" w:rsidR="00325C70" w:rsidRPr="00071940" w:rsidRDefault="00325C70" w:rsidP="00071940">
      <w:pPr>
        <w:widowControl w:val="0"/>
        <w:numPr>
          <w:ilvl w:val="1"/>
          <w:numId w:val="1"/>
        </w:numPr>
        <w:spacing w:after="120"/>
        <w:rPr>
          <w:rFonts w:eastAsia="Calibri"/>
        </w:rPr>
      </w:pPr>
      <w:bookmarkStart w:id="60" w:name="_Hlk76376200"/>
      <w:r w:rsidRPr="000A33D2">
        <w:rPr>
          <w:rFonts w:asciiTheme="minorHAnsi" w:hAnsiTheme="minorHAnsi"/>
          <w:snapToGrid w:val="0"/>
          <w:szCs w:val="20"/>
        </w:rPr>
        <w:t>The PBAC considered that the claim of inferior comparative safety was reasonable.</w:t>
      </w:r>
      <w:bookmarkEnd w:id="60"/>
    </w:p>
    <w:p w14:paraId="74A1172E" w14:textId="128C170E" w:rsidR="00B60939" w:rsidRPr="000A33D2" w:rsidRDefault="00B60939" w:rsidP="00E9094A">
      <w:pPr>
        <w:pStyle w:val="4-SubsectionHeading"/>
      </w:pPr>
      <w:bookmarkStart w:id="61" w:name="_Toc22897645"/>
      <w:bookmarkStart w:id="62" w:name="_Toc145426901"/>
      <w:r w:rsidRPr="000A33D2">
        <w:t>Economic analysis</w:t>
      </w:r>
      <w:bookmarkEnd w:id="61"/>
      <w:bookmarkEnd w:id="62"/>
      <w:r w:rsidR="00491B3A" w:rsidRPr="000A33D2">
        <w:t xml:space="preserve"> </w:t>
      </w:r>
    </w:p>
    <w:p w14:paraId="31865B6C" w14:textId="6E99767F" w:rsidR="000C7563" w:rsidRPr="000A33D2" w:rsidRDefault="00E14152" w:rsidP="00641FB3">
      <w:pPr>
        <w:pStyle w:val="3-BodyText"/>
      </w:pPr>
      <w:bookmarkStart w:id="63" w:name="_Hlk148454483"/>
      <w:r w:rsidRPr="000A33D2">
        <w:t>The submission presented a stepped economic evaluation based on the RUBY trial. The type of economic evaluation presented was a cost-utility analysis.</w:t>
      </w:r>
      <w:r w:rsidR="0001344F" w:rsidRPr="000A33D2">
        <w:t xml:space="preserve"> The submission included economic evaluations for the two proposed populations for PBAC consideration: dMMR (Population 1) and all-comers (Population 2). The same economic model was employed across both populations, with population specific inputs from the RUBY trial (Part 1) applied to the relevant population (e.g., PFS, OS, time to treatment discontinuation (TTD)). </w:t>
      </w:r>
      <w:r w:rsidR="000C7563" w:rsidRPr="000A33D2">
        <w:t>The ESC considered that the all-comers model was of limited value as the benefit was driven by the clinical effect in dMMR patients.</w:t>
      </w:r>
    </w:p>
    <w:bookmarkEnd w:id="63"/>
    <w:p w14:paraId="1B2E0197" w14:textId="717DC081" w:rsidR="00746A3E" w:rsidRPr="000A33D2" w:rsidRDefault="0001344F" w:rsidP="00641FB3">
      <w:pPr>
        <w:pStyle w:val="3-BodyText"/>
      </w:pPr>
      <w:r w:rsidRPr="000A33D2">
        <w:t>The cost-effectiveness of DOS in the pMMR/MSS population was also considered by the submission in the same model to illustrate the relative value of DOS by MMR status, however, this was not assessed during the evaluation given the submission was not requesting listing of DOS specifically for the patients with pMMR EC (though they are captured in the all-comers population).</w:t>
      </w:r>
    </w:p>
    <w:p w14:paraId="004F1392" w14:textId="66E66162" w:rsidR="002174E3" w:rsidRPr="000A33D2" w:rsidRDefault="002174E3" w:rsidP="00641FB3">
      <w:pPr>
        <w:pStyle w:val="3-BodyText"/>
      </w:pPr>
      <w:r w:rsidRPr="000A33D2">
        <w:t>The PBAC considered that, as the clinical claim of superior clinical efficacy was not accepted for the all-comers population, the relevant economic model was the model specific to the dMMR population.</w:t>
      </w:r>
    </w:p>
    <w:p w14:paraId="15A9AFA4" w14:textId="560FA842" w:rsidR="00275C5A" w:rsidRPr="000A33D2" w:rsidRDefault="00E16AD8" w:rsidP="002A63BC">
      <w:pPr>
        <w:pStyle w:val="Caption"/>
        <w:jc w:val="left"/>
        <w:rPr>
          <w:rStyle w:val="CommentReference"/>
          <w:b/>
          <w:szCs w:val="24"/>
        </w:rPr>
      </w:pPr>
      <w:bookmarkStart w:id="64" w:name="_Ref144736077"/>
      <w:r w:rsidRPr="000A33D2">
        <w:lastRenderedPageBreak/>
        <w:t xml:space="preserve">Table </w:t>
      </w:r>
      <w:r>
        <w:fldChar w:fldCharType="begin" w:fldLock="1"/>
      </w:r>
      <w:r>
        <w:instrText>SEQ Table \* ARABIC</w:instrText>
      </w:r>
      <w:r>
        <w:fldChar w:fldCharType="separate"/>
      </w:r>
      <w:r w:rsidR="00B62E71">
        <w:rPr>
          <w:noProof/>
        </w:rPr>
        <w:t>13</w:t>
      </w:r>
      <w:r>
        <w:fldChar w:fldCharType="end"/>
      </w:r>
      <w:bookmarkEnd w:id="64"/>
      <w:r w:rsidRPr="000A33D2">
        <w:t>:</w:t>
      </w:r>
      <w:r w:rsidR="00275C5A" w:rsidRPr="000A33D2">
        <w:rPr>
          <w:rStyle w:val="CommentReference"/>
          <w:b/>
          <w:szCs w:val="24"/>
        </w:rPr>
        <w:t xml:space="preserve"> Summary of model structure</w:t>
      </w:r>
      <w:r w:rsidR="00184B0E" w:rsidRPr="000A33D2">
        <w:rPr>
          <w:rStyle w:val="CommentReference"/>
          <w:b/>
          <w:szCs w:val="24"/>
        </w:rPr>
        <w:t>, key inputs</w:t>
      </w:r>
      <w:r w:rsidR="00275C5A" w:rsidRPr="000A33D2">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3684"/>
        <w:gridCol w:w="3919"/>
      </w:tblGrid>
      <w:tr w:rsidR="0001344F" w:rsidRPr="000A33D2" w14:paraId="1BFEF546" w14:textId="77777777" w:rsidTr="00B463EE">
        <w:tc>
          <w:tcPr>
            <w:tcW w:w="784" w:type="pct"/>
            <w:vAlign w:val="center"/>
          </w:tcPr>
          <w:p w14:paraId="350F3D0E" w14:textId="77777777" w:rsidR="0001344F" w:rsidRPr="000A33D2" w:rsidRDefault="0001344F" w:rsidP="002A63BC">
            <w:pPr>
              <w:pStyle w:val="In-tableHeading"/>
              <w:keepLines/>
              <w:rPr>
                <w:lang w:val="en-AU"/>
              </w:rPr>
            </w:pPr>
            <w:r w:rsidRPr="000A33D2">
              <w:rPr>
                <w:lang w:val="en-AU"/>
              </w:rPr>
              <w:t>Component</w:t>
            </w:r>
          </w:p>
        </w:tc>
        <w:tc>
          <w:tcPr>
            <w:tcW w:w="2043" w:type="pct"/>
            <w:vAlign w:val="center"/>
          </w:tcPr>
          <w:p w14:paraId="24A61FD3" w14:textId="77777777" w:rsidR="0001344F" w:rsidRPr="000A33D2" w:rsidRDefault="0001344F" w:rsidP="002A63BC">
            <w:pPr>
              <w:pStyle w:val="In-tableHeading"/>
              <w:keepLines/>
              <w:jc w:val="center"/>
              <w:rPr>
                <w:lang w:val="en-AU"/>
              </w:rPr>
            </w:pPr>
            <w:r w:rsidRPr="000A33D2">
              <w:rPr>
                <w:lang w:val="en-AU"/>
              </w:rPr>
              <w:t>Description</w:t>
            </w:r>
          </w:p>
        </w:tc>
        <w:tc>
          <w:tcPr>
            <w:tcW w:w="2173" w:type="pct"/>
            <w:vAlign w:val="center"/>
          </w:tcPr>
          <w:p w14:paraId="141F9E0C" w14:textId="77777777" w:rsidR="0001344F" w:rsidRPr="000A33D2" w:rsidRDefault="0001344F" w:rsidP="002A63BC">
            <w:pPr>
              <w:pStyle w:val="In-tableHeading"/>
              <w:keepLines/>
              <w:jc w:val="center"/>
              <w:rPr>
                <w:lang w:val="en-AU"/>
              </w:rPr>
            </w:pPr>
            <w:r w:rsidRPr="000A33D2">
              <w:rPr>
                <w:lang w:val="en-AU"/>
              </w:rPr>
              <w:t>Justification/comments</w:t>
            </w:r>
          </w:p>
        </w:tc>
      </w:tr>
      <w:tr w:rsidR="0001344F" w:rsidRPr="000A33D2" w14:paraId="48DDBAD9" w14:textId="77777777" w:rsidTr="00B463EE">
        <w:tc>
          <w:tcPr>
            <w:tcW w:w="784" w:type="pct"/>
            <w:vAlign w:val="center"/>
          </w:tcPr>
          <w:p w14:paraId="1F1439C6" w14:textId="77777777" w:rsidR="0001344F" w:rsidRPr="000A33D2" w:rsidRDefault="0001344F" w:rsidP="002A63BC">
            <w:pPr>
              <w:pStyle w:val="TableText0"/>
              <w:keepLines/>
            </w:pPr>
            <w:r w:rsidRPr="000A33D2">
              <w:t xml:space="preserve">Treatment comparison </w:t>
            </w:r>
          </w:p>
        </w:tc>
        <w:tc>
          <w:tcPr>
            <w:tcW w:w="2043" w:type="pct"/>
            <w:vAlign w:val="center"/>
          </w:tcPr>
          <w:p w14:paraId="65F9355F" w14:textId="77777777" w:rsidR="0001344F" w:rsidRPr="000A33D2" w:rsidRDefault="0001344F" w:rsidP="002A63BC">
            <w:pPr>
              <w:pStyle w:val="TableText0"/>
              <w:keepLines/>
            </w:pPr>
            <w:r w:rsidRPr="000A33D2">
              <w:t>Intervention: DOS+CP</w:t>
            </w:r>
          </w:p>
          <w:p w14:paraId="2481728D" w14:textId="77777777" w:rsidR="0001344F" w:rsidRPr="000A33D2" w:rsidRDefault="0001344F" w:rsidP="002A63BC">
            <w:pPr>
              <w:pStyle w:val="TableText0"/>
              <w:keepLines/>
            </w:pPr>
            <w:r w:rsidRPr="000A33D2">
              <w:t>Comparator: CP</w:t>
            </w:r>
          </w:p>
        </w:tc>
        <w:tc>
          <w:tcPr>
            <w:tcW w:w="2173" w:type="pct"/>
            <w:vAlign w:val="center"/>
          </w:tcPr>
          <w:p w14:paraId="15145A6D" w14:textId="77777777" w:rsidR="0001344F" w:rsidRPr="000A33D2" w:rsidRDefault="0001344F" w:rsidP="002A63BC">
            <w:pPr>
              <w:pStyle w:val="TableText0"/>
              <w:keepLines/>
            </w:pPr>
            <w:r w:rsidRPr="000A33D2">
              <w:t>Reasonable.</w:t>
            </w:r>
          </w:p>
        </w:tc>
      </w:tr>
      <w:tr w:rsidR="0001344F" w:rsidRPr="000A33D2" w14:paraId="73A1E7D7" w14:textId="77777777" w:rsidTr="00B463EE">
        <w:trPr>
          <w:trHeight w:val="798"/>
        </w:trPr>
        <w:tc>
          <w:tcPr>
            <w:tcW w:w="784" w:type="pct"/>
            <w:vAlign w:val="center"/>
          </w:tcPr>
          <w:p w14:paraId="7D55F9F5" w14:textId="77777777" w:rsidR="0001344F" w:rsidRPr="000A33D2" w:rsidRDefault="0001344F" w:rsidP="002A63BC">
            <w:pPr>
              <w:pStyle w:val="TableText0"/>
              <w:keepLines/>
            </w:pPr>
            <w:r w:rsidRPr="000A33D2">
              <w:t>Type of analysis</w:t>
            </w:r>
          </w:p>
        </w:tc>
        <w:tc>
          <w:tcPr>
            <w:tcW w:w="2043" w:type="pct"/>
            <w:vAlign w:val="center"/>
          </w:tcPr>
          <w:p w14:paraId="6663381E" w14:textId="77777777" w:rsidR="0001344F" w:rsidRPr="000A33D2" w:rsidRDefault="0001344F" w:rsidP="002A63BC">
            <w:pPr>
              <w:pStyle w:val="TableText0"/>
              <w:keepLines/>
            </w:pPr>
            <w:r w:rsidRPr="000A33D2">
              <w:t>Cost-utility analysis</w:t>
            </w:r>
          </w:p>
        </w:tc>
        <w:tc>
          <w:tcPr>
            <w:tcW w:w="2173" w:type="pct"/>
            <w:vMerge w:val="restart"/>
            <w:vAlign w:val="center"/>
          </w:tcPr>
          <w:p w14:paraId="076CCA84" w14:textId="6319DFE4" w:rsidR="0001344F" w:rsidRPr="000A33D2" w:rsidRDefault="0001344F" w:rsidP="002A63BC">
            <w:pPr>
              <w:pStyle w:val="TableText0"/>
              <w:keepLines/>
              <w:jc w:val="both"/>
            </w:pPr>
            <w:r w:rsidRPr="000A33D2">
              <w:t>Consistent with the submission’s clinical claim of superior efficacy of DOS+CP compared to CP alone. This was appropriate for dMMR patients (</w:t>
            </w:r>
            <w:r w:rsidR="00BB2F1E" w:rsidRPr="000A33D2">
              <w:t>P</w:t>
            </w:r>
            <w:r w:rsidRPr="000A33D2">
              <w:t>opulation 1)</w:t>
            </w:r>
            <w:r w:rsidR="002E5AB6" w:rsidRPr="000A33D2">
              <w:t xml:space="preserve"> but </w:t>
            </w:r>
            <w:r w:rsidR="002770C4" w:rsidRPr="000A33D2">
              <w:t xml:space="preserve">was more uncertain </w:t>
            </w:r>
            <w:r w:rsidRPr="000A33D2">
              <w:t>for all-comers (</w:t>
            </w:r>
            <w:r w:rsidR="00BB2F1E" w:rsidRPr="000A33D2">
              <w:t>P</w:t>
            </w:r>
            <w:r w:rsidRPr="000A33D2">
              <w:t>opulation 2)</w:t>
            </w:r>
            <w:r w:rsidR="002770C4" w:rsidRPr="000A33D2">
              <w:t xml:space="preserve"> – see paragraphs</w:t>
            </w:r>
            <w:r w:rsidR="00D57844" w:rsidRPr="000A33D2">
              <w:t xml:space="preserve"> </w:t>
            </w:r>
            <w:r w:rsidR="00D57844" w:rsidRPr="000A33D2">
              <w:fldChar w:fldCharType="begin" w:fldLock="1"/>
            </w:r>
            <w:r w:rsidR="00D57844" w:rsidRPr="000A33D2">
              <w:instrText xml:space="preserve"> REF _Ref147486541 \r \h </w:instrText>
            </w:r>
            <w:r w:rsidR="00D57844" w:rsidRPr="000A33D2">
              <w:fldChar w:fldCharType="separate"/>
            </w:r>
            <w:r w:rsidR="00B62E71">
              <w:t>6.38</w:t>
            </w:r>
            <w:r w:rsidR="00D57844" w:rsidRPr="000A33D2">
              <w:fldChar w:fldCharType="end"/>
            </w:r>
          </w:p>
        </w:tc>
      </w:tr>
      <w:tr w:rsidR="0001344F" w:rsidRPr="000A33D2" w14:paraId="0A69600B" w14:textId="77777777" w:rsidTr="00B463EE">
        <w:trPr>
          <w:trHeight w:val="475"/>
        </w:trPr>
        <w:tc>
          <w:tcPr>
            <w:tcW w:w="784" w:type="pct"/>
            <w:vAlign w:val="center"/>
          </w:tcPr>
          <w:p w14:paraId="254824A9" w14:textId="77777777" w:rsidR="0001344F" w:rsidRPr="000A33D2" w:rsidRDefault="0001344F" w:rsidP="002A63BC">
            <w:pPr>
              <w:pStyle w:val="TableText0"/>
              <w:keepLines/>
            </w:pPr>
            <w:r w:rsidRPr="000A33D2">
              <w:t>Patient population</w:t>
            </w:r>
          </w:p>
        </w:tc>
        <w:tc>
          <w:tcPr>
            <w:tcW w:w="2043" w:type="pct"/>
            <w:vAlign w:val="center"/>
          </w:tcPr>
          <w:p w14:paraId="5BB31D1E" w14:textId="6DE12D8E" w:rsidR="0001344F" w:rsidRPr="000A33D2" w:rsidRDefault="0001344F" w:rsidP="002A63BC">
            <w:pPr>
              <w:pStyle w:val="TableText0"/>
              <w:keepLines/>
            </w:pPr>
            <w:r w:rsidRPr="000A33D2">
              <w:t>dMMR (</w:t>
            </w:r>
            <w:r w:rsidR="00BB2F1E" w:rsidRPr="000A33D2">
              <w:t>P</w:t>
            </w:r>
            <w:r w:rsidRPr="000A33D2">
              <w:t>opulation 1)</w:t>
            </w:r>
          </w:p>
          <w:p w14:paraId="0170EACF" w14:textId="2353C0F6" w:rsidR="0001344F" w:rsidRPr="000A33D2" w:rsidRDefault="0001344F" w:rsidP="002A63BC">
            <w:pPr>
              <w:pStyle w:val="TableText0"/>
              <w:keepLines/>
            </w:pPr>
            <w:r w:rsidRPr="000A33D2">
              <w:t>all-comers (</w:t>
            </w:r>
            <w:r w:rsidR="00BB2F1E" w:rsidRPr="000A33D2">
              <w:t>P</w:t>
            </w:r>
            <w:r w:rsidRPr="000A33D2">
              <w:t>opulation 2)</w:t>
            </w:r>
          </w:p>
        </w:tc>
        <w:tc>
          <w:tcPr>
            <w:tcW w:w="2173" w:type="pct"/>
            <w:vMerge/>
            <w:vAlign w:val="center"/>
          </w:tcPr>
          <w:p w14:paraId="63ECB1AF" w14:textId="77777777" w:rsidR="0001344F" w:rsidRPr="000A33D2" w:rsidRDefault="0001344F" w:rsidP="002A63BC">
            <w:pPr>
              <w:pStyle w:val="TableText0"/>
              <w:keepLines/>
              <w:jc w:val="both"/>
            </w:pPr>
          </w:p>
        </w:tc>
      </w:tr>
      <w:tr w:rsidR="0001344F" w:rsidRPr="000A33D2" w14:paraId="0FDE656B" w14:textId="77777777" w:rsidTr="00B463EE">
        <w:tc>
          <w:tcPr>
            <w:tcW w:w="784" w:type="pct"/>
            <w:vAlign w:val="center"/>
          </w:tcPr>
          <w:p w14:paraId="0796404B" w14:textId="77777777" w:rsidR="0001344F" w:rsidRPr="000A33D2" w:rsidRDefault="0001344F" w:rsidP="002A63BC">
            <w:pPr>
              <w:pStyle w:val="TableText0"/>
              <w:keepLines/>
            </w:pPr>
            <w:r w:rsidRPr="000A33D2">
              <w:t>Outcomes</w:t>
            </w:r>
          </w:p>
        </w:tc>
        <w:tc>
          <w:tcPr>
            <w:tcW w:w="2043" w:type="pct"/>
            <w:vAlign w:val="center"/>
          </w:tcPr>
          <w:p w14:paraId="2A2D3CDD" w14:textId="77777777" w:rsidR="0001344F" w:rsidRPr="000A33D2" w:rsidRDefault="0001344F" w:rsidP="002A63BC">
            <w:pPr>
              <w:pStyle w:val="TableText0"/>
              <w:keepLines/>
            </w:pPr>
            <w:r w:rsidRPr="000A33D2">
              <w:t>Life years gained; quality-adjusted life years</w:t>
            </w:r>
          </w:p>
        </w:tc>
        <w:tc>
          <w:tcPr>
            <w:tcW w:w="2173" w:type="pct"/>
            <w:vAlign w:val="center"/>
          </w:tcPr>
          <w:p w14:paraId="2484A5EE" w14:textId="77777777" w:rsidR="0001344F" w:rsidRPr="000A33D2" w:rsidRDefault="0001344F" w:rsidP="002A63BC">
            <w:pPr>
              <w:pStyle w:val="TableText0"/>
              <w:keepLines/>
              <w:jc w:val="both"/>
            </w:pPr>
            <w:r w:rsidRPr="000A33D2">
              <w:t>Appropriate.</w:t>
            </w:r>
          </w:p>
        </w:tc>
      </w:tr>
      <w:tr w:rsidR="0001344F" w:rsidRPr="000A33D2" w14:paraId="2111B356" w14:textId="77777777" w:rsidTr="00B463EE">
        <w:tc>
          <w:tcPr>
            <w:tcW w:w="784" w:type="pct"/>
            <w:vAlign w:val="center"/>
          </w:tcPr>
          <w:p w14:paraId="61E5780F" w14:textId="77777777" w:rsidR="0001344F" w:rsidRPr="000A33D2" w:rsidRDefault="0001344F" w:rsidP="002A63BC">
            <w:pPr>
              <w:pStyle w:val="TableText0"/>
              <w:keepLines/>
            </w:pPr>
            <w:r w:rsidRPr="000A33D2">
              <w:t>Time horizon</w:t>
            </w:r>
          </w:p>
        </w:tc>
        <w:tc>
          <w:tcPr>
            <w:tcW w:w="2043" w:type="pct"/>
            <w:vAlign w:val="center"/>
          </w:tcPr>
          <w:p w14:paraId="3B3BCE83" w14:textId="2130C9DE" w:rsidR="0001344F" w:rsidRPr="000A33D2" w:rsidRDefault="0001344F" w:rsidP="002A63BC">
            <w:pPr>
              <w:pStyle w:val="TableText0"/>
              <w:keepLines/>
            </w:pPr>
            <w:r w:rsidRPr="000A33D2">
              <w:t xml:space="preserve">10 years in the model base case vs. </w:t>
            </w:r>
            <w:r w:rsidR="00480C68" w:rsidRPr="000A33D2">
              <w:t xml:space="preserve">median follow-up of </w:t>
            </w:r>
            <w:r w:rsidRPr="000A33D2">
              <w:t>25.4 months in RUBY (all-comers) and 24.8 months (dMMR)</w:t>
            </w:r>
          </w:p>
        </w:tc>
        <w:tc>
          <w:tcPr>
            <w:tcW w:w="2173" w:type="pct"/>
            <w:vAlign w:val="center"/>
          </w:tcPr>
          <w:p w14:paraId="006E431F" w14:textId="536D916D" w:rsidR="0001344F" w:rsidRPr="000A33D2" w:rsidRDefault="00DB49B6" w:rsidP="002A63BC">
            <w:pPr>
              <w:pStyle w:val="TableText0"/>
              <w:keepLines/>
              <w:jc w:val="both"/>
            </w:pPr>
            <w:r w:rsidRPr="000A33D2">
              <w:t xml:space="preserve">The PBAC considered this was </w:t>
            </w:r>
            <w:r w:rsidR="0001344F" w:rsidRPr="000A33D2">
              <w:t xml:space="preserve">optimistic </w:t>
            </w:r>
            <w:r w:rsidRPr="000A33D2">
              <w:t xml:space="preserve">for patients with advanced/recurrent EC </w:t>
            </w:r>
            <w:r w:rsidR="0001344F" w:rsidRPr="000A33D2">
              <w:t xml:space="preserve">and uncertain given the length of study follow-up. </w:t>
            </w:r>
          </w:p>
        </w:tc>
      </w:tr>
      <w:tr w:rsidR="0001344F" w:rsidRPr="000A33D2" w14:paraId="28FC22DD" w14:textId="77777777" w:rsidTr="00B463EE">
        <w:tc>
          <w:tcPr>
            <w:tcW w:w="784" w:type="pct"/>
            <w:vAlign w:val="center"/>
          </w:tcPr>
          <w:p w14:paraId="3F19B120" w14:textId="77777777" w:rsidR="0001344F" w:rsidRPr="000A33D2" w:rsidRDefault="0001344F" w:rsidP="002A63BC">
            <w:pPr>
              <w:pStyle w:val="TableText0"/>
              <w:keepLines/>
            </w:pPr>
            <w:r w:rsidRPr="000A33D2">
              <w:t>Methods used to generate results</w:t>
            </w:r>
          </w:p>
        </w:tc>
        <w:tc>
          <w:tcPr>
            <w:tcW w:w="2043" w:type="pct"/>
            <w:vAlign w:val="center"/>
          </w:tcPr>
          <w:p w14:paraId="57ACF785" w14:textId="77777777" w:rsidR="0001344F" w:rsidRPr="000A33D2" w:rsidRDefault="0001344F" w:rsidP="002A63BC">
            <w:pPr>
              <w:pStyle w:val="TableText0"/>
              <w:keepLines/>
            </w:pPr>
            <w:r w:rsidRPr="000A33D2">
              <w:t>Partitioned survival model</w:t>
            </w:r>
          </w:p>
        </w:tc>
        <w:tc>
          <w:tcPr>
            <w:tcW w:w="2173" w:type="pct"/>
            <w:vAlign w:val="center"/>
          </w:tcPr>
          <w:p w14:paraId="21A09836" w14:textId="77777777" w:rsidR="0001344F" w:rsidRPr="000A33D2" w:rsidRDefault="0001344F" w:rsidP="002A63BC">
            <w:pPr>
              <w:pStyle w:val="TableText0"/>
              <w:keepLines/>
              <w:jc w:val="both"/>
            </w:pPr>
            <w:r w:rsidRPr="000A33D2">
              <w:t>Appropriate.</w:t>
            </w:r>
          </w:p>
        </w:tc>
      </w:tr>
      <w:tr w:rsidR="0001344F" w:rsidRPr="000A33D2" w14:paraId="24B911B1" w14:textId="77777777" w:rsidTr="00B463EE">
        <w:tc>
          <w:tcPr>
            <w:tcW w:w="784" w:type="pct"/>
            <w:vAlign w:val="center"/>
          </w:tcPr>
          <w:p w14:paraId="6BD24A8E" w14:textId="77777777" w:rsidR="0001344F" w:rsidRPr="000A33D2" w:rsidRDefault="0001344F" w:rsidP="002A63BC">
            <w:pPr>
              <w:pStyle w:val="TableText0"/>
              <w:keepLines/>
            </w:pPr>
            <w:r w:rsidRPr="000A33D2">
              <w:t>Health states</w:t>
            </w:r>
          </w:p>
        </w:tc>
        <w:tc>
          <w:tcPr>
            <w:tcW w:w="2043" w:type="pct"/>
            <w:vAlign w:val="center"/>
          </w:tcPr>
          <w:p w14:paraId="7D83145B" w14:textId="77777777" w:rsidR="0001344F" w:rsidRPr="000A33D2" w:rsidRDefault="0001344F" w:rsidP="002A63BC">
            <w:pPr>
              <w:pStyle w:val="TableText0"/>
              <w:keepLines/>
            </w:pPr>
            <w:r w:rsidRPr="000A33D2">
              <w:t>Progression-free; progressed disease; dead</w:t>
            </w:r>
          </w:p>
        </w:tc>
        <w:tc>
          <w:tcPr>
            <w:tcW w:w="2173" w:type="pct"/>
            <w:vAlign w:val="center"/>
          </w:tcPr>
          <w:p w14:paraId="28B0E11E" w14:textId="77777777" w:rsidR="0001344F" w:rsidRPr="000A33D2" w:rsidRDefault="0001344F" w:rsidP="002A63BC">
            <w:pPr>
              <w:pStyle w:val="TableText0"/>
              <w:keepLines/>
              <w:jc w:val="both"/>
            </w:pPr>
            <w:r w:rsidRPr="000A33D2">
              <w:t>Appropriate.</w:t>
            </w:r>
          </w:p>
        </w:tc>
      </w:tr>
      <w:tr w:rsidR="0001344F" w:rsidRPr="000A33D2" w14:paraId="7B638B04" w14:textId="77777777" w:rsidTr="00B463EE">
        <w:tc>
          <w:tcPr>
            <w:tcW w:w="784" w:type="pct"/>
            <w:vAlign w:val="center"/>
          </w:tcPr>
          <w:p w14:paraId="6AE88C50" w14:textId="77777777" w:rsidR="0001344F" w:rsidRPr="000A33D2" w:rsidRDefault="0001344F" w:rsidP="002A63BC">
            <w:pPr>
              <w:pStyle w:val="TableText0"/>
              <w:keepLines/>
            </w:pPr>
            <w:r w:rsidRPr="000A33D2">
              <w:t>Cycle length</w:t>
            </w:r>
          </w:p>
        </w:tc>
        <w:tc>
          <w:tcPr>
            <w:tcW w:w="2043" w:type="pct"/>
            <w:vAlign w:val="center"/>
          </w:tcPr>
          <w:p w14:paraId="765BD12B" w14:textId="77777777" w:rsidR="0001344F" w:rsidRPr="000A33D2" w:rsidRDefault="0001344F" w:rsidP="002A63BC">
            <w:pPr>
              <w:pStyle w:val="TableText0"/>
              <w:keepLines/>
            </w:pPr>
            <w:r w:rsidRPr="000A33D2">
              <w:t>7 days</w:t>
            </w:r>
          </w:p>
        </w:tc>
        <w:tc>
          <w:tcPr>
            <w:tcW w:w="2173" w:type="pct"/>
            <w:vAlign w:val="center"/>
          </w:tcPr>
          <w:p w14:paraId="3B74656B" w14:textId="2A4B819B" w:rsidR="0001344F" w:rsidRPr="000A33D2" w:rsidRDefault="0001344F" w:rsidP="002A63BC">
            <w:pPr>
              <w:pStyle w:val="TableText0"/>
              <w:keepLines/>
              <w:jc w:val="both"/>
            </w:pPr>
            <w:r w:rsidRPr="000A33D2">
              <w:t xml:space="preserve">May be overly granular given the RUBY schedule of events where one cycle of treatment was 3 or 6 weeks during the treatment period. </w:t>
            </w:r>
          </w:p>
        </w:tc>
      </w:tr>
      <w:tr w:rsidR="0001344F" w:rsidRPr="000A33D2" w14:paraId="6B780ECD" w14:textId="77777777" w:rsidTr="00B463EE">
        <w:tc>
          <w:tcPr>
            <w:tcW w:w="784" w:type="pct"/>
            <w:vAlign w:val="center"/>
          </w:tcPr>
          <w:p w14:paraId="34D90DCB" w14:textId="77777777" w:rsidR="0001344F" w:rsidRPr="000A33D2" w:rsidRDefault="0001344F" w:rsidP="002A63BC">
            <w:pPr>
              <w:pStyle w:val="TableText0"/>
              <w:keepLines/>
            </w:pPr>
            <w:r w:rsidRPr="000A33D2">
              <w:t>Transition probabilities</w:t>
            </w:r>
          </w:p>
        </w:tc>
        <w:tc>
          <w:tcPr>
            <w:tcW w:w="2043" w:type="pct"/>
            <w:vAlign w:val="center"/>
          </w:tcPr>
          <w:p w14:paraId="05F2E99C" w14:textId="4F4A545B" w:rsidR="0001344F" w:rsidRPr="000A33D2" w:rsidRDefault="00480C68" w:rsidP="002A63BC">
            <w:pPr>
              <w:pStyle w:val="TableText0"/>
              <w:keepLines/>
            </w:pPr>
            <w:r w:rsidRPr="000A33D2">
              <w:t>U</w:t>
            </w:r>
            <w:r w:rsidR="0001344F" w:rsidRPr="000A33D2">
              <w:t>ntil median follow-up</w:t>
            </w:r>
          </w:p>
          <w:p w14:paraId="52F8B660" w14:textId="5BD8B208" w:rsidR="0001344F" w:rsidRPr="000A33D2" w:rsidRDefault="0001344F" w:rsidP="002A63BC">
            <w:pPr>
              <w:pStyle w:val="TableText0"/>
              <w:keepLines/>
            </w:pPr>
            <w:r w:rsidRPr="000A33D2">
              <w:t xml:space="preserve">CP arm: PFS and OS </w:t>
            </w:r>
            <w:r w:rsidR="00480C68" w:rsidRPr="000A33D2">
              <w:t xml:space="preserve">KM </w:t>
            </w:r>
            <w:r w:rsidRPr="000A33D2">
              <w:t>from RUBY</w:t>
            </w:r>
          </w:p>
          <w:p w14:paraId="2A795D43" w14:textId="3C3201D2" w:rsidR="0001344F" w:rsidRPr="000A33D2" w:rsidRDefault="0001344F" w:rsidP="002A63BC">
            <w:pPr>
              <w:pStyle w:val="TableText0"/>
              <w:keepLines/>
            </w:pPr>
            <w:r w:rsidRPr="000A33D2">
              <w:t xml:space="preserve">DOS+CP arm: PFS and OS </w:t>
            </w:r>
            <w:r w:rsidR="00480C68" w:rsidRPr="000A33D2">
              <w:t xml:space="preserve">KM </w:t>
            </w:r>
            <w:r w:rsidRPr="000A33D2">
              <w:t>from RUBY</w:t>
            </w:r>
          </w:p>
          <w:p w14:paraId="2762D3CA" w14:textId="77777777" w:rsidR="00A03497" w:rsidRPr="000A33D2" w:rsidRDefault="00A03497" w:rsidP="002A63BC">
            <w:pPr>
              <w:pStyle w:val="TableText0"/>
              <w:keepLines/>
            </w:pPr>
          </w:p>
          <w:p w14:paraId="2DF8F1D7" w14:textId="6B2AE83A" w:rsidR="0001344F" w:rsidRPr="000A33D2" w:rsidRDefault="00480C68" w:rsidP="002A63BC">
            <w:pPr>
              <w:pStyle w:val="TableText0"/>
              <w:keepLines/>
            </w:pPr>
            <w:r w:rsidRPr="000A33D2">
              <w:t>After median follow-up</w:t>
            </w:r>
          </w:p>
          <w:p w14:paraId="4262A012" w14:textId="77777777" w:rsidR="0001344F" w:rsidRPr="000A33D2" w:rsidRDefault="0001344F" w:rsidP="002A63BC">
            <w:pPr>
              <w:pStyle w:val="TableText0"/>
              <w:keepLines/>
            </w:pPr>
            <w:r w:rsidRPr="000A33D2">
              <w:t>CP arm: PFS and OS from Miller 2020</w:t>
            </w:r>
          </w:p>
          <w:p w14:paraId="0B4A373F" w14:textId="5E8BDD6F" w:rsidR="0001344F" w:rsidRPr="000A33D2" w:rsidRDefault="0001344F" w:rsidP="002A63BC">
            <w:pPr>
              <w:pStyle w:val="TableText0"/>
              <w:keepLines/>
            </w:pPr>
            <w:r w:rsidRPr="000A33D2">
              <w:t xml:space="preserve">DOS+CP arm: HR applied to CP arm </w:t>
            </w:r>
            <w:r w:rsidR="00480C68" w:rsidRPr="000A33D2">
              <w:t xml:space="preserve">(OS HR=0.30 and PFS HR=0.28 for dMMR cohort; OS HR=0.64 and PFS HR=0.64 for all-comers) </w:t>
            </w:r>
            <w:r w:rsidRPr="000A33D2">
              <w:t xml:space="preserve">until three years; forced </w:t>
            </w:r>
            <w:r w:rsidR="00480C68" w:rsidRPr="000A33D2">
              <w:t xml:space="preserve">linear </w:t>
            </w:r>
            <w:r w:rsidRPr="000A33D2">
              <w:t xml:space="preserve">convergence to CP arm from three years to </w:t>
            </w:r>
            <w:r w:rsidR="00034773" w:rsidRPr="000A33D2">
              <w:t>10</w:t>
            </w:r>
            <w:r w:rsidRPr="000A33D2">
              <w:t xml:space="preserve"> years</w:t>
            </w:r>
          </w:p>
        </w:tc>
        <w:tc>
          <w:tcPr>
            <w:tcW w:w="2173" w:type="pct"/>
            <w:vAlign w:val="center"/>
          </w:tcPr>
          <w:p w14:paraId="3936195E" w14:textId="66F7616B" w:rsidR="0001344F" w:rsidRPr="000A33D2" w:rsidRDefault="00DB49B6" w:rsidP="002A63BC">
            <w:pPr>
              <w:pStyle w:val="TableText0"/>
              <w:keepLines/>
              <w:jc w:val="both"/>
            </w:pPr>
            <w:r w:rsidRPr="000A33D2">
              <w:t>The PBAC considered the modelled OS w</w:t>
            </w:r>
            <w:r w:rsidR="003C0E24" w:rsidRPr="000A33D2">
              <w:t>as</w:t>
            </w:r>
            <w:r w:rsidRPr="000A33D2">
              <w:t xml:space="preserve"> uncertain due to the immaturity of the trial data. Use of data from Miller (2020) was </w:t>
            </w:r>
            <w:r w:rsidR="0001344F" w:rsidRPr="000A33D2">
              <w:t xml:space="preserve">uncertain given transitivity issues associated with the use of </w:t>
            </w:r>
            <w:r w:rsidR="00FA0A8C" w:rsidRPr="000A33D2">
              <w:t xml:space="preserve">a </w:t>
            </w:r>
            <w:r w:rsidR="0001344F" w:rsidRPr="000A33D2">
              <w:t>long-term survival stud</w:t>
            </w:r>
            <w:r w:rsidR="00FA0A8C" w:rsidRPr="000A33D2">
              <w:t>y</w:t>
            </w:r>
            <w:r w:rsidR="0001344F" w:rsidRPr="000A33D2">
              <w:t xml:space="preserve"> and </w:t>
            </w:r>
            <w:r w:rsidRPr="000A33D2">
              <w:t>it was unclear whether</w:t>
            </w:r>
            <w:r w:rsidR="00944B74" w:rsidRPr="000A33D2">
              <w:t xml:space="preserve"> </w:t>
            </w:r>
            <w:r w:rsidRPr="000A33D2">
              <w:t xml:space="preserve">the </w:t>
            </w:r>
            <w:r w:rsidR="0001344F" w:rsidRPr="000A33D2">
              <w:t>convergence</w:t>
            </w:r>
            <w:r w:rsidRPr="000A33D2">
              <w:t xml:space="preserve"> applied was sufficient</w:t>
            </w:r>
            <w:r w:rsidR="0001344F" w:rsidRPr="000A33D2">
              <w:t xml:space="preserve"> to compensate for subsequent immunotherapy in Australian practice</w:t>
            </w:r>
            <w:r w:rsidRPr="000A33D2">
              <w:t>.</w:t>
            </w:r>
          </w:p>
        </w:tc>
      </w:tr>
      <w:tr w:rsidR="003441D6" w:rsidRPr="000A33D2" w14:paraId="0B52432A" w14:textId="77777777" w:rsidTr="00B463EE">
        <w:tc>
          <w:tcPr>
            <w:tcW w:w="784" w:type="pct"/>
            <w:vAlign w:val="center"/>
          </w:tcPr>
          <w:p w14:paraId="0F1BD5A5" w14:textId="70399FBA" w:rsidR="003441D6" w:rsidRPr="000A33D2" w:rsidRDefault="003441D6" w:rsidP="002A63BC">
            <w:pPr>
              <w:pStyle w:val="TableText0"/>
              <w:keepLines/>
            </w:pPr>
            <w:r w:rsidRPr="000A33D2">
              <w:t>Health-related quality of life</w:t>
            </w:r>
          </w:p>
        </w:tc>
        <w:tc>
          <w:tcPr>
            <w:tcW w:w="2043" w:type="pct"/>
            <w:vAlign w:val="center"/>
          </w:tcPr>
          <w:p w14:paraId="5C81330D" w14:textId="2D55DED2" w:rsidR="00A45CD7" w:rsidRPr="000A33D2" w:rsidRDefault="00A45CD7" w:rsidP="002A63BC">
            <w:pPr>
              <w:pStyle w:val="TableText0"/>
              <w:keepLines/>
            </w:pPr>
            <w:r w:rsidRPr="000A33D2">
              <w:t>Based on EQ5D scores from RUBY (</w:t>
            </w:r>
            <w:r w:rsidR="00CD1BE1" w:rsidRPr="000A33D2">
              <w:t xml:space="preserve">using </w:t>
            </w:r>
            <w:r w:rsidRPr="000A33D2">
              <w:t>Australian scoring algorithm)</w:t>
            </w:r>
          </w:p>
          <w:p w14:paraId="63907068" w14:textId="3A17C385" w:rsidR="00A45CD7" w:rsidRPr="000A33D2" w:rsidRDefault="00A45CD7" w:rsidP="002A63BC">
            <w:pPr>
              <w:pStyle w:val="TableText0"/>
              <w:keepLines/>
            </w:pPr>
            <w:r w:rsidRPr="000A33D2">
              <w:t>dMMR: PFS utility: 0.7747</w:t>
            </w:r>
            <w:r w:rsidR="004E14CF">
              <w:t>*</w:t>
            </w:r>
            <w:r w:rsidRPr="000A33D2">
              <w:t xml:space="preserve"> for both arms; PD utility: 0.7402</w:t>
            </w:r>
            <w:r w:rsidR="004E14CF">
              <w:t>*</w:t>
            </w:r>
            <w:r w:rsidRPr="000A33D2">
              <w:t xml:space="preserve"> for both arms</w:t>
            </w:r>
          </w:p>
          <w:p w14:paraId="39DFC294" w14:textId="1D9BA525" w:rsidR="003441D6" w:rsidRPr="000A33D2" w:rsidRDefault="00A45CD7" w:rsidP="002A63BC">
            <w:pPr>
              <w:pStyle w:val="TableText0"/>
              <w:keepLines/>
            </w:pPr>
            <w:r w:rsidRPr="000A33D2">
              <w:t>all-comers: PFS utility: 0.7779</w:t>
            </w:r>
            <w:r w:rsidR="004E14CF">
              <w:t>*</w:t>
            </w:r>
            <w:r w:rsidRPr="000A33D2">
              <w:t xml:space="preserve"> for both arms; PD utility: 0.7339</w:t>
            </w:r>
            <w:r w:rsidR="004E14CF">
              <w:t>*</w:t>
            </w:r>
            <w:r w:rsidRPr="000A33D2">
              <w:t xml:space="preserve"> for both arms</w:t>
            </w:r>
          </w:p>
        </w:tc>
        <w:tc>
          <w:tcPr>
            <w:tcW w:w="2173" w:type="pct"/>
            <w:vAlign w:val="center"/>
          </w:tcPr>
          <w:p w14:paraId="583884FA" w14:textId="5FC8871C" w:rsidR="00CE64FC" w:rsidRPr="000A33D2" w:rsidRDefault="00A45CD7" w:rsidP="002A63BC">
            <w:pPr>
              <w:pStyle w:val="TableText0"/>
              <w:keepLines/>
              <w:jc w:val="both"/>
            </w:pPr>
            <w:r w:rsidRPr="000A33D2">
              <w:t>For the dMMR cohort, it was unclear if it was reasonable that both the PD utility (0.7747</w:t>
            </w:r>
            <w:r w:rsidR="004E14CF">
              <w:t>*</w:t>
            </w:r>
            <w:r w:rsidRPr="000A33D2">
              <w:t>) and PF utility (0.7402</w:t>
            </w:r>
            <w:r w:rsidR="004E14CF">
              <w:t>*</w:t>
            </w:r>
            <w:r w:rsidRPr="000A33D2">
              <w:t>) were higher than the reported baseline utility (0.73</w:t>
            </w:r>
            <w:r w:rsidR="004E14CF">
              <w:t>*</w:t>
            </w:r>
            <w:r w:rsidRPr="000A33D2">
              <w:t>)</w:t>
            </w:r>
            <w:r w:rsidR="00CD1BE1" w:rsidRPr="000A33D2">
              <w:t xml:space="preserve"> for dMMR patients in RUBY</w:t>
            </w:r>
            <w:r w:rsidRPr="000A33D2">
              <w:t>.</w:t>
            </w:r>
          </w:p>
        </w:tc>
      </w:tr>
      <w:tr w:rsidR="0001344F" w:rsidRPr="000A33D2" w14:paraId="5009AB59" w14:textId="77777777" w:rsidTr="00B463EE">
        <w:tc>
          <w:tcPr>
            <w:tcW w:w="784" w:type="pct"/>
            <w:vAlign w:val="center"/>
          </w:tcPr>
          <w:p w14:paraId="77DCBEA3" w14:textId="77777777" w:rsidR="0001344F" w:rsidRPr="000A33D2" w:rsidRDefault="0001344F" w:rsidP="002A63BC">
            <w:pPr>
              <w:pStyle w:val="TableText0"/>
              <w:keepLines/>
            </w:pPr>
            <w:r w:rsidRPr="000A33D2">
              <w:t>Software package</w:t>
            </w:r>
          </w:p>
        </w:tc>
        <w:tc>
          <w:tcPr>
            <w:tcW w:w="2043" w:type="pct"/>
            <w:vAlign w:val="center"/>
          </w:tcPr>
          <w:p w14:paraId="6A8A7045" w14:textId="77777777" w:rsidR="0001344F" w:rsidRPr="000A33D2" w:rsidRDefault="0001344F" w:rsidP="002A63BC">
            <w:pPr>
              <w:pStyle w:val="TableText0"/>
              <w:keepLines/>
            </w:pPr>
            <w:r w:rsidRPr="000A33D2">
              <w:t>Microsoft Excel</w:t>
            </w:r>
          </w:p>
        </w:tc>
        <w:tc>
          <w:tcPr>
            <w:tcW w:w="2173" w:type="pct"/>
            <w:vAlign w:val="center"/>
          </w:tcPr>
          <w:p w14:paraId="5C01E70C" w14:textId="77777777" w:rsidR="0001344F" w:rsidRPr="000A33D2" w:rsidRDefault="0001344F" w:rsidP="002A63BC">
            <w:pPr>
              <w:pStyle w:val="TableText0"/>
              <w:keepLines/>
            </w:pPr>
            <w:r w:rsidRPr="000A33D2">
              <w:t>Reasonable.</w:t>
            </w:r>
          </w:p>
        </w:tc>
      </w:tr>
    </w:tbl>
    <w:p w14:paraId="3C096815" w14:textId="77777777" w:rsidR="0030085F" w:rsidRPr="000A33D2" w:rsidRDefault="0030085F" w:rsidP="002A63BC">
      <w:pPr>
        <w:pStyle w:val="FooterTableFigure"/>
        <w:keepNext/>
        <w:keepLines/>
        <w:spacing w:after="0"/>
      </w:pPr>
      <w:r w:rsidRPr="000A33D2">
        <w:t>Source: Table 52, p102 of the submission.</w:t>
      </w:r>
    </w:p>
    <w:p w14:paraId="4FEAB170" w14:textId="45B4C05F" w:rsidR="0030085F" w:rsidRDefault="0030085F" w:rsidP="002A63BC">
      <w:pPr>
        <w:pStyle w:val="FooterTableFigure"/>
      </w:pPr>
      <w:r w:rsidRPr="000A33D2">
        <w:t>CP = carboplatin-paclitaxel; DOS = dostarlimab; EQ-5D = European quality of life scale, 5-Dimensions; OS = overall survival; PD = progressive disease; PFS = progression-free survival.</w:t>
      </w:r>
    </w:p>
    <w:p w14:paraId="68FDA8F9" w14:textId="07679F0A" w:rsidR="004A19F6" w:rsidRPr="004A19F6" w:rsidRDefault="004A19F6" w:rsidP="002A63BC">
      <w:pPr>
        <w:pStyle w:val="FooterTableFigure"/>
        <w:rPr>
          <w:i/>
          <w:iCs/>
        </w:rPr>
      </w:pPr>
      <w:r w:rsidRPr="004A19F6">
        <w:rPr>
          <w:i/>
          <w:iCs/>
        </w:rPr>
        <w:t>*Note that the utility values were provided for the purposes of informing the PBAC consideration. Interpretation of the results and their application should therefore be limited to seeking to understand the basis for the PBAC outcome and should not be used for any other purpose.</w:t>
      </w:r>
    </w:p>
    <w:p w14:paraId="16E875DA" w14:textId="11071FB6" w:rsidR="00CE64FC" w:rsidRPr="000A33D2" w:rsidRDefault="00CE64FC" w:rsidP="00CE64FC">
      <w:pPr>
        <w:pStyle w:val="3-BodyText"/>
        <w:rPr>
          <w:i/>
          <w:iCs/>
        </w:rPr>
      </w:pPr>
      <w:r w:rsidRPr="000A33D2">
        <w:t xml:space="preserve">The ESC noted that EQ-5D-5L data were mapped to the EQ-5D-3L value set using </w:t>
      </w:r>
      <w:r w:rsidR="002A63BC" w:rsidRPr="000A33D2">
        <w:t>Viney</w:t>
      </w:r>
      <w:r w:rsidR="002A63BC">
        <w:t> </w:t>
      </w:r>
      <w:r w:rsidRPr="000A33D2">
        <w:t xml:space="preserve">2011 and considered that these should </w:t>
      </w:r>
      <w:r w:rsidR="00DB49B6" w:rsidRPr="000A33D2">
        <w:t xml:space="preserve">have </w:t>
      </w:r>
      <w:r w:rsidRPr="000A33D2">
        <w:t>be</w:t>
      </w:r>
      <w:r w:rsidR="00D84C06">
        <w:t>en</w:t>
      </w:r>
      <w:r w:rsidRPr="000A33D2">
        <w:t xml:space="preserve"> updated to reflect the Australian EQ</w:t>
      </w:r>
      <w:r w:rsidR="005E4694" w:rsidRPr="000A33D2">
        <w:noBreakHyphen/>
      </w:r>
      <w:r w:rsidRPr="000A33D2">
        <w:t xml:space="preserve">5D-5L value set based on Norman et al </w:t>
      </w:r>
      <w:r w:rsidR="005E4694" w:rsidRPr="000A33D2">
        <w:t>(</w:t>
      </w:r>
      <w:r w:rsidRPr="000A33D2">
        <w:t>2023</w:t>
      </w:r>
      <w:r w:rsidR="005E4694" w:rsidRPr="000A33D2">
        <w:t>)</w:t>
      </w:r>
      <w:r w:rsidRPr="000A33D2">
        <w:rPr>
          <w:i/>
          <w:iCs/>
        </w:rPr>
        <w:t>.</w:t>
      </w:r>
    </w:p>
    <w:p w14:paraId="0EA2E22B" w14:textId="14BA5881" w:rsidR="00800852" w:rsidRPr="000A33D2" w:rsidRDefault="001C1AB0" w:rsidP="004A3679">
      <w:pPr>
        <w:pStyle w:val="3-BodyText"/>
      </w:pPr>
      <w:r w:rsidRPr="000A33D2">
        <w:t xml:space="preserve">In </w:t>
      </w:r>
      <w:r w:rsidR="00A432DD" w:rsidRPr="000A33D2">
        <w:t>order to inform the longer</w:t>
      </w:r>
      <w:r w:rsidR="00AA002D" w:rsidRPr="000A33D2">
        <w:t>-</w:t>
      </w:r>
      <w:r w:rsidR="00A432DD" w:rsidRPr="000A33D2">
        <w:t xml:space="preserve">term </w:t>
      </w:r>
      <w:r w:rsidRPr="000A33D2">
        <w:t>transition probabilities</w:t>
      </w:r>
      <w:r w:rsidR="00A432DD" w:rsidRPr="000A33D2">
        <w:t xml:space="preserve"> beyond RUBY</w:t>
      </w:r>
      <w:r w:rsidRPr="000A33D2">
        <w:t xml:space="preserve">, the submission </w:t>
      </w:r>
      <w:r w:rsidR="00FF2835" w:rsidRPr="000A33D2">
        <w:t xml:space="preserve">presented extrapolations </w:t>
      </w:r>
      <w:r w:rsidR="00B5229D" w:rsidRPr="000A33D2">
        <w:t xml:space="preserve">using </w:t>
      </w:r>
      <w:r w:rsidRPr="000A33D2">
        <w:t>fitted parametric functions</w:t>
      </w:r>
      <w:r w:rsidR="00A432DD" w:rsidRPr="000A33D2">
        <w:t xml:space="preserve"> to KM curves from RUBY</w:t>
      </w:r>
      <w:r w:rsidR="00763676" w:rsidRPr="000A33D2">
        <w:t xml:space="preserve"> or</w:t>
      </w:r>
      <w:r w:rsidRPr="000A33D2">
        <w:t xml:space="preserve"> </w:t>
      </w:r>
      <w:r w:rsidR="0060167A" w:rsidRPr="000A33D2">
        <w:t xml:space="preserve">from </w:t>
      </w:r>
      <w:r w:rsidRPr="000A33D2">
        <w:t xml:space="preserve">long-term </w:t>
      </w:r>
      <w:r w:rsidR="00D03205" w:rsidRPr="000A33D2">
        <w:t xml:space="preserve">survival </w:t>
      </w:r>
      <w:r w:rsidRPr="000A33D2">
        <w:t>studies</w:t>
      </w:r>
      <w:r w:rsidR="00095131" w:rsidRPr="000A33D2">
        <w:t xml:space="preserve"> (</w:t>
      </w:r>
      <w:r w:rsidR="00205CF2" w:rsidRPr="000A33D2">
        <w:t xml:space="preserve">Miller 2020, </w:t>
      </w:r>
      <w:r w:rsidR="001D6026" w:rsidRPr="000A33D2">
        <w:t>Martins 2023</w:t>
      </w:r>
      <w:r w:rsidR="005A6650" w:rsidRPr="000A33D2">
        <w:t xml:space="preserve"> or</w:t>
      </w:r>
      <w:r w:rsidR="001D6026" w:rsidRPr="000A33D2">
        <w:t xml:space="preserve"> GSK RWE study)</w:t>
      </w:r>
      <w:r w:rsidR="00457012" w:rsidRPr="000A33D2">
        <w:t>.</w:t>
      </w:r>
      <w:r w:rsidR="004A3679" w:rsidRPr="000A33D2">
        <w:t xml:space="preserve"> The submission considered fitted parametric functions were not suitable for the extrapolation of OS and PFS in the CP arm of the model. Among the long-term </w:t>
      </w:r>
      <w:r w:rsidR="004A3679" w:rsidRPr="000A33D2">
        <w:lastRenderedPageBreak/>
        <w:t xml:space="preserve">survival studies, Miller 2020 was the preferred data source for the submission as follow-up was available out to 10-years. For the base case, instead of using extrapolation from parametric functions as is the standard method (PBAC guidelines v5.0, p75), extrapolation was applied in which conditional probabilities derived from the CP arm of the ITT cohort in Miller 2020 were applied directly in estimating survival in the CP arm beyond the median follow-up of the trial. </w:t>
      </w:r>
    </w:p>
    <w:p w14:paraId="39027C21" w14:textId="37DCBC4A" w:rsidR="00800852" w:rsidRPr="000A33D2" w:rsidRDefault="00800852" w:rsidP="001C1AB0">
      <w:pPr>
        <w:pStyle w:val="3-BodyText"/>
      </w:pPr>
      <w:r w:rsidRPr="000A33D2" w:rsidDel="00800852">
        <w:t>Miller 2020 reported outcomes from the GOG0209 study, a phase III, randomised, noninferiority, open-label study of CP versus paclitaxel-doxorubicin-cisplatin in 1L A/R EC.</w:t>
      </w:r>
      <w:r w:rsidRPr="000A33D2">
        <w:t xml:space="preserve"> Patients enrolled in the CP arm reported in Miller 2020 appeared to have less severe disease compared to patients enrolled in the CP arm of RUBY. For example, 41.7% (280/672) of patients in the CP arm of Miller 2020 had stage III disease compared to 18.9% (47/249) in RUBY, and 47.8% (119/249) of patients in RUBY had recurrent/progressed disease compared to 28.3% (190/672) in the CP arm of Miller 2020. Patients enrolled in Miller 2020 (median age 61 years) were also on average younger than those enrolled in the CP arm of RUBY (median age 65 years). The MMR status of patients enrolled in Miller 2020 </w:t>
      </w:r>
      <w:r w:rsidR="0060167A" w:rsidRPr="000A33D2">
        <w:t xml:space="preserve">was </w:t>
      </w:r>
      <w:r w:rsidRPr="000A33D2">
        <w:t>not reported</w:t>
      </w:r>
      <w:r w:rsidR="00C67C5C" w:rsidRPr="000A33D2">
        <w:t xml:space="preserve"> and</w:t>
      </w:r>
      <w:r w:rsidRPr="000A33D2">
        <w:t xml:space="preserve"> this represented a </w:t>
      </w:r>
      <w:r w:rsidR="00C67C5C" w:rsidRPr="000A33D2">
        <w:t>potential</w:t>
      </w:r>
      <w:r w:rsidRPr="000A33D2">
        <w:t xml:space="preserve"> transitivity issue.</w:t>
      </w:r>
      <w:r w:rsidR="00933158" w:rsidRPr="000A33D2">
        <w:t xml:space="preserve"> The ESC agreed with the commentary that patients enrolled in the CP arm reported in Miller 2020 appeared to have less severe disease compared to patients enrolled in the CP arm of RUBY. </w:t>
      </w:r>
    </w:p>
    <w:p w14:paraId="72D5776A" w14:textId="692E227A" w:rsidR="00800852" w:rsidRPr="000A33D2" w:rsidRDefault="00800852" w:rsidP="001C1AB0">
      <w:pPr>
        <w:pStyle w:val="3-BodyText"/>
      </w:pPr>
      <w:r w:rsidRPr="000A33D2">
        <w:t xml:space="preserve">Martins 2023 conducted an observational, population-based, retrospective cohort study among adults (≥18 years) in Alberta, Canada, newly diagnosed with A/R EC between 2010-2018, with follow-up to December 2019. </w:t>
      </w:r>
      <w:r w:rsidR="007C40C2" w:rsidRPr="000A33D2">
        <w:t>I</w:t>
      </w:r>
      <w:r w:rsidR="0060167A" w:rsidRPr="000A33D2">
        <w:t>t was unclear if patients reported in Martins 2023 were comparable to patients enrolled in RUBY as p</w:t>
      </w:r>
      <w:r w:rsidRPr="000A33D2">
        <w:t>atient demographic and clinical characteristics were not individually reported</w:t>
      </w:r>
      <w:r w:rsidR="0060167A" w:rsidRPr="000A33D2">
        <w:t>.</w:t>
      </w:r>
    </w:p>
    <w:p w14:paraId="6DA26C91" w14:textId="18C0AB8D" w:rsidR="00800852" w:rsidRPr="000A33D2" w:rsidRDefault="00800852" w:rsidP="001C1AB0">
      <w:pPr>
        <w:pStyle w:val="3-BodyText"/>
      </w:pPr>
      <w:r w:rsidRPr="000A33D2">
        <w:t>The GSK RWE Study (identified as Ingles 2023 during the submission’s literature search) was a descriptive, non-interventional retrospective cohort study of EC patients diagnosed between 2013-2019 (with follow-up to August 2021) in England. A cohort of A/R patients was constructed to match as closely as possible the patients selected into the RUBY trial, who received a 1L systemic anticancer treatment (n=2,376</w:t>
      </w:r>
      <w:r w:rsidR="009A383B" w:rsidRPr="000A33D2">
        <w:t>; referred to as the immune checkpoint inhibitors (ICI) eligible 1L cohort</w:t>
      </w:r>
      <w:r w:rsidRPr="000A33D2">
        <w:t xml:space="preserve">), </w:t>
      </w:r>
      <w:r w:rsidR="00A24765" w:rsidRPr="000A33D2">
        <w:t>along with a second cohort which was a subgroup of the first but received CP as the treatment (n=902</w:t>
      </w:r>
      <w:r w:rsidR="009A383B" w:rsidRPr="000A33D2">
        <w:t>; referred to as the ICI eligible IL CP cohort</w:t>
      </w:r>
      <w:r w:rsidR="00A24765" w:rsidRPr="000A33D2">
        <w:t>). Despite the matching, patients in RUBY may potentially be healthier than in the GSK RWE study with a higher proportion of patients with Stage I/II disease at diagnosis (33.7% vs 16.9% and 20.2%, in RUBY, the ICI eligible 1L, and the ICI eligible 1L CP cohorts respectively). The MMR status of patients involved in the GSK RWE study was not reported and no comparison could be made.</w:t>
      </w:r>
    </w:p>
    <w:bookmarkStart w:id="65" w:name="_Ref145335513"/>
    <w:p w14:paraId="64A654D3" w14:textId="57BEBB44" w:rsidR="0028308F" w:rsidRPr="000A33D2" w:rsidRDefault="001D6026" w:rsidP="001C1AB0">
      <w:pPr>
        <w:pStyle w:val="3-BodyText"/>
      </w:pPr>
      <w:r w:rsidRPr="000A33D2">
        <w:fldChar w:fldCharType="begin" w:fldLock="1"/>
      </w:r>
      <w:r w:rsidRPr="000A33D2">
        <w:instrText xml:space="preserve"> REF _Ref144285663 \h </w:instrText>
      </w:r>
      <w:r w:rsidRPr="000A33D2">
        <w:fldChar w:fldCharType="separate"/>
      </w:r>
      <w:r w:rsidR="00B62E71" w:rsidRPr="000A33D2">
        <w:t xml:space="preserve">Figure </w:t>
      </w:r>
      <w:r w:rsidR="00B62E71">
        <w:rPr>
          <w:noProof/>
        </w:rPr>
        <w:t>7</w:t>
      </w:r>
      <w:r w:rsidRPr="000A33D2">
        <w:fldChar w:fldCharType="end"/>
      </w:r>
      <w:r w:rsidR="00D805E2" w:rsidRPr="000A33D2">
        <w:t xml:space="preserve"> presents an overlay of parametric functions fitted to OS data from the CP arm of RUBY (</w:t>
      </w:r>
      <w:proofErr w:type="spellStart"/>
      <w:r w:rsidRPr="000A33D2">
        <w:t>dMMR</w:t>
      </w:r>
      <w:proofErr w:type="spellEnd"/>
      <w:r w:rsidR="00D805E2" w:rsidRPr="000A33D2">
        <w:t xml:space="preserve">), and OS curves from the long-term survival studies. </w:t>
      </w:r>
      <w:r w:rsidRPr="000A33D2">
        <w:fldChar w:fldCharType="begin" w:fldLock="1"/>
      </w:r>
      <w:r w:rsidRPr="000A33D2">
        <w:instrText xml:space="preserve"> REF _Ref144285822 \h </w:instrText>
      </w:r>
      <w:r w:rsidRPr="000A33D2">
        <w:fldChar w:fldCharType="separate"/>
      </w:r>
      <w:r w:rsidR="00B62E71" w:rsidRPr="000A33D2">
        <w:t xml:space="preserve">Figure </w:t>
      </w:r>
      <w:r w:rsidR="00B62E71">
        <w:rPr>
          <w:noProof/>
        </w:rPr>
        <w:t>8</w:t>
      </w:r>
      <w:r w:rsidRPr="000A33D2">
        <w:fldChar w:fldCharType="end"/>
      </w:r>
      <w:r w:rsidRPr="000A33D2">
        <w:t xml:space="preserve"> presents the overlay of parametric functions fitted to PFS data from the CP arm of RUBY (</w:t>
      </w:r>
      <w:proofErr w:type="spellStart"/>
      <w:r w:rsidRPr="000A33D2">
        <w:t>dMMR</w:t>
      </w:r>
      <w:proofErr w:type="spellEnd"/>
      <w:r w:rsidRPr="000A33D2">
        <w:t>) and PFS curves from Miller 2020.</w:t>
      </w:r>
      <w:bookmarkEnd w:id="65"/>
      <w:r w:rsidRPr="000A33D2">
        <w:t xml:space="preserve"> </w:t>
      </w:r>
    </w:p>
    <w:p w14:paraId="3A7825FA" w14:textId="3F0DCFE2" w:rsidR="00D805E2" w:rsidRPr="000A33D2" w:rsidRDefault="001D6026" w:rsidP="002A63BC">
      <w:pPr>
        <w:pStyle w:val="Caption"/>
        <w:rPr>
          <w:rStyle w:val="CommentReference"/>
          <w:b/>
          <w:szCs w:val="24"/>
        </w:rPr>
      </w:pPr>
      <w:bookmarkStart w:id="66" w:name="_Ref144285663"/>
      <w:r w:rsidRPr="000A33D2">
        <w:lastRenderedPageBreak/>
        <w:t xml:space="preserve">Figure </w:t>
      </w:r>
      <w:r>
        <w:fldChar w:fldCharType="begin" w:fldLock="1"/>
      </w:r>
      <w:r>
        <w:instrText>SEQ Figure \* ARABIC</w:instrText>
      </w:r>
      <w:r>
        <w:fldChar w:fldCharType="separate"/>
      </w:r>
      <w:r w:rsidR="00B62E71">
        <w:rPr>
          <w:noProof/>
        </w:rPr>
        <w:t>7</w:t>
      </w:r>
      <w:r>
        <w:fldChar w:fldCharType="end"/>
      </w:r>
      <w:bookmarkEnd w:id="66"/>
      <w:r w:rsidR="00D805E2" w:rsidRPr="000A33D2">
        <w:rPr>
          <w:rStyle w:val="CommentReference"/>
          <w:b/>
          <w:szCs w:val="24"/>
        </w:rPr>
        <w:t xml:space="preserve">: Overlay of parametric functions fitted to OS data from the CP arm of RUBY </w:t>
      </w:r>
      <w:r w:rsidR="00E05DA7" w:rsidRPr="000A33D2">
        <w:rPr>
          <w:rStyle w:val="CommentReference"/>
          <w:b/>
          <w:szCs w:val="24"/>
        </w:rPr>
        <w:t xml:space="preserve">(dMMR cohort) </w:t>
      </w:r>
      <w:r w:rsidR="00D805E2" w:rsidRPr="000A33D2">
        <w:rPr>
          <w:rStyle w:val="CommentReference"/>
          <w:b/>
          <w:szCs w:val="24"/>
        </w:rPr>
        <w:t>and OS curves from long-term survival studies</w:t>
      </w:r>
    </w:p>
    <w:p w14:paraId="2C7A307B" w14:textId="23059B44" w:rsidR="00D805E2" w:rsidRPr="000A33D2" w:rsidRDefault="00B76D6A" w:rsidP="002A63BC">
      <w:pPr>
        <w:pStyle w:val="FooterTableFigure"/>
        <w:keepNext/>
        <w:keepLines/>
        <w:spacing w:after="0"/>
      </w:pPr>
      <w:r w:rsidRPr="000A33D2">
        <w:rPr>
          <w:noProof/>
        </w:rPr>
        <w:drawing>
          <wp:inline distT="0" distB="0" distL="0" distR="0" wp14:anchorId="29DFBEDB" wp14:editId="57E5CD99">
            <wp:extent cx="5851830" cy="3170469"/>
            <wp:effectExtent l="0" t="0" r="0" b="0"/>
            <wp:docPr id="1531478127" name="Picture 153147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1579" cy="3186587"/>
                    </a:xfrm>
                    <a:prstGeom prst="rect">
                      <a:avLst/>
                    </a:prstGeom>
                    <a:noFill/>
                  </pic:spPr>
                </pic:pic>
              </a:graphicData>
            </a:graphic>
          </wp:inline>
        </w:drawing>
      </w:r>
      <w:r w:rsidR="00D805E2" w:rsidRPr="000A33D2">
        <w:t>Source: Figure 50, p142 of the submission</w:t>
      </w:r>
      <w:r w:rsidR="001D6026" w:rsidRPr="000A33D2">
        <w:t>, and constructed during the evaluation using information from the submission’s economic model (Excel workbook ‘</w:t>
      </w:r>
      <w:proofErr w:type="spellStart"/>
      <w:r w:rsidR="001D6026" w:rsidRPr="000A33D2">
        <w:t>Jemperli</w:t>
      </w:r>
      <w:proofErr w:type="spellEnd"/>
      <w:r w:rsidR="001D6026" w:rsidRPr="000A33D2">
        <w:t xml:space="preserve"> (</w:t>
      </w:r>
      <w:proofErr w:type="spellStart"/>
      <w:r w:rsidR="001D6026" w:rsidRPr="000A33D2">
        <w:t>dostarlimab</w:t>
      </w:r>
      <w:proofErr w:type="spellEnd"/>
      <w:r w:rsidR="001D6026" w:rsidRPr="000A33D2">
        <w:t xml:space="preserve">) 1L EC </w:t>
      </w:r>
      <w:proofErr w:type="spellStart"/>
      <w:r w:rsidR="001D6026" w:rsidRPr="000A33D2">
        <w:t>CUA_July</w:t>
      </w:r>
      <w:proofErr w:type="spellEnd"/>
      <w:r w:rsidR="001D6026" w:rsidRPr="000A33D2">
        <w:t xml:space="preserve"> 2023’)</w:t>
      </w:r>
    </w:p>
    <w:p w14:paraId="66A2A0B2" w14:textId="34AA9DA6" w:rsidR="00D805E2" w:rsidRDefault="00D805E2" w:rsidP="002A63BC">
      <w:pPr>
        <w:pStyle w:val="FooterTableFigure"/>
      </w:pPr>
      <w:r w:rsidRPr="000A33D2">
        <w:t>1L = first-line; CP = carboplatin</w:t>
      </w:r>
      <w:r w:rsidR="00AD5F8E" w:rsidRPr="000A33D2">
        <w:t>-</w:t>
      </w:r>
      <w:r w:rsidRPr="000A33D2">
        <w:t>paclitaxel; ICI = immune checkpoint inhibitors; KM = Kaplan-Meier; PBO = placebo; RWE = real world evidence</w:t>
      </w:r>
    </w:p>
    <w:p w14:paraId="6A1418F6" w14:textId="7492EEF4" w:rsidR="00004BDA" w:rsidRPr="00004BDA" w:rsidRDefault="00004BDA" w:rsidP="002A63BC">
      <w:pPr>
        <w:pStyle w:val="FooterTableFigure"/>
        <w:rPr>
          <w:i/>
          <w:iCs/>
        </w:rPr>
      </w:pPr>
      <w:r w:rsidRPr="00004BDA">
        <w:rPr>
          <w:i/>
          <w:iCs/>
        </w:rPr>
        <w:t>Note that the Kaplan Meier plots and fitted curves depicted in Figure 7 are presented specifically for the purposes of informing the PBAC consideration. Their interpretation and application should therefore be limited to seeking to understand the basis for the PBAC outcome and should not be used for any other purpose.</w:t>
      </w:r>
    </w:p>
    <w:p w14:paraId="21D81DBD" w14:textId="70428B50" w:rsidR="001C1AB0" w:rsidRPr="000A33D2" w:rsidRDefault="001D6026" w:rsidP="003C2ACB">
      <w:pPr>
        <w:pStyle w:val="Caption"/>
        <w:rPr>
          <w:rStyle w:val="CommentReference"/>
          <w:b/>
          <w:szCs w:val="24"/>
        </w:rPr>
      </w:pPr>
      <w:bookmarkStart w:id="67" w:name="_Ref144285822"/>
      <w:r w:rsidRPr="000A33D2">
        <w:lastRenderedPageBreak/>
        <w:t xml:space="preserve">Figure </w:t>
      </w:r>
      <w:r>
        <w:fldChar w:fldCharType="begin" w:fldLock="1"/>
      </w:r>
      <w:r>
        <w:instrText>SEQ Figure \* ARABIC</w:instrText>
      </w:r>
      <w:r>
        <w:fldChar w:fldCharType="separate"/>
      </w:r>
      <w:r w:rsidR="00B62E71">
        <w:rPr>
          <w:noProof/>
        </w:rPr>
        <w:t>8</w:t>
      </w:r>
      <w:r>
        <w:fldChar w:fldCharType="end"/>
      </w:r>
      <w:bookmarkEnd w:id="67"/>
      <w:r w:rsidRPr="000A33D2">
        <w:t>:</w:t>
      </w:r>
      <w:r w:rsidR="001C1AB0" w:rsidRPr="000A33D2">
        <w:rPr>
          <w:rStyle w:val="CommentReference"/>
          <w:b/>
          <w:szCs w:val="24"/>
        </w:rPr>
        <w:t xml:space="preserve"> Overlay of parametric functions fitted to PFS data from the CP arm of RUBY </w:t>
      </w:r>
      <w:r w:rsidR="00E05DA7" w:rsidRPr="000A33D2">
        <w:rPr>
          <w:rStyle w:val="CommentReference"/>
          <w:b/>
          <w:szCs w:val="24"/>
        </w:rPr>
        <w:t xml:space="preserve">(dMMR cohort) </w:t>
      </w:r>
      <w:r w:rsidR="001C1AB0" w:rsidRPr="000A33D2">
        <w:rPr>
          <w:rStyle w:val="CommentReference"/>
          <w:b/>
          <w:szCs w:val="24"/>
        </w:rPr>
        <w:t>and PFS curves from Miller 2020</w:t>
      </w:r>
      <w:r w:rsidR="00042F20" w:rsidRPr="000A33D2">
        <w:rPr>
          <w:rStyle w:val="CommentReference"/>
          <w:b/>
          <w:szCs w:val="24"/>
        </w:rPr>
        <w:t xml:space="preserve"> </w:t>
      </w:r>
    </w:p>
    <w:p w14:paraId="17183316" w14:textId="2AFF80EF" w:rsidR="00020AC5" w:rsidRPr="000A33D2" w:rsidRDefault="00020AC5" w:rsidP="003C2ACB">
      <w:pPr>
        <w:keepNext/>
        <w:keepLines/>
      </w:pPr>
      <w:r w:rsidRPr="000A33D2">
        <w:rPr>
          <w:noProof/>
        </w:rPr>
        <w:drawing>
          <wp:inline distT="0" distB="0" distL="0" distR="0" wp14:anchorId="5F07B1C9" wp14:editId="03313B8C">
            <wp:extent cx="5778500" cy="2961027"/>
            <wp:effectExtent l="0" t="0" r="0" b="0"/>
            <wp:docPr id="2120391774" name="Picture 212039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0523" cy="2967188"/>
                    </a:xfrm>
                    <a:prstGeom prst="rect">
                      <a:avLst/>
                    </a:prstGeom>
                    <a:noFill/>
                  </pic:spPr>
                </pic:pic>
              </a:graphicData>
            </a:graphic>
          </wp:inline>
        </w:drawing>
      </w:r>
    </w:p>
    <w:p w14:paraId="73C5F6CC" w14:textId="77777777" w:rsidR="00042F20" w:rsidRPr="000A33D2" w:rsidRDefault="00042F20" w:rsidP="003C2ACB">
      <w:pPr>
        <w:pStyle w:val="FooterTableFigure"/>
        <w:keepNext/>
        <w:keepLines/>
        <w:spacing w:after="0"/>
      </w:pPr>
      <w:r w:rsidRPr="000A33D2">
        <w:t>Source: Constructed during the evaluation using information from the submission’s economic model (Excel workbook ‘</w:t>
      </w:r>
      <w:proofErr w:type="spellStart"/>
      <w:r w:rsidRPr="000A33D2">
        <w:t>Jemperli</w:t>
      </w:r>
      <w:proofErr w:type="spellEnd"/>
      <w:r w:rsidRPr="000A33D2">
        <w:t xml:space="preserve"> (</w:t>
      </w:r>
      <w:proofErr w:type="spellStart"/>
      <w:r w:rsidRPr="000A33D2">
        <w:t>dostarlimab</w:t>
      </w:r>
      <w:proofErr w:type="spellEnd"/>
      <w:r w:rsidRPr="000A33D2">
        <w:t xml:space="preserve">) 1L EC </w:t>
      </w:r>
      <w:proofErr w:type="spellStart"/>
      <w:r w:rsidRPr="000A33D2">
        <w:t>CUA_July</w:t>
      </w:r>
      <w:proofErr w:type="spellEnd"/>
      <w:r w:rsidRPr="000A33D2">
        <w:t xml:space="preserve"> 2023’)</w:t>
      </w:r>
    </w:p>
    <w:p w14:paraId="6AF9C542" w14:textId="02868809" w:rsidR="00D805E2" w:rsidRDefault="00042F20" w:rsidP="003C2ACB">
      <w:pPr>
        <w:pStyle w:val="FooterTableFigure"/>
        <w:keepNext/>
      </w:pPr>
      <w:r w:rsidRPr="000A33D2">
        <w:t>CP = carboplatin</w:t>
      </w:r>
      <w:r w:rsidR="00AD5F8E" w:rsidRPr="000A33D2">
        <w:t>-</w:t>
      </w:r>
      <w:r w:rsidRPr="000A33D2">
        <w:t>paclitaxel; KM = Kaplan-Meier; PBO = placebo</w:t>
      </w:r>
    </w:p>
    <w:p w14:paraId="7CA790EB" w14:textId="7FB92BD9" w:rsidR="00CD2965" w:rsidRPr="00CD2965" w:rsidRDefault="00CD2965" w:rsidP="00135E1A">
      <w:pPr>
        <w:pStyle w:val="FooterTableFigure"/>
        <w:rPr>
          <w:i/>
          <w:iCs/>
        </w:rPr>
      </w:pPr>
      <w:r w:rsidRPr="00CD2965">
        <w:rPr>
          <w:i/>
          <w:iCs/>
        </w:rPr>
        <w:t>Note that the Kaplan Meier plots and fitted curves depicted in Figure 8 are presented specifically for the purposes of informing the PBAC consideration. Their interpretation and application should therefore be limited to seeking to understand the basis for the PBAC outcome and should not be used for any other purpose.</w:t>
      </w:r>
    </w:p>
    <w:p w14:paraId="02B4C2B2" w14:textId="252D6136" w:rsidR="00AA002D" w:rsidRPr="000A33D2" w:rsidRDefault="00880617" w:rsidP="00BB00B3">
      <w:pPr>
        <w:pStyle w:val="3-BodyText"/>
      </w:pPr>
      <w:r w:rsidRPr="000A33D2">
        <w:t xml:space="preserve">Survival curves from both the fitted parametric functions and the long-term survival studies generally aligned with the OS KM data from the CP arm of RUBY. However, the submission noted that the fitted parametric functions predict significantly lower long-term survival compared to that observed across the long-term survival studies. </w:t>
      </w:r>
      <w:r w:rsidR="001C1AB0" w:rsidRPr="000A33D2">
        <w:t xml:space="preserve">The submission considered that Miller 2020 demonstrated that long-term PFS </w:t>
      </w:r>
      <w:r w:rsidR="004B362F" w:rsidRPr="000A33D2">
        <w:t>wa</w:t>
      </w:r>
      <w:r w:rsidR="001C1AB0" w:rsidRPr="000A33D2">
        <w:t xml:space="preserve">s expected to plateau, which aligned with the relative plateauing observed in OS across the long-term survival studies while fitted parametric functions did not predict a plateauing of PFS, and therefore were likely to also underestimate long-term PFS in the CP arm. </w:t>
      </w:r>
      <w:r w:rsidR="00AA002D" w:rsidRPr="000A33D2">
        <w:t>Miller 2020 was the only long-term survival study identified that reported on PFS.</w:t>
      </w:r>
    </w:p>
    <w:p w14:paraId="48F86D03" w14:textId="30C1A4E5" w:rsidR="00A24765" w:rsidRPr="000A33D2" w:rsidDel="00800852" w:rsidRDefault="00A24765" w:rsidP="00A24765">
      <w:pPr>
        <w:pStyle w:val="3-BodyText"/>
      </w:pPr>
      <w:r w:rsidRPr="000A33D2" w:rsidDel="00800852">
        <w:t>Given Miller 2020 enrolled patients between 2003 and 2009, transition probabilities based on Miller 2020 would</w:t>
      </w:r>
      <w:r w:rsidRPr="000A33D2">
        <w:t xml:space="preserve"> not have</w:t>
      </w:r>
      <w:r w:rsidRPr="000A33D2" w:rsidDel="00800852">
        <w:t xml:space="preserve"> account</w:t>
      </w:r>
      <w:r w:rsidRPr="000A33D2">
        <w:t>ed</w:t>
      </w:r>
      <w:r w:rsidRPr="000A33D2" w:rsidDel="00800852">
        <w:t xml:space="preserve"> for 2L immunotherapy (PEM+LEN)</w:t>
      </w:r>
      <w:r w:rsidR="00A03497" w:rsidRPr="000A33D2">
        <w:t>, which would be available to patients</w:t>
      </w:r>
      <w:r w:rsidRPr="000A33D2" w:rsidDel="00800852">
        <w:t xml:space="preserve"> in the Australian setting</w:t>
      </w:r>
      <w:r w:rsidR="00A03497" w:rsidRPr="000A33D2">
        <w:t>. T</w:t>
      </w:r>
      <w:r w:rsidRPr="000A33D2" w:rsidDel="00800852">
        <w:t xml:space="preserve">he PBAC have accepted </w:t>
      </w:r>
      <w:r w:rsidR="00A03497" w:rsidRPr="000A33D2">
        <w:t xml:space="preserve">that 2L PEM+LEN </w:t>
      </w:r>
      <w:r w:rsidRPr="000A33D2" w:rsidDel="00800852">
        <w:t>would deliver significant improvement in efficacy compared to chemotherapy (paragraph 7.1, pembrolizumab PSD, March 2022 PBAC meeting)</w:t>
      </w:r>
      <w:r w:rsidR="00A03497" w:rsidRPr="000A33D2">
        <w:t>, and t</w:t>
      </w:r>
      <w:r w:rsidRPr="000A33D2" w:rsidDel="00800852">
        <w:t xml:space="preserve">herefore, </w:t>
      </w:r>
      <w:r w:rsidR="008C30D4" w:rsidRPr="000A33D2">
        <w:t xml:space="preserve">although </w:t>
      </w:r>
      <w:bookmarkStart w:id="68" w:name="_Hlk145360363"/>
      <w:r w:rsidR="008C30D4" w:rsidRPr="000A33D2">
        <w:t xml:space="preserve">OS in Miller 2020 was conservative in comparison to </w:t>
      </w:r>
      <w:r w:rsidR="008724DA" w:rsidRPr="000A33D2">
        <w:t xml:space="preserve">the </w:t>
      </w:r>
      <w:r w:rsidR="007670DF" w:rsidRPr="000A33D2">
        <w:t xml:space="preserve">fitted </w:t>
      </w:r>
      <w:r w:rsidR="008C30D4" w:rsidRPr="000A33D2">
        <w:t>parametric functions</w:t>
      </w:r>
      <w:r w:rsidR="007670DF" w:rsidRPr="000A33D2">
        <w:t xml:space="preserve"> explored by the submission</w:t>
      </w:r>
      <w:bookmarkEnd w:id="68"/>
      <w:r w:rsidR="007670DF" w:rsidRPr="000A33D2">
        <w:t>,</w:t>
      </w:r>
      <w:r w:rsidR="008C30D4" w:rsidRPr="000A33D2">
        <w:t xml:space="preserve"> </w:t>
      </w:r>
      <w:r w:rsidRPr="000A33D2" w:rsidDel="00800852">
        <w:t xml:space="preserve">the </w:t>
      </w:r>
      <w:r w:rsidR="00A03497" w:rsidRPr="000A33D2">
        <w:t xml:space="preserve">OS in the </w:t>
      </w:r>
      <w:r w:rsidRPr="000A33D2" w:rsidDel="00800852">
        <w:t xml:space="preserve">CP </w:t>
      </w:r>
      <w:r w:rsidR="00A03497" w:rsidRPr="000A33D2">
        <w:t xml:space="preserve">arm in the model </w:t>
      </w:r>
      <w:r w:rsidR="00F27AE3" w:rsidRPr="000A33D2">
        <w:t>would be expected</w:t>
      </w:r>
      <w:r w:rsidRPr="000A33D2" w:rsidDel="00800852">
        <w:t xml:space="preserve"> to be underestimated compared to Australian practice.</w:t>
      </w:r>
      <w:r w:rsidR="00D54759" w:rsidRPr="000A33D2">
        <w:t xml:space="preserve"> </w:t>
      </w:r>
      <w:r w:rsidR="001318F3" w:rsidRPr="000A33D2">
        <w:t>Based on u</w:t>
      </w:r>
      <w:r w:rsidR="00D54759" w:rsidRPr="000A33D2">
        <w:t xml:space="preserve">pdated efficacy data from the KN775 trial </w:t>
      </w:r>
      <w:r w:rsidR="00C86449" w:rsidRPr="000A33D2">
        <w:t>(</w:t>
      </w:r>
      <w:r w:rsidR="00387E60" w:rsidRPr="000A33D2">
        <w:t>Makker 2023,</w:t>
      </w:r>
      <w:r w:rsidR="00387E60" w:rsidRPr="000A33D2" w:rsidDel="00C86449">
        <w:t xml:space="preserve"> </w:t>
      </w:r>
      <w:r w:rsidR="00D54759" w:rsidRPr="000A33D2">
        <w:t xml:space="preserve">median follow-up of </w:t>
      </w:r>
      <w:r w:rsidR="00C86449" w:rsidRPr="000A33D2">
        <w:t>18</w:t>
      </w:r>
      <w:r w:rsidR="00D54759" w:rsidRPr="000A33D2">
        <w:t>.7</w:t>
      </w:r>
      <w:r w:rsidR="002A63BC">
        <w:t> </w:t>
      </w:r>
      <w:r w:rsidR="00D54759" w:rsidRPr="000A33D2">
        <w:t xml:space="preserve">months) </w:t>
      </w:r>
      <w:r w:rsidR="001318F3" w:rsidRPr="000A33D2">
        <w:t xml:space="preserve">approximately 30% of patients in the PEM+LEN arm </w:t>
      </w:r>
      <w:r w:rsidR="004A21EF" w:rsidRPr="000A33D2">
        <w:t xml:space="preserve">(2L) </w:t>
      </w:r>
      <w:r w:rsidR="001318F3" w:rsidRPr="000A33D2">
        <w:t xml:space="preserve">were alive at </w:t>
      </w:r>
      <w:r w:rsidR="001318F3" w:rsidRPr="000A33D2">
        <w:lastRenderedPageBreak/>
        <w:t>3</w:t>
      </w:r>
      <w:r w:rsidR="002A63BC">
        <w:t> </w:t>
      </w:r>
      <w:r w:rsidR="001318F3" w:rsidRPr="000A33D2">
        <w:t>years</w:t>
      </w:r>
      <w:r w:rsidR="00C86449" w:rsidRPr="000A33D2">
        <w:t xml:space="preserve"> (Fig 1B</w:t>
      </w:r>
      <w:r w:rsidR="00E228F6" w:rsidRPr="000A33D2">
        <w:t xml:space="preserve"> of Makker 2023</w:t>
      </w:r>
      <w:r w:rsidR="00C86449" w:rsidRPr="000A33D2">
        <w:t>)</w:t>
      </w:r>
      <w:r w:rsidR="00387E60" w:rsidRPr="000A33D2">
        <w:t xml:space="preserve"> and approximately 15% were progression free at 3</w:t>
      </w:r>
      <w:r w:rsidR="002A63BC">
        <w:t> </w:t>
      </w:r>
      <w:r w:rsidR="00387E60" w:rsidRPr="000A33D2">
        <w:t>years (Fig 1D</w:t>
      </w:r>
      <w:r w:rsidR="00E228F6" w:rsidRPr="000A33D2">
        <w:t xml:space="preserve"> of Makker 2023</w:t>
      </w:r>
      <w:r w:rsidR="00387E60" w:rsidRPr="000A33D2">
        <w:t>)</w:t>
      </w:r>
      <w:r w:rsidR="001318F3" w:rsidRPr="000A33D2">
        <w:t xml:space="preserve">. </w:t>
      </w:r>
    </w:p>
    <w:p w14:paraId="4A0C30F4" w14:textId="6AAF3CAA" w:rsidR="00095131" w:rsidRPr="000A33D2" w:rsidDel="00800852" w:rsidRDefault="00A03497" w:rsidP="00BB00B3">
      <w:pPr>
        <w:pStyle w:val="3-BodyText"/>
      </w:pPr>
      <w:r w:rsidRPr="000A33D2">
        <w:t xml:space="preserve">Overall, </w:t>
      </w:r>
      <w:r w:rsidR="00C86449" w:rsidRPr="000A33D2">
        <w:t>the ESC considered that it appeared that</w:t>
      </w:r>
      <w:r w:rsidR="00F35AC5" w:rsidRPr="000A33D2" w:rsidDel="00800852">
        <w:t xml:space="preserve"> underlying differences between Miller 2020 and the CP arm of RUBY (difference in age, disease severity</w:t>
      </w:r>
      <w:r w:rsidR="00C002A2" w:rsidRPr="000A33D2" w:rsidDel="00800852">
        <w:t>, MMR status</w:t>
      </w:r>
      <w:r w:rsidRPr="000A33D2">
        <w:t xml:space="preserve"> at baseline</w:t>
      </w:r>
      <w:r w:rsidR="00C002A2" w:rsidRPr="000A33D2" w:rsidDel="00800852">
        <w:t xml:space="preserve"> and</w:t>
      </w:r>
      <w:r w:rsidR="00F35AC5" w:rsidRPr="000A33D2" w:rsidDel="00800852">
        <w:t xml:space="preserve"> </w:t>
      </w:r>
      <w:r w:rsidR="00A24765" w:rsidRPr="000A33D2">
        <w:t xml:space="preserve">subsequent </w:t>
      </w:r>
      <w:r w:rsidR="00F35AC5" w:rsidRPr="000A33D2" w:rsidDel="00800852">
        <w:t xml:space="preserve">treatments used) </w:t>
      </w:r>
      <w:r w:rsidR="00C86449" w:rsidRPr="000A33D2">
        <w:t xml:space="preserve">were likely to have </w:t>
      </w:r>
      <w:r w:rsidR="00F35AC5" w:rsidRPr="000A33D2" w:rsidDel="00800852">
        <w:t>led to a different conditional probability of survival in RUBY compared to Miller 2020</w:t>
      </w:r>
      <w:r w:rsidR="004A21EF" w:rsidRPr="000A33D2">
        <w:t xml:space="preserve">. The ESC considered that extrapolation </w:t>
      </w:r>
      <w:r w:rsidR="00933158" w:rsidRPr="000A33D2">
        <w:t xml:space="preserve">of the trial data </w:t>
      </w:r>
      <w:r w:rsidRPr="000A33D2">
        <w:t>is a key source of uncertainty in the model</w:t>
      </w:r>
      <w:r w:rsidR="00F35AC5" w:rsidRPr="000A33D2" w:rsidDel="00800852">
        <w:t xml:space="preserve">. </w:t>
      </w:r>
    </w:p>
    <w:p w14:paraId="4F07141C" w14:textId="6A6FE304" w:rsidR="00A03497" w:rsidRPr="000A33D2" w:rsidRDefault="00C002A2" w:rsidP="0067549C">
      <w:pPr>
        <w:pStyle w:val="3-BodyText"/>
      </w:pPr>
      <w:r w:rsidRPr="000A33D2">
        <w:t xml:space="preserve">For the DOS+CP arm of the model, the submission deemed that it was inappropriate to apply fitted parametric functions given they were considered to be inappropriate for the extrapolation of CP survival outcomes in the 1L A/R EC setting. In the base case, </w:t>
      </w:r>
      <w:r w:rsidR="00D3434B" w:rsidRPr="000A33D2">
        <w:t>KM data from RUBY was used until the median follow-up in RUBY</w:t>
      </w:r>
      <w:r w:rsidR="002861AF" w:rsidRPr="000A33D2">
        <w:t xml:space="preserve"> (</w:t>
      </w:r>
      <w:r w:rsidR="009B0EE8" w:rsidRPr="000A33D2">
        <w:t>dMMR: 24.6-25.1</w:t>
      </w:r>
      <w:r w:rsidR="002A63BC">
        <w:t> </w:t>
      </w:r>
      <w:r w:rsidR="009B0EE8" w:rsidRPr="000A33D2">
        <w:t>months</w:t>
      </w:r>
      <w:r w:rsidR="00585AF8" w:rsidRPr="000A33D2">
        <w:t>)</w:t>
      </w:r>
      <w:r w:rsidR="00D3434B" w:rsidRPr="000A33D2">
        <w:t>. A</w:t>
      </w:r>
      <w:r w:rsidRPr="000A33D2">
        <w:t xml:space="preserve">fter the median follow up of RUBY, </w:t>
      </w:r>
      <w:r w:rsidR="008E19F7" w:rsidRPr="000A33D2">
        <w:t>OS and PF</w:t>
      </w:r>
      <w:r w:rsidR="007D25BF">
        <w:t>S</w:t>
      </w:r>
      <w:r w:rsidR="008E19F7" w:rsidRPr="000A33D2">
        <w:t xml:space="preserve"> </w:t>
      </w:r>
      <w:r w:rsidR="00957128" w:rsidRPr="000A33D2">
        <w:t>HR</w:t>
      </w:r>
      <w:r w:rsidR="00E228F6" w:rsidRPr="000A33D2">
        <w:t>s</w:t>
      </w:r>
      <w:r w:rsidR="00957128" w:rsidRPr="000A33D2">
        <w:t xml:space="preserve"> from RUBY </w:t>
      </w:r>
      <w:r w:rsidR="00E228F6" w:rsidRPr="000A33D2">
        <w:t xml:space="preserve">were </w:t>
      </w:r>
      <w:r w:rsidR="00957128" w:rsidRPr="000A33D2">
        <w:t xml:space="preserve">applied </w:t>
      </w:r>
      <w:r w:rsidR="008E19F7" w:rsidRPr="000A33D2">
        <w:t>to the CP arm</w:t>
      </w:r>
      <w:r w:rsidR="000464CA" w:rsidRPr="000A33D2">
        <w:t xml:space="preserve"> </w:t>
      </w:r>
      <w:r w:rsidR="008E19F7" w:rsidRPr="000A33D2">
        <w:t xml:space="preserve">to generate results for DOS+CP until three years. </w:t>
      </w:r>
      <w:r w:rsidR="00780C0F" w:rsidRPr="000A33D2">
        <w:t xml:space="preserve">Between three years and the modelled 10-year time horizon, linear convergence of DOS+CP survival curves to CP survival curves was applied such that at 10 years, the proportion remaining </w:t>
      </w:r>
      <w:r w:rsidR="00A03497" w:rsidRPr="000A33D2">
        <w:t>progression free (based on PFS)</w:t>
      </w:r>
      <w:r w:rsidR="00780C0F" w:rsidRPr="000A33D2">
        <w:t xml:space="preserve"> and alive </w:t>
      </w:r>
      <w:r w:rsidR="00A03497" w:rsidRPr="000A33D2">
        <w:t>(based on OS) wa</w:t>
      </w:r>
      <w:r w:rsidR="00780C0F" w:rsidRPr="000A33D2">
        <w:t xml:space="preserve">s the same in both treatment arms. </w:t>
      </w:r>
      <w:r w:rsidR="000464CA" w:rsidRPr="000A33D2">
        <w:t>A summary of the approach to survival (OS and PFS) applied in the base case is provided in</w:t>
      </w:r>
      <w:r w:rsidR="00667A58">
        <w:t xml:space="preserve"> </w:t>
      </w:r>
      <w:r w:rsidR="00667A58" w:rsidRPr="00667A58">
        <w:rPr>
          <w:rFonts w:ascii="Calibri" w:hAnsi="Calibri" w:cs="Calibri"/>
          <w:b/>
          <w:bCs/>
        </w:rPr>
        <w:fldChar w:fldCharType="begin" w:fldLock="1"/>
      </w:r>
      <w:r w:rsidR="00667A58" w:rsidRPr="00667A58">
        <w:rPr>
          <w:rFonts w:ascii="Calibri" w:hAnsi="Calibri" w:cs="Calibri"/>
          <w:b/>
          <w:bCs/>
        </w:rPr>
        <w:instrText xml:space="preserve"> REF _Ref154143432 \h  \* MERGEFORMAT </w:instrText>
      </w:r>
      <w:r w:rsidR="00667A58" w:rsidRPr="00667A58">
        <w:rPr>
          <w:rFonts w:ascii="Calibri" w:hAnsi="Calibri" w:cs="Calibri"/>
          <w:b/>
          <w:bCs/>
        </w:rPr>
      </w:r>
      <w:r w:rsidR="00667A58" w:rsidRPr="00667A58">
        <w:rPr>
          <w:rFonts w:ascii="Calibri" w:hAnsi="Calibri" w:cs="Calibri"/>
          <w:b/>
          <w:bCs/>
        </w:rPr>
        <w:fldChar w:fldCharType="separate"/>
      </w:r>
      <w:r w:rsidR="00667A58" w:rsidRPr="00667A58">
        <w:rPr>
          <w:rStyle w:val="CommentReference"/>
          <w:rFonts w:ascii="Calibri" w:hAnsi="Calibri" w:cs="Calibri"/>
          <w:b w:val="0"/>
          <w:bCs/>
          <w:sz w:val="24"/>
          <w:szCs w:val="24"/>
        </w:rPr>
        <w:t xml:space="preserve">Table </w:t>
      </w:r>
      <w:r w:rsidR="00667A58" w:rsidRPr="00667A58">
        <w:rPr>
          <w:rStyle w:val="CommentReference"/>
          <w:rFonts w:ascii="Calibri" w:hAnsi="Calibri" w:cs="Calibri"/>
          <w:b w:val="0"/>
          <w:bCs/>
          <w:noProof/>
          <w:sz w:val="24"/>
          <w:szCs w:val="24"/>
        </w:rPr>
        <w:t>14</w:t>
      </w:r>
      <w:r w:rsidR="00667A58" w:rsidRPr="00667A58">
        <w:rPr>
          <w:rFonts w:ascii="Calibri" w:hAnsi="Calibri" w:cs="Calibri"/>
          <w:b/>
          <w:bCs/>
        </w:rPr>
        <w:fldChar w:fldCharType="end"/>
      </w:r>
      <w:r w:rsidR="000464CA" w:rsidRPr="000A33D2">
        <w:t>.</w:t>
      </w:r>
    </w:p>
    <w:p w14:paraId="043F131D" w14:textId="13053D63" w:rsidR="000464CA" w:rsidRPr="00667A58" w:rsidRDefault="000464CA" w:rsidP="00667A58">
      <w:pPr>
        <w:pStyle w:val="TableHeading"/>
        <w:keepLines/>
        <w:spacing w:before="0" w:after="0"/>
        <w:contextualSpacing/>
        <w:rPr>
          <w:rStyle w:val="CommentReference"/>
          <w:b/>
          <w:szCs w:val="24"/>
        </w:rPr>
      </w:pPr>
      <w:bookmarkStart w:id="69" w:name="_Ref154143432"/>
      <w:bookmarkStart w:id="70" w:name="_Ref145353910"/>
      <w:r w:rsidRPr="00667A58">
        <w:rPr>
          <w:rStyle w:val="CommentReference"/>
          <w:b/>
          <w:szCs w:val="24"/>
        </w:rPr>
        <w:t xml:space="preserve">Table </w:t>
      </w:r>
      <w:r w:rsidRPr="00667A58">
        <w:rPr>
          <w:rStyle w:val="CommentReference"/>
          <w:b/>
          <w:szCs w:val="24"/>
        </w:rPr>
        <w:fldChar w:fldCharType="begin" w:fldLock="1"/>
      </w:r>
      <w:r w:rsidRPr="00667A58">
        <w:rPr>
          <w:rStyle w:val="CommentReference"/>
          <w:b/>
          <w:szCs w:val="24"/>
        </w:rPr>
        <w:instrText xml:space="preserve"> SEQ Table \* ARABIC </w:instrText>
      </w:r>
      <w:r w:rsidRPr="00667A58">
        <w:rPr>
          <w:rStyle w:val="CommentReference"/>
          <w:b/>
          <w:szCs w:val="24"/>
        </w:rPr>
        <w:fldChar w:fldCharType="separate"/>
      </w:r>
      <w:r w:rsidR="00B62E71" w:rsidRPr="00667A58">
        <w:rPr>
          <w:rStyle w:val="CommentReference"/>
          <w:b/>
          <w:szCs w:val="24"/>
        </w:rPr>
        <w:t>14</w:t>
      </w:r>
      <w:r w:rsidRPr="00667A58">
        <w:rPr>
          <w:rStyle w:val="CommentReference"/>
          <w:b/>
          <w:szCs w:val="24"/>
        </w:rPr>
        <w:fldChar w:fldCharType="end"/>
      </w:r>
      <w:bookmarkEnd w:id="69"/>
      <w:r w:rsidRPr="00667A58">
        <w:rPr>
          <w:rStyle w:val="CommentReference"/>
          <w:b/>
          <w:szCs w:val="24"/>
        </w:rPr>
        <w:t xml:space="preserve">: Summary of survival curves applied in the model base case </w:t>
      </w:r>
    </w:p>
    <w:tbl>
      <w:tblPr>
        <w:tblStyle w:val="TableGrid"/>
        <w:tblW w:w="4970" w:type="pct"/>
        <w:tblLook w:val="04A0" w:firstRow="1" w:lastRow="0" w:firstColumn="1" w:lastColumn="0" w:noHBand="0" w:noVBand="1"/>
      </w:tblPr>
      <w:tblGrid>
        <w:gridCol w:w="1980"/>
        <w:gridCol w:w="3401"/>
        <w:gridCol w:w="3582"/>
      </w:tblGrid>
      <w:tr w:rsidR="000464CA" w:rsidRPr="000A33D2" w14:paraId="78E57AA0" w14:textId="77777777" w:rsidTr="00792B46">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CE78D" w14:textId="77777777" w:rsidR="000464CA" w:rsidRPr="000A33D2" w:rsidRDefault="000464CA" w:rsidP="00667A58">
            <w:pPr>
              <w:keepNext/>
              <w:keepLines/>
              <w:contextualSpacing/>
              <w:rPr>
                <w:rFonts w:ascii="Arial Narrow" w:hAnsi="Arial Narrow"/>
                <w:b/>
                <w:bCs/>
                <w:sz w:val="20"/>
                <w:szCs w:val="20"/>
              </w:rPr>
            </w:pPr>
            <w:r w:rsidRPr="000A33D2">
              <w:rPr>
                <w:rFonts w:ascii="Arial Narrow" w:hAnsi="Arial Narrow"/>
                <w:b/>
                <w:bCs/>
                <w:sz w:val="20"/>
                <w:szCs w:val="20"/>
              </w:rPr>
              <w:t>Time period</w:t>
            </w:r>
          </w:p>
        </w:tc>
        <w:tc>
          <w:tcPr>
            <w:tcW w:w="18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BBF8D" w14:textId="77777777" w:rsidR="000464CA" w:rsidRPr="000A33D2" w:rsidRDefault="000464CA" w:rsidP="00667A58">
            <w:pPr>
              <w:keepNext/>
              <w:keepLines/>
              <w:contextualSpacing/>
              <w:jc w:val="center"/>
              <w:rPr>
                <w:rFonts w:ascii="Arial Narrow" w:hAnsi="Arial Narrow"/>
                <w:b/>
                <w:bCs/>
                <w:sz w:val="20"/>
                <w:szCs w:val="20"/>
              </w:rPr>
            </w:pPr>
            <w:r w:rsidRPr="000A33D2">
              <w:rPr>
                <w:rFonts w:ascii="Arial Narrow" w:hAnsi="Arial Narrow"/>
                <w:b/>
                <w:bCs/>
                <w:sz w:val="20"/>
                <w:szCs w:val="20"/>
              </w:rPr>
              <w:t>CP</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047F6" w14:textId="77777777" w:rsidR="000464CA" w:rsidRPr="000A33D2" w:rsidRDefault="000464CA" w:rsidP="00667A58">
            <w:pPr>
              <w:keepNext/>
              <w:keepLines/>
              <w:contextualSpacing/>
              <w:jc w:val="center"/>
              <w:rPr>
                <w:rFonts w:ascii="Arial Narrow" w:hAnsi="Arial Narrow"/>
                <w:b/>
                <w:bCs/>
                <w:sz w:val="20"/>
                <w:szCs w:val="20"/>
              </w:rPr>
            </w:pPr>
            <w:r w:rsidRPr="000A33D2">
              <w:rPr>
                <w:rFonts w:ascii="Arial Narrow" w:hAnsi="Arial Narrow"/>
                <w:b/>
                <w:bCs/>
                <w:sz w:val="20"/>
                <w:szCs w:val="20"/>
              </w:rPr>
              <w:t>DOS+CP</w:t>
            </w:r>
          </w:p>
        </w:tc>
      </w:tr>
      <w:tr w:rsidR="000464CA" w:rsidRPr="000A33D2" w14:paraId="5222416B" w14:textId="77777777" w:rsidTr="00792B4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9E4DFB" w14:textId="77777777" w:rsidR="000464CA" w:rsidRPr="000A33D2" w:rsidRDefault="000464CA" w:rsidP="00667A58">
            <w:pPr>
              <w:keepNext/>
              <w:keepLines/>
              <w:contextualSpacing/>
              <w:jc w:val="left"/>
              <w:rPr>
                <w:rFonts w:ascii="Arial Narrow" w:hAnsi="Arial Narrow"/>
                <w:b/>
                <w:bCs/>
                <w:sz w:val="20"/>
                <w:szCs w:val="20"/>
              </w:rPr>
            </w:pPr>
            <w:r w:rsidRPr="000A33D2">
              <w:rPr>
                <w:rFonts w:ascii="Arial Narrow" w:hAnsi="Arial Narrow"/>
                <w:b/>
                <w:bCs/>
                <w:sz w:val="20"/>
                <w:szCs w:val="20"/>
              </w:rPr>
              <w:t>dMMR</w:t>
            </w:r>
          </w:p>
        </w:tc>
      </w:tr>
      <w:tr w:rsidR="000464CA" w:rsidRPr="000A33D2" w14:paraId="1E5A7110" w14:textId="77777777" w:rsidTr="00792B46">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4784C" w14:textId="77777777" w:rsidR="000464CA" w:rsidRPr="000A33D2" w:rsidRDefault="000464CA" w:rsidP="00667A58">
            <w:pPr>
              <w:keepNext/>
              <w:keepLines/>
              <w:contextualSpacing/>
              <w:rPr>
                <w:rFonts w:ascii="Arial Narrow" w:hAnsi="Arial Narrow"/>
                <w:sz w:val="20"/>
                <w:szCs w:val="20"/>
              </w:rPr>
            </w:pPr>
            <w:r w:rsidRPr="000A33D2">
              <w:rPr>
                <w:rFonts w:ascii="Arial Narrow" w:hAnsi="Arial Narrow"/>
                <w:sz w:val="20"/>
                <w:szCs w:val="20"/>
              </w:rPr>
              <w:t>0 – median FU</w:t>
            </w:r>
          </w:p>
        </w:tc>
        <w:tc>
          <w:tcPr>
            <w:tcW w:w="1897" w:type="pct"/>
            <w:tcBorders>
              <w:top w:val="single" w:sz="4" w:space="0" w:color="auto"/>
              <w:left w:val="single" w:sz="4" w:space="0" w:color="auto"/>
              <w:bottom w:val="single" w:sz="4" w:space="0" w:color="auto"/>
              <w:right w:val="single" w:sz="4" w:space="0" w:color="auto"/>
            </w:tcBorders>
            <w:shd w:val="clear" w:color="auto" w:fill="auto"/>
            <w:hideMark/>
          </w:tcPr>
          <w:p w14:paraId="02F7A799"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KM data (RUBY)</w:t>
            </w:r>
          </w:p>
          <w:p w14:paraId="71E53D98"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(Baseline to 25.1 months)</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8E616"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KM data (RUBY)</w:t>
            </w:r>
          </w:p>
          <w:p w14:paraId="731F99C1"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(Baseline to 24.6 months)</w:t>
            </w:r>
          </w:p>
        </w:tc>
      </w:tr>
      <w:tr w:rsidR="000464CA" w:rsidRPr="000A33D2" w14:paraId="7EFF8FF1" w14:textId="77777777" w:rsidTr="00792B46">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0253E" w14:textId="77777777" w:rsidR="000464CA" w:rsidRPr="000A33D2" w:rsidRDefault="000464CA" w:rsidP="00667A58">
            <w:pPr>
              <w:keepNext/>
              <w:keepLines/>
              <w:contextualSpacing/>
              <w:rPr>
                <w:rFonts w:ascii="Arial Narrow" w:hAnsi="Arial Narrow"/>
                <w:sz w:val="20"/>
                <w:szCs w:val="20"/>
              </w:rPr>
            </w:pPr>
            <w:r w:rsidRPr="000A33D2">
              <w:rPr>
                <w:rFonts w:ascii="Arial Narrow" w:hAnsi="Arial Narrow"/>
                <w:sz w:val="20"/>
                <w:szCs w:val="20"/>
              </w:rPr>
              <w:t xml:space="preserve">Median FU – 36 months </w:t>
            </w:r>
          </w:p>
        </w:tc>
        <w:tc>
          <w:tcPr>
            <w:tcW w:w="18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1785E"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Per cycle risks derived from Miller 2020 (incorporating life tables adjustment)</w:t>
            </w: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37481"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Trial-based HR relative to CP survival</w:t>
            </w:r>
          </w:p>
          <w:p w14:paraId="16596836"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(incorporating life tables adjustment)</w:t>
            </w:r>
          </w:p>
        </w:tc>
      </w:tr>
      <w:tr w:rsidR="000464CA" w:rsidRPr="000A33D2" w14:paraId="5185C827" w14:textId="77777777" w:rsidTr="00792B46">
        <w:trPr>
          <w:trHeight w:val="20"/>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4216D3" w14:textId="77777777" w:rsidR="000464CA" w:rsidRPr="000A33D2" w:rsidRDefault="000464CA" w:rsidP="00667A58">
            <w:pPr>
              <w:keepNext/>
              <w:keepLines/>
              <w:contextualSpacing/>
              <w:rPr>
                <w:rFonts w:ascii="Arial Narrow" w:hAnsi="Arial Narrow"/>
                <w:sz w:val="20"/>
                <w:szCs w:val="20"/>
              </w:rPr>
            </w:pPr>
            <w:r w:rsidRPr="000A33D2">
              <w:rPr>
                <w:rFonts w:ascii="Arial Narrow" w:hAnsi="Arial Narrow"/>
                <w:sz w:val="20"/>
                <w:szCs w:val="20"/>
              </w:rPr>
              <w:t>36 – 120 months</w:t>
            </w:r>
          </w:p>
        </w:tc>
        <w:tc>
          <w:tcPr>
            <w:tcW w:w="18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2634F" w14:textId="77777777" w:rsidR="000464CA" w:rsidRPr="000A33D2" w:rsidRDefault="000464CA" w:rsidP="00667A58">
            <w:pPr>
              <w:keepNext/>
              <w:keepLines/>
              <w:contextualSpacing/>
              <w:jc w:val="center"/>
              <w:rPr>
                <w:rFonts w:ascii="Arial Narrow" w:hAnsi="Arial Narrow"/>
                <w:sz w:val="20"/>
                <w:szCs w:val="20"/>
                <w:lang w:eastAsia="en-US"/>
              </w:rPr>
            </w:pPr>
          </w:p>
        </w:tc>
        <w:tc>
          <w:tcPr>
            <w:tcW w:w="19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8B28D"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Linear convergence</w:t>
            </w:r>
          </w:p>
          <w:p w14:paraId="3BC6B7CB" w14:textId="77777777" w:rsidR="000464CA" w:rsidRPr="000A33D2" w:rsidRDefault="000464CA" w:rsidP="00667A58">
            <w:pPr>
              <w:keepNext/>
              <w:keepLines/>
              <w:contextualSpacing/>
              <w:jc w:val="center"/>
              <w:rPr>
                <w:rFonts w:ascii="Arial Narrow" w:hAnsi="Arial Narrow"/>
                <w:sz w:val="20"/>
                <w:szCs w:val="20"/>
              </w:rPr>
            </w:pPr>
            <w:r w:rsidRPr="000A33D2">
              <w:rPr>
                <w:rFonts w:ascii="Arial Narrow" w:hAnsi="Arial Narrow"/>
                <w:sz w:val="20"/>
                <w:szCs w:val="20"/>
              </w:rPr>
              <w:t>(incorporating life tables adjustment)</w:t>
            </w:r>
          </w:p>
        </w:tc>
      </w:tr>
    </w:tbl>
    <w:p w14:paraId="145C5F1B" w14:textId="77777777" w:rsidR="000464CA" w:rsidRPr="000A33D2" w:rsidRDefault="000464CA" w:rsidP="00667A58">
      <w:pPr>
        <w:pStyle w:val="TableNotes"/>
        <w:keepNext/>
        <w:keepLines/>
        <w:spacing w:after="0"/>
        <w:contextualSpacing/>
      </w:pPr>
      <w:r w:rsidRPr="000A33D2">
        <w:t>Source: Table 75, p144 of the submission.</w:t>
      </w:r>
    </w:p>
    <w:p w14:paraId="36B9479B" w14:textId="2B3B86A7" w:rsidR="000464CA" w:rsidRPr="000A33D2" w:rsidRDefault="000464CA" w:rsidP="00667A58">
      <w:pPr>
        <w:pStyle w:val="TableNotes"/>
        <w:spacing w:after="120"/>
      </w:pPr>
      <w:r w:rsidRPr="000A33D2">
        <w:t>CP = carboplatin-paclitaxel; dMMR = mismatch repair deficient; DOS = dostarlimab; FU = follow-up; HR = hazard ratio; ITT = intention to treat; KM = Kaplan-Meier; MSI-H = microsatellite instability-high.</w:t>
      </w:r>
    </w:p>
    <w:p w14:paraId="4BDF3C48" w14:textId="63B031A9" w:rsidR="00A12378" w:rsidRPr="000A33D2" w:rsidRDefault="004A21EF" w:rsidP="004A21EF">
      <w:pPr>
        <w:pStyle w:val="3-BodyText"/>
      </w:pPr>
      <w:r w:rsidRPr="000A33D2">
        <w:t>The submission argued that t</w:t>
      </w:r>
      <w:bookmarkEnd w:id="70"/>
      <w:r w:rsidR="00780C0F" w:rsidRPr="000A33D2">
        <w:t>he potential impact of 2L immunotherapy on the incremental benefit of DOS+CP over CP was appropriately and adequately captured by the forced convergence of the OS curves. T</w:t>
      </w:r>
      <w:r w:rsidRPr="000A33D2">
        <w:t>he evaluation considered t</w:t>
      </w:r>
      <w:r w:rsidR="00780C0F" w:rsidRPr="000A33D2">
        <w:t>his may not be an appropriate use of convergence, which affect</w:t>
      </w:r>
      <w:r w:rsidR="008E19F7" w:rsidRPr="000A33D2">
        <w:t>ed</w:t>
      </w:r>
      <w:r w:rsidR="00780C0F" w:rsidRPr="000A33D2">
        <w:t xml:space="preserve"> only the results of the DOS+CP arm. The results from the CP alone arm would remain underestimated relative to the proposed PBS population and the estimate for the CP alone arm in the model cannot be interpreted alone nor validated externally</w:t>
      </w:r>
      <w:r w:rsidR="0060453B" w:rsidRPr="000A33D2">
        <w:t>.</w:t>
      </w:r>
      <w:r w:rsidR="00780C0F" w:rsidRPr="000A33D2">
        <w:t xml:space="preserve"> </w:t>
      </w:r>
    </w:p>
    <w:p w14:paraId="32DD0D41" w14:textId="4B7C2B5A" w:rsidR="00E70398" w:rsidRPr="000A33D2" w:rsidRDefault="00E70398" w:rsidP="00E70398">
      <w:pPr>
        <w:pStyle w:val="3-BodyText"/>
      </w:pPr>
      <w:r w:rsidRPr="000A33D2">
        <w:t xml:space="preserve">In addition, convergence would also </w:t>
      </w:r>
      <w:r w:rsidR="00E228F6" w:rsidRPr="000A33D2">
        <w:t xml:space="preserve">need to </w:t>
      </w:r>
      <w:r w:rsidRPr="000A33D2">
        <w:t xml:space="preserve">account for the fact that of </w:t>
      </w:r>
      <w:r w:rsidR="00E228F6" w:rsidRPr="000A33D2">
        <w:t xml:space="preserve">dMMR </w:t>
      </w:r>
      <w:r w:rsidRPr="000A33D2">
        <w:t>patients randomised to the DOS+CP arm in RUBY</w:t>
      </w:r>
      <w:r w:rsidR="00E228F6" w:rsidRPr="000A33D2">
        <w:t>,</w:t>
      </w:r>
      <w:r w:rsidRPr="000A33D2">
        <w:t xml:space="preserve"> </w:t>
      </w:r>
      <w:r w:rsidR="00E228F6" w:rsidRPr="000A33D2">
        <w:t>53% of patients who</w:t>
      </w:r>
      <w:r w:rsidR="003C071D" w:rsidRPr="000A33D2">
        <w:t xml:space="preserve"> received any follow-up anti-cancer therapy were treated with subsequent immunotherapy after progression </w:t>
      </w:r>
      <w:r w:rsidRPr="000A33D2">
        <w:t>(see paragraph</w:t>
      </w:r>
      <w:r w:rsidR="00E228F6" w:rsidRPr="000A33D2">
        <w:t xml:space="preserve"> </w:t>
      </w:r>
      <w:r w:rsidR="00E228F6" w:rsidRPr="000A33D2">
        <w:fldChar w:fldCharType="begin" w:fldLock="1"/>
      </w:r>
      <w:r w:rsidR="00E228F6" w:rsidRPr="000A33D2">
        <w:instrText xml:space="preserve"> REF _Ref150245073 \r \h </w:instrText>
      </w:r>
      <w:r w:rsidR="00E228F6" w:rsidRPr="000A33D2">
        <w:fldChar w:fldCharType="separate"/>
      </w:r>
      <w:r w:rsidR="00B62E71">
        <w:t>6.12</w:t>
      </w:r>
      <w:r w:rsidR="00E228F6" w:rsidRPr="000A33D2">
        <w:fldChar w:fldCharType="end"/>
      </w:r>
      <w:r w:rsidRPr="000A33D2">
        <w:t>) whereas they would not be able to access PBS subsidised 2L immunotherapy under the proposed listing in the event of progression or recurrence following treatment with DOS+CP</w:t>
      </w:r>
      <w:r w:rsidR="00303861" w:rsidRPr="000A33D2">
        <w:t>.</w:t>
      </w:r>
      <w:r w:rsidRPr="000A33D2">
        <w:t xml:space="preserve"> </w:t>
      </w:r>
    </w:p>
    <w:p w14:paraId="4C06FD4A" w14:textId="137F8096" w:rsidR="0056239C" w:rsidRPr="000A33D2" w:rsidRDefault="00780C0F" w:rsidP="000D1A64">
      <w:pPr>
        <w:pStyle w:val="3-BodyText"/>
        <w:rPr>
          <w:i/>
          <w:iCs/>
        </w:rPr>
      </w:pPr>
      <w:bookmarkStart w:id="71" w:name="_Ref147867701"/>
      <w:r w:rsidRPr="000A33D2">
        <w:lastRenderedPageBreak/>
        <w:t>Overall, the</w:t>
      </w:r>
      <w:r w:rsidR="004A21EF" w:rsidRPr="000A33D2">
        <w:t xml:space="preserve"> ESC </w:t>
      </w:r>
      <w:r w:rsidR="000464CA" w:rsidRPr="000A33D2">
        <w:t xml:space="preserve">and the PBAC </w:t>
      </w:r>
      <w:r w:rsidR="004A21EF" w:rsidRPr="000A33D2">
        <w:t>agreed with the evaluation that the</w:t>
      </w:r>
      <w:r w:rsidRPr="000A33D2">
        <w:t xml:space="preserve"> assumption of convergence </w:t>
      </w:r>
      <w:r w:rsidR="004A21EF" w:rsidRPr="000A33D2">
        <w:t xml:space="preserve">was </w:t>
      </w:r>
      <w:r w:rsidRPr="000A33D2">
        <w:t xml:space="preserve">appropriate. However, it was uncertain whether the rate of convergence was sufficient to have addressed the combined issues of uncertainty associated with long term incremental benefit with DOS+CP relative to CP, the underestimated OS in the CP arm due to omission of 2L immunotherapy and the potential overestimate of DOS+CP OS due to 2L immunotherapy use in </w:t>
      </w:r>
      <w:r w:rsidR="00C77A90" w:rsidRPr="000A33D2">
        <w:t xml:space="preserve">the DOS+CP arm in </w:t>
      </w:r>
      <w:r w:rsidRPr="000A33D2">
        <w:t xml:space="preserve">RUBY. </w:t>
      </w:r>
      <w:bookmarkEnd w:id="71"/>
    </w:p>
    <w:p w14:paraId="6FCC401F" w14:textId="6164F049" w:rsidR="001F78FE" w:rsidRPr="000A33D2" w:rsidRDefault="009522F4" w:rsidP="00193914">
      <w:pPr>
        <w:pStyle w:val="3-BodyText"/>
      </w:pPr>
      <w:bookmarkStart w:id="72" w:name="_Ref147500025"/>
      <w:r w:rsidRPr="000A33D2">
        <w:t xml:space="preserve">The ESC considered that differences in trial populations and 2L treatment contexts, including a relatively younger and healthier population in Miller compared with the CP arm in RUBY, with no available data on dMMR status, meant that clinical outcomes were not directly comparable. The ESC considered that the long-term survival outcomes in Miller 2020 were implausibly high for the proposed PBS population, and </w:t>
      </w:r>
      <w:r w:rsidR="00576778" w:rsidRPr="000A33D2">
        <w:t xml:space="preserve">the approach to extrapolation of outcomes was not well-justified. </w:t>
      </w:r>
      <w:r w:rsidR="001F78FE" w:rsidRPr="000A33D2">
        <w:t xml:space="preserve">The ESC considered that extrapolated PFS and OS curves using parametric extrapolations appeared more clinically plausible for the relevant population, however, particularly for the dMMR population, </w:t>
      </w:r>
      <w:r w:rsidR="00C41E75" w:rsidRPr="000A33D2">
        <w:t>OS</w:t>
      </w:r>
      <w:r w:rsidR="001F78FE" w:rsidRPr="000A33D2">
        <w:t xml:space="preserve"> curves were based on relatively few events</w:t>
      </w:r>
      <w:r w:rsidR="00ED7640" w:rsidRPr="000A33D2">
        <w:t xml:space="preserve"> (7 deaths in the DOS+CP arm and 24 in the CP arm</w:t>
      </w:r>
      <w:r w:rsidR="00CD025B" w:rsidRPr="000A33D2">
        <w:t>)</w:t>
      </w:r>
      <w:r w:rsidR="001F78FE" w:rsidRPr="000A33D2">
        <w:t>, resulting in a high level of uncertainty for the extrapolated PFS and OS curves.</w:t>
      </w:r>
    </w:p>
    <w:p w14:paraId="54B51F59" w14:textId="64A8B26B" w:rsidR="00585AF8" w:rsidRPr="000A33D2" w:rsidRDefault="00585AF8" w:rsidP="00585AF8">
      <w:pPr>
        <w:pStyle w:val="3-BodyText"/>
      </w:pPr>
      <w:r w:rsidRPr="000A33D2">
        <w:t>The ESC noted that regardless of the extrapolation approach (base case or parametric extrapolations), for the dMMR population, survival in the CP arm showed a sharp drop between 22 and 24 months. At 22 months 6</w:t>
      </w:r>
      <w:r w:rsidR="00EC07C1" w:rsidRPr="000A33D2">
        <w:t>5</w:t>
      </w:r>
      <w:r w:rsidRPr="000A33D2">
        <w:t xml:space="preserve">.5% of patients </w:t>
      </w:r>
      <w:r w:rsidR="00C41E75" w:rsidRPr="000A33D2">
        <w:t xml:space="preserve">were </w:t>
      </w:r>
      <w:r w:rsidRPr="000A33D2">
        <w:t>alive, at 24</w:t>
      </w:r>
      <w:r w:rsidR="00EC07C1" w:rsidRPr="000A33D2">
        <w:t>.</w:t>
      </w:r>
      <w:r w:rsidR="004F5A05" w:rsidRPr="000A33D2">
        <w:t>1</w:t>
      </w:r>
      <w:r w:rsidR="004F5A05">
        <w:t> </w:t>
      </w:r>
      <w:r w:rsidRPr="000A33D2">
        <w:t xml:space="preserve">months 55.1% </w:t>
      </w:r>
      <w:r w:rsidR="00C41E75" w:rsidRPr="000A33D2">
        <w:t xml:space="preserve">were </w:t>
      </w:r>
      <w:r w:rsidRPr="000A33D2">
        <w:t xml:space="preserve">alive, so survival </w:t>
      </w:r>
      <w:r w:rsidR="00C41E75" w:rsidRPr="000A33D2">
        <w:t>wa</w:t>
      </w:r>
      <w:r w:rsidRPr="000A33D2">
        <w:t>s reduced by 1</w:t>
      </w:r>
      <w:r w:rsidR="00EC07C1" w:rsidRPr="000A33D2">
        <w:t>0</w:t>
      </w:r>
      <w:r w:rsidRPr="000A33D2">
        <w:t>.4% in 2</w:t>
      </w:r>
      <w:r w:rsidR="00DD716D">
        <w:t>.</w:t>
      </w:r>
      <w:r w:rsidR="004F5A05">
        <w:t>1 </w:t>
      </w:r>
      <w:r w:rsidRPr="000A33D2">
        <w:t xml:space="preserve">months. </w:t>
      </w:r>
      <w:r w:rsidR="00ED7640" w:rsidRPr="000A33D2">
        <w:t>Further,</w:t>
      </w:r>
      <w:r w:rsidRPr="000A33D2">
        <w:t xml:space="preserve"> the survival at 23.5 months </w:t>
      </w:r>
      <w:r w:rsidR="00C41E75" w:rsidRPr="000A33D2">
        <w:t>wa</w:t>
      </w:r>
      <w:r w:rsidRPr="000A33D2">
        <w:t xml:space="preserve">s 62.2% and so in </w:t>
      </w:r>
      <w:r w:rsidR="0010252C" w:rsidRPr="000A33D2">
        <w:t>&lt;3</w:t>
      </w:r>
      <w:r w:rsidRPr="000A33D2">
        <w:t xml:space="preserve"> weeks (0.</w:t>
      </w:r>
      <w:r w:rsidR="00EC07C1" w:rsidRPr="000A33D2">
        <w:t xml:space="preserve">6 </w:t>
      </w:r>
      <w:r w:rsidRPr="000A33D2">
        <w:t xml:space="preserve">month) the survival </w:t>
      </w:r>
      <w:r w:rsidR="00C41E75" w:rsidRPr="000A33D2">
        <w:t>wa</w:t>
      </w:r>
      <w:r w:rsidRPr="000A33D2">
        <w:t xml:space="preserve">s reduced by 7.1%. Based on </w:t>
      </w:r>
      <w:r w:rsidRPr="000A33D2">
        <w:fldChar w:fldCharType="begin" w:fldLock="1"/>
      </w:r>
      <w:r w:rsidRPr="000A33D2">
        <w:instrText xml:space="preserve"> REF _Ref144280795 \h  \* MERGEFORMAT </w:instrText>
      </w:r>
      <w:r w:rsidRPr="000A33D2">
        <w:fldChar w:fldCharType="separate"/>
      </w:r>
      <w:r w:rsidR="00B62E71" w:rsidRPr="000A33D2">
        <w:t xml:space="preserve">Figure </w:t>
      </w:r>
      <w:r w:rsidR="00B62E71">
        <w:t>2</w:t>
      </w:r>
      <w:r w:rsidRPr="000A33D2">
        <w:fldChar w:fldCharType="end"/>
      </w:r>
      <w:r w:rsidRPr="000A33D2">
        <w:t xml:space="preserve"> these reductions in </w:t>
      </w:r>
      <w:r w:rsidR="00ED7640" w:rsidRPr="000A33D2">
        <w:t xml:space="preserve">survival </w:t>
      </w:r>
      <w:r w:rsidRPr="000A33D2">
        <w:t>reflect 2</w:t>
      </w:r>
      <w:r w:rsidR="004F5A05">
        <w:t> </w:t>
      </w:r>
      <w:r w:rsidRPr="000A33D2">
        <w:t>events i</w:t>
      </w:r>
      <w:r w:rsidR="00622BBC" w:rsidRPr="000A33D2">
        <w:t>.</w:t>
      </w:r>
      <w:r w:rsidRPr="000A33D2">
        <w:t>e</w:t>
      </w:r>
      <w:r w:rsidR="00622BBC" w:rsidRPr="000A33D2">
        <w:t>.</w:t>
      </w:r>
      <w:r w:rsidRPr="000A33D2">
        <w:t xml:space="preserve"> 21 deaths at 22 months and 23 at 24 months, and a reduction in the number at risk from 25 at 22 months to 16 at 24 months. Changing the cut point for use of KM curves for the CP arm from 24.61 months (median follow-up) to 22</w:t>
      </w:r>
      <w:r w:rsidR="004F5A05">
        <w:t> </w:t>
      </w:r>
      <w:r w:rsidRPr="000A33D2">
        <w:t xml:space="preserve">months increased the ICER from </w:t>
      </w:r>
      <w:r w:rsidR="00D74B19" w:rsidRPr="00D74B19">
        <w:t>$75,000 to &lt; $95,000</w:t>
      </w:r>
      <w:r w:rsidR="00D74B19">
        <w:t xml:space="preserve"> </w:t>
      </w:r>
      <w:r w:rsidRPr="000A33D2">
        <w:t xml:space="preserve">to </w:t>
      </w:r>
      <w:r w:rsidR="00D74B19" w:rsidRPr="00D74B19">
        <w:t>$75,000 to &lt; $95,000</w:t>
      </w:r>
      <w:r w:rsidR="00D74B19">
        <w:t xml:space="preserve"> </w:t>
      </w:r>
      <w:r w:rsidRPr="000A33D2">
        <w:t xml:space="preserve">for the base case extrapolation method and from </w:t>
      </w:r>
      <w:r w:rsidR="00D74B19" w:rsidRPr="00D74B19">
        <w:t>$55,000 to &lt; $75,000</w:t>
      </w:r>
      <w:r w:rsidR="00D74B19">
        <w:rPr>
          <w:rFonts w:ascii="Arial" w:hAnsi="Arial"/>
          <w:color w:val="333333"/>
          <w:sz w:val="21"/>
          <w:szCs w:val="21"/>
        </w:rPr>
        <w:t xml:space="preserve"> </w:t>
      </w:r>
      <w:r w:rsidRPr="000A33D2">
        <w:t xml:space="preserve">to </w:t>
      </w:r>
      <w:r w:rsidR="004F5A05" w:rsidRPr="00D74B19">
        <w:t>$75,000 to &lt; $95,000</w:t>
      </w:r>
      <w:r w:rsidRPr="000A33D2">
        <w:t xml:space="preserve"> using parametric extrapolations.</w:t>
      </w:r>
      <w:r w:rsidR="00B36A4C" w:rsidRPr="000A33D2">
        <w:t xml:space="preserve"> The PBAC considered that the immaturity of the trial data and the small number of patients in the dMMR subgroup resulted in a high level of uncertainty in the modelled OS and PFS benefit.</w:t>
      </w:r>
    </w:p>
    <w:p w14:paraId="2F40B82D" w14:textId="0CE95641" w:rsidR="009522F4" w:rsidRPr="000A33D2" w:rsidRDefault="00B36A4C" w:rsidP="009522F4">
      <w:pPr>
        <w:pStyle w:val="3-BodyText"/>
      </w:pPr>
      <w:r w:rsidRPr="000A33D2">
        <w:t>T</w:t>
      </w:r>
      <w:r w:rsidR="00381503" w:rsidRPr="000A33D2">
        <w:t xml:space="preserve">he ESC considered </w:t>
      </w:r>
      <w:r w:rsidR="00576778" w:rsidRPr="000A33D2">
        <w:t>c</w:t>
      </w:r>
      <w:r w:rsidR="009522F4" w:rsidRPr="000A33D2">
        <w:t>onvergence of extrapolated curves should be applied to account for uncertainty in long term outcomes and potential differences in 2L treatments compared with Australian clinical practice.</w:t>
      </w:r>
      <w:bookmarkEnd w:id="72"/>
      <w:r w:rsidR="000E375A" w:rsidRPr="000A33D2">
        <w:t xml:space="preserve"> A more rapid rate of convergence would provide more certainty and may be more appropriate given the high number of sources of uncertainty.</w:t>
      </w:r>
    </w:p>
    <w:p w14:paraId="6D59FE0D" w14:textId="389A2A64" w:rsidR="00C002A2" w:rsidRPr="000A33D2" w:rsidRDefault="00C002A2" w:rsidP="00BB00B3">
      <w:pPr>
        <w:pStyle w:val="3-BodyText"/>
      </w:pPr>
      <w:r w:rsidRPr="000A33D2">
        <w:t xml:space="preserve">In the base case, </w:t>
      </w:r>
      <w:r w:rsidR="008D7CF2" w:rsidRPr="000A33D2">
        <w:t>CP costs were applied as a lump sum in the first cycle based on the mean number of cycles and dose</w:t>
      </w:r>
      <w:r w:rsidR="00E875CE" w:rsidRPr="000A33D2">
        <w:t>s</w:t>
      </w:r>
      <w:r w:rsidR="008D7CF2" w:rsidRPr="000A33D2">
        <w:t xml:space="preserve"> in RUBY </w:t>
      </w:r>
      <w:r w:rsidR="00E875CE" w:rsidRPr="000A33D2">
        <w:t>across the treatment</w:t>
      </w:r>
      <w:r w:rsidR="008D7CF2" w:rsidRPr="000A33D2">
        <w:t xml:space="preserve"> arms</w:t>
      </w:r>
      <w:r w:rsidR="00E875CE" w:rsidRPr="000A33D2">
        <w:t xml:space="preserve"> for the respective </w:t>
      </w:r>
      <w:r w:rsidR="00BA3440" w:rsidRPr="000A33D2">
        <w:t xml:space="preserve">dMMR and all-comers </w:t>
      </w:r>
      <w:r w:rsidR="00E875CE" w:rsidRPr="000A33D2">
        <w:t>populations</w:t>
      </w:r>
      <w:r w:rsidR="008D7CF2" w:rsidRPr="000A33D2">
        <w:t xml:space="preserve">. </w:t>
      </w:r>
      <w:r w:rsidR="00B3388D" w:rsidRPr="000A33D2">
        <w:t xml:space="preserve">Treatment duration for DOS was informed by the </w:t>
      </w:r>
      <w:r w:rsidRPr="000A33D2">
        <w:t xml:space="preserve">TTD </w:t>
      </w:r>
      <w:r w:rsidR="00B3388D" w:rsidRPr="000A33D2">
        <w:t xml:space="preserve">KM </w:t>
      </w:r>
      <w:r w:rsidRPr="000A33D2">
        <w:t>for DOS</w:t>
      </w:r>
      <w:r w:rsidR="00B3388D" w:rsidRPr="000A33D2">
        <w:t xml:space="preserve">+CP in RUBY until the median follow-up, after which </w:t>
      </w:r>
      <w:r w:rsidR="00B3388D" w:rsidRPr="000A33D2">
        <w:lastRenderedPageBreak/>
        <w:t>it</w:t>
      </w:r>
      <w:r w:rsidRPr="000A33D2">
        <w:t xml:space="preserve"> was informed by the PFS curve</w:t>
      </w:r>
      <w:r w:rsidR="008D7CF2" w:rsidRPr="000A33D2">
        <w:t xml:space="preserve"> for the DOS+CP arm in RUBY</w:t>
      </w:r>
      <w:r w:rsidR="00B3388D" w:rsidRPr="000A33D2">
        <w:t xml:space="preserve"> until three years at which point all patients will discontinue. This was</w:t>
      </w:r>
      <w:r w:rsidRPr="000A33D2">
        <w:t xml:space="preserve"> based on the assumption that patients will discontinue at progression, or until the maximum duration of three years</w:t>
      </w:r>
      <w:r w:rsidR="00FB2E19" w:rsidRPr="000A33D2">
        <w:t>, which</w:t>
      </w:r>
      <w:r w:rsidR="00386672" w:rsidRPr="000A33D2">
        <w:t xml:space="preserve"> was consistent with the maximum treatment duration of 36 months in the requested restriction</w:t>
      </w:r>
      <w:r w:rsidRPr="000A33D2">
        <w:t xml:space="preserve">. </w:t>
      </w:r>
    </w:p>
    <w:p w14:paraId="6736C4D1" w14:textId="206BEFA7" w:rsidR="00BE15A5" w:rsidRPr="000A33D2" w:rsidRDefault="00501FC5" w:rsidP="00BB00B3">
      <w:pPr>
        <w:pStyle w:val="3-BodyText"/>
      </w:pPr>
      <w:bookmarkStart w:id="73" w:name="_Ref144732070"/>
      <w:bookmarkStart w:id="74" w:name="_Ref144470315"/>
      <w:r w:rsidRPr="000A33D2">
        <w:t>The median treatment duration</w:t>
      </w:r>
      <w:r w:rsidR="00BA3440" w:rsidRPr="000A33D2">
        <w:t>s</w:t>
      </w:r>
      <w:r w:rsidRPr="000A33D2">
        <w:t xml:space="preserve"> </w:t>
      </w:r>
      <w:r w:rsidR="008D7CF2" w:rsidRPr="000A33D2">
        <w:t>extracted from the TTD</w:t>
      </w:r>
      <w:r w:rsidR="00B3388D" w:rsidRPr="000A33D2">
        <w:t xml:space="preserve"> KMs </w:t>
      </w:r>
      <w:r w:rsidRPr="000A33D2">
        <w:t xml:space="preserve">applied in the submission’s economic model </w:t>
      </w:r>
      <w:r w:rsidR="002410CB" w:rsidRPr="000A33D2">
        <w:t xml:space="preserve">for DOS </w:t>
      </w:r>
      <w:r w:rsidR="008D7CF2" w:rsidRPr="000A33D2">
        <w:t xml:space="preserve">were </w:t>
      </w:r>
      <w:r w:rsidRPr="000A33D2">
        <w:t>not consistent with the reported median duration on treatment in RUBY</w:t>
      </w:r>
      <w:r w:rsidR="00282582" w:rsidRPr="000A33D2">
        <w:t xml:space="preserve"> and</w:t>
      </w:r>
      <w:r w:rsidRPr="000A33D2">
        <w:t xml:space="preserve"> appeared to underestimate the duration on treatment based on the reported median duration of treatment</w:t>
      </w:r>
      <w:r w:rsidR="001D4C1A" w:rsidRPr="000A33D2">
        <w:t xml:space="preserve"> in RUBY</w:t>
      </w:r>
      <w:r w:rsidRPr="000A33D2">
        <w:t xml:space="preserve"> (dMMR: ~61</w:t>
      </w:r>
      <w:r w:rsidR="004F5A05">
        <w:t> </w:t>
      </w:r>
      <w:r w:rsidRPr="000A33D2">
        <w:t>weeks in model vs. 76.5 weeks reported in RUBY</w:t>
      </w:r>
      <w:r w:rsidR="00282582" w:rsidRPr="000A33D2">
        <w:t xml:space="preserve">. </w:t>
      </w:r>
      <w:bookmarkEnd w:id="73"/>
      <w:bookmarkEnd w:id="74"/>
      <w:r w:rsidR="00487B06" w:rsidRPr="000A33D2">
        <w:t xml:space="preserve">The PSCR identified there was an error in the model </w:t>
      </w:r>
      <w:r w:rsidR="0056239C" w:rsidRPr="000A33D2">
        <w:t>in that decrements in the KM plot were inadvertently applied one cycle early. T</w:t>
      </w:r>
      <w:r w:rsidR="00487B06" w:rsidRPr="000A33D2">
        <w:t>he median treatment duration for dMMR patients increased to 79.14</w:t>
      </w:r>
      <w:r w:rsidR="004F5A05">
        <w:t> </w:t>
      </w:r>
      <w:r w:rsidR="00487B06" w:rsidRPr="000A33D2">
        <w:t xml:space="preserve">weeks when this was corrected. The PSCR stated the remaining difference was due to a difference in the definition of </w:t>
      </w:r>
      <w:r w:rsidR="00877249" w:rsidRPr="000A33D2">
        <w:t xml:space="preserve">TTD in </w:t>
      </w:r>
      <w:r w:rsidR="00487B06" w:rsidRPr="000A33D2">
        <w:t xml:space="preserve">the model and </w:t>
      </w:r>
      <w:r w:rsidR="00877249" w:rsidRPr="000A33D2">
        <w:t xml:space="preserve">duration of treatment/exposure in the RUBY </w:t>
      </w:r>
      <w:r w:rsidR="00487B06" w:rsidRPr="000A33D2">
        <w:t>CSR</w:t>
      </w:r>
      <w:r w:rsidR="00877249" w:rsidRPr="000A33D2">
        <w:t xml:space="preserve">. </w:t>
      </w:r>
    </w:p>
    <w:p w14:paraId="3D0A12A9" w14:textId="5F3D33C8" w:rsidR="000E375A" w:rsidRPr="000A33D2" w:rsidRDefault="00381503" w:rsidP="00B8347B">
      <w:pPr>
        <w:pStyle w:val="3-BodyText"/>
      </w:pPr>
      <w:r w:rsidRPr="000A33D2">
        <w:t xml:space="preserve">Model traces illustrating the PFS, OS and TTD curves applied in the economic model for the dMMR cohort </w:t>
      </w:r>
      <w:r w:rsidR="0010252C" w:rsidRPr="000A33D2">
        <w:t>using the base case and parametric extrapolations</w:t>
      </w:r>
      <w:r w:rsidRPr="000A33D2">
        <w:t xml:space="preserve"> are shown below.</w:t>
      </w:r>
      <w:r w:rsidR="000E375A" w:rsidRPr="000A33D2">
        <w:t xml:space="preserve"> </w:t>
      </w:r>
    </w:p>
    <w:p w14:paraId="0368AD98" w14:textId="3955CE67" w:rsidR="00576778" w:rsidRPr="000A33D2" w:rsidRDefault="00576778" w:rsidP="004F5A05">
      <w:pPr>
        <w:pStyle w:val="TableFigureHeading"/>
      </w:pPr>
      <w:r w:rsidRPr="000A33D2">
        <w:t xml:space="preserve">Figure </w:t>
      </w:r>
      <w:r>
        <w:fldChar w:fldCharType="begin" w:fldLock="1"/>
      </w:r>
      <w:r>
        <w:instrText>SEQ Figure \* ARABIC</w:instrText>
      </w:r>
      <w:r>
        <w:fldChar w:fldCharType="separate"/>
      </w:r>
      <w:r w:rsidR="00B62E71">
        <w:rPr>
          <w:noProof/>
        </w:rPr>
        <w:t>9</w:t>
      </w:r>
      <w:r>
        <w:fldChar w:fldCharType="end"/>
      </w:r>
      <w:r w:rsidRPr="000A33D2">
        <w:rPr>
          <w:rStyle w:val="CommentReference"/>
          <w:b/>
          <w:szCs w:val="24"/>
        </w:rPr>
        <w:t>: PFS, OS and TTD curves applied in the model base case (</w:t>
      </w:r>
      <w:proofErr w:type="spellStart"/>
      <w:r w:rsidRPr="000A33D2">
        <w:rPr>
          <w:rStyle w:val="CommentReference"/>
          <w:b/>
          <w:szCs w:val="24"/>
        </w:rPr>
        <w:t>dMMR</w:t>
      </w:r>
      <w:proofErr w:type="spellEnd"/>
      <w:r w:rsidRPr="000A33D2">
        <w:rPr>
          <w:rStyle w:val="CommentReference"/>
          <w:b/>
          <w:szCs w:val="24"/>
        </w:rPr>
        <w:t>) – Base case</w:t>
      </w:r>
    </w:p>
    <w:p w14:paraId="30D11636" w14:textId="77777777" w:rsidR="004765AA" w:rsidRPr="000A33D2" w:rsidRDefault="00576778" w:rsidP="004F5A05">
      <w:pPr>
        <w:keepNext/>
      </w:pPr>
      <w:r w:rsidRPr="000A33D2">
        <w:rPr>
          <w:noProof/>
        </w:rPr>
        <w:drawing>
          <wp:inline distT="0" distB="0" distL="0" distR="0" wp14:anchorId="102CD176" wp14:editId="3E69190E">
            <wp:extent cx="4973057" cy="281314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73057" cy="2813149"/>
                    </a:xfrm>
                    <a:prstGeom prst="rect">
                      <a:avLst/>
                    </a:prstGeom>
                    <a:noFill/>
                  </pic:spPr>
                </pic:pic>
              </a:graphicData>
            </a:graphic>
          </wp:inline>
        </w:drawing>
      </w:r>
    </w:p>
    <w:p w14:paraId="410A3C9D" w14:textId="7CEBF2FE" w:rsidR="00576778" w:rsidRDefault="00576778" w:rsidP="009756FC">
      <w:pPr>
        <w:pStyle w:val="FooterTableFigure"/>
        <w:spacing w:after="0"/>
        <w:contextualSpacing w:val="0"/>
      </w:pPr>
      <w:r w:rsidRPr="000A33D2">
        <w:t xml:space="preserve">Source: </w:t>
      </w:r>
      <w:r w:rsidR="00696521" w:rsidRPr="000A33D2">
        <w:t>Constructed using the corrected model (PSCR, base case).</w:t>
      </w:r>
    </w:p>
    <w:p w14:paraId="77E5328E" w14:textId="61CBF182" w:rsidR="009756FC" w:rsidRPr="009756FC" w:rsidRDefault="009756FC" w:rsidP="004F5A05">
      <w:pPr>
        <w:pStyle w:val="FooterTableFigure"/>
        <w:rPr>
          <w:i/>
          <w:iCs/>
        </w:rPr>
      </w:pPr>
      <w:r w:rsidRPr="009756FC">
        <w:rPr>
          <w:i/>
          <w:iCs/>
        </w:rPr>
        <w:t>Note that the Kaplan Meier plots and fitted curves depicted in Figure 9 are presented specifically for the purposes of informing the PBAC consideration. Their interpretation and application should therefore be limited to seeking to understand the basis for the PBAC outcome and should not be used for any other purpose.</w:t>
      </w:r>
    </w:p>
    <w:p w14:paraId="67F11838" w14:textId="5FEEBE81" w:rsidR="00576778" w:rsidRPr="000A33D2" w:rsidRDefault="00576778" w:rsidP="004F5A05">
      <w:pPr>
        <w:pStyle w:val="TableFigureHeading"/>
      </w:pPr>
      <w:r w:rsidRPr="000A33D2">
        <w:lastRenderedPageBreak/>
        <w:t xml:space="preserve">Figure </w:t>
      </w:r>
      <w:r>
        <w:fldChar w:fldCharType="begin" w:fldLock="1"/>
      </w:r>
      <w:r>
        <w:instrText>SEQ Figure \* ARABIC</w:instrText>
      </w:r>
      <w:r>
        <w:fldChar w:fldCharType="separate"/>
      </w:r>
      <w:r w:rsidR="00B62E71">
        <w:rPr>
          <w:noProof/>
        </w:rPr>
        <w:t>10</w:t>
      </w:r>
      <w:r>
        <w:fldChar w:fldCharType="end"/>
      </w:r>
      <w:r w:rsidRPr="000A33D2">
        <w:t>:</w:t>
      </w:r>
      <w:r w:rsidRPr="000A33D2">
        <w:rPr>
          <w:rStyle w:val="CommentReference"/>
          <w:b/>
          <w:szCs w:val="24"/>
        </w:rPr>
        <w:t xml:space="preserve"> PFS, OS and TTD curves applied in the model base case (</w:t>
      </w:r>
      <w:proofErr w:type="spellStart"/>
      <w:r w:rsidRPr="000A33D2">
        <w:rPr>
          <w:rStyle w:val="CommentReference"/>
          <w:b/>
          <w:szCs w:val="24"/>
        </w:rPr>
        <w:t>dMMR</w:t>
      </w:r>
      <w:proofErr w:type="spellEnd"/>
      <w:r w:rsidRPr="000A33D2">
        <w:rPr>
          <w:rStyle w:val="CommentReference"/>
          <w:b/>
          <w:szCs w:val="24"/>
        </w:rPr>
        <w:t>) – Parametric extrapolations</w:t>
      </w:r>
    </w:p>
    <w:p w14:paraId="3916A914" w14:textId="496C9FAE" w:rsidR="00576778" w:rsidRPr="000A33D2" w:rsidRDefault="00696521" w:rsidP="004F5A05">
      <w:pPr>
        <w:pStyle w:val="FooterTableFigure"/>
        <w:keepNext/>
        <w:spacing w:after="0"/>
        <w:rPr>
          <w:sz w:val="20"/>
        </w:rPr>
      </w:pPr>
      <w:r w:rsidRPr="000A33D2">
        <w:rPr>
          <w:noProof/>
          <w:sz w:val="20"/>
        </w:rPr>
        <w:drawing>
          <wp:inline distT="0" distB="0" distL="0" distR="0" wp14:anchorId="759AE302" wp14:editId="2E35AC1A">
            <wp:extent cx="4945030" cy="2797294"/>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9712" cy="2811256"/>
                    </a:xfrm>
                    <a:prstGeom prst="rect">
                      <a:avLst/>
                    </a:prstGeom>
                    <a:noFill/>
                  </pic:spPr>
                </pic:pic>
              </a:graphicData>
            </a:graphic>
          </wp:inline>
        </w:drawing>
      </w:r>
    </w:p>
    <w:p w14:paraId="1F253F2B" w14:textId="373C341F" w:rsidR="00696521" w:rsidRDefault="00696521" w:rsidP="004F5A05">
      <w:pPr>
        <w:pStyle w:val="FooterTableFigure"/>
      </w:pPr>
      <w:r w:rsidRPr="000A33D2">
        <w:t>Source: Constructed using the corrected model (PSCR) with application of parametric extrapolations with best fit (AIC) DOS+CP arm parametric function (OS, PFS, TTD): Exponential, generalised Gamma, Gompertz; CP arm parametric function (OS, PFS): Lognormal, log-logistic</w:t>
      </w:r>
      <w:r w:rsidR="00381503" w:rsidRPr="000A33D2">
        <w:t>, with convergence applied.</w:t>
      </w:r>
    </w:p>
    <w:p w14:paraId="716E604F" w14:textId="2558C811" w:rsidR="009756FC" w:rsidRPr="009756FC" w:rsidRDefault="009756FC" w:rsidP="004F5A05">
      <w:pPr>
        <w:pStyle w:val="FooterTableFigure"/>
        <w:rPr>
          <w:i/>
          <w:iCs/>
        </w:rPr>
      </w:pPr>
      <w:r w:rsidRPr="009756FC">
        <w:rPr>
          <w:i/>
          <w:iCs/>
        </w:rPr>
        <w:t>Note that the Kaplan Meier plots and fitted curves depicted in Figure 10 are presented specifically for the purposes of informing the PBAC consideration. Their interpretation and application should therefore be limited to seeking to understand the basis for the PBAC outcome and should not be used for any other purpose.</w:t>
      </w:r>
    </w:p>
    <w:p w14:paraId="37B4237B" w14:textId="0BDF0D14" w:rsidR="00275C5A" w:rsidRPr="000A33D2" w:rsidRDefault="00FC197B" w:rsidP="00BB00B3">
      <w:pPr>
        <w:pStyle w:val="3-BodyText"/>
      </w:pPr>
      <w:r w:rsidRPr="000A33D2">
        <w:t>A</w:t>
      </w:r>
      <w:r w:rsidR="00D110BD" w:rsidRPr="000A33D2">
        <w:t xml:space="preserve"> summary of the key drivers of the model </w:t>
      </w:r>
      <w:r w:rsidRPr="000A33D2">
        <w:t>are presented in</w:t>
      </w:r>
      <w:r w:rsidR="00D110BD" w:rsidRPr="000A33D2">
        <w:t xml:space="preserve"> </w:t>
      </w:r>
      <w:r w:rsidR="00E16AD8" w:rsidRPr="000A33D2">
        <w:fldChar w:fldCharType="begin" w:fldLock="1"/>
      </w:r>
      <w:r w:rsidR="00E16AD8" w:rsidRPr="000A33D2">
        <w:instrText xml:space="preserve"> REF _Ref104805122 \h  \* MERGEFORMAT </w:instrText>
      </w:r>
      <w:r w:rsidR="00E16AD8" w:rsidRPr="000A33D2">
        <w:fldChar w:fldCharType="separate"/>
      </w:r>
      <w:r w:rsidR="00B62E71" w:rsidRPr="000A33D2">
        <w:t xml:space="preserve">Table </w:t>
      </w:r>
      <w:r w:rsidR="00B62E71">
        <w:t>15</w:t>
      </w:r>
      <w:r w:rsidR="00E16AD8" w:rsidRPr="000A33D2">
        <w:fldChar w:fldCharType="end"/>
      </w:r>
      <w:r w:rsidR="00D110BD" w:rsidRPr="000A33D2">
        <w:t>.</w:t>
      </w:r>
    </w:p>
    <w:p w14:paraId="774D46B7" w14:textId="1C9C42C9" w:rsidR="00D110BD" w:rsidRPr="000A33D2" w:rsidRDefault="00E16AD8" w:rsidP="004F5A05">
      <w:pPr>
        <w:pStyle w:val="Caption"/>
        <w:jc w:val="left"/>
        <w:rPr>
          <w:rStyle w:val="CommentReference"/>
          <w:b/>
          <w:szCs w:val="24"/>
        </w:rPr>
      </w:pPr>
      <w:bookmarkStart w:id="75" w:name="_Ref104805122"/>
      <w:r w:rsidRPr="000A33D2">
        <w:t xml:space="preserve">Table </w:t>
      </w:r>
      <w:r>
        <w:fldChar w:fldCharType="begin" w:fldLock="1"/>
      </w:r>
      <w:r>
        <w:instrText>SEQ Table \* ARABIC</w:instrText>
      </w:r>
      <w:r>
        <w:fldChar w:fldCharType="separate"/>
      </w:r>
      <w:r w:rsidR="00B62E71">
        <w:rPr>
          <w:noProof/>
        </w:rPr>
        <w:t>15</w:t>
      </w:r>
      <w:r>
        <w:fldChar w:fldCharType="end"/>
      </w:r>
      <w:bookmarkEnd w:id="75"/>
      <w:r w:rsidRPr="000A33D2">
        <w:t>:</w:t>
      </w:r>
      <w:r w:rsidR="00D110BD" w:rsidRPr="000A33D2">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7"/>
        <w:gridCol w:w="4397"/>
        <w:gridCol w:w="3493"/>
      </w:tblGrid>
      <w:tr w:rsidR="00537182" w:rsidRPr="000A33D2" w14:paraId="4DD8026E" w14:textId="77777777" w:rsidTr="008C1AA0">
        <w:trPr>
          <w:tblHeader/>
        </w:trPr>
        <w:tc>
          <w:tcPr>
            <w:tcW w:w="625" w:type="pct"/>
            <w:shd w:val="clear" w:color="auto" w:fill="auto"/>
            <w:vAlign w:val="center"/>
          </w:tcPr>
          <w:p w14:paraId="6A9EC2DA" w14:textId="77777777" w:rsidR="00D110BD" w:rsidRPr="000A33D2" w:rsidRDefault="00D110BD" w:rsidP="004F5A05">
            <w:pPr>
              <w:pStyle w:val="In-tableHeading"/>
              <w:keepLines/>
              <w:jc w:val="center"/>
              <w:rPr>
                <w:lang w:val="en-AU"/>
              </w:rPr>
            </w:pPr>
            <w:r w:rsidRPr="000A33D2">
              <w:rPr>
                <w:lang w:val="en-AU"/>
              </w:rPr>
              <w:t>Description</w:t>
            </w:r>
          </w:p>
        </w:tc>
        <w:tc>
          <w:tcPr>
            <w:tcW w:w="2438" w:type="pct"/>
            <w:shd w:val="clear" w:color="auto" w:fill="auto"/>
            <w:vAlign w:val="center"/>
          </w:tcPr>
          <w:p w14:paraId="67A62672" w14:textId="77777777" w:rsidR="00D110BD" w:rsidRPr="000A33D2" w:rsidRDefault="00D110BD" w:rsidP="004F5A05">
            <w:pPr>
              <w:pStyle w:val="In-tableHeading"/>
              <w:keepLines/>
              <w:jc w:val="center"/>
              <w:rPr>
                <w:lang w:val="en-AU"/>
              </w:rPr>
            </w:pPr>
            <w:r w:rsidRPr="000A33D2">
              <w:rPr>
                <w:lang w:val="en-AU"/>
              </w:rPr>
              <w:t>Method/Value</w:t>
            </w:r>
          </w:p>
        </w:tc>
        <w:tc>
          <w:tcPr>
            <w:tcW w:w="1937" w:type="pct"/>
            <w:shd w:val="clear" w:color="auto" w:fill="auto"/>
            <w:vAlign w:val="center"/>
          </w:tcPr>
          <w:p w14:paraId="6B352E41" w14:textId="77777777" w:rsidR="00D110BD" w:rsidRPr="000A33D2" w:rsidRDefault="00D110BD" w:rsidP="004F5A05">
            <w:pPr>
              <w:pStyle w:val="In-tableHeading"/>
              <w:keepLines/>
              <w:jc w:val="center"/>
              <w:rPr>
                <w:lang w:val="en-AU"/>
              </w:rPr>
            </w:pPr>
            <w:r w:rsidRPr="000A33D2">
              <w:rPr>
                <w:lang w:val="en-AU"/>
              </w:rPr>
              <w:t>Impact</w:t>
            </w:r>
          </w:p>
          <w:p w14:paraId="6C1DC9EA" w14:textId="6F3D67C2" w:rsidR="00FC197B" w:rsidRPr="000A33D2" w:rsidRDefault="00490B17" w:rsidP="004F5A05">
            <w:pPr>
              <w:pStyle w:val="In-tableHeading"/>
              <w:keepLines/>
              <w:jc w:val="center"/>
              <w:rPr>
                <w:rFonts w:cs="Arial"/>
                <w:szCs w:val="20"/>
                <w:lang w:val="en-AU"/>
              </w:rPr>
            </w:pPr>
            <w:r w:rsidRPr="000A33D2">
              <w:rPr>
                <w:rFonts w:cs="Arial"/>
                <w:szCs w:val="20"/>
                <w:lang w:val="en-AU"/>
              </w:rPr>
              <w:t xml:space="preserve">Base case: </w:t>
            </w:r>
            <w:r w:rsidR="00D23B08" w:rsidRPr="000A33D2">
              <w:rPr>
                <w:rFonts w:cs="Arial"/>
                <w:szCs w:val="20"/>
                <w:lang w:val="en-AU"/>
              </w:rPr>
              <w:t>$</w:t>
            </w:r>
            <w:r w:rsidR="007C10F8" w:rsidRPr="007C10F8">
              <w:rPr>
                <w:rFonts w:cs="Arial"/>
                <w:color w:val="000000"/>
                <w:spacing w:val="178"/>
                <w:szCs w:val="20"/>
                <w:shd w:val="solid" w:color="000000" w:fill="000000"/>
                <w:fitText w:val="270" w:id="-1032576247"/>
                <w:lang w:val="en-AU"/>
                <w14:textFill>
                  <w14:solidFill>
                    <w14:srgbClr w14:val="000000">
                      <w14:alpha w14:val="100000"/>
                    </w14:srgbClr>
                  </w14:solidFill>
                </w14:textFill>
              </w:rPr>
              <w:t>|</w:t>
            </w:r>
            <w:r w:rsidR="007C10F8" w:rsidRPr="007C10F8">
              <w:rPr>
                <w:rFonts w:cs="Arial"/>
                <w:color w:val="000000"/>
                <w:spacing w:val="1"/>
                <w:szCs w:val="20"/>
                <w:shd w:val="solid" w:color="000000" w:fill="000000"/>
                <w:fitText w:val="270" w:id="-1032576247"/>
                <w:lang w:val="en-AU"/>
                <w14:textFill>
                  <w14:solidFill>
                    <w14:srgbClr w14:val="000000">
                      <w14:alpha w14:val="100000"/>
                    </w14:srgbClr>
                  </w14:solidFill>
                </w14:textFill>
              </w:rPr>
              <w:t>|</w:t>
            </w:r>
            <w:r w:rsidR="00D74B19">
              <w:rPr>
                <w:rFonts w:cs="Arial"/>
                <w:szCs w:val="20"/>
                <w:vertAlign w:val="superscript"/>
                <w:lang w:val="en-AU"/>
              </w:rPr>
              <w:t>1</w:t>
            </w:r>
            <w:r w:rsidR="00D23B08" w:rsidRPr="000A33D2">
              <w:rPr>
                <w:rFonts w:cs="Arial"/>
                <w:szCs w:val="20"/>
                <w:lang w:val="en-AU"/>
              </w:rPr>
              <w:t>/QALY gained (dMMR)</w:t>
            </w:r>
          </w:p>
        </w:tc>
      </w:tr>
      <w:tr w:rsidR="00FC197B" w:rsidRPr="000A33D2" w14:paraId="376CB50B" w14:textId="77777777" w:rsidTr="008C1AA0">
        <w:tc>
          <w:tcPr>
            <w:tcW w:w="625" w:type="pct"/>
            <w:shd w:val="clear" w:color="auto" w:fill="auto"/>
            <w:vAlign w:val="center"/>
          </w:tcPr>
          <w:p w14:paraId="3F762755" w14:textId="50ED2FC2" w:rsidR="00FC197B" w:rsidRPr="000A33D2" w:rsidRDefault="008F2F8C" w:rsidP="004F5A05">
            <w:pPr>
              <w:pStyle w:val="TableText0"/>
              <w:keepLines/>
            </w:pPr>
            <w:r w:rsidRPr="000A33D2">
              <w:t xml:space="preserve">Rate of </w:t>
            </w:r>
            <w:r w:rsidR="00FC197B" w:rsidRPr="000A33D2">
              <w:t>Convergence</w:t>
            </w:r>
          </w:p>
        </w:tc>
        <w:tc>
          <w:tcPr>
            <w:tcW w:w="2438" w:type="pct"/>
            <w:shd w:val="clear" w:color="auto" w:fill="auto"/>
            <w:vAlign w:val="center"/>
          </w:tcPr>
          <w:p w14:paraId="32CFBE7F" w14:textId="3D58F02A" w:rsidR="00FC197B" w:rsidRPr="000A33D2" w:rsidRDefault="008F2F8C" w:rsidP="004F5A05">
            <w:pPr>
              <w:pStyle w:val="TableText0"/>
              <w:keepLines/>
            </w:pPr>
            <w:r w:rsidRPr="000A33D2">
              <w:t xml:space="preserve">In the base case, convergence starts at three years in the model with a linear decline such that at 10 years the proportion who are progression free and alive are equal between arms. </w:t>
            </w:r>
            <w:r w:rsidR="00FC197B" w:rsidRPr="000A33D2">
              <w:t>While the assumption of convergence may be considered appropriate</w:t>
            </w:r>
            <w:r w:rsidR="00510CB9" w:rsidRPr="000A33D2">
              <w:t>, the rate of convergence may not sufficiently address the uncertainty associated the omission of 2L subsequent therapy use and uncertainty associated with the application of transition probabilities based on a long-term survival study (Miller 2020).</w:t>
            </w:r>
          </w:p>
        </w:tc>
        <w:tc>
          <w:tcPr>
            <w:tcW w:w="1937" w:type="pct"/>
            <w:shd w:val="clear" w:color="auto" w:fill="auto"/>
            <w:vAlign w:val="center"/>
          </w:tcPr>
          <w:p w14:paraId="66CBE713" w14:textId="7CDF1687" w:rsidR="00FC197B" w:rsidRPr="000A33D2" w:rsidRDefault="00510CB9" w:rsidP="004F5A05">
            <w:pPr>
              <w:pStyle w:val="TableText0"/>
              <w:keepLines/>
              <w:rPr>
                <w:highlight w:val="yellow"/>
              </w:rPr>
            </w:pPr>
            <w:r w:rsidRPr="000A33D2">
              <w:t xml:space="preserve">High, </w:t>
            </w:r>
            <w:r w:rsidR="005A2E65" w:rsidRPr="000A33D2">
              <w:t>favo</w:t>
            </w:r>
            <w:r w:rsidR="008C1AA0" w:rsidRPr="000A33D2">
              <w:t>u</w:t>
            </w:r>
            <w:r w:rsidR="005A2E65" w:rsidRPr="000A33D2">
              <w:t>rs</w:t>
            </w:r>
            <w:r w:rsidRPr="000A33D2">
              <w:t xml:space="preserve"> </w:t>
            </w:r>
            <w:r w:rsidR="005A2E65" w:rsidRPr="000A33D2">
              <w:t xml:space="preserve">DOS+CP. The application of convergence between 3 and 7.5 years increased the ICER by 31% (dMMR). </w:t>
            </w:r>
          </w:p>
        </w:tc>
      </w:tr>
      <w:tr w:rsidR="008C1AA0" w:rsidRPr="000A33D2" w14:paraId="2CBD4AA0" w14:textId="77777777" w:rsidTr="008C1AA0">
        <w:tc>
          <w:tcPr>
            <w:tcW w:w="625" w:type="pct"/>
            <w:shd w:val="clear" w:color="auto" w:fill="auto"/>
            <w:vAlign w:val="center"/>
          </w:tcPr>
          <w:p w14:paraId="2D9102DB" w14:textId="512EAC45" w:rsidR="008C1AA0" w:rsidRPr="000A33D2" w:rsidRDefault="008C1AA0" w:rsidP="004F5A05">
            <w:pPr>
              <w:pStyle w:val="TableText0"/>
              <w:keepLines/>
            </w:pPr>
            <w:r w:rsidRPr="000A33D2">
              <w:t>Time horizon</w:t>
            </w:r>
          </w:p>
        </w:tc>
        <w:tc>
          <w:tcPr>
            <w:tcW w:w="2438" w:type="pct"/>
            <w:shd w:val="clear" w:color="auto" w:fill="auto"/>
            <w:vAlign w:val="center"/>
          </w:tcPr>
          <w:p w14:paraId="2F27573D" w14:textId="0A762E61" w:rsidR="008C1AA0" w:rsidRPr="000A33D2" w:rsidRDefault="008C1AA0" w:rsidP="004F5A05">
            <w:pPr>
              <w:pStyle w:val="TableText0"/>
              <w:keepLines/>
            </w:pPr>
            <w:r w:rsidRPr="000A33D2">
              <w:t xml:space="preserve">Base case time horizon was </w:t>
            </w:r>
            <w:r w:rsidR="00BA3440" w:rsidRPr="000A33D2">
              <w:t>10</w:t>
            </w:r>
            <w:r w:rsidRPr="000A33D2">
              <w:t xml:space="preserve"> years. Given the length of study follow-up (around 25 months) and uncertainty associated with extrapolation methods used by the submission, this could be considered optimistic.</w:t>
            </w:r>
            <w:r w:rsidR="00AD6119" w:rsidRPr="000A33D2">
              <w:t xml:space="preserve"> However time horizon as a key driver was tied to the assumptions around rate of convergence</w:t>
            </w:r>
            <w:r w:rsidR="000A33D2">
              <w:t xml:space="preserve">. </w:t>
            </w:r>
          </w:p>
        </w:tc>
        <w:tc>
          <w:tcPr>
            <w:tcW w:w="1937" w:type="pct"/>
            <w:shd w:val="clear" w:color="auto" w:fill="auto"/>
            <w:vAlign w:val="center"/>
          </w:tcPr>
          <w:p w14:paraId="134A842C" w14:textId="09BF31A6" w:rsidR="008C1AA0" w:rsidRPr="000A33D2" w:rsidRDefault="008C1AA0" w:rsidP="004F5A05">
            <w:pPr>
              <w:pStyle w:val="TableText0"/>
              <w:keepLines/>
            </w:pPr>
            <w:r w:rsidRPr="000A33D2">
              <w:t xml:space="preserve">High, favours DOS+CP. A time horizon of </w:t>
            </w:r>
            <w:r w:rsidR="004F5A05" w:rsidRPr="000A33D2">
              <w:t>5</w:t>
            </w:r>
            <w:r w:rsidR="004F5A05">
              <w:t> </w:t>
            </w:r>
            <w:r w:rsidRPr="000A33D2">
              <w:t xml:space="preserve">years increased the ICER by 28% (dMMR). A time horizon of 7.5 years increased the ICER by only 1-2%. However </w:t>
            </w:r>
            <w:r w:rsidR="00DF42A2" w:rsidRPr="000A33D2">
              <w:t xml:space="preserve">this </w:t>
            </w:r>
            <w:r w:rsidRPr="000A33D2">
              <w:t>assumed that convergence remained at 10 years rather than at the end of the time horizon</w:t>
            </w:r>
            <w:r w:rsidR="00DF42A2" w:rsidRPr="000A33D2">
              <w:t>.</w:t>
            </w:r>
          </w:p>
        </w:tc>
      </w:tr>
    </w:tbl>
    <w:p w14:paraId="30E97087" w14:textId="37CC8204" w:rsidR="00D110BD" w:rsidRPr="000A33D2" w:rsidRDefault="009D792E" w:rsidP="004F5A05">
      <w:pPr>
        <w:pStyle w:val="FooterTableFigure"/>
        <w:keepNext/>
        <w:keepLines/>
      </w:pPr>
      <w:r w:rsidRPr="000A33D2">
        <w:t>Source: Table</w:t>
      </w:r>
      <w:r w:rsidR="00D23B08" w:rsidRPr="000A33D2">
        <w:t xml:space="preserve"> 113&amp;114</w:t>
      </w:r>
      <w:r w:rsidRPr="000A33D2">
        <w:t xml:space="preserve">, </w:t>
      </w:r>
      <w:r w:rsidR="00D23B08" w:rsidRPr="000A33D2">
        <w:t xml:space="preserve">pp170-172 of the submission. </w:t>
      </w:r>
    </w:p>
    <w:p w14:paraId="222CB145" w14:textId="06E05518" w:rsidR="00BA3440" w:rsidRPr="000A33D2" w:rsidRDefault="00BA3440" w:rsidP="004F5A05">
      <w:pPr>
        <w:pStyle w:val="FooterTableFigure"/>
        <w:keepNext/>
        <w:keepLines/>
      </w:pPr>
      <w:r w:rsidRPr="000A33D2">
        <w:t xml:space="preserve">2L = second-line; CP = carboplatin=paclitaxel; dMMR = mismatch repair-deficient; DOS = </w:t>
      </w:r>
      <w:r w:rsidR="008E3308" w:rsidRPr="000A33D2">
        <w:t>do</w:t>
      </w:r>
      <w:r w:rsidRPr="000A33D2">
        <w:t>starlimab; ICER = incremental cost-effectiveness ratio; QALY = quality adjusted life year.</w:t>
      </w:r>
    </w:p>
    <w:p w14:paraId="6C53C365" w14:textId="4DC3AAF6" w:rsidR="00381503" w:rsidRDefault="00381503" w:rsidP="004F5A05">
      <w:pPr>
        <w:pStyle w:val="FooterTableFigure"/>
        <w:keepNext/>
        <w:keepLines/>
        <w:spacing w:after="0"/>
      </w:pPr>
      <w:r w:rsidRPr="000A33D2">
        <w:t xml:space="preserve">Note: PSCR corrected base case ICERs </w:t>
      </w:r>
      <w:r w:rsidRPr="004F5A05">
        <w:t xml:space="preserve">are </w:t>
      </w:r>
      <w:r w:rsidR="00D74B19" w:rsidRPr="004F5A05">
        <w:rPr>
          <w:szCs w:val="18"/>
        </w:rPr>
        <w:t>$75,000 to &lt; $95,000</w:t>
      </w:r>
      <w:r w:rsidRPr="004F5A05">
        <w:t xml:space="preserve">/QALY (dMMR) and </w:t>
      </w:r>
      <w:r w:rsidR="00D74B19" w:rsidRPr="004F5A05">
        <w:rPr>
          <w:szCs w:val="18"/>
        </w:rPr>
        <w:t>$75,000 to &lt; $95,000</w:t>
      </w:r>
      <w:r w:rsidRPr="000A33D2">
        <w:t>/QALY (all-comers)</w:t>
      </w:r>
    </w:p>
    <w:p w14:paraId="3ED63345" w14:textId="77777777" w:rsidR="00D74B19" w:rsidRPr="009A6D58" w:rsidRDefault="00D74B19" w:rsidP="004F5A05">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52957DA" w14:textId="66827FDF" w:rsidR="00D74B19" w:rsidRPr="000A33D2" w:rsidRDefault="00D74B19" w:rsidP="004F5A05">
      <w:pPr>
        <w:spacing w:after="120"/>
      </w:pPr>
      <w:r w:rsidRPr="009A6D58">
        <w:rPr>
          <w:rFonts w:ascii="Arial Narrow" w:hAnsi="Arial Narrow"/>
          <w:i/>
          <w:sz w:val="18"/>
          <w:szCs w:val="18"/>
          <w:vertAlign w:val="superscript"/>
        </w:rPr>
        <w:t>1</w:t>
      </w:r>
      <w:r>
        <w:rPr>
          <w:rFonts w:ascii="Arial Narrow" w:hAnsi="Arial Narrow"/>
          <w:i/>
          <w:sz w:val="18"/>
          <w:szCs w:val="18"/>
        </w:rPr>
        <w:t xml:space="preserve"> </w:t>
      </w:r>
      <w:r w:rsidRPr="00D74B19">
        <w:rPr>
          <w:rFonts w:ascii="Arial Narrow" w:hAnsi="Arial Narrow"/>
          <w:i/>
          <w:sz w:val="18"/>
          <w:szCs w:val="18"/>
        </w:rPr>
        <w:t>$75,000 to &lt; $95,000</w:t>
      </w:r>
    </w:p>
    <w:p w14:paraId="68D0DFC2" w14:textId="40C42EFB" w:rsidR="00847135" w:rsidRPr="000A33D2" w:rsidRDefault="00847135" w:rsidP="00463E42">
      <w:pPr>
        <w:pStyle w:val="3-BodyText"/>
      </w:pPr>
      <w:r w:rsidRPr="000A33D2">
        <w:lastRenderedPageBreak/>
        <w:t>The ESC noted that the impact of the time horizon was tied to the assumptions around rate of convergence. The ESC considered that the time horizon of 10 years was clinically reasonable for the 1L dMMR population</w:t>
      </w:r>
      <w:r w:rsidR="00D53A6D" w:rsidRPr="000A33D2">
        <w:t xml:space="preserve"> as some patients may have an extended response to 1L treatment with immunotherapy</w:t>
      </w:r>
      <w:r w:rsidRPr="000A33D2">
        <w:t xml:space="preserve">. </w:t>
      </w:r>
      <w:r w:rsidR="00DF42A2" w:rsidRPr="000A33D2">
        <w:t xml:space="preserve">The PBAC recalled that a time horizon of 5 years was considered appropriate for </w:t>
      </w:r>
      <w:r w:rsidR="001171BE" w:rsidRPr="000A33D2">
        <w:t>PEM+LEN in second line treatment</w:t>
      </w:r>
      <w:r w:rsidR="00DF42A2" w:rsidRPr="000A33D2">
        <w:t xml:space="preserve"> </w:t>
      </w:r>
      <w:r w:rsidR="001171BE" w:rsidRPr="000A33D2">
        <w:t>of advanced EC. The PBAC considered that a time horizon of 7.5 years was appropriate given the length of follow up available for the RUBY trial and uncertainty in the extrapolation of outcomes.</w:t>
      </w:r>
    </w:p>
    <w:p w14:paraId="18C1C865" w14:textId="37708C6B" w:rsidR="00463E42" w:rsidRPr="000A33D2" w:rsidRDefault="00463E42" w:rsidP="00463E42">
      <w:pPr>
        <w:pStyle w:val="3-BodyText"/>
      </w:pPr>
      <w:r w:rsidRPr="000A33D2">
        <w:t xml:space="preserve">The applied efficacy </w:t>
      </w:r>
      <w:r w:rsidR="005971E7" w:rsidRPr="000A33D2">
        <w:t xml:space="preserve">values </w:t>
      </w:r>
      <w:r w:rsidRPr="000A33D2">
        <w:t>based on OS and PFS HR were not considered key drivers of the model because of the assumptions of convergence. Changing the OS and PFS HR only directly affected results between the end of median follow up (around 25</w:t>
      </w:r>
      <w:r w:rsidR="004F5A05">
        <w:t> </w:t>
      </w:r>
      <w:r w:rsidRPr="000A33D2">
        <w:t xml:space="preserve">months) till the start of convergence at three years. </w:t>
      </w:r>
    </w:p>
    <w:p w14:paraId="68EA233E" w14:textId="09484959" w:rsidR="00214893" w:rsidRPr="000A33D2" w:rsidRDefault="00214893" w:rsidP="00214893">
      <w:pPr>
        <w:pStyle w:val="3-BodyText"/>
      </w:pPr>
      <w:r w:rsidRPr="000A33D2">
        <w:t xml:space="preserve">As discussed in paragraph </w:t>
      </w:r>
      <w:r w:rsidRPr="000A33D2">
        <w:fldChar w:fldCharType="begin" w:fldLock="1"/>
      </w:r>
      <w:r w:rsidRPr="000A33D2">
        <w:instrText xml:space="preserve"> REF _Ref144732646 \r \h </w:instrText>
      </w:r>
      <w:r w:rsidRPr="000A33D2">
        <w:fldChar w:fldCharType="separate"/>
      </w:r>
      <w:r w:rsidR="00B62E71">
        <w:t>6.32</w:t>
      </w:r>
      <w:r w:rsidRPr="000A33D2">
        <w:fldChar w:fldCharType="end"/>
      </w:r>
      <w:r w:rsidRPr="000A33D2">
        <w:t>, several AEs were included in the economic model. However these were not considered drivers in the economic model</w:t>
      </w:r>
      <w:r w:rsidR="001A5364" w:rsidRPr="000A33D2">
        <w:t xml:space="preserve"> due to the small </w:t>
      </w:r>
      <w:r w:rsidR="001C3EF7" w:rsidRPr="000A33D2">
        <w:t>contribution to the overall incremental cost (0-1% of total incremental cost)</w:t>
      </w:r>
      <w:r w:rsidRPr="000A33D2">
        <w:t>.</w:t>
      </w:r>
    </w:p>
    <w:p w14:paraId="6A2E3D53" w14:textId="0AE416FB" w:rsidR="00CE64FC" w:rsidRPr="000A33D2" w:rsidRDefault="00CE64FC" w:rsidP="00311F89">
      <w:pPr>
        <w:pStyle w:val="3-BodyText"/>
        <w:rPr>
          <w:iCs/>
        </w:rPr>
      </w:pPr>
      <w:r w:rsidRPr="000A33D2">
        <w:rPr>
          <w:iCs/>
        </w:rPr>
        <w:t>The ESC noted that the application of health care resource use had a substantial impact on the ICER, driven by the cost of 2L treatments in patients with disease progression.</w:t>
      </w:r>
    </w:p>
    <w:p w14:paraId="69247D94" w14:textId="2C0C0A46" w:rsidR="00311F89" w:rsidRPr="000A33D2" w:rsidRDefault="00FF7AFD" w:rsidP="00311F89">
      <w:pPr>
        <w:pStyle w:val="3-BodyText"/>
      </w:pPr>
      <w:r>
        <w:t xml:space="preserve">Results of the stepped economic evaluation </w:t>
      </w:r>
      <w:r w:rsidR="00C64045">
        <w:t xml:space="preserve">for the dMMR population </w:t>
      </w:r>
      <w:r>
        <w:t xml:space="preserve">are presented in </w:t>
      </w:r>
      <w:r>
        <w:fldChar w:fldCharType="begin" w:fldLock="1"/>
      </w:r>
      <w:r>
        <w:instrText xml:space="preserve"> REF _Ref104805160 \h </w:instrText>
      </w:r>
      <w:r>
        <w:fldChar w:fldCharType="separate"/>
      </w:r>
      <w:r w:rsidR="00B62E71">
        <w:t xml:space="preserve">Table </w:t>
      </w:r>
      <w:r w:rsidR="00B62E71" w:rsidRPr="7A737BBF">
        <w:rPr>
          <w:noProof/>
        </w:rPr>
        <w:t>16</w:t>
      </w:r>
      <w:r>
        <w:fldChar w:fldCharType="end"/>
      </w:r>
      <w:r w:rsidR="004C01FF">
        <w:t xml:space="preserve">. </w:t>
      </w:r>
      <w:r w:rsidR="00311F89">
        <w:t xml:space="preserve">These results were based on an assumed price for 2L subsequent immunotherapy with PEM+LEN </w:t>
      </w:r>
      <w:r w:rsidR="00311F89" w:rsidRPr="00E15D52">
        <w:t>of $60,000 (10</w:t>
      </w:r>
      <w:r w:rsidR="00311F89">
        <w:t xml:space="preserve"> </w:t>
      </w:r>
      <w:r w:rsidR="00B926DA">
        <w:t>administrations, based on median cycles of KN775</w:t>
      </w:r>
      <w:r w:rsidR="00311F89">
        <w:t xml:space="preserve">) </w:t>
      </w:r>
      <w:r w:rsidR="00B926DA">
        <w:t xml:space="preserve">per treatment </w:t>
      </w:r>
      <w:r w:rsidR="00311F89">
        <w:t>course per patient</w:t>
      </w:r>
      <w:r w:rsidR="00311F89" w:rsidRPr="7A737BBF">
        <w:rPr>
          <w:i/>
          <w:iCs/>
        </w:rPr>
        <w:t xml:space="preserve">. </w:t>
      </w:r>
    </w:p>
    <w:p w14:paraId="63D487B8" w14:textId="6FC1477C" w:rsidR="00D110BD" w:rsidRPr="000A33D2" w:rsidRDefault="00E16AD8" w:rsidP="00B64B34">
      <w:pPr>
        <w:pStyle w:val="Caption"/>
        <w:rPr>
          <w:rStyle w:val="CommentReference"/>
          <w:b/>
          <w:szCs w:val="24"/>
        </w:rPr>
      </w:pPr>
      <w:bookmarkStart w:id="76" w:name="_Ref104805160"/>
      <w:bookmarkStart w:id="77" w:name="_Hlk147874589"/>
      <w:r w:rsidRPr="000A33D2">
        <w:lastRenderedPageBreak/>
        <w:t xml:space="preserve">Table </w:t>
      </w:r>
      <w:r>
        <w:fldChar w:fldCharType="begin" w:fldLock="1"/>
      </w:r>
      <w:r>
        <w:instrText>SEQ Table \* ARABIC</w:instrText>
      </w:r>
      <w:r>
        <w:fldChar w:fldCharType="separate"/>
      </w:r>
      <w:r w:rsidR="00B62E71">
        <w:rPr>
          <w:noProof/>
        </w:rPr>
        <w:t>16</w:t>
      </w:r>
      <w:r>
        <w:fldChar w:fldCharType="end"/>
      </w:r>
      <w:bookmarkEnd w:id="76"/>
      <w:r w:rsidRPr="000A33D2">
        <w:t>:</w:t>
      </w:r>
      <w:r w:rsidR="005A373D" w:rsidRPr="000A33D2">
        <w:rPr>
          <w:rStyle w:val="CommentReference"/>
          <w:b/>
          <w:szCs w:val="24"/>
        </w:rPr>
        <w:t xml:space="preserve"> Results of the stepped economic evaluation</w:t>
      </w:r>
      <w:r w:rsidR="00C64045" w:rsidRPr="000A33D2">
        <w:rPr>
          <w:rStyle w:val="CommentReference"/>
          <w:b/>
          <w:szCs w:val="24"/>
        </w:rPr>
        <w:t xml:space="preserve"> (dMMR)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341"/>
        <w:gridCol w:w="1468"/>
      </w:tblGrid>
      <w:tr w:rsidR="00DF27B0" w:rsidRPr="000A33D2" w14:paraId="5AB951A6" w14:textId="77777777" w:rsidTr="7A737BBF">
        <w:trPr>
          <w:tblHeader/>
        </w:trPr>
        <w:tc>
          <w:tcPr>
            <w:tcW w:w="1529" w:type="pct"/>
            <w:vAlign w:val="center"/>
          </w:tcPr>
          <w:p w14:paraId="2087CFD0" w14:textId="77777777" w:rsidR="00DF27B0" w:rsidRPr="000A33D2" w:rsidRDefault="00DF27B0" w:rsidP="00B64B34">
            <w:pPr>
              <w:pStyle w:val="In-tableHeading"/>
              <w:keepLines/>
              <w:rPr>
                <w:lang w:val="en-AU"/>
              </w:rPr>
            </w:pPr>
            <w:r w:rsidRPr="000A33D2">
              <w:rPr>
                <w:lang w:val="en-AU"/>
              </w:rPr>
              <w:t>Step and component</w:t>
            </w:r>
          </w:p>
        </w:tc>
        <w:tc>
          <w:tcPr>
            <w:tcW w:w="1359" w:type="pct"/>
            <w:vAlign w:val="center"/>
          </w:tcPr>
          <w:p w14:paraId="153C33FC" w14:textId="77777777" w:rsidR="00DF27B0" w:rsidRPr="000A33D2" w:rsidRDefault="00DF27B0" w:rsidP="00B64B34">
            <w:pPr>
              <w:pStyle w:val="In-tableHeading"/>
              <w:keepLines/>
              <w:jc w:val="center"/>
              <w:rPr>
                <w:lang w:val="en-AU"/>
              </w:rPr>
            </w:pPr>
            <w:r w:rsidRPr="000A33D2">
              <w:rPr>
                <w:lang w:val="en-AU"/>
              </w:rPr>
              <w:t>DOS+CP</w:t>
            </w:r>
          </w:p>
        </w:tc>
        <w:tc>
          <w:tcPr>
            <w:tcW w:w="1298" w:type="pct"/>
            <w:vAlign w:val="center"/>
          </w:tcPr>
          <w:p w14:paraId="41A300B8" w14:textId="77777777" w:rsidR="00DF27B0" w:rsidRPr="000A33D2" w:rsidRDefault="00DF27B0" w:rsidP="00B64B34">
            <w:pPr>
              <w:pStyle w:val="In-tableHeading"/>
              <w:keepLines/>
              <w:jc w:val="center"/>
              <w:rPr>
                <w:lang w:val="en-AU"/>
              </w:rPr>
            </w:pPr>
            <w:r w:rsidRPr="7A737BBF">
              <w:rPr>
                <w:lang w:val="en-AU"/>
              </w:rPr>
              <w:t>CP</w:t>
            </w:r>
          </w:p>
        </w:tc>
        <w:tc>
          <w:tcPr>
            <w:tcW w:w="814" w:type="pct"/>
            <w:vAlign w:val="center"/>
          </w:tcPr>
          <w:p w14:paraId="255F7933" w14:textId="77777777" w:rsidR="00DF27B0" w:rsidRPr="000A33D2" w:rsidRDefault="00DF27B0" w:rsidP="00B64B34">
            <w:pPr>
              <w:pStyle w:val="In-tableHeading"/>
              <w:keepLines/>
              <w:jc w:val="center"/>
              <w:rPr>
                <w:lang w:val="en-AU"/>
              </w:rPr>
            </w:pPr>
            <w:r w:rsidRPr="000A33D2">
              <w:rPr>
                <w:lang w:val="en-AU"/>
              </w:rPr>
              <w:t>Increment</w:t>
            </w:r>
          </w:p>
        </w:tc>
      </w:tr>
      <w:tr w:rsidR="00DF27B0" w:rsidRPr="000A33D2" w14:paraId="0CF864E2" w14:textId="77777777" w:rsidTr="7A737BBF">
        <w:tc>
          <w:tcPr>
            <w:tcW w:w="5000" w:type="pct"/>
            <w:gridSpan w:val="4"/>
            <w:vAlign w:val="center"/>
          </w:tcPr>
          <w:p w14:paraId="127E2905" w14:textId="77777777" w:rsidR="00DF27B0" w:rsidRPr="000A33D2" w:rsidRDefault="00DF27B0" w:rsidP="00B64B34">
            <w:pPr>
              <w:pStyle w:val="TableText0"/>
              <w:keepLines/>
              <w:rPr>
                <w:b/>
                <w:bCs w:val="0"/>
                <w:vertAlign w:val="superscript"/>
              </w:rPr>
            </w:pPr>
            <w:r w:rsidRPr="000A33D2">
              <w:rPr>
                <w:b/>
                <w:bCs w:val="0"/>
              </w:rPr>
              <w:t xml:space="preserve">Step 1: trial-based costs and outcomes (30 months) </w:t>
            </w:r>
            <w:r w:rsidRPr="000A33D2">
              <w:rPr>
                <w:b/>
                <w:bCs w:val="0"/>
                <w:vertAlign w:val="superscript"/>
              </w:rPr>
              <w:t>a</w:t>
            </w:r>
          </w:p>
        </w:tc>
      </w:tr>
      <w:tr w:rsidR="004C01FF" w:rsidRPr="000A33D2" w14:paraId="5132AEB8" w14:textId="77777777" w:rsidTr="7A737BBF">
        <w:tc>
          <w:tcPr>
            <w:tcW w:w="1529" w:type="pct"/>
            <w:vAlign w:val="center"/>
          </w:tcPr>
          <w:p w14:paraId="3042F131" w14:textId="77777777" w:rsidR="004C01FF" w:rsidRPr="000A33D2" w:rsidRDefault="004C01FF" w:rsidP="00B64B34">
            <w:pPr>
              <w:pStyle w:val="TableText0"/>
              <w:keepLines/>
              <w:rPr>
                <w:rFonts w:ascii="Times" w:hAnsi="Times"/>
                <w:vertAlign w:val="superscript"/>
              </w:rPr>
            </w:pPr>
            <w:r w:rsidRPr="000A33D2">
              <w:t xml:space="preserve">Costs </w:t>
            </w:r>
            <w:r w:rsidRPr="000A33D2">
              <w:rPr>
                <w:vertAlign w:val="superscript"/>
              </w:rPr>
              <w:t>b</w:t>
            </w:r>
          </w:p>
        </w:tc>
        <w:tc>
          <w:tcPr>
            <w:tcW w:w="1359" w:type="pct"/>
            <w:vAlign w:val="center"/>
          </w:tcPr>
          <w:p w14:paraId="132BBC65" w14:textId="2BEB5AB3" w:rsidR="004C01FF" w:rsidRPr="000A33D2" w:rsidRDefault="004C01FF"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c>
          <w:tcPr>
            <w:tcW w:w="1298" w:type="pct"/>
            <w:vAlign w:val="center"/>
          </w:tcPr>
          <w:p w14:paraId="0FE72F22" w14:textId="71AF7207" w:rsidR="004C01FF" w:rsidRPr="000A33D2" w:rsidRDefault="004C01FF" w:rsidP="00B64B34">
            <w:pPr>
              <w:pStyle w:val="TableText0"/>
              <w:keepLines/>
              <w:jc w:val="center"/>
            </w:pPr>
            <w:r w:rsidRPr="00E15D52">
              <w:t>$2,630</w:t>
            </w:r>
          </w:p>
        </w:tc>
        <w:tc>
          <w:tcPr>
            <w:tcW w:w="814" w:type="pct"/>
            <w:vAlign w:val="center"/>
          </w:tcPr>
          <w:p w14:paraId="3307E6EC" w14:textId="4670601C" w:rsidR="004C01FF" w:rsidRPr="000A33D2" w:rsidRDefault="004C01FF"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r w:rsidR="004C01FF" w:rsidRPr="000A33D2" w14:paraId="2D8BFB81" w14:textId="77777777" w:rsidTr="7A737BBF">
        <w:tc>
          <w:tcPr>
            <w:tcW w:w="1529" w:type="pct"/>
            <w:vAlign w:val="center"/>
          </w:tcPr>
          <w:p w14:paraId="2065B185" w14:textId="77777777" w:rsidR="004C01FF" w:rsidRPr="000A33D2" w:rsidRDefault="004C01FF" w:rsidP="00B64B34">
            <w:pPr>
              <w:pStyle w:val="TableText0"/>
              <w:keepLines/>
            </w:pPr>
            <w:r w:rsidRPr="000A33D2">
              <w:t>LY</w:t>
            </w:r>
          </w:p>
        </w:tc>
        <w:tc>
          <w:tcPr>
            <w:tcW w:w="1359" w:type="pct"/>
            <w:vAlign w:val="center"/>
          </w:tcPr>
          <w:p w14:paraId="78580BA3" w14:textId="5DCDE582" w:rsidR="004C01FF" w:rsidRPr="000A33D2" w:rsidRDefault="004C01FF" w:rsidP="00B64B34">
            <w:pPr>
              <w:pStyle w:val="TableText0"/>
              <w:keepLines/>
              <w:jc w:val="center"/>
            </w:pPr>
            <w:r w:rsidRPr="000A33D2">
              <w:t>2.1642</w:t>
            </w:r>
          </w:p>
        </w:tc>
        <w:tc>
          <w:tcPr>
            <w:tcW w:w="1298" w:type="pct"/>
            <w:vAlign w:val="center"/>
          </w:tcPr>
          <w:p w14:paraId="64C361A0" w14:textId="3EEA9174" w:rsidR="004C01FF" w:rsidRPr="000A33D2" w:rsidRDefault="004C01FF" w:rsidP="00B64B34">
            <w:pPr>
              <w:pStyle w:val="TableText0"/>
              <w:keepLines/>
              <w:jc w:val="center"/>
            </w:pPr>
            <w:r w:rsidRPr="000A33D2">
              <w:t>1.8146</w:t>
            </w:r>
          </w:p>
        </w:tc>
        <w:tc>
          <w:tcPr>
            <w:tcW w:w="814" w:type="pct"/>
            <w:vAlign w:val="center"/>
          </w:tcPr>
          <w:p w14:paraId="3685293E" w14:textId="47DAF831" w:rsidR="004C01FF" w:rsidRPr="000A33D2" w:rsidRDefault="004C01FF" w:rsidP="00B64B34">
            <w:pPr>
              <w:pStyle w:val="TableText0"/>
              <w:keepLines/>
              <w:jc w:val="center"/>
            </w:pPr>
            <w:r w:rsidRPr="000A33D2">
              <w:t>0.3496</w:t>
            </w:r>
          </w:p>
        </w:tc>
      </w:tr>
      <w:tr w:rsidR="004C01FF" w:rsidRPr="000A33D2" w14:paraId="0730926A" w14:textId="77777777" w:rsidTr="7A737BBF">
        <w:tc>
          <w:tcPr>
            <w:tcW w:w="1529" w:type="pct"/>
            <w:vAlign w:val="center"/>
          </w:tcPr>
          <w:p w14:paraId="6E3C3E61" w14:textId="77777777" w:rsidR="004C01FF" w:rsidRPr="000A33D2" w:rsidRDefault="004C01FF" w:rsidP="00B64B34">
            <w:pPr>
              <w:pStyle w:val="TableText0"/>
              <w:keepLines/>
              <w:rPr>
                <w:rFonts w:ascii="Times" w:hAnsi="Times"/>
              </w:rPr>
            </w:pPr>
            <w:r w:rsidRPr="000A33D2">
              <w:t>PLYG</w:t>
            </w:r>
          </w:p>
        </w:tc>
        <w:tc>
          <w:tcPr>
            <w:tcW w:w="1359" w:type="pct"/>
            <w:vAlign w:val="center"/>
          </w:tcPr>
          <w:p w14:paraId="18320A20" w14:textId="36703C9A" w:rsidR="004C01FF" w:rsidRPr="000A33D2" w:rsidRDefault="004C01FF" w:rsidP="00B64B34">
            <w:pPr>
              <w:pStyle w:val="TableText0"/>
              <w:keepLines/>
              <w:jc w:val="center"/>
            </w:pPr>
            <w:r w:rsidRPr="000A33D2">
              <w:t>1.6531</w:t>
            </w:r>
          </w:p>
        </w:tc>
        <w:tc>
          <w:tcPr>
            <w:tcW w:w="1298" w:type="pct"/>
            <w:vAlign w:val="center"/>
          </w:tcPr>
          <w:p w14:paraId="52BB1CE7" w14:textId="0AD1C0C2" w:rsidR="004C01FF" w:rsidRPr="000A33D2" w:rsidRDefault="004C01FF" w:rsidP="00B64B34">
            <w:pPr>
              <w:pStyle w:val="TableText0"/>
              <w:keepLines/>
              <w:jc w:val="center"/>
            </w:pPr>
            <w:r w:rsidRPr="000A33D2">
              <w:t>0.8805</w:t>
            </w:r>
          </w:p>
        </w:tc>
        <w:tc>
          <w:tcPr>
            <w:tcW w:w="814" w:type="pct"/>
            <w:vAlign w:val="center"/>
          </w:tcPr>
          <w:p w14:paraId="6F50BB5B" w14:textId="2BDC79AA" w:rsidR="004C01FF" w:rsidRPr="000A33D2" w:rsidRDefault="004C01FF" w:rsidP="00B64B34">
            <w:pPr>
              <w:pStyle w:val="TableText0"/>
              <w:keepLines/>
              <w:jc w:val="center"/>
            </w:pPr>
            <w:r w:rsidRPr="000A33D2">
              <w:t>0.7726</w:t>
            </w:r>
          </w:p>
        </w:tc>
      </w:tr>
      <w:tr w:rsidR="00DF27B0" w:rsidRPr="000A33D2" w14:paraId="127C7935" w14:textId="77777777" w:rsidTr="7A737BBF">
        <w:tc>
          <w:tcPr>
            <w:tcW w:w="4186" w:type="pct"/>
            <w:gridSpan w:val="3"/>
            <w:vAlign w:val="center"/>
          </w:tcPr>
          <w:p w14:paraId="6D6DA5D3" w14:textId="77777777" w:rsidR="00DF27B0" w:rsidRPr="000A33D2" w:rsidRDefault="00DF27B0" w:rsidP="00B64B34">
            <w:pPr>
              <w:pStyle w:val="TableText0"/>
              <w:keepLines/>
            </w:pPr>
            <w:r w:rsidRPr="000A33D2">
              <w:t>Incremental cost/extra LYG gained</w:t>
            </w:r>
          </w:p>
        </w:tc>
        <w:tc>
          <w:tcPr>
            <w:tcW w:w="814" w:type="pct"/>
            <w:vAlign w:val="center"/>
          </w:tcPr>
          <w:p w14:paraId="227F8E22" w14:textId="5B44E185" w:rsidR="00DF27B0" w:rsidRPr="001F7ABC" w:rsidRDefault="00DF27B0" w:rsidP="00B64B34">
            <w:pPr>
              <w:keepNext/>
              <w:keepLines/>
              <w:jc w:val="center"/>
              <w:rPr>
                <w:rFonts w:ascii="Arial Narrow" w:eastAsiaTheme="majorEastAsia" w:hAnsi="Arial Narrow" w:cstheme="majorBidi"/>
                <w:bCs/>
                <w:sz w:val="20"/>
                <w:vertAlign w:val="superscript"/>
              </w:rPr>
            </w:pPr>
            <w:r w:rsidRPr="000A33D2">
              <w:rPr>
                <w:rFonts w:ascii="Arial Narrow" w:eastAsiaTheme="majorEastAsia" w:hAnsi="Arial Narrow" w:cstheme="majorBidi"/>
                <w:bCs/>
                <w:sz w:val="20"/>
              </w:rPr>
              <w:t>$</w:t>
            </w:r>
            <w:r w:rsidR="007C10F8" w:rsidRPr="007C10F8">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1F7ABC">
              <w:rPr>
                <w:rFonts w:ascii="Arial Narrow" w:eastAsiaTheme="majorEastAsia" w:hAnsi="Arial Narrow" w:cstheme="majorBidi"/>
                <w:bCs/>
                <w:sz w:val="20"/>
                <w:vertAlign w:val="superscript"/>
              </w:rPr>
              <w:t>1</w:t>
            </w:r>
          </w:p>
        </w:tc>
      </w:tr>
      <w:tr w:rsidR="00DF27B0" w:rsidRPr="000A33D2" w14:paraId="75C68400" w14:textId="4B32301F" w:rsidTr="7A737BBF">
        <w:tc>
          <w:tcPr>
            <w:tcW w:w="4186" w:type="pct"/>
            <w:gridSpan w:val="3"/>
            <w:vAlign w:val="center"/>
          </w:tcPr>
          <w:p w14:paraId="4C42AB56" w14:textId="5D26D1EF" w:rsidR="00DF27B0" w:rsidRPr="000A33D2" w:rsidRDefault="00DF27B0" w:rsidP="00B64B34">
            <w:pPr>
              <w:pStyle w:val="TableText0"/>
              <w:keepLines/>
            </w:pPr>
            <w:r w:rsidRPr="000A33D2">
              <w:t>Incremental cost/extra PLYG gained</w:t>
            </w:r>
          </w:p>
        </w:tc>
        <w:tc>
          <w:tcPr>
            <w:tcW w:w="814" w:type="pct"/>
            <w:vAlign w:val="center"/>
          </w:tcPr>
          <w:p w14:paraId="34B3EE37" w14:textId="003CDE71" w:rsidR="00DF27B0" w:rsidRPr="001F7ABC" w:rsidRDefault="00DF27B0" w:rsidP="00B64B34">
            <w:pPr>
              <w:pStyle w:val="TableText0"/>
              <w:keepLines/>
              <w:jc w:val="center"/>
              <w:rPr>
                <w:vertAlign w:val="superscript"/>
              </w:rP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2</w:t>
            </w:r>
          </w:p>
        </w:tc>
      </w:tr>
      <w:tr w:rsidR="00DF27B0" w:rsidRPr="000A33D2" w14:paraId="6113C127" w14:textId="77777777" w:rsidTr="7A737BBF">
        <w:tc>
          <w:tcPr>
            <w:tcW w:w="5000" w:type="pct"/>
            <w:gridSpan w:val="4"/>
            <w:vAlign w:val="center"/>
          </w:tcPr>
          <w:p w14:paraId="5BC2F3E7" w14:textId="77777777" w:rsidR="00DF27B0" w:rsidRPr="000A33D2" w:rsidRDefault="00DF27B0" w:rsidP="00B64B34">
            <w:pPr>
              <w:pStyle w:val="In-tableHeading"/>
              <w:keepLines/>
              <w:rPr>
                <w:lang w:val="en-AU"/>
              </w:rPr>
            </w:pPr>
            <w:r w:rsidRPr="000A33D2">
              <w:rPr>
                <w:lang w:val="en-AU"/>
              </w:rPr>
              <w:t>Step 2: Extrapolation to 10 years</w:t>
            </w:r>
          </w:p>
        </w:tc>
      </w:tr>
      <w:tr w:rsidR="00447F35" w:rsidRPr="000A33D2" w14:paraId="335E639D" w14:textId="77777777" w:rsidTr="7A737BBF">
        <w:tc>
          <w:tcPr>
            <w:tcW w:w="1529" w:type="pct"/>
            <w:vAlign w:val="center"/>
          </w:tcPr>
          <w:p w14:paraId="4DE5E602" w14:textId="77777777" w:rsidR="00447F35" w:rsidRPr="000A33D2" w:rsidRDefault="00447F35" w:rsidP="00B64B34">
            <w:pPr>
              <w:pStyle w:val="TableText0"/>
              <w:keepLines/>
              <w:rPr>
                <w:rFonts w:ascii="Times" w:hAnsi="Times"/>
                <w:vertAlign w:val="superscript"/>
              </w:rPr>
            </w:pPr>
            <w:r w:rsidRPr="000A33D2">
              <w:t xml:space="preserve">Costs </w:t>
            </w:r>
            <w:r w:rsidRPr="000A33D2">
              <w:rPr>
                <w:vertAlign w:val="superscript"/>
              </w:rPr>
              <w:t>b</w:t>
            </w:r>
          </w:p>
        </w:tc>
        <w:tc>
          <w:tcPr>
            <w:tcW w:w="1359" w:type="pct"/>
            <w:vAlign w:val="center"/>
          </w:tcPr>
          <w:p w14:paraId="07B5C9B3" w14:textId="506B1FDC"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c>
          <w:tcPr>
            <w:tcW w:w="1298" w:type="pct"/>
            <w:vAlign w:val="center"/>
          </w:tcPr>
          <w:p w14:paraId="64078BE0" w14:textId="355B181D" w:rsidR="00447F35" w:rsidRPr="000A33D2" w:rsidRDefault="00447F35" w:rsidP="00B64B34">
            <w:pPr>
              <w:pStyle w:val="TableText0"/>
              <w:keepLines/>
              <w:jc w:val="center"/>
            </w:pPr>
            <w:r w:rsidRPr="00E15D52">
              <w:t>$2,630</w:t>
            </w:r>
          </w:p>
        </w:tc>
        <w:tc>
          <w:tcPr>
            <w:tcW w:w="814" w:type="pct"/>
            <w:vAlign w:val="center"/>
          </w:tcPr>
          <w:p w14:paraId="108E04E4" w14:textId="27454995"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r w:rsidR="00447F35" w:rsidRPr="000A33D2" w14:paraId="4369CEC1" w14:textId="77777777" w:rsidTr="7A737BBF">
        <w:tc>
          <w:tcPr>
            <w:tcW w:w="1529" w:type="pct"/>
            <w:vAlign w:val="center"/>
          </w:tcPr>
          <w:p w14:paraId="47204E22" w14:textId="77777777" w:rsidR="00447F35" w:rsidRPr="000A33D2" w:rsidRDefault="00447F35" w:rsidP="00B64B34">
            <w:pPr>
              <w:pStyle w:val="TableText0"/>
              <w:keepLines/>
            </w:pPr>
            <w:r w:rsidRPr="000A33D2">
              <w:t>LY</w:t>
            </w:r>
          </w:p>
        </w:tc>
        <w:tc>
          <w:tcPr>
            <w:tcW w:w="1359" w:type="pct"/>
            <w:vAlign w:val="center"/>
          </w:tcPr>
          <w:p w14:paraId="3D624EDC" w14:textId="09384B3E" w:rsidR="00447F35" w:rsidRPr="000A33D2" w:rsidRDefault="00447F35" w:rsidP="00B64B34">
            <w:pPr>
              <w:pStyle w:val="TableText0"/>
              <w:keepLines/>
              <w:jc w:val="center"/>
            </w:pPr>
            <w:r w:rsidRPr="000A33D2">
              <w:t>6.3595</w:t>
            </w:r>
          </w:p>
        </w:tc>
        <w:tc>
          <w:tcPr>
            <w:tcW w:w="1298" w:type="pct"/>
            <w:vAlign w:val="center"/>
          </w:tcPr>
          <w:p w14:paraId="7F7825F6" w14:textId="4FAB43BF" w:rsidR="00447F35" w:rsidRPr="000A33D2" w:rsidRDefault="00447F35" w:rsidP="00B64B34">
            <w:pPr>
              <w:pStyle w:val="TableText0"/>
              <w:keepLines/>
              <w:jc w:val="center"/>
            </w:pPr>
            <w:r w:rsidRPr="000A33D2">
              <w:t>3.9134</w:t>
            </w:r>
          </w:p>
        </w:tc>
        <w:tc>
          <w:tcPr>
            <w:tcW w:w="814" w:type="pct"/>
            <w:vAlign w:val="center"/>
          </w:tcPr>
          <w:p w14:paraId="3F55389E" w14:textId="7852C606" w:rsidR="00447F35" w:rsidRPr="000A33D2" w:rsidRDefault="00447F35" w:rsidP="00B64B34">
            <w:pPr>
              <w:pStyle w:val="TableText0"/>
              <w:keepLines/>
              <w:jc w:val="center"/>
            </w:pPr>
            <w:r w:rsidRPr="000A33D2">
              <w:t>2.4461</w:t>
            </w:r>
          </w:p>
        </w:tc>
      </w:tr>
      <w:tr w:rsidR="00447F35" w:rsidRPr="000A33D2" w14:paraId="06E4ED10" w14:textId="1083EAF1" w:rsidTr="7A737BBF">
        <w:tc>
          <w:tcPr>
            <w:tcW w:w="1529" w:type="pct"/>
            <w:vAlign w:val="center"/>
          </w:tcPr>
          <w:p w14:paraId="4D2D9549" w14:textId="77C97EB2" w:rsidR="00447F35" w:rsidRPr="000A33D2" w:rsidRDefault="00447F35" w:rsidP="00B64B34">
            <w:pPr>
              <w:pStyle w:val="TableText0"/>
              <w:keepLines/>
              <w:rPr>
                <w:rFonts w:ascii="Times" w:hAnsi="Times"/>
              </w:rPr>
            </w:pPr>
            <w:r w:rsidRPr="000A33D2">
              <w:t>PLYG</w:t>
            </w:r>
          </w:p>
        </w:tc>
        <w:tc>
          <w:tcPr>
            <w:tcW w:w="1359" w:type="pct"/>
            <w:vAlign w:val="center"/>
          </w:tcPr>
          <w:p w14:paraId="68C4DCD2" w14:textId="2DEEF9AC" w:rsidR="00447F35" w:rsidRPr="000A33D2" w:rsidRDefault="00447F35" w:rsidP="00B64B34">
            <w:pPr>
              <w:pStyle w:val="TableText0"/>
              <w:keepLines/>
              <w:jc w:val="center"/>
            </w:pPr>
            <w:r w:rsidRPr="000A33D2">
              <w:t>4.9082</w:t>
            </w:r>
          </w:p>
        </w:tc>
        <w:tc>
          <w:tcPr>
            <w:tcW w:w="1298" w:type="pct"/>
            <w:vAlign w:val="center"/>
          </w:tcPr>
          <w:p w14:paraId="6358532E" w14:textId="76F39E5E" w:rsidR="00447F35" w:rsidRPr="000A33D2" w:rsidRDefault="00447F35" w:rsidP="00B64B34">
            <w:pPr>
              <w:pStyle w:val="TableText0"/>
              <w:keepLines/>
              <w:jc w:val="center"/>
            </w:pPr>
            <w:r w:rsidRPr="000A33D2">
              <w:t>1.5722</w:t>
            </w:r>
          </w:p>
        </w:tc>
        <w:tc>
          <w:tcPr>
            <w:tcW w:w="814" w:type="pct"/>
            <w:vAlign w:val="center"/>
          </w:tcPr>
          <w:p w14:paraId="4E7C0552" w14:textId="1B61C309" w:rsidR="00447F35" w:rsidRPr="000A33D2" w:rsidRDefault="00447F35" w:rsidP="00B64B34">
            <w:pPr>
              <w:pStyle w:val="TableText0"/>
              <w:keepLines/>
              <w:jc w:val="center"/>
            </w:pPr>
            <w:r w:rsidRPr="000A33D2">
              <w:t>3.3360</w:t>
            </w:r>
          </w:p>
        </w:tc>
      </w:tr>
      <w:tr w:rsidR="00DF27B0" w:rsidRPr="000A33D2" w14:paraId="375B2644" w14:textId="77777777" w:rsidTr="7A737BBF">
        <w:tc>
          <w:tcPr>
            <w:tcW w:w="4186" w:type="pct"/>
            <w:gridSpan w:val="3"/>
            <w:vAlign w:val="center"/>
          </w:tcPr>
          <w:p w14:paraId="1767433A" w14:textId="77777777" w:rsidR="00DF27B0" w:rsidRPr="000A33D2" w:rsidRDefault="00DF27B0" w:rsidP="00B64B34">
            <w:pPr>
              <w:pStyle w:val="TableText0"/>
              <w:keepLines/>
            </w:pPr>
            <w:r w:rsidRPr="000A33D2">
              <w:t>Incremental cost/extra LYG gained</w:t>
            </w:r>
          </w:p>
        </w:tc>
        <w:tc>
          <w:tcPr>
            <w:tcW w:w="814" w:type="pct"/>
            <w:vAlign w:val="center"/>
          </w:tcPr>
          <w:p w14:paraId="6F8AB553" w14:textId="5769F391" w:rsidR="00DF27B0" w:rsidRPr="001F7ABC" w:rsidRDefault="00DF27B0" w:rsidP="00B64B34">
            <w:pPr>
              <w:pStyle w:val="TableText0"/>
              <w:keepLines/>
              <w:jc w:val="center"/>
              <w:rPr>
                <w:vertAlign w:val="superscript"/>
              </w:rP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3</w:t>
            </w:r>
          </w:p>
        </w:tc>
      </w:tr>
      <w:tr w:rsidR="00DF27B0" w:rsidRPr="000A33D2" w14:paraId="21AD5643" w14:textId="4833BEC7" w:rsidTr="7A737BBF">
        <w:tc>
          <w:tcPr>
            <w:tcW w:w="4186" w:type="pct"/>
            <w:gridSpan w:val="3"/>
            <w:vAlign w:val="center"/>
          </w:tcPr>
          <w:p w14:paraId="3ED7D4F2" w14:textId="4B89BE64" w:rsidR="00DF27B0" w:rsidRPr="000A33D2" w:rsidRDefault="00DF27B0" w:rsidP="00B64B34">
            <w:pPr>
              <w:pStyle w:val="TableText0"/>
              <w:keepLines/>
            </w:pPr>
            <w:r w:rsidRPr="000A33D2">
              <w:t>Incremental cost/extra PLYG gained</w:t>
            </w:r>
          </w:p>
        </w:tc>
        <w:tc>
          <w:tcPr>
            <w:tcW w:w="814" w:type="pct"/>
            <w:vAlign w:val="center"/>
          </w:tcPr>
          <w:p w14:paraId="7911245F" w14:textId="70D6C66E" w:rsidR="00DF27B0" w:rsidRPr="001F7ABC" w:rsidRDefault="00DF27B0" w:rsidP="00B64B34">
            <w:pPr>
              <w:pStyle w:val="TableText0"/>
              <w:keepLines/>
              <w:jc w:val="center"/>
              <w:rPr>
                <w:vertAlign w:val="superscript"/>
              </w:rP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4</w:t>
            </w:r>
          </w:p>
        </w:tc>
      </w:tr>
      <w:tr w:rsidR="00DF27B0" w:rsidRPr="000A33D2" w14:paraId="67668356" w14:textId="77777777" w:rsidTr="7A737BBF">
        <w:tc>
          <w:tcPr>
            <w:tcW w:w="5000" w:type="pct"/>
            <w:gridSpan w:val="4"/>
            <w:vAlign w:val="center"/>
          </w:tcPr>
          <w:p w14:paraId="11D304A9" w14:textId="77777777" w:rsidR="00DF27B0" w:rsidRPr="000A33D2" w:rsidRDefault="00DF27B0" w:rsidP="00B64B34">
            <w:pPr>
              <w:pStyle w:val="In-tableHeading"/>
              <w:keepLines/>
              <w:rPr>
                <w:lang w:val="en-AU"/>
              </w:rPr>
            </w:pPr>
            <w:r w:rsidRPr="000A33D2">
              <w:rPr>
                <w:lang w:val="en-AU"/>
              </w:rPr>
              <w:t>Step 3: Translation of outcomes to QALYs</w:t>
            </w:r>
          </w:p>
        </w:tc>
      </w:tr>
      <w:tr w:rsidR="00447F35" w:rsidRPr="000A33D2" w14:paraId="712D01E1" w14:textId="77777777" w:rsidTr="7A737BBF">
        <w:tc>
          <w:tcPr>
            <w:tcW w:w="1529" w:type="pct"/>
            <w:vAlign w:val="center"/>
          </w:tcPr>
          <w:p w14:paraId="62C96011" w14:textId="77777777" w:rsidR="00447F35" w:rsidRPr="000A33D2" w:rsidRDefault="00447F35" w:rsidP="00B64B34">
            <w:pPr>
              <w:pStyle w:val="TableText0"/>
              <w:keepLines/>
              <w:rPr>
                <w:rFonts w:ascii="Times" w:hAnsi="Times"/>
                <w:vertAlign w:val="superscript"/>
              </w:rPr>
            </w:pPr>
            <w:r w:rsidRPr="000A33D2">
              <w:t xml:space="preserve">Costs </w:t>
            </w:r>
            <w:r w:rsidRPr="000A33D2">
              <w:rPr>
                <w:vertAlign w:val="superscript"/>
              </w:rPr>
              <w:t>b</w:t>
            </w:r>
          </w:p>
        </w:tc>
        <w:tc>
          <w:tcPr>
            <w:tcW w:w="1359" w:type="pct"/>
            <w:vAlign w:val="center"/>
          </w:tcPr>
          <w:p w14:paraId="6277669B" w14:textId="0CE91B49"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c>
          <w:tcPr>
            <w:tcW w:w="1298" w:type="pct"/>
            <w:vAlign w:val="center"/>
          </w:tcPr>
          <w:p w14:paraId="19A840DF" w14:textId="7078CC1B" w:rsidR="00447F35" w:rsidRPr="000A33D2" w:rsidRDefault="00447F35" w:rsidP="00B64B34">
            <w:pPr>
              <w:pStyle w:val="TableText0"/>
              <w:keepLines/>
              <w:jc w:val="center"/>
            </w:pPr>
            <w:r w:rsidRPr="00E15D52">
              <w:t>$2,630</w:t>
            </w:r>
          </w:p>
        </w:tc>
        <w:tc>
          <w:tcPr>
            <w:tcW w:w="814" w:type="pct"/>
            <w:vAlign w:val="center"/>
          </w:tcPr>
          <w:p w14:paraId="66CD6873" w14:textId="04AE2357"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r w:rsidR="00447F35" w:rsidRPr="000A33D2" w14:paraId="3DF84767" w14:textId="77777777" w:rsidTr="7A737BBF">
        <w:tc>
          <w:tcPr>
            <w:tcW w:w="1529" w:type="pct"/>
            <w:vAlign w:val="center"/>
          </w:tcPr>
          <w:p w14:paraId="66AE0979" w14:textId="77777777" w:rsidR="00447F35" w:rsidRPr="000A33D2" w:rsidRDefault="00447F35" w:rsidP="00B64B34">
            <w:pPr>
              <w:pStyle w:val="TableText0"/>
              <w:keepLines/>
              <w:rPr>
                <w:rFonts w:ascii="Times" w:hAnsi="Times"/>
              </w:rPr>
            </w:pPr>
            <w:r w:rsidRPr="000A33D2">
              <w:t>QALY</w:t>
            </w:r>
          </w:p>
        </w:tc>
        <w:tc>
          <w:tcPr>
            <w:tcW w:w="1359" w:type="pct"/>
            <w:vAlign w:val="center"/>
          </w:tcPr>
          <w:p w14:paraId="3DAE6729" w14:textId="29A038DE" w:rsidR="00447F35" w:rsidRPr="000A33D2" w:rsidRDefault="00447F35" w:rsidP="00B64B34">
            <w:pPr>
              <w:pStyle w:val="TableText0"/>
              <w:keepLines/>
              <w:jc w:val="center"/>
            </w:pPr>
            <w:r w:rsidRPr="000A33D2">
              <w:t>4.8761</w:t>
            </w:r>
          </w:p>
        </w:tc>
        <w:tc>
          <w:tcPr>
            <w:tcW w:w="1298" w:type="pct"/>
            <w:vAlign w:val="center"/>
          </w:tcPr>
          <w:p w14:paraId="66B86190" w14:textId="02B27704" w:rsidR="00447F35" w:rsidRPr="000A33D2" w:rsidRDefault="00447F35" w:rsidP="00B64B34">
            <w:pPr>
              <w:pStyle w:val="TableText0"/>
              <w:keepLines/>
              <w:jc w:val="center"/>
            </w:pPr>
            <w:r w:rsidRPr="000A33D2">
              <w:t>2.9506</w:t>
            </w:r>
          </w:p>
        </w:tc>
        <w:tc>
          <w:tcPr>
            <w:tcW w:w="814" w:type="pct"/>
            <w:vAlign w:val="center"/>
          </w:tcPr>
          <w:p w14:paraId="4A83D111" w14:textId="138C8A2E" w:rsidR="00447F35" w:rsidRPr="000A33D2" w:rsidRDefault="00447F35" w:rsidP="00B64B34">
            <w:pPr>
              <w:pStyle w:val="TableText0"/>
              <w:keepLines/>
              <w:jc w:val="center"/>
            </w:pPr>
            <w:r w:rsidRPr="000A33D2">
              <w:t>1.9254</w:t>
            </w:r>
          </w:p>
        </w:tc>
      </w:tr>
      <w:tr w:rsidR="00447F35" w:rsidRPr="000A33D2" w14:paraId="29F96B67" w14:textId="77777777" w:rsidTr="7A737BBF">
        <w:tc>
          <w:tcPr>
            <w:tcW w:w="4186" w:type="pct"/>
            <w:gridSpan w:val="3"/>
            <w:vAlign w:val="center"/>
          </w:tcPr>
          <w:p w14:paraId="78D8062B" w14:textId="77777777" w:rsidR="00DF27B0" w:rsidRPr="000A33D2" w:rsidRDefault="00DF27B0" w:rsidP="00B64B34">
            <w:pPr>
              <w:pStyle w:val="TableText0"/>
              <w:keepLines/>
              <w:rPr>
                <w:rFonts w:ascii="Times" w:hAnsi="Times"/>
              </w:rPr>
            </w:pPr>
            <w:r w:rsidRPr="000A33D2">
              <w:t>Incremental cost/extra QALY gained</w:t>
            </w:r>
          </w:p>
        </w:tc>
        <w:tc>
          <w:tcPr>
            <w:tcW w:w="814" w:type="pct"/>
            <w:vAlign w:val="center"/>
          </w:tcPr>
          <w:p w14:paraId="127191F7" w14:textId="20B923F9" w:rsidR="00DF27B0" w:rsidRPr="001F7ABC" w:rsidRDefault="00DF27B0" w:rsidP="00B64B34">
            <w:pPr>
              <w:pStyle w:val="TableText0"/>
              <w:keepLines/>
              <w:jc w:val="center"/>
              <w:rPr>
                <w:vertAlign w:val="superscript"/>
              </w:rP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5</w:t>
            </w:r>
          </w:p>
        </w:tc>
      </w:tr>
      <w:tr w:rsidR="00DF27B0" w:rsidRPr="000A33D2" w14:paraId="109210FE" w14:textId="77777777" w:rsidTr="7A737BBF">
        <w:tc>
          <w:tcPr>
            <w:tcW w:w="5000" w:type="pct"/>
            <w:gridSpan w:val="4"/>
            <w:vAlign w:val="center"/>
          </w:tcPr>
          <w:p w14:paraId="609A0A82" w14:textId="77777777" w:rsidR="00DF27B0" w:rsidRPr="000A33D2" w:rsidRDefault="00DF27B0" w:rsidP="00B64B34">
            <w:pPr>
              <w:pStyle w:val="In-tableHeading"/>
              <w:keepLines/>
              <w:rPr>
                <w:lang w:val="en-AU"/>
              </w:rPr>
            </w:pPr>
            <w:r w:rsidRPr="000A33D2">
              <w:rPr>
                <w:lang w:val="en-AU"/>
              </w:rPr>
              <w:t>Step 4: Curve convergence</w:t>
            </w:r>
          </w:p>
        </w:tc>
      </w:tr>
      <w:tr w:rsidR="00447F35" w:rsidRPr="000A33D2" w14:paraId="7EB2995E" w14:textId="77777777" w:rsidTr="7A737BBF">
        <w:tc>
          <w:tcPr>
            <w:tcW w:w="1529" w:type="pct"/>
            <w:vAlign w:val="center"/>
          </w:tcPr>
          <w:p w14:paraId="4EA2AC1A" w14:textId="77777777" w:rsidR="00447F35" w:rsidRPr="000A33D2" w:rsidRDefault="00447F35" w:rsidP="00B64B34">
            <w:pPr>
              <w:pStyle w:val="TableText0"/>
              <w:keepLines/>
              <w:rPr>
                <w:rFonts w:ascii="Times" w:hAnsi="Times"/>
                <w:vertAlign w:val="superscript"/>
              </w:rPr>
            </w:pPr>
            <w:r w:rsidRPr="000A33D2">
              <w:t xml:space="preserve">Costs </w:t>
            </w:r>
            <w:r w:rsidRPr="000A33D2">
              <w:rPr>
                <w:vertAlign w:val="superscript"/>
              </w:rPr>
              <w:t>b</w:t>
            </w:r>
          </w:p>
        </w:tc>
        <w:tc>
          <w:tcPr>
            <w:tcW w:w="1359" w:type="pct"/>
            <w:vAlign w:val="center"/>
          </w:tcPr>
          <w:p w14:paraId="51B13464" w14:textId="59FEA5F3"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c>
          <w:tcPr>
            <w:tcW w:w="1298" w:type="pct"/>
            <w:vAlign w:val="center"/>
          </w:tcPr>
          <w:p w14:paraId="1633BD18" w14:textId="19ABB1A2" w:rsidR="00447F35" w:rsidRPr="000A33D2" w:rsidRDefault="00447F35" w:rsidP="00B64B34">
            <w:pPr>
              <w:pStyle w:val="TableText0"/>
              <w:keepLines/>
              <w:jc w:val="center"/>
            </w:pPr>
            <w:r w:rsidRPr="00E15D52">
              <w:t>$2,630</w:t>
            </w:r>
          </w:p>
        </w:tc>
        <w:tc>
          <w:tcPr>
            <w:tcW w:w="814" w:type="pct"/>
            <w:vAlign w:val="center"/>
          </w:tcPr>
          <w:p w14:paraId="59E9F03F" w14:textId="54BA1198"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r w:rsidR="00447F35" w:rsidRPr="000A33D2" w14:paraId="0DD71FE2" w14:textId="77777777" w:rsidTr="7A737BBF">
        <w:tc>
          <w:tcPr>
            <w:tcW w:w="1529" w:type="pct"/>
            <w:vAlign w:val="center"/>
          </w:tcPr>
          <w:p w14:paraId="24B2AE5A" w14:textId="77777777" w:rsidR="00447F35" w:rsidRPr="000A33D2" w:rsidRDefault="00447F35" w:rsidP="00B64B34">
            <w:pPr>
              <w:pStyle w:val="TableText0"/>
              <w:keepLines/>
            </w:pPr>
            <w:r w:rsidRPr="000A33D2">
              <w:t>LYG</w:t>
            </w:r>
          </w:p>
        </w:tc>
        <w:tc>
          <w:tcPr>
            <w:tcW w:w="1359" w:type="pct"/>
            <w:vAlign w:val="center"/>
          </w:tcPr>
          <w:p w14:paraId="75D76844" w14:textId="6C8F79A7" w:rsidR="00447F35" w:rsidRPr="000A33D2" w:rsidRDefault="00447F35" w:rsidP="00B64B34">
            <w:pPr>
              <w:pStyle w:val="TableText0"/>
              <w:keepLines/>
              <w:jc w:val="center"/>
            </w:pPr>
            <w:r w:rsidRPr="000A33D2">
              <w:t>5.4529</w:t>
            </w:r>
          </w:p>
        </w:tc>
        <w:tc>
          <w:tcPr>
            <w:tcW w:w="1298" w:type="pct"/>
            <w:vAlign w:val="center"/>
          </w:tcPr>
          <w:p w14:paraId="63C7F409" w14:textId="573AE34B" w:rsidR="00447F35" w:rsidRPr="000A33D2" w:rsidRDefault="00447F35" w:rsidP="00B64B34">
            <w:pPr>
              <w:pStyle w:val="TableText0"/>
              <w:keepLines/>
              <w:jc w:val="center"/>
            </w:pPr>
            <w:r w:rsidRPr="000A33D2">
              <w:t>3.9134</w:t>
            </w:r>
          </w:p>
        </w:tc>
        <w:tc>
          <w:tcPr>
            <w:tcW w:w="814" w:type="pct"/>
            <w:vAlign w:val="center"/>
          </w:tcPr>
          <w:p w14:paraId="08E9D683" w14:textId="23AC9898" w:rsidR="00447F35" w:rsidRPr="000A33D2" w:rsidRDefault="00447F35" w:rsidP="00B64B34">
            <w:pPr>
              <w:pStyle w:val="TableText0"/>
              <w:keepLines/>
              <w:jc w:val="center"/>
            </w:pPr>
            <w:r w:rsidRPr="000A33D2">
              <w:t>1.5395</w:t>
            </w:r>
          </w:p>
        </w:tc>
      </w:tr>
      <w:tr w:rsidR="00447F35" w:rsidRPr="000A33D2" w14:paraId="4255C8BF" w14:textId="77777777" w:rsidTr="7A737BBF">
        <w:tc>
          <w:tcPr>
            <w:tcW w:w="1529" w:type="pct"/>
            <w:vAlign w:val="center"/>
          </w:tcPr>
          <w:p w14:paraId="10EECEBC" w14:textId="77777777" w:rsidR="00447F35" w:rsidRPr="000A33D2" w:rsidRDefault="00447F35" w:rsidP="00B64B34">
            <w:pPr>
              <w:pStyle w:val="TableText0"/>
              <w:keepLines/>
              <w:rPr>
                <w:rFonts w:ascii="Times" w:hAnsi="Times"/>
              </w:rPr>
            </w:pPr>
            <w:r w:rsidRPr="000A33D2">
              <w:t>QALY</w:t>
            </w:r>
          </w:p>
        </w:tc>
        <w:tc>
          <w:tcPr>
            <w:tcW w:w="1359" w:type="pct"/>
            <w:vAlign w:val="center"/>
          </w:tcPr>
          <w:p w14:paraId="347DCD87" w14:textId="2F66D217" w:rsidR="00447F35" w:rsidRPr="000A33D2" w:rsidRDefault="00447F35" w:rsidP="00B64B34">
            <w:pPr>
              <w:pStyle w:val="TableText0"/>
              <w:keepLines/>
              <w:jc w:val="center"/>
            </w:pPr>
            <w:r w:rsidRPr="000A33D2">
              <w:t>4.1678</w:t>
            </w:r>
          </w:p>
        </w:tc>
        <w:tc>
          <w:tcPr>
            <w:tcW w:w="1298" w:type="pct"/>
            <w:vAlign w:val="center"/>
          </w:tcPr>
          <w:p w14:paraId="5942759B" w14:textId="16969227" w:rsidR="00447F35" w:rsidRPr="000A33D2" w:rsidRDefault="00447F35" w:rsidP="00B64B34">
            <w:pPr>
              <w:pStyle w:val="TableText0"/>
              <w:keepLines/>
              <w:jc w:val="center"/>
            </w:pPr>
            <w:r w:rsidRPr="000A33D2">
              <w:t>2.9506</w:t>
            </w:r>
          </w:p>
        </w:tc>
        <w:tc>
          <w:tcPr>
            <w:tcW w:w="814" w:type="pct"/>
            <w:vAlign w:val="center"/>
          </w:tcPr>
          <w:p w14:paraId="65A692AC" w14:textId="297194D2" w:rsidR="00447F35" w:rsidRPr="000A33D2" w:rsidRDefault="00447F35" w:rsidP="00B64B34">
            <w:pPr>
              <w:pStyle w:val="TableText0"/>
              <w:keepLines/>
              <w:jc w:val="center"/>
            </w:pPr>
            <w:r w:rsidRPr="000A33D2">
              <w:t>1.2171</w:t>
            </w:r>
          </w:p>
        </w:tc>
      </w:tr>
      <w:tr w:rsidR="00447F35" w:rsidRPr="000A33D2" w14:paraId="105A999F" w14:textId="77777777" w:rsidTr="7A737BBF">
        <w:tc>
          <w:tcPr>
            <w:tcW w:w="4186" w:type="pct"/>
            <w:gridSpan w:val="3"/>
            <w:vAlign w:val="center"/>
          </w:tcPr>
          <w:p w14:paraId="70030F51" w14:textId="77777777" w:rsidR="00447F35" w:rsidRPr="000A33D2" w:rsidRDefault="00447F35" w:rsidP="00B64B34">
            <w:pPr>
              <w:pStyle w:val="TableText0"/>
              <w:keepLines/>
            </w:pPr>
            <w:r w:rsidRPr="000A33D2">
              <w:t>Incremental cost/extra LYG gained</w:t>
            </w:r>
          </w:p>
        </w:tc>
        <w:tc>
          <w:tcPr>
            <w:tcW w:w="814" w:type="pct"/>
            <w:vAlign w:val="center"/>
          </w:tcPr>
          <w:p w14:paraId="406F7EA7" w14:textId="4BE36919" w:rsidR="00447F35" w:rsidRPr="001F7ABC" w:rsidRDefault="00447F35" w:rsidP="00B64B34">
            <w:pPr>
              <w:pStyle w:val="TableText0"/>
              <w:keepLines/>
              <w:jc w:val="center"/>
              <w:rPr>
                <w:vertAlign w:val="superscript"/>
              </w:rP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6</w:t>
            </w:r>
          </w:p>
        </w:tc>
      </w:tr>
      <w:tr w:rsidR="00447F35" w:rsidRPr="000A33D2" w14:paraId="17E82957" w14:textId="77777777" w:rsidTr="7A737BBF">
        <w:tc>
          <w:tcPr>
            <w:tcW w:w="4186" w:type="pct"/>
            <w:gridSpan w:val="3"/>
            <w:vAlign w:val="center"/>
          </w:tcPr>
          <w:p w14:paraId="7EC43124" w14:textId="77777777" w:rsidR="00447F35" w:rsidRPr="000A33D2" w:rsidRDefault="00447F35" w:rsidP="00B64B34">
            <w:pPr>
              <w:pStyle w:val="TableText0"/>
              <w:keepLines/>
              <w:rPr>
                <w:rFonts w:ascii="Times" w:hAnsi="Times"/>
              </w:rPr>
            </w:pPr>
            <w:r w:rsidRPr="000A33D2">
              <w:t>Incremental cost/extra QALY gained</w:t>
            </w:r>
          </w:p>
        </w:tc>
        <w:tc>
          <w:tcPr>
            <w:tcW w:w="814" w:type="pct"/>
            <w:vAlign w:val="center"/>
          </w:tcPr>
          <w:p w14:paraId="479E1DC0" w14:textId="25FFC29E" w:rsidR="00447F35" w:rsidRPr="001F7ABC" w:rsidRDefault="00447F35" w:rsidP="00B64B34">
            <w:pPr>
              <w:pStyle w:val="TableText0"/>
              <w:keepLines/>
              <w:jc w:val="center"/>
              <w:rPr>
                <w:vertAlign w:val="superscript"/>
              </w:rP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7</w:t>
            </w:r>
          </w:p>
        </w:tc>
      </w:tr>
      <w:tr w:rsidR="00DF27B0" w:rsidRPr="000A33D2" w14:paraId="0B7D0958" w14:textId="77777777" w:rsidTr="7A737BBF">
        <w:tc>
          <w:tcPr>
            <w:tcW w:w="5000" w:type="pct"/>
            <w:gridSpan w:val="4"/>
            <w:vAlign w:val="center"/>
          </w:tcPr>
          <w:p w14:paraId="4086B93C" w14:textId="658C3323" w:rsidR="00DF27B0" w:rsidRPr="000A33D2" w:rsidRDefault="00DF27B0" w:rsidP="00B64B34">
            <w:pPr>
              <w:pStyle w:val="In-tableHeading"/>
              <w:keepLines/>
              <w:rPr>
                <w:lang w:val="en-AU"/>
              </w:rPr>
            </w:pPr>
            <w:r w:rsidRPr="000A33D2">
              <w:rPr>
                <w:lang w:val="en-AU"/>
              </w:rPr>
              <w:t>Step 5</w:t>
            </w:r>
            <w:r w:rsidR="008C7F09" w:rsidRPr="000A33D2">
              <w:rPr>
                <w:lang w:val="en-AU"/>
              </w:rPr>
              <w:t xml:space="preserve"> (base case)</w:t>
            </w:r>
            <w:r w:rsidRPr="000A33D2">
              <w:rPr>
                <w:lang w:val="en-AU"/>
              </w:rPr>
              <w:t>: Inclusion of health care resource use</w:t>
            </w:r>
          </w:p>
        </w:tc>
      </w:tr>
      <w:tr w:rsidR="00447F35" w:rsidRPr="000A33D2" w14:paraId="5D9EDC06" w14:textId="77777777" w:rsidTr="7A737BBF">
        <w:tc>
          <w:tcPr>
            <w:tcW w:w="1529" w:type="pct"/>
            <w:vAlign w:val="center"/>
          </w:tcPr>
          <w:p w14:paraId="56DC2093" w14:textId="77777777" w:rsidR="00447F35" w:rsidRPr="000A33D2" w:rsidRDefault="00447F35" w:rsidP="00B64B34">
            <w:pPr>
              <w:pStyle w:val="TableText0"/>
              <w:keepLines/>
              <w:rPr>
                <w:rFonts w:ascii="Times" w:hAnsi="Times"/>
                <w:vertAlign w:val="superscript"/>
              </w:rPr>
            </w:pPr>
            <w:bookmarkStart w:id="78" w:name="_Hlk150266103"/>
            <w:r w:rsidRPr="000A33D2">
              <w:t xml:space="preserve">Costs </w:t>
            </w:r>
            <w:r w:rsidRPr="000A33D2">
              <w:rPr>
                <w:vertAlign w:val="superscript"/>
              </w:rPr>
              <w:t>b</w:t>
            </w:r>
          </w:p>
        </w:tc>
        <w:tc>
          <w:tcPr>
            <w:tcW w:w="1359" w:type="pct"/>
            <w:vAlign w:val="center"/>
          </w:tcPr>
          <w:p w14:paraId="55DA9CAA" w14:textId="2466E6B6"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c>
          <w:tcPr>
            <w:tcW w:w="1298" w:type="pct"/>
            <w:vAlign w:val="center"/>
          </w:tcPr>
          <w:p w14:paraId="3EB909DD" w14:textId="5F7B9C58" w:rsidR="00447F35" w:rsidRPr="000A33D2" w:rsidRDefault="00447F35" w:rsidP="00B64B34">
            <w:pPr>
              <w:pStyle w:val="TableText0"/>
              <w:keepLines/>
              <w:jc w:val="center"/>
            </w:pPr>
            <w:r w:rsidRPr="00E15D52">
              <w:t>$77,910</w:t>
            </w:r>
          </w:p>
        </w:tc>
        <w:tc>
          <w:tcPr>
            <w:tcW w:w="814" w:type="pct"/>
            <w:vAlign w:val="center"/>
          </w:tcPr>
          <w:p w14:paraId="5BBC3089" w14:textId="2640C440"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r w:rsidR="00447F35" w:rsidRPr="000A33D2" w14:paraId="0EE0E66D" w14:textId="77777777" w:rsidTr="7A737BBF">
        <w:tc>
          <w:tcPr>
            <w:tcW w:w="1529" w:type="pct"/>
            <w:vAlign w:val="center"/>
          </w:tcPr>
          <w:p w14:paraId="326BAD5E" w14:textId="77777777" w:rsidR="00447F35" w:rsidRPr="000A33D2" w:rsidRDefault="00447F35" w:rsidP="00B64B34">
            <w:pPr>
              <w:pStyle w:val="TableText0"/>
              <w:keepLines/>
            </w:pPr>
            <w:r w:rsidRPr="000A33D2">
              <w:t>LYG</w:t>
            </w:r>
          </w:p>
        </w:tc>
        <w:tc>
          <w:tcPr>
            <w:tcW w:w="1359" w:type="pct"/>
            <w:vAlign w:val="center"/>
          </w:tcPr>
          <w:p w14:paraId="67E6CB29" w14:textId="725573A8" w:rsidR="00447F35" w:rsidRPr="000A33D2" w:rsidRDefault="00447F35" w:rsidP="00B64B34">
            <w:pPr>
              <w:pStyle w:val="TableText0"/>
              <w:keepLines/>
              <w:jc w:val="center"/>
            </w:pPr>
            <w:r w:rsidRPr="000A33D2">
              <w:t>5.4529</w:t>
            </w:r>
          </w:p>
        </w:tc>
        <w:tc>
          <w:tcPr>
            <w:tcW w:w="1298" w:type="pct"/>
            <w:vAlign w:val="center"/>
          </w:tcPr>
          <w:p w14:paraId="1C0CBFD6" w14:textId="5342F0C9" w:rsidR="00447F35" w:rsidRPr="000A33D2" w:rsidRDefault="00447F35" w:rsidP="00B64B34">
            <w:pPr>
              <w:pStyle w:val="TableText0"/>
              <w:keepLines/>
              <w:jc w:val="center"/>
            </w:pPr>
            <w:r w:rsidRPr="000A33D2">
              <w:t>3.9134</w:t>
            </w:r>
          </w:p>
        </w:tc>
        <w:tc>
          <w:tcPr>
            <w:tcW w:w="814" w:type="pct"/>
            <w:vAlign w:val="center"/>
          </w:tcPr>
          <w:p w14:paraId="30282359" w14:textId="4A1C397E" w:rsidR="00447F35" w:rsidRPr="000A33D2" w:rsidRDefault="00447F35" w:rsidP="00B64B34">
            <w:pPr>
              <w:pStyle w:val="TableText0"/>
              <w:keepLines/>
              <w:jc w:val="center"/>
            </w:pPr>
            <w:r w:rsidRPr="000A33D2">
              <w:t>1.5395</w:t>
            </w:r>
          </w:p>
        </w:tc>
      </w:tr>
      <w:tr w:rsidR="00447F35" w:rsidRPr="000A33D2" w14:paraId="453FABAD" w14:textId="77777777" w:rsidTr="7A737BBF">
        <w:tc>
          <w:tcPr>
            <w:tcW w:w="1529" w:type="pct"/>
            <w:vAlign w:val="center"/>
          </w:tcPr>
          <w:p w14:paraId="64F495F3" w14:textId="77777777" w:rsidR="00447F35" w:rsidRPr="000A33D2" w:rsidRDefault="00447F35" w:rsidP="00B64B34">
            <w:pPr>
              <w:pStyle w:val="TableText0"/>
              <w:keepLines/>
              <w:rPr>
                <w:rFonts w:ascii="Times" w:hAnsi="Times"/>
              </w:rPr>
            </w:pPr>
            <w:r w:rsidRPr="000A33D2">
              <w:t>QALY</w:t>
            </w:r>
          </w:p>
        </w:tc>
        <w:tc>
          <w:tcPr>
            <w:tcW w:w="1359" w:type="pct"/>
            <w:vAlign w:val="center"/>
          </w:tcPr>
          <w:p w14:paraId="16296784" w14:textId="37D674E2" w:rsidR="00447F35" w:rsidRPr="000A33D2" w:rsidRDefault="00447F35" w:rsidP="00B64B34">
            <w:pPr>
              <w:pStyle w:val="TableText0"/>
              <w:keepLines/>
              <w:jc w:val="center"/>
            </w:pPr>
            <w:r w:rsidRPr="000A33D2">
              <w:t>4.1678</w:t>
            </w:r>
          </w:p>
        </w:tc>
        <w:tc>
          <w:tcPr>
            <w:tcW w:w="1298" w:type="pct"/>
            <w:vAlign w:val="center"/>
          </w:tcPr>
          <w:p w14:paraId="4D74FD6E" w14:textId="394EE156" w:rsidR="00447F35" w:rsidRPr="000A33D2" w:rsidRDefault="00447F35" w:rsidP="00B64B34">
            <w:pPr>
              <w:pStyle w:val="TableText0"/>
              <w:keepLines/>
              <w:jc w:val="center"/>
            </w:pPr>
            <w:r w:rsidRPr="000A33D2">
              <w:t>2.9506</w:t>
            </w:r>
          </w:p>
        </w:tc>
        <w:tc>
          <w:tcPr>
            <w:tcW w:w="814" w:type="pct"/>
            <w:vAlign w:val="center"/>
          </w:tcPr>
          <w:p w14:paraId="1C2B53EF" w14:textId="222774EA" w:rsidR="00447F35" w:rsidRPr="000A33D2" w:rsidRDefault="00447F35" w:rsidP="00B64B34">
            <w:pPr>
              <w:pStyle w:val="TableText0"/>
              <w:keepLines/>
              <w:jc w:val="center"/>
            </w:pPr>
            <w:r w:rsidRPr="000A33D2">
              <w:t>1.2171</w:t>
            </w:r>
          </w:p>
        </w:tc>
      </w:tr>
      <w:tr w:rsidR="00447F35" w:rsidRPr="000A33D2" w14:paraId="4B344D1E" w14:textId="77777777" w:rsidTr="7A737BBF">
        <w:tc>
          <w:tcPr>
            <w:tcW w:w="4186" w:type="pct"/>
            <w:gridSpan w:val="3"/>
            <w:vAlign w:val="center"/>
          </w:tcPr>
          <w:p w14:paraId="36A9DA00" w14:textId="77777777" w:rsidR="00447F35" w:rsidRPr="000A33D2" w:rsidRDefault="00447F35" w:rsidP="00B64B34">
            <w:pPr>
              <w:pStyle w:val="TableText0"/>
              <w:keepLines/>
              <w:rPr>
                <w:b/>
              </w:rPr>
            </w:pPr>
            <w:r w:rsidRPr="000A33D2">
              <w:t>Incremental cost/extra LYG gained</w:t>
            </w:r>
          </w:p>
        </w:tc>
        <w:tc>
          <w:tcPr>
            <w:tcW w:w="814" w:type="pct"/>
            <w:vAlign w:val="center"/>
          </w:tcPr>
          <w:p w14:paraId="2D1CF6C9" w14:textId="6BC5EA5B"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5</w:t>
            </w:r>
          </w:p>
        </w:tc>
      </w:tr>
      <w:bookmarkEnd w:id="78"/>
      <w:tr w:rsidR="00447F35" w:rsidRPr="000A33D2" w14:paraId="6CA21389" w14:textId="31071B29" w:rsidTr="7A737BBF">
        <w:tc>
          <w:tcPr>
            <w:tcW w:w="4186" w:type="pct"/>
            <w:gridSpan w:val="3"/>
            <w:vAlign w:val="center"/>
          </w:tcPr>
          <w:p w14:paraId="307F5868" w14:textId="668B8D2B" w:rsidR="00447F35" w:rsidRPr="000A33D2" w:rsidRDefault="00447F35" w:rsidP="00B64B34">
            <w:pPr>
              <w:pStyle w:val="TableText0"/>
              <w:keepLines/>
              <w:rPr>
                <w:rFonts w:ascii="Times" w:hAnsi="Times"/>
                <w:b/>
              </w:rPr>
            </w:pPr>
            <w:r w:rsidRPr="000A33D2">
              <w:rPr>
                <w:b/>
              </w:rPr>
              <w:t>Incremental cost/extra QALY gained (base case)</w:t>
            </w:r>
          </w:p>
        </w:tc>
        <w:tc>
          <w:tcPr>
            <w:tcW w:w="814" w:type="pct"/>
            <w:vAlign w:val="center"/>
          </w:tcPr>
          <w:p w14:paraId="206F65D3" w14:textId="76F436A7" w:rsidR="00447F35" w:rsidRPr="000A33D2" w:rsidRDefault="00447F3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6</w:t>
            </w:r>
          </w:p>
        </w:tc>
      </w:tr>
      <w:tr w:rsidR="00862B90" w:rsidRPr="000A33D2" w14:paraId="3C9E97F5" w14:textId="77777777" w:rsidTr="7A737BBF">
        <w:tc>
          <w:tcPr>
            <w:tcW w:w="5000" w:type="pct"/>
            <w:gridSpan w:val="4"/>
            <w:vAlign w:val="center"/>
          </w:tcPr>
          <w:p w14:paraId="0A355F88" w14:textId="4FF58637" w:rsidR="00862B90" w:rsidRPr="000A33D2" w:rsidRDefault="00862B90" w:rsidP="00B64B34">
            <w:pPr>
              <w:pStyle w:val="In-tableHeading"/>
              <w:keepLines/>
              <w:rPr>
                <w:lang w:val="en-AU"/>
              </w:rPr>
            </w:pPr>
            <w:r w:rsidRPr="000A33D2">
              <w:rPr>
                <w:lang w:val="en-AU"/>
              </w:rPr>
              <w:t>Step 5</w:t>
            </w:r>
            <w:r w:rsidR="008C7F09" w:rsidRPr="000A33D2">
              <w:rPr>
                <w:lang w:val="en-AU"/>
              </w:rPr>
              <w:t xml:space="preserve"> (base case)</w:t>
            </w:r>
            <w:r w:rsidRPr="000A33D2">
              <w:rPr>
                <w:lang w:val="en-AU"/>
              </w:rPr>
              <w:t>: Inclusion of health care resource use (corrected model)</w:t>
            </w:r>
          </w:p>
        </w:tc>
      </w:tr>
      <w:tr w:rsidR="00862B90" w:rsidRPr="000A33D2" w14:paraId="54A17783" w14:textId="77777777" w:rsidTr="7A737BBF">
        <w:tc>
          <w:tcPr>
            <w:tcW w:w="1529" w:type="pct"/>
            <w:vAlign w:val="center"/>
          </w:tcPr>
          <w:p w14:paraId="0A77E758" w14:textId="41FE5534" w:rsidR="00862B90" w:rsidRPr="000A33D2" w:rsidRDefault="00862B90" w:rsidP="00B64B34">
            <w:pPr>
              <w:pStyle w:val="TableText0"/>
              <w:keepLines/>
              <w:rPr>
                <w:rFonts w:ascii="Times" w:hAnsi="Times"/>
                <w:vertAlign w:val="superscript"/>
              </w:rPr>
            </w:pPr>
            <w:r w:rsidRPr="000A33D2">
              <w:t xml:space="preserve">Costs </w:t>
            </w:r>
            <w:r w:rsidRPr="000A33D2">
              <w:rPr>
                <w:vertAlign w:val="superscript"/>
              </w:rPr>
              <w:t xml:space="preserve">b </w:t>
            </w:r>
          </w:p>
        </w:tc>
        <w:tc>
          <w:tcPr>
            <w:tcW w:w="1359" w:type="pct"/>
            <w:vAlign w:val="center"/>
          </w:tcPr>
          <w:p w14:paraId="34F2DBA2" w14:textId="3BC0016A" w:rsidR="00862B90" w:rsidRPr="000A33D2" w:rsidRDefault="00862B90"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c>
          <w:tcPr>
            <w:tcW w:w="1298" w:type="pct"/>
            <w:vAlign w:val="center"/>
          </w:tcPr>
          <w:p w14:paraId="63E0A653" w14:textId="2E827FFB" w:rsidR="00862B90" w:rsidRPr="000A33D2" w:rsidRDefault="00862B90" w:rsidP="00B64B34">
            <w:pPr>
              <w:pStyle w:val="TableText0"/>
              <w:keepLines/>
              <w:jc w:val="center"/>
            </w:pPr>
            <w:r w:rsidRPr="00E15D52">
              <w:t>$77,935</w:t>
            </w:r>
          </w:p>
        </w:tc>
        <w:tc>
          <w:tcPr>
            <w:tcW w:w="814" w:type="pct"/>
            <w:vAlign w:val="center"/>
          </w:tcPr>
          <w:p w14:paraId="3C599B24" w14:textId="32530287" w:rsidR="00862B90" w:rsidRPr="000A33D2" w:rsidRDefault="00862B90"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r w:rsidR="00862B90" w:rsidRPr="000A33D2" w14:paraId="6C6EC689" w14:textId="77777777" w:rsidTr="7A737BBF">
        <w:tc>
          <w:tcPr>
            <w:tcW w:w="1529" w:type="pct"/>
            <w:vAlign w:val="center"/>
          </w:tcPr>
          <w:p w14:paraId="5172C8B6" w14:textId="06987574" w:rsidR="00862B90" w:rsidRPr="000A33D2" w:rsidRDefault="00862B90" w:rsidP="00B64B34">
            <w:pPr>
              <w:pStyle w:val="TableText0"/>
              <w:keepLines/>
            </w:pPr>
            <w:r w:rsidRPr="000A33D2">
              <w:t xml:space="preserve">LYG </w:t>
            </w:r>
          </w:p>
        </w:tc>
        <w:tc>
          <w:tcPr>
            <w:tcW w:w="1359" w:type="pct"/>
            <w:vAlign w:val="bottom"/>
          </w:tcPr>
          <w:p w14:paraId="3B8ACC14" w14:textId="22E455FD" w:rsidR="00862B90" w:rsidRPr="000A33D2" w:rsidRDefault="00862B90" w:rsidP="00B64B34">
            <w:pPr>
              <w:pStyle w:val="TableText0"/>
              <w:keepLines/>
              <w:jc w:val="center"/>
            </w:pPr>
            <w:r w:rsidRPr="000A33D2">
              <w:t>5.4625</w:t>
            </w:r>
          </w:p>
        </w:tc>
        <w:tc>
          <w:tcPr>
            <w:tcW w:w="1298" w:type="pct"/>
            <w:vAlign w:val="bottom"/>
          </w:tcPr>
          <w:p w14:paraId="56C3EC90" w14:textId="2CC38608" w:rsidR="00862B90" w:rsidRPr="000A33D2" w:rsidRDefault="00862B90" w:rsidP="00B64B34">
            <w:pPr>
              <w:pStyle w:val="TableText0"/>
              <w:keepLines/>
              <w:jc w:val="center"/>
            </w:pPr>
            <w:r w:rsidRPr="000A33D2">
              <w:t>3.9301</w:t>
            </w:r>
          </w:p>
        </w:tc>
        <w:tc>
          <w:tcPr>
            <w:tcW w:w="814" w:type="pct"/>
            <w:vAlign w:val="bottom"/>
          </w:tcPr>
          <w:p w14:paraId="35572D39" w14:textId="63F9A072" w:rsidR="00862B90" w:rsidRPr="000A33D2" w:rsidRDefault="00862B90" w:rsidP="00B64B34">
            <w:pPr>
              <w:pStyle w:val="TableText0"/>
              <w:keepLines/>
              <w:jc w:val="center"/>
            </w:pPr>
            <w:r w:rsidRPr="000A33D2">
              <w:t>1.5324</w:t>
            </w:r>
          </w:p>
        </w:tc>
      </w:tr>
      <w:tr w:rsidR="00862B90" w:rsidRPr="000A33D2" w14:paraId="590AA6AF" w14:textId="77777777" w:rsidTr="7A737BBF">
        <w:tc>
          <w:tcPr>
            <w:tcW w:w="1529" w:type="pct"/>
            <w:vAlign w:val="center"/>
          </w:tcPr>
          <w:p w14:paraId="70C36602" w14:textId="5F51407B" w:rsidR="00862B90" w:rsidRPr="000A33D2" w:rsidRDefault="00862B90" w:rsidP="00B64B34">
            <w:pPr>
              <w:pStyle w:val="TableText0"/>
              <w:keepLines/>
              <w:rPr>
                <w:rFonts w:ascii="Times" w:hAnsi="Times"/>
              </w:rPr>
            </w:pPr>
            <w:r w:rsidRPr="000A33D2">
              <w:t>QALY</w:t>
            </w:r>
          </w:p>
        </w:tc>
        <w:tc>
          <w:tcPr>
            <w:tcW w:w="1359" w:type="pct"/>
            <w:vAlign w:val="bottom"/>
          </w:tcPr>
          <w:p w14:paraId="132D5ED4" w14:textId="7A8D1073" w:rsidR="00862B90" w:rsidRPr="000A33D2" w:rsidRDefault="00862B90" w:rsidP="00B64B34">
            <w:pPr>
              <w:pStyle w:val="TableText0"/>
              <w:keepLines/>
              <w:jc w:val="center"/>
            </w:pPr>
            <w:r w:rsidRPr="000A33D2">
              <w:t>4.1757</w:t>
            </w:r>
          </w:p>
        </w:tc>
        <w:tc>
          <w:tcPr>
            <w:tcW w:w="1298" w:type="pct"/>
            <w:vAlign w:val="bottom"/>
          </w:tcPr>
          <w:p w14:paraId="4E9BA77B" w14:textId="10BD0038" w:rsidR="00862B90" w:rsidRPr="000A33D2" w:rsidRDefault="00862B90" w:rsidP="00B64B34">
            <w:pPr>
              <w:pStyle w:val="TableText0"/>
              <w:keepLines/>
              <w:jc w:val="center"/>
            </w:pPr>
            <w:r w:rsidRPr="000A33D2">
              <w:t>2.9640</w:t>
            </w:r>
          </w:p>
        </w:tc>
        <w:tc>
          <w:tcPr>
            <w:tcW w:w="814" w:type="pct"/>
            <w:vAlign w:val="bottom"/>
          </w:tcPr>
          <w:p w14:paraId="447509ED" w14:textId="3DBE224F" w:rsidR="00862B90" w:rsidRPr="000A33D2" w:rsidRDefault="00862B90" w:rsidP="00B64B34">
            <w:pPr>
              <w:pStyle w:val="TableText0"/>
              <w:keepLines/>
              <w:jc w:val="center"/>
            </w:pPr>
            <w:r w:rsidRPr="000A33D2">
              <w:t>1.2116</w:t>
            </w:r>
          </w:p>
        </w:tc>
      </w:tr>
      <w:tr w:rsidR="00862B90" w:rsidRPr="000A33D2" w14:paraId="1365946E" w14:textId="77777777" w:rsidTr="7A737BBF">
        <w:tc>
          <w:tcPr>
            <w:tcW w:w="4186" w:type="pct"/>
            <w:gridSpan w:val="3"/>
            <w:vAlign w:val="center"/>
          </w:tcPr>
          <w:p w14:paraId="08A95C66" w14:textId="3FB0B294" w:rsidR="00862B90" w:rsidRPr="000A33D2" w:rsidRDefault="00862B90" w:rsidP="00B64B34">
            <w:pPr>
              <w:pStyle w:val="Tabletext"/>
              <w:keepNext/>
              <w:keepLines/>
              <w:rPr>
                <w:b/>
              </w:rPr>
            </w:pPr>
            <w:r w:rsidRPr="000A33D2">
              <w:t>Incremental cost/extra LYG gained</w:t>
            </w:r>
          </w:p>
        </w:tc>
        <w:tc>
          <w:tcPr>
            <w:tcW w:w="814" w:type="pct"/>
            <w:vAlign w:val="center"/>
          </w:tcPr>
          <w:p w14:paraId="644A59D8" w14:textId="706AE28F" w:rsidR="00862B90" w:rsidRPr="000A33D2" w:rsidRDefault="00862B90" w:rsidP="00B64B34">
            <w:pPr>
              <w:pStyle w:val="Tabletext"/>
              <w:keepNext/>
              <w:keepLines/>
              <w:jc w:val="center"/>
              <w:rPr>
                <w:rFonts w:cs="Calibri"/>
                <w:b/>
                <w:bCs/>
                <w:color w:val="FFFFFF"/>
                <w:sz w:val="22"/>
              </w:rPr>
            </w:pPr>
            <w:r w:rsidRPr="000A33D2">
              <w:rPr>
                <w:rFonts w:eastAsiaTheme="majorEastAsia" w:cstheme="majorBidi"/>
                <w:bCs/>
              </w:rPr>
              <w:t>$</w:t>
            </w:r>
            <w:r w:rsidR="007C10F8" w:rsidRPr="007C10F8">
              <w:rPr>
                <w:rFonts w:eastAsiaTheme="majorEastAsia" w:cstheme="majorBidi"/>
                <w:bCs/>
                <w:color w:val="000000"/>
                <w:shd w:val="solid" w:color="000000" w:fill="000000"/>
                <w14:textFill>
                  <w14:solidFill>
                    <w14:srgbClr w14:val="000000">
                      <w14:alpha w14:val="100000"/>
                    </w14:srgbClr>
                  </w14:solidFill>
                </w14:textFill>
              </w:rPr>
              <w:t>|</w:t>
            </w:r>
            <w:r w:rsidR="001F7ABC">
              <w:rPr>
                <w:vertAlign w:val="superscript"/>
              </w:rPr>
              <w:t>5</w:t>
            </w:r>
          </w:p>
        </w:tc>
      </w:tr>
      <w:tr w:rsidR="00447F35" w:rsidRPr="000A33D2" w14:paraId="4D676B12" w14:textId="77777777" w:rsidTr="7A737BBF">
        <w:tc>
          <w:tcPr>
            <w:tcW w:w="4186" w:type="pct"/>
            <w:gridSpan w:val="3"/>
            <w:vAlign w:val="center"/>
          </w:tcPr>
          <w:p w14:paraId="0952807B" w14:textId="4C955A7D" w:rsidR="00447F35" w:rsidRPr="000A33D2" w:rsidRDefault="00447F35" w:rsidP="00B64B34">
            <w:pPr>
              <w:pStyle w:val="TableText0"/>
              <w:keepLines/>
              <w:rPr>
                <w:b/>
              </w:rPr>
            </w:pPr>
            <w:r w:rsidRPr="000A33D2">
              <w:rPr>
                <w:b/>
              </w:rPr>
              <w:t>Incremental cost/extra QALY gained (base case - corrected)</w:t>
            </w:r>
          </w:p>
        </w:tc>
        <w:tc>
          <w:tcPr>
            <w:tcW w:w="814" w:type="pct"/>
            <w:vAlign w:val="center"/>
          </w:tcPr>
          <w:p w14:paraId="3D179978" w14:textId="2726C367" w:rsidR="00447F35" w:rsidRPr="000A33D2" w:rsidRDefault="000A7AD5" w:rsidP="00B64B34">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r w:rsidR="001F7ABC">
              <w:rPr>
                <w:vertAlign w:val="superscript"/>
              </w:rPr>
              <w:t>6</w:t>
            </w:r>
          </w:p>
        </w:tc>
      </w:tr>
    </w:tbl>
    <w:p w14:paraId="015F89E4" w14:textId="224F66EC" w:rsidR="002C3716" w:rsidRPr="000A33D2" w:rsidRDefault="002C3716" w:rsidP="00B64B34">
      <w:pPr>
        <w:pStyle w:val="FooterTableFigure"/>
        <w:keepNext/>
        <w:keepLines/>
      </w:pPr>
      <w:r w:rsidRPr="000A33D2">
        <w:t>Source: Table 105, p164 of the submission.</w:t>
      </w:r>
      <w:r w:rsidR="00A44837" w:rsidRPr="000A33D2">
        <w:t xml:space="preserve"> and c</w:t>
      </w:r>
      <w:r w:rsidR="000A7AD5" w:rsidRPr="000A33D2">
        <w:t>orrected using revised worksheet provided with the PSCR</w:t>
      </w:r>
    </w:p>
    <w:p w14:paraId="493996DE" w14:textId="77777777" w:rsidR="002C3716" w:rsidRPr="000A33D2" w:rsidRDefault="002C3716" w:rsidP="00B64B34">
      <w:pPr>
        <w:pStyle w:val="FooterTableFigure"/>
        <w:keepNext/>
        <w:keepLines/>
        <w:spacing w:after="0"/>
      </w:pPr>
      <w:r w:rsidRPr="000A33D2">
        <w:t>CP = carboplatin-paclitaxel; dMMR = mismatch repair deficient; DOS = dostarlimab; ICER = incremental cost-effectiveness ratio; LY= life year; PFLY = progression-free life year; QALY = quality adjusted life year.</w:t>
      </w:r>
    </w:p>
    <w:p w14:paraId="3D2FBCBB" w14:textId="4CC38235" w:rsidR="002C3716" w:rsidRPr="000A33D2" w:rsidRDefault="002C3716" w:rsidP="00B64B34">
      <w:pPr>
        <w:pStyle w:val="FooterTableFigure"/>
        <w:keepNext/>
        <w:keepLines/>
        <w:spacing w:after="0"/>
      </w:pPr>
      <w:r w:rsidRPr="000A33D2">
        <w:t xml:space="preserve">a Observed trial data used over the 30-month time horizon, compared to a median follow-up in RUBY of 24.8 months overall for dMMR. </w:t>
      </w:r>
    </w:p>
    <w:p w14:paraId="6B6826AD" w14:textId="75B015F8" w:rsidR="002C3716" w:rsidRDefault="002C3716" w:rsidP="00B64B34">
      <w:pPr>
        <w:pStyle w:val="FooterTableFigure"/>
        <w:keepNext/>
        <w:keepLines/>
        <w:spacing w:after="0"/>
      </w:pPr>
      <w:r w:rsidRPr="000A33D2">
        <w:t xml:space="preserve">b </w:t>
      </w:r>
      <w:r w:rsidR="00001E58" w:rsidRPr="000A33D2">
        <w:t>Costs</w:t>
      </w:r>
      <w:r w:rsidRPr="000A33D2">
        <w:t xml:space="preserve"> were updated to reflect MBS and PBS items as of 22 August 2023</w:t>
      </w:r>
    </w:p>
    <w:p w14:paraId="5C7909E7" w14:textId="77777777" w:rsidR="004F5A05" w:rsidRPr="009A6D58" w:rsidRDefault="004F5A05" w:rsidP="00B64B34">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A7DD2CA" w14:textId="2E902646" w:rsidR="004F5A05" w:rsidRPr="009A6D58" w:rsidRDefault="004F5A05" w:rsidP="00B64B34">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B64B34" w:rsidRPr="00B64B34">
        <w:rPr>
          <w:rFonts w:ascii="Arial Narrow" w:hAnsi="Arial Narrow"/>
          <w:i/>
          <w:sz w:val="18"/>
          <w:szCs w:val="18"/>
        </w:rPr>
        <w:t>$255,000 to &lt; $355,000</w:t>
      </w:r>
    </w:p>
    <w:p w14:paraId="380C4A21" w14:textId="16430557" w:rsidR="004F5A05" w:rsidRPr="009A6D58" w:rsidRDefault="004F5A05" w:rsidP="00B64B34">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B64B34" w:rsidRPr="00B64B34">
        <w:rPr>
          <w:rFonts w:ascii="Arial Narrow" w:hAnsi="Arial Narrow"/>
          <w:i/>
          <w:sz w:val="18"/>
          <w:szCs w:val="18"/>
        </w:rPr>
        <w:t>$115,000 to &lt; $135,000</w:t>
      </w:r>
    </w:p>
    <w:p w14:paraId="4A84970C" w14:textId="721A9F48" w:rsidR="004F5A05" w:rsidRDefault="004F5A05" w:rsidP="00B64B34">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B64B34" w:rsidRPr="00B64B34">
        <w:rPr>
          <w:rFonts w:ascii="Arial Narrow" w:hAnsi="Arial Narrow"/>
          <w:i/>
          <w:sz w:val="18"/>
          <w:szCs w:val="18"/>
        </w:rPr>
        <w:t>$45,000 to &lt; $55,000</w:t>
      </w:r>
    </w:p>
    <w:p w14:paraId="5BA39700" w14:textId="5035C5B1" w:rsidR="004F5A05" w:rsidRDefault="004F5A05" w:rsidP="00B64B34">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B64B34" w:rsidRPr="00B64B34">
        <w:rPr>
          <w:rFonts w:ascii="Arial Narrow" w:hAnsi="Arial Narrow"/>
          <w:i/>
          <w:sz w:val="18"/>
          <w:szCs w:val="18"/>
        </w:rPr>
        <w:t>$35,000 to &lt; $45,000</w:t>
      </w:r>
    </w:p>
    <w:p w14:paraId="2DE4CD91" w14:textId="2C078352" w:rsidR="004F5A05" w:rsidRDefault="004F5A05" w:rsidP="00B64B34">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B64B34" w:rsidRPr="00B64B34">
        <w:rPr>
          <w:rFonts w:ascii="Arial Narrow" w:hAnsi="Arial Narrow"/>
          <w:i/>
          <w:sz w:val="18"/>
          <w:szCs w:val="18"/>
        </w:rPr>
        <w:t>$55,000 to &lt; $75,000</w:t>
      </w:r>
    </w:p>
    <w:p w14:paraId="3DAF031A" w14:textId="4B346072" w:rsidR="004F5A05" w:rsidRDefault="004F5A05" w:rsidP="00B64B34">
      <w:pPr>
        <w:keepNext/>
        <w:keepLines/>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B64B34" w:rsidRPr="00B64B34">
        <w:rPr>
          <w:rFonts w:ascii="Arial Narrow" w:hAnsi="Arial Narrow"/>
          <w:i/>
          <w:sz w:val="18"/>
          <w:szCs w:val="18"/>
        </w:rPr>
        <w:t>$75,000 to &lt; $95,000</w:t>
      </w:r>
    </w:p>
    <w:p w14:paraId="7F47D0EA" w14:textId="450BDF83" w:rsidR="004F5A05" w:rsidRPr="001F7ABC" w:rsidRDefault="001F7ABC" w:rsidP="001F7ABC">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B64B34" w:rsidRPr="00B64B34">
        <w:rPr>
          <w:rFonts w:ascii="Arial Narrow" w:hAnsi="Arial Narrow"/>
          <w:i/>
          <w:sz w:val="18"/>
          <w:szCs w:val="18"/>
        </w:rPr>
        <w:t>$95,000 to &lt; $115,000</w:t>
      </w:r>
    </w:p>
    <w:bookmarkEnd w:id="77"/>
    <w:p w14:paraId="5FE9AAF4" w14:textId="02D51CDD" w:rsidR="0097737C" w:rsidRPr="000A33D2" w:rsidRDefault="001171BE" w:rsidP="00BB732D">
      <w:pPr>
        <w:pStyle w:val="3-BodyText"/>
      </w:pPr>
      <w:r w:rsidRPr="000A33D2">
        <w:t>The corrected incremental cost and incremental QALYs for the all-comers cohort were $</w:t>
      </w:r>
      <w:r w:rsidR="007C10F8" w:rsidRPr="00D03BA6">
        <w:rPr>
          <w:color w:val="000000"/>
          <w:w w:val="15"/>
          <w:shd w:val="solid" w:color="000000" w:fill="000000"/>
          <w:fitText w:val="-20" w:id="-1032576000"/>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6000"/>
          <w14:textFill>
            <w14:solidFill>
              <w14:srgbClr w14:val="000000">
                <w14:alpha w14:val="100000"/>
              </w14:srgbClr>
            </w14:solidFill>
          </w14:textFill>
        </w:rPr>
        <w:t>|</w:t>
      </w:r>
      <w:r w:rsidRPr="000A33D2">
        <w:t xml:space="preserve"> and 0.</w:t>
      </w:r>
      <w:r w:rsidR="00862B90" w:rsidRPr="000A33D2">
        <w:t xml:space="preserve">6702 </w:t>
      </w:r>
      <w:r w:rsidRPr="000A33D2">
        <w:t xml:space="preserve">respectively, resulting in an ICER of </w:t>
      </w:r>
      <w:r w:rsidR="00B64B34" w:rsidRPr="00B64B34">
        <w:t>$75,000 to &lt; $95,000</w:t>
      </w:r>
      <w:r w:rsidRPr="000A33D2">
        <w:t>.</w:t>
      </w:r>
      <w:r w:rsidR="00862B90" w:rsidRPr="000A33D2">
        <w:t xml:space="preserve"> </w:t>
      </w:r>
      <w:r w:rsidR="004C01FF" w:rsidRPr="000A33D2">
        <w:t>T</w:t>
      </w:r>
      <w:r w:rsidR="0097737C" w:rsidRPr="000A33D2">
        <w:t xml:space="preserve">he </w:t>
      </w:r>
      <w:r w:rsidR="004C01FF" w:rsidRPr="000A33D2">
        <w:t xml:space="preserve">corrected </w:t>
      </w:r>
      <w:r w:rsidR="0097737C" w:rsidRPr="000A33D2">
        <w:t>increment</w:t>
      </w:r>
      <w:r w:rsidR="005971E7" w:rsidRPr="000A33D2">
        <w:t>al</w:t>
      </w:r>
      <w:r w:rsidR="0097737C" w:rsidRPr="000A33D2">
        <w:t xml:space="preserve"> cost and incremental QALYs for the pMMR cohort were $</w:t>
      </w:r>
      <w:r w:rsidR="007C10F8" w:rsidRPr="00D03BA6">
        <w:rPr>
          <w:color w:val="000000"/>
          <w:w w:val="15"/>
          <w:shd w:val="solid" w:color="000000" w:fill="000000"/>
          <w:fitText w:val="-20" w:id="-1032575999"/>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5999"/>
          <w14:textFill>
            <w14:solidFill>
              <w14:srgbClr w14:val="000000">
                <w14:alpha w14:val="100000"/>
              </w14:srgbClr>
            </w14:solidFill>
          </w14:textFill>
        </w:rPr>
        <w:t>|</w:t>
      </w:r>
      <w:r w:rsidR="0097737C" w:rsidRPr="000A33D2">
        <w:t xml:space="preserve"> and 0.5</w:t>
      </w:r>
      <w:r w:rsidR="004C01FF" w:rsidRPr="000A33D2">
        <w:t>189</w:t>
      </w:r>
      <w:r w:rsidR="0097737C" w:rsidRPr="000A33D2">
        <w:t xml:space="preserve"> respectively, resulting in an ICER of </w:t>
      </w:r>
      <w:r w:rsidR="00B64B34" w:rsidRPr="00B64B34">
        <w:t>$95,000 to &lt; $115,000</w:t>
      </w:r>
      <w:r w:rsidR="0097737C" w:rsidRPr="000A33D2">
        <w:t>.</w:t>
      </w:r>
      <w:r w:rsidR="00341160" w:rsidRPr="000A33D2">
        <w:t xml:space="preserve"> However, given that the </w:t>
      </w:r>
      <w:r w:rsidR="00341160" w:rsidRPr="000A33D2">
        <w:lastRenderedPageBreak/>
        <w:t>PFS and OS results for the pMMR cohort w</w:t>
      </w:r>
      <w:r w:rsidR="00035856" w:rsidRPr="000A33D2">
        <w:t>ere</w:t>
      </w:r>
      <w:r w:rsidR="00341160" w:rsidRPr="000A33D2">
        <w:t xml:space="preserve"> not statistically significantly different</w:t>
      </w:r>
      <w:r w:rsidR="00035856" w:rsidRPr="000A33D2">
        <w:t xml:space="preserve"> in RUBY</w:t>
      </w:r>
      <w:r w:rsidR="00341160" w:rsidRPr="000A33D2">
        <w:t>, the incremental benefit and ICER should be interpreted with caution.</w:t>
      </w:r>
      <w:r w:rsidR="000C7563" w:rsidRPr="000A33D2">
        <w:t xml:space="preserve"> </w:t>
      </w:r>
    </w:p>
    <w:p w14:paraId="36AAF669" w14:textId="7D2FB6E0" w:rsidR="009B3273" w:rsidRPr="000A33D2" w:rsidRDefault="009B3273" w:rsidP="00BB732D">
      <w:pPr>
        <w:pStyle w:val="3-BodyText"/>
      </w:pPr>
      <w:r w:rsidRPr="000A33D2">
        <w:t>Of the 1.85</w:t>
      </w:r>
      <w:r w:rsidR="00CC66CF" w:rsidRPr="000A33D2">
        <w:t>1</w:t>
      </w:r>
      <w:r w:rsidRPr="000A33D2">
        <w:t xml:space="preserve"> life years gained in the model (undiscounted), </w:t>
      </w:r>
      <w:r w:rsidR="00CC66CF" w:rsidRPr="000A33D2">
        <w:t xml:space="preserve">0.635 </w:t>
      </w:r>
      <w:r w:rsidRPr="000A33D2">
        <w:t>(</w:t>
      </w:r>
      <w:r w:rsidR="00CC66CF" w:rsidRPr="000A33D2">
        <w:t>34</w:t>
      </w:r>
      <w:r w:rsidRPr="000A33D2">
        <w:t>%</w:t>
      </w:r>
      <w:r w:rsidR="00CC66CF" w:rsidRPr="000A33D2">
        <w:t>)</w:t>
      </w:r>
      <w:r w:rsidRPr="000A33D2">
        <w:t xml:space="preserve"> were accumulated </w:t>
      </w:r>
      <w:r w:rsidR="00585AF8" w:rsidRPr="000A33D2">
        <w:t>during the</w:t>
      </w:r>
      <w:r w:rsidRPr="000A33D2">
        <w:t xml:space="preserve"> </w:t>
      </w:r>
      <w:r w:rsidR="00CC66CF" w:rsidRPr="000A33D2">
        <w:t xml:space="preserve">30-month “trial-based” period of the model </w:t>
      </w:r>
      <w:r w:rsidR="00585AF8" w:rsidRPr="000A33D2">
        <w:t xml:space="preserve">(step 1) </w:t>
      </w:r>
      <w:r w:rsidR="00CC66CF" w:rsidRPr="000A33D2">
        <w:t xml:space="preserve">and the remaining 1.216 (66%) were accumulated during </w:t>
      </w:r>
      <w:r w:rsidRPr="000A33D2">
        <w:t>the extrapolated period of the model.</w:t>
      </w:r>
      <w:r w:rsidR="00321BFF" w:rsidRPr="000A33D2">
        <w:t xml:space="preserve"> The ESC considered that the modelled life years gained </w:t>
      </w:r>
      <w:r w:rsidR="00CD42B5" w:rsidRPr="000A33D2">
        <w:t xml:space="preserve">(1.532, discounted) </w:t>
      </w:r>
      <w:r w:rsidR="00321BFF" w:rsidRPr="000A33D2">
        <w:t>was high compared with other immunotherapies (e.g. 0.70 LY gained for 2L PEM+LEN, Table 11 Pembrolizumab PSD, March 2022 PBAC meeting) and likely to be optimistic for the advanced/recurrent setting.</w:t>
      </w:r>
    </w:p>
    <w:p w14:paraId="1BAC1159" w14:textId="2516E402" w:rsidR="00A86E8B" w:rsidRPr="000A33D2" w:rsidRDefault="00D23D11" w:rsidP="00BB732D">
      <w:pPr>
        <w:pStyle w:val="3-BodyText"/>
      </w:pPr>
      <w:r w:rsidRPr="000A33D2">
        <w:t xml:space="preserve">The results of key univariate </w:t>
      </w:r>
      <w:r w:rsidR="00625C00" w:rsidRPr="000A33D2">
        <w:t>and</w:t>
      </w:r>
      <w:r w:rsidRPr="000A33D2">
        <w:t xml:space="preserve"> multivariate sensitivity analyses </w:t>
      </w:r>
      <w:r w:rsidR="00DB69BE" w:rsidRPr="000A33D2">
        <w:t xml:space="preserve">for the dMMR population </w:t>
      </w:r>
      <w:r w:rsidRPr="000A33D2">
        <w:t xml:space="preserve">are summarised </w:t>
      </w:r>
      <w:r w:rsidR="00E16AD8" w:rsidRPr="000A33D2">
        <w:t xml:space="preserve">in </w:t>
      </w:r>
      <w:r w:rsidR="00E16AD8" w:rsidRPr="000A33D2">
        <w:fldChar w:fldCharType="begin" w:fldLock="1"/>
      </w:r>
      <w:r w:rsidR="00E16AD8" w:rsidRPr="000A33D2">
        <w:instrText xml:space="preserve"> REF _Ref104804865 \h </w:instrText>
      </w:r>
      <w:r w:rsidR="00E16AD8" w:rsidRPr="000A33D2">
        <w:fldChar w:fldCharType="separate"/>
      </w:r>
      <w:r w:rsidR="00B62E71" w:rsidRPr="000A33D2">
        <w:t xml:space="preserve">Table </w:t>
      </w:r>
      <w:r w:rsidR="00B62E71">
        <w:rPr>
          <w:noProof/>
        </w:rPr>
        <w:t>17</w:t>
      </w:r>
      <w:r w:rsidR="00E16AD8" w:rsidRPr="000A33D2">
        <w:fldChar w:fldCharType="end"/>
      </w:r>
      <w:r w:rsidR="00DB69BE" w:rsidRPr="000A33D2">
        <w:t xml:space="preserve">. </w:t>
      </w:r>
    </w:p>
    <w:p w14:paraId="3A64F4E7" w14:textId="24CB59BC" w:rsidR="00D23D11" w:rsidRPr="000A33D2" w:rsidRDefault="00E16AD8" w:rsidP="00B64B34">
      <w:pPr>
        <w:pStyle w:val="Caption"/>
        <w:rPr>
          <w:rStyle w:val="CommentReference"/>
          <w:b/>
          <w:szCs w:val="24"/>
        </w:rPr>
      </w:pPr>
      <w:bookmarkStart w:id="79" w:name="_Ref104804865"/>
      <w:bookmarkStart w:id="80" w:name="_Ref147500161"/>
      <w:r w:rsidRPr="000A33D2">
        <w:lastRenderedPageBreak/>
        <w:t xml:space="preserve">Table </w:t>
      </w:r>
      <w:r>
        <w:fldChar w:fldCharType="begin" w:fldLock="1"/>
      </w:r>
      <w:r>
        <w:instrText>SEQ Table \* ARABIC</w:instrText>
      </w:r>
      <w:r>
        <w:fldChar w:fldCharType="separate"/>
      </w:r>
      <w:r w:rsidR="00B62E71">
        <w:rPr>
          <w:noProof/>
        </w:rPr>
        <w:t>17</w:t>
      </w:r>
      <w:r>
        <w:fldChar w:fldCharType="end"/>
      </w:r>
      <w:bookmarkEnd w:id="79"/>
      <w:r w:rsidRPr="000A33D2">
        <w:t>:</w:t>
      </w:r>
      <w:r w:rsidR="00354F64" w:rsidRPr="000A33D2">
        <w:rPr>
          <w:rStyle w:val="CommentReference"/>
          <w:b/>
          <w:szCs w:val="24"/>
        </w:rPr>
        <w:t xml:space="preserve"> </w:t>
      </w:r>
      <w:r w:rsidR="006A4CAB" w:rsidRPr="000A33D2">
        <w:rPr>
          <w:rStyle w:val="CommentReference"/>
          <w:b/>
          <w:szCs w:val="24"/>
        </w:rPr>
        <w:t xml:space="preserve">Results of </w:t>
      </w:r>
      <w:r w:rsidR="008562F1" w:rsidRPr="000A33D2">
        <w:rPr>
          <w:rStyle w:val="CommentReference"/>
          <w:b/>
          <w:szCs w:val="24"/>
        </w:rPr>
        <w:t xml:space="preserve">key </w:t>
      </w:r>
      <w:r w:rsidR="006A4CAB" w:rsidRPr="000A33D2">
        <w:rPr>
          <w:rStyle w:val="CommentReference"/>
          <w:b/>
          <w:szCs w:val="24"/>
        </w:rPr>
        <w:t>s</w:t>
      </w:r>
      <w:r w:rsidR="00D15314" w:rsidRPr="000A33D2">
        <w:rPr>
          <w:rStyle w:val="CommentReference"/>
          <w:b/>
          <w:szCs w:val="24"/>
        </w:rPr>
        <w:t>ensitivity analyses</w:t>
      </w:r>
      <w:r w:rsidR="00DB69BE" w:rsidRPr="000A33D2">
        <w:rPr>
          <w:rStyle w:val="CommentReference"/>
          <w:b/>
          <w:szCs w:val="24"/>
        </w:rPr>
        <w:t xml:space="preserve"> (dMMR)</w:t>
      </w:r>
      <w:bookmarkEnd w:id="80"/>
    </w:p>
    <w:tbl>
      <w:tblPr>
        <w:tblStyle w:val="TableGrid"/>
        <w:tblW w:w="5000" w:type="pct"/>
        <w:tblLook w:val="04A0" w:firstRow="1" w:lastRow="0" w:firstColumn="1" w:lastColumn="0" w:noHBand="0" w:noVBand="1"/>
      </w:tblPr>
      <w:tblGrid>
        <w:gridCol w:w="5096"/>
        <w:gridCol w:w="994"/>
        <w:gridCol w:w="848"/>
        <w:gridCol w:w="954"/>
        <w:gridCol w:w="1125"/>
      </w:tblGrid>
      <w:tr w:rsidR="00DB69BE" w:rsidRPr="000A33D2" w14:paraId="1388046C" w14:textId="77777777" w:rsidTr="001807EC">
        <w:trPr>
          <w:trHeight w:val="20"/>
          <w:tblHeader/>
        </w:trPr>
        <w:tc>
          <w:tcPr>
            <w:tcW w:w="2826" w:type="pct"/>
            <w:shd w:val="clear" w:color="auto" w:fill="auto"/>
            <w:vAlign w:val="center"/>
          </w:tcPr>
          <w:p w14:paraId="742084DF" w14:textId="77777777" w:rsidR="00DB69BE" w:rsidRPr="000A33D2" w:rsidRDefault="00DB69BE" w:rsidP="00B64B34">
            <w:pPr>
              <w:keepNext/>
              <w:keepLines/>
              <w:rPr>
                <w:rFonts w:ascii="Arial Narrow" w:hAnsi="Arial Narrow"/>
                <w:sz w:val="20"/>
                <w:szCs w:val="20"/>
              </w:rPr>
            </w:pPr>
          </w:p>
        </w:tc>
        <w:tc>
          <w:tcPr>
            <w:tcW w:w="551" w:type="pct"/>
            <w:shd w:val="clear" w:color="auto" w:fill="auto"/>
            <w:vAlign w:val="center"/>
          </w:tcPr>
          <w:p w14:paraId="1E9641B2" w14:textId="77777777" w:rsidR="00DB69BE" w:rsidRPr="000A33D2" w:rsidRDefault="00DB69BE" w:rsidP="00B64B34">
            <w:pPr>
              <w:keepNext/>
              <w:keepLines/>
              <w:jc w:val="center"/>
              <w:rPr>
                <w:rFonts w:ascii="Arial Narrow" w:hAnsi="Arial Narrow"/>
                <w:b/>
                <w:bCs/>
                <w:sz w:val="20"/>
                <w:szCs w:val="20"/>
              </w:rPr>
            </w:pPr>
            <w:r w:rsidRPr="000A33D2">
              <w:rPr>
                <w:rFonts w:ascii="Arial Narrow" w:hAnsi="Arial Narrow"/>
                <w:b/>
                <w:bCs/>
                <w:sz w:val="20"/>
                <w:szCs w:val="20"/>
              </w:rPr>
              <w:t>Incr. cost</w:t>
            </w:r>
          </w:p>
        </w:tc>
        <w:tc>
          <w:tcPr>
            <w:tcW w:w="470" w:type="pct"/>
            <w:shd w:val="clear" w:color="auto" w:fill="auto"/>
            <w:vAlign w:val="center"/>
          </w:tcPr>
          <w:p w14:paraId="056305AF" w14:textId="77777777" w:rsidR="00DB69BE" w:rsidRPr="000A33D2" w:rsidRDefault="00DB69BE" w:rsidP="00B64B34">
            <w:pPr>
              <w:keepNext/>
              <w:keepLines/>
              <w:jc w:val="center"/>
              <w:rPr>
                <w:rFonts w:ascii="Arial Narrow" w:hAnsi="Arial Narrow"/>
                <w:b/>
                <w:bCs/>
                <w:sz w:val="20"/>
                <w:szCs w:val="20"/>
              </w:rPr>
            </w:pPr>
            <w:r w:rsidRPr="000A33D2">
              <w:rPr>
                <w:rFonts w:ascii="Arial Narrow" w:hAnsi="Arial Narrow"/>
                <w:b/>
                <w:bCs/>
                <w:sz w:val="20"/>
                <w:szCs w:val="20"/>
              </w:rPr>
              <w:t>Incr. QALYs</w:t>
            </w:r>
          </w:p>
        </w:tc>
        <w:tc>
          <w:tcPr>
            <w:tcW w:w="529" w:type="pct"/>
            <w:shd w:val="clear" w:color="auto" w:fill="auto"/>
            <w:vAlign w:val="center"/>
          </w:tcPr>
          <w:p w14:paraId="42DDD102" w14:textId="77777777" w:rsidR="00DB69BE" w:rsidRPr="000A33D2" w:rsidRDefault="00DB69BE" w:rsidP="00B64B34">
            <w:pPr>
              <w:keepNext/>
              <w:keepLines/>
              <w:jc w:val="center"/>
              <w:rPr>
                <w:rFonts w:ascii="Arial Narrow" w:hAnsi="Arial Narrow"/>
                <w:b/>
                <w:bCs/>
                <w:sz w:val="20"/>
                <w:szCs w:val="20"/>
              </w:rPr>
            </w:pPr>
            <w:r w:rsidRPr="000A33D2">
              <w:rPr>
                <w:rFonts w:ascii="Arial Narrow" w:hAnsi="Arial Narrow"/>
                <w:b/>
                <w:bCs/>
                <w:sz w:val="20"/>
                <w:szCs w:val="20"/>
              </w:rPr>
              <w:t>ICER</w:t>
            </w:r>
          </w:p>
        </w:tc>
        <w:tc>
          <w:tcPr>
            <w:tcW w:w="624" w:type="pct"/>
            <w:shd w:val="clear" w:color="auto" w:fill="auto"/>
            <w:vAlign w:val="center"/>
          </w:tcPr>
          <w:p w14:paraId="52A809AD" w14:textId="77777777" w:rsidR="00DB69BE" w:rsidRPr="000A33D2" w:rsidRDefault="00DB69BE" w:rsidP="00B64B34">
            <w:pPr>
              <w:keepNext/>
              <w:keepLines/>
              <w:jc w:val="center"/>
              <w:rPr>
                <w:rFonts w:ascii="Arial Narrow" w:hAnsi="Arial Narrow"/>
                <w:b/>
                <w:bCs/>
                <w:sz w:val="20"/>
                <w:szCs w:val="20"/>
              </w:rPr>
            </w:pPr>
            <w:r w:rsidRPr="000A33D2">
              <w:rPr>
                <w:rFonts w:ascii="Arial Narrow" w:hAnsi="Arial Narrow"/>
                <w:b/>
                <w:bCs/>
                <w:sz w:val="20"/>
                <w:szCs w:val="20"/>
              </w:rPr>
              <w:t>% Difference</w:t>
            </w:r>
          </w:p>
        </w:tc>
      </w:tr>
      <w:tr w:rsidR="00DB69BE" w:rsidRPr="000A33D2" w14:paraId="3B74C758" w14:textId="77777777" w:rsidTr="001807EC">
        <w:trPr>
          <w:trHeight w:val="20"/>
        </w:trPr>
        <w:tc>
          <w:tcPr>
            <w:tcW w:w="2826" w:type="pct"/>
            <w:tcBorders>
              <w:bottom w:val="single" w:sz="4" w:space="0" w:color="000000" w:themeColor="text1"/>
            </w:tcBorders>
            <w:shd w:val="clear" w:color="auto" w:fill="auto"/>
            <w:vAlign w:val="center"/>
          </w:tcPr>
          <w:p w14:paraId="641E5D27" w14:textId="77777777" w:rsidR="00DB69BE" w:rsidRPr="000A33D2" w:rsidRDefault="00DB69BE" w:rsidP="00B64B34">
            <w:pPr>
              <w:keepNext/>
              <w:keepLines/>
              <w:rPr>
                <w:rFonts w:ascii="Arial Narrow" w:hAnsi="Arial Narrow"/>
                <w:b/>
                <w:bCs/>
                <w:sz w:val="20"/>
                <w:szCs w:val="20"/>
              </w:rPr>
            </w:pPr>
            <w:r w:rsidRPr="000A33D2">
              <w:rPr>
                <w:rFonts w:ascii="Arial Narrow" w:hAnsi="Arial Narrow"/>
                <w:b/>
                <w:bCs/>
                <w:sz w:val="20"/>
                <w:szCs w:val="20"/>
              </w:rPr>
              <w:t>Base case</w:t>
            </w:r>
          </w:p>
        </w:tc>
        <w:tc>
          <w:tcPr>
            <w:tcW w:w="551" w:type="pct"/>
            <w:tcBorders>
              <w:bottom w:val="single" w:sz="4" w:space="0" w:color="000000" w:themeColor="text1"/>
            </w:tcBorders>
            <w:shd w:val="clear" w:color="auto" w:fill="auto"/>
            <w:vAlign w:val="center"/>
          </w:tcPr>
          <w:p w14:paraId="7BE88AAA" w14:textId="34746D9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8"/>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8"/>
                <w14:textFill>
                  <w14:solidFill>
                    <w14:srgbClr w14:val="000000">
                      <w14:alpha w14:val="100000"/>
                    </w14:srgbClr>
                  </w14:solidFill>
                </w14:textFill>
              </w:rPr>
              <w:t>|</w:t>
            </w:r>
          </w:p>
        </w:tc>
        <w:tc>
          <w:tcPr>
            <w:tcW w:w="470" w:type="pct"/>
            <w:tcBorders>
              <w:bottom w:val="single" w:sz="4" w:space="0" w:color="000000" w:themeColor="text1"/>
            </w:tcBorders>
            <w:shd w:val="clear" w:color="auto" w:fill="auto"/>
            <w:vAlign w:val="center"/>
          </w:tcPr>
          <w:p w14:paraId="231C925F"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1.2171</w:t>
            </w:r>
          </w:p>
        </w:tc>
        <w:tc>
          <w:tcPr>
            <w:tcW w:w="529" w:type="pct"/>
            <w:tcBorders>
              <w:bottom w:val="single" w:sz="4" w:space="0" w:color="000000" w:themeColor="text1"/>
            </w:tcBorders>
            <w:shd w:val="clear" w:color="auto" w:fill="auto"/>
            <w:vAlign w:val="center"/>
          </w:tcPr>
          <w:p w14:paraId="1A280EAC" w14:textId="77DA482B" w:rsidR="00DB69BE" w:rsidRPr="006A6D25" w:rsidRDefault="00DB69BE" w:rsidP="00B64B34">
            <w:pPr>
              <w:keepNext/>
              <w:keepLines/>
              <w:jc w:val="center"/>
              <w:rPr>
                <w:rFonts w:ascii="Arial Narrow" w:hAnsi="Arial Narrow"/>
                <w:sz w:val="20"/>
                <w:szCs w:val="20"/>
                <w:vertAlign w:val="superscript"/>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97"/>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97"/>
                <w14:textFill>
                  <w14:solidFill>
                    <w14:srgbClr w14:val="000000">
                      <w14:alpha w14:val="100000"/>
                    </w14:srgbClr>
                  </w14:solidFill>
                </w14:textFill>
              </w:rPr>
              <w:t>|</w:t>
            </w:r>
            <w:r w:rsidR="006A6D25">
              <w:rPr>
                <w:rFonts w:ascii="Arial Narrow" w:hAnsi="Arial Narrow"/>
                <w:sz w:val="20"/>
                <w:szCs w:val="20"/>
                <w:vertAlign w:val="superscript"/>
              </w:rPr>
              <w:t>1</w:t>
            </w:r>
          </w:p>
        </w:tc>
        <w:tc>
          <w:tcPr>
            <w:tcW w:w="624" w:type="pct"/>
            <w:tcBorders>
              <w:bottom w:val="single" w:sz="4" w:space="0" w:color="000000" w:themeColor="text1"/>
            </w:tcBorders>
            <w:shd w:val="clear" w:color="auto" w:fill="auto"/>
            <w:vAlign w:val="center"/>
          </w:tcPr>
          <w:p w14:paraId="0DC78CE4"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p>
        </w:tc>
      </w:tr>
      <w:tr w:rsidR="000A7AD5" w:rsidRPr="000A33D2" w14:paraId="1FAA3903" w14:textId="77777777" w:rsidTr="001807EC">
        <w:trPr>
          <w:trHeight w:val="20"/>
        </w:trPr>
        <w:tc>
          <w:tcPr>
            <w:tcW w:w="2826" w:type="pct"/>
            <w:tcBorders>
              <w:bottom w:val="single" w:sz="4" w:space="0" w:color="000000" w:themeColor="text1"/>
            </w:tcBorders>
            <w:shd w:val="clear" w:color="auto" w:fill="auto"/>
            <w:vAlign w:val="center"/>
          </w:tcPr>
          <w:p w14:paraId="460FBD25" w14:textId="263287F9" w:rsidR="000A7AD5" w:rsidRPr="000A33D2" w:rsidRDefault="000A7AD5" w:rsidP="00B64B34">
            <w:pPr>
              <w:keepNext/>
              <w:keepLines/>
              <w:rPr>
                <w:rFonts w:ascii="Arial Narrow" w:hAnsi="Arial Narrow"/>
                <w:b/>
                <w:bCs/>
                <w:i/>
                <w:iCs/>
                <w:sz w:val="20"/>
                <w:szCs w:val="20"/>
              </w:rPr>
            </w:pPr>
            <w:r w:rsidRPr="000A33D2">
              <w:rPr>
                <w:rFonts w:ascii="Arial Narrow" w:hAnsi="Arial Narrow"/>
                <w:b/>
                <w:bCs/>
                <w:i/>
                <w:iCs/>
                <w:sz w:val="20"/>
                <w:szCs w:val="20"/>
              </w:rPr>
              <w:t>Base case (corrected)</w:t>
            </w:r>
          </w:p>
        </w:tc>
        <w:tc>
          <w:tcPr>
            <w:tcW w:w="551" w:type="pct"/>
            <w:tcBorders>
              <w:bottom w:val="single" w:sz="4" w:space="0" w:color="000000" w:themeColor="text1"/>
            </w:tcBorders>
            <w:shd w:val="clear" w:color="auto" w:fill="auto"/>
            <w:vAlign w:val="center"/>
          </w:tcPr>
          <w:p w14:paraId="64D815B2" w14:textId="118ADDBB" w:rsidR="000A7AD5" w:rsidRPr="000A33D2" w:rsidRDefault="000A7AD5" w:rsidP="00B64B34">
            <w:pPr>
              <w:keepNext/>
              <w:keepLines/>
              <w:jc w:val="center"/>
              <w:rPr>
                <w:rFonts w:ascii="Arial Narrow" w:hAnsi="Arial Narrow"/>
                <w:i/>
                <w:iCs/>
                <w:sz w:val="20"/>
                <w:szCs w:val="20"/>
              </w:rPr>
            </w:pPr>
            <w:r w:rsidRPr="000A33D2">
              <w:rPr>
                <w:rFonts w:ascii="Arial Narrow" w:hAnsi="Arial Narrow"/>
                <w:i/>
                <w:iCs/>
                <w:sz w:val="20"/>
                <w:szCs w:val="20"/>
              </w:rPr>
              <w:t>$</w:t>
            </w:r>
            <w:r w:rsidR="007C10F8" w:rsidRPr="007C10F8">
              <w:rPr>
                <w:rFonts w:ascii="Arial Narrow" w:hAnsi="Arial Narrow"/>
                <w:i/>
                <w:iCs/>
                <w:color w:val="000000"/>
                <w:spacing w:val="41"/>
                <w:sz w:val="20"/>
                <w:szCs w:val="20"/>
                <w:shd w:val="solid" w:color="000000" w:fill="000000"/>
                <w:fitText w:val="210" w:id="-1032575996"/>
                <w14:textFill>
                  <w14:solidFill>
                    <w14:srgbClr w14:val="000000">
                      <w14:alpha w14:val="100000"/>
                    </w14:srgbClr>
                  </w14:solidFill>
                </w14:textFill>
              </w:rPr>
              <w:t>||</w:t>
            </w:r>
            <w:r w:rsidR="007C10F8" w:rsidRPr="007C10F8">
              <w:rPr>
                <w:rFonts w:ascii="Arial Narrow" w:hAnsi="Arial Narrow"/>
                <w:i/>
                <w:iCs/>
                <w:color w:val="000000"/>
                <w:spacing w:val="1"/>
                <w:sz w:val="20"/>
                <w:szCs w:val="20"/>
                <w:shd w:val="solid" w:color="000000" w:fill="000000"/>
                <w:fitText w:val="210" w:id="-1032575996"/>
                <w14:textFill>
                  <w14:solidFill>
                    <w14:srgbClr w14:val="000000">
                      <w14:alpha w14:val="100000"/>
                    </w14:srgbClr>
                  </w14:solidFill>
                </w14:textFill>
              </w:rPr>
              <w:t>|</w:t>
            </w:r>
          </w:p>
        </w:tc>
        <w:tc>
          <w:tcPr>
            <w:tcW w:w="470" w:type="pct"/>
            <w:tcBorders>
              <w:bottom w:val="single" w:sz="4" w:space="0" w:color="000000" w:themeColor="text1"/>
            </w:tcBorders>
            <w:shd w:val="clear" w:color="auto" w:fill="auto"/>
            <w:vAlign w:val="center"/>
          </w:tcPr>
          <w:p w14:paraId="50C54506" w14:textId="3E612BAD" w:rsidR="000A7AD5" w:rsidRPr="000A33D2" w:rsidRDefault="000A7AD5" w:rsidP="00B64B34">
            <w:pPr>
              <w:pStyle w:val="TableText0"/>
              <w:keepLines/>
              <w:spacing w:line="256" w:lineRule="auto"/>
              <w:jc w:val="center"/>
              <w:rPr>
                <w:rFonts w:eastAsia="Times New Roman" w:cs="Arial"/>
                <w:bCs w:val="0"/>
                <w:i/>
                <w:iCs/>
                <w:szCs w:val="20"/>
              </w:rPr>
            </w:pPr>
            <w:r w:rsidRPr="000A33D2">
              <w:rPr>
                <w:rFonts w:eastAsia="Times New Roman" w:cs="Arial"/>
                <w:bCs w:val="0"/>
                <w:i/>
                <w:iCs/>
                <w:szCs w:val="20"/>
              </w:rPr>
              <w:t>1.2116</w:t>
            </w:r>
          </w:p>
        </w:tc>
        <w:tc>
          <w:tcPr>
            <w:tcW w:w="529" w:type="pct"/>
            <w:tcBorders>
              <w:bottom w:val="single" w:sz="4" w:space="0" w:color="000000" w:themeColor="text1"/>
            </w:tcBorders>
            <w:shd w:val="clear" w:color="auto" w:fill="auto"/>
            <w:vAlign w:val="center"/>
          </w:tcPr>
          <w:p w14:paraId="3AF5DE95" w14:textId="5D893CCE" w:rsidR="000A7AD5" w:rsidRPr="000A33D2" w:rsidRDefault="000A7AD5" w:rsidP="00B64B34">
            <w:pPr>
              <w:pStyle w:val="TableText0"/>
              <w:keepLines/>
              <w:spacing w:line="256" w:lineRule="auto"/>
              <w:jc w:val="center"/>
              <w:rPr>
                <w:rFonts w:eastAsia="Times New Roman" w:cs="Arial"/>
                <w:bCs w:val="0"/>
                <w:i/>
                <w:iCs/>
                <w:szCs w:val="20"/>
              </w:rPr>
            </w:pPr>
            <w:r w:rsidRPr="000A33D2">
              <w:rPr>
                <w:rFonts w:eastAsia="Times New Roman" w:cs="Arial"/>
                <w:bCs w:val="0"/>
                <w:i/>
                <w:iCs/>
                <w:szCs w:val="20"/>
              </w:rPr>
              <w:t>$</w:t>
            </w:r>
            <w:r w:rsidR="007C10F8" w:rsidRPr="007C10F8">
              <w:rPr>
                <w:rFonts w:eastAsia="Times New Roman" w:cs="Arial"/>
                <w:bCs w:val="0"/>
                <w:i/>
                <w:iCs/>
                <w:color w:val="000000"/>
                <w:spacing w:val="169"/>
                <w:szCs w:val="20"/>
                <w:shd w:val="solid" w:color="000000" w:fill="000000"/>
                <w:fitText w:val="255" w:id="-1032575995"/>
                <w14:textFill>
                  <w14:solidFill>
                    <w14:srgbClr w14:val="000000">
                      <w14:alpha w14:val="100000"/>
                    </w14:srgbClr>
                  </w14:solidFill>
                </w14:textFill>
              </w:rPr>
              <w:t>|</w:t>
            </w:r>
            <w:r w:rsidR="007C10F8" w:rsidRPr="007C10F8">
              <w:rPr>
                <w:rFonts w:eastAsia="Times New Roman" w:cs="Arial"/>
                <w:bCs w:val="0"/>
                <w:i/>
                <w:iCs/>
                <w:color w:val="000000"/>
                <w:spacing w:val="1"/>
                <w:szCs w:val="20"/>
                <w:shd w:val="solid" w:color="000000" w:fill="000000"/>
                <w:fitText w:val="255" w:id="-1032575995"/>
                <w14:textFill>
                  <w14:solidFill>
                    <w14:srgbClr w14:val="000000">
                      <w14:alpha w14:val="100000"/>
                    </w14:srgbClr>
                  </w14:solidFill>
                </w14:textFill>
              </w:rPr>
              <w:t>|</w:t>
            </w:r>
            <w:r w:rsidR="00B64B34" w:rsidRPr="00B64B34">
              <w:rPr>
                <w:szCs w:val="20"/>
                <w:vertAlign w:val="superscript"/>
              </w:rPr>
              <w:t>1</w:t>
            </w:r>
          </w:p>
        </w:tc>
        <w:tc>
          <w:tcPr>
            <w:tcW w:w="624" w:type="pct"/>
            <w:tcBorders>
              <w:bottom w:val="single" w:sz="4" w:space="0" w:color="000000" w:themeColor="text1"/>
            </w:tcBorders>
            <w:shd w:val="clear" w:color="auto" w:fill="auto"/>
            <w:vAlign w:val="center"/>
          </w:tcPr>
          <w:p w14:paraId="0568C716" w14:textId="77777777" w:rsidR="000A7AD5" w:rsidRPr="000A33D2" w:rsidRDefault="000A7AD5" w:rsidP="00B64B34">
            <w:pPr>
              <w:keepNext/>
              <w:keepLines/>
              <w:jc w:val="center"/>
              <w:rPr>
                <w:rFonts w:ascii="Arial Narrow" w:hAnsi="Arial Narrow"/>
                <w:i/>
                <w:iCs/>
                <w:sz w:val="20"/>
                <w:szCs w:val="20"/>
              </w:rPr>
            </w:pPr>
          </w:p>
        </w:tc>
      </w:tr>
      <w:tr w:rsidR="00DB69BE" w:rsidRPr="000A33D2" w14:paraId="2C146318" w14:textId="77777777" w:rsidTr="001807EC">
        <w:trPr>
          <w:trHeight w:val="20"/>
        </w:trPr>
        <w:tc>
          <w:tcPr>
            <w:tcW w:w="5000" w:type="pct"/>
            <w:gridSpan w:val="5"/>
            <w:shd w:val="clear" w:color="auto" w:fill="auto"/>
            <w:vAlign w:val="center"/>
          </w:tcPr>
          <w:p w14:paraId="0A103D82" w14:textId="77777777" w:rsidR="00DB69BE" w:rsidRPr="000A33D2" w:rsidRDefault="00DB69BE" w:rsidP="00B64B34">
            <w:pPr>
              <w:keepNext/>
              <w:keepLines/>
              <w:rPr>
                <w:rFonts w:ascii="Arial Narrow" w:hAnsi="Arial Narrow"/>
                <w:b/>
                <w:bCs/>
                <w:sz w:val="20"/>
                <w:szCs w:val="20"/>
              </w:rPr>
            </w:pPr>
            <w:r w:rsidRPr="000A33D2">
              <w:rPr>
                <w:rFonts w:ascii="Arial Narrow" w:hAnsi="Arial Narrow"/>
                <w:b/>
                <w:bCs/>
                <w:sz w:val="20"/>
                <w:szCs w:val="20"/>
              </w:rPr>
              <w:t>Time horizon (10 years)</w:t>
            </w:r>
          </w:p>
        </w:tc>
      </w:tr>
      <w:tr w:rsidR="00DB69BE" w:rsidRPr="000A33D2" w14:paraId="15E7F074" w14:textId="77777777" w:rsidTr="001807EC">
        <w:trPr>
          <w:trHeight w:val="20"/>
        </w:trPr>
        <w:tc>
          <w:tcPr>
            <w:tcW w:w="2826" w:type="pct"/>
            <w:shd w:val="clear" w:color="auto" w:fill="auto"/>
            <w:vAlign w:val="center"/>
          </w:tcPr>
          <w:p w14:paraId="252A5268"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5 years</w:t>
            </w:r>
          </w:p>
        </w:tc>
        <w:tc>
          <w:tcPr>
            <w:tcW w:w="551" w:type="pct"/>
            <w:shd w:val="clear" w:color="auto" w:fill="auto"/>
          </w:tcPr>
          <w:p w14:paraId="63A82C95" w14:textId="768D9DBB"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4"/>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4"/>
                <w14:textFill>
                  <w14:solidFill>
                    <w14:srgbClr w14:val="000000">
                      <w14:alpha w14:val="100000"/>
                    </w14:srgbClr>
                  </w14:solidFill>
                </w14:textFill>
              </w:rPr>
              <w:t>|</w:t>
            </w:r>
          </w:p>
        </w:tc>
        <w:tc>
          <w:tcPr>
            <w:tcW w:w="470" w:type="pct"/>
            <w:shd w:val="clear" w:color="auto" w:fill="auto"/>
          </w:tcPr>
          <w:p w14:paraId="45C330F0"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0.8030</w:t>
            </w:r>
          </w:p>
        </w:tc>
        <w:tc>
          <w:tcPr>
            <w:tcW w:w="529" w:type="pct"/>
            <w:shd w:val="clear" w:color="auto" w:fill="auto"/>
          </w:tcPr>
          <w:p w14:paraId="6C3934BC" w14:textId="74A4BBEE"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93"/>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93"/>
                <w14:textFill>
                  <w14:solidFill>
                    <w14:srgbClr w14:val="000000">
                      <w14:alpha w14:val="100000"/>
                    </w14:srgbClr>
                  </w14:solidFill>
                </w14:textFill>
              </w:rPr>
              <w:t>|</w:t>
            </w:r>
            <w:r w:rsidR="00B64B34" w:rsidRPr="00B64B34">
              <w:rPr>
                <w:rFonts w:ascii="Arial Narrow" w:hAnsi="Arial Narrow"/>
                <w:sz w:val="20"/>
                <w:szCs w:val="20"/>
                <w:vertAlign w:val="superscript"/>
              </w:rPr>
              <w:t>2</w:t>
            </w:r>
          </w:p>
        </w:tc>
        <w:tc>
          <w:tcPr>
            <w:tcW w:w="624" w:type="pct"/>
            <w:shd w:val="clear" w:color="auto" w:fill="auto"/>
          </w:tcPr>
          <w:p w14:paraId="69A9106C" w14:textId="79DAF005" w:rsidR="00DB69BE"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992"/>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992"/>
                <w14:textFill>
                  <w14:solidFill>
                    <w14:srgbClr w14:val="000000">
                      <w14:alpha w14:val="100000"/>
                    </w14:srgbClr>
                  </w14:solidFill>
                </w14:textFill>
              </w:rPr>
              <w:t>|</w:t>
            </w:r>
            <w:r w:rsidR="00DB69BE" w:rsidRPr="000A33D2">
              <w:rPr>
                <w:rFonts w:ascii="Arial Narrow" w:hAnsi="Arial Narrow"/>
                <w:sz w:val="20"/>
                <w:szCs w:val="20"/>
              </w:rPr>
              <w:t>%</w:t>
            </w:r>
          </w:p>
        </w:tc>
      </w:tr>
      <w:tr w:rsidR="00DB69BE" w:rsidRPr="000A33D2" w14:paraId="0D929563" w14:textId="77777777" w:rsidTr="001807EC">
        <w:trPr>
          <w:trHeight w:val="20"/>
        </w:trPr>
        <w:tc>
          <w:tcPr>
            <w:tcW w:w="2826" w:type="pct"/>
            <w:shd w:val="clear" w:color="auto" w:fill="auto"/>
            <w:vAlign w:val="center"/>
          </w:tcPr>
          <w:p w14:paraId="7E005739"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7.5 years</w:t>
            </w:r>
          </w:p>
        </w:tc>
        <w:tc>
          <w:tcPr>
            <w:tcW w:w="551" w:type="pct"/>
            <w:shd w:val="clear" w:color="auto" w:fill="auto"/>
          </w:tcPr>
          <w:p w14:paraId="6E1F11AD" w14:textId="176C5270"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1"/>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1"/>
                <w14:textFill>
                  <w14:solidFill>
                    <w14:srgbClr w14:val="000000">
                      <w14:alpha w14:val="100000"/>
                    </w14:srgbClr>
                  </w14:solidFill>
                </w14:textFill>
              </w:rPr>
              <w:t>|</w:t>
            </w:r>
          </w:p>
        </w:tc>
        <w:tc>
          <w:tcPr>
            <w:tcW w:w="470" w:type="pct"/>
            <w:shd w:val="clear" w:color="auto" w:fill="auto"/>
          </w:tcPr>
          <w:p w14:paraId="38F6104F"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1.1234</w:t>
            </w:r>
          </w:p>
        </w:tc>
        <w:tc>
          <w:tcPr>
            <w:tcW w:w="529" w:type="pct"/>
            <w:shd w:val="clear" w:color="auto" w:fill="auto"/>
          </w:tcPr>
          <w:p w14:paraId="52DC8748" w14:textId="530C72A8"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90"/>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90"/>
                <w14:textFill>
                  <w14:solidFill>
                    <w14:srgbClr w14:val="000000">
                      <w14:alpha w14:val="100000"/>
                    </w14:srgbClr>
                  </w14:solidFill>
                </w14:textFill>
              </w:rPr>
              <w:t>|</w:t>
            </w:r>
            <w:r w:rsidR="00B64B34">
              <w:rPr>
                <w:rFonts w:ascii="Arial Narrow" w:hAnsi="Arial Narrow"/>
                <w:sz w:val="20"/>
                <w:szCs w:val="20"/>
                <w:vertAlign w:val="superscript"/>
              </w:rPr>
              <w:t>1</w:t>
            </w:r>
          </w:p>
        </w:tc>
        <w:tc>
          <w:tcPr>
            <w:tcW w:w="624" w:type="pct"/>
            <w:shd w:val="clear" w:color="auto" w:fill="auto"/>
          </w:tcPr>
          <w:p w14:paraId="713EB42A" w14:textId="612AD449" w:rsidR="00DB69BE"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989"/>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989"/>
                <w14:textFill>
                  <w14:solidFill>
                    <w14:srgbClr w14:val="000000">
                      <w14:alpha w14:val="100000"/>
                    </w14:srgbClr>
                  </w14:solidFill>
                </w14:textFill>
              </w:rPr>
              <w:t>|</w:t>
            </w:r>
            <w:r w:rsidR="00DB69BE" w:rsidRPr="000A33D2">
              <w:rPr>
                <w:rFonts w:ascii="Arial Narrow" w:hAnsi="Arial Narrow"/>
                <w:sz w:val="20"/>
                <w:szCs w:val="20"/>
              </w:rPr>
              <w:t>%</w:t>
            </w:r>
          </w:p>
        </w:tc>
      </w:tr>
      <w:tr w:rsidR="00DB69BE" w:rsidRPr="000A33D2" w14:paraId="18DF5C72" w14:textId="77777777" w:rsidTr="001807EC">
        <w:trPr>
          <w:trHeight w:val="20"/>
        </w:trPr>
        <w:tc>
          <w:tcPr>
            <w:tcW w:w="5000" w:type="pct"/>
            <w:gridSpan w:val="5"/>
            <w:shd w:val="clear" w:color="auto" w:fill="auto"/>
            <w:vAlign w:val="center"/>
          </w:tcPr>
          <w:p w14:paraId="4B79C09E" w14:textId="77777777" w:rsidR="00DB69BE" w:rsidRPr="000A33D2" w:rsidRDefault="00DB69BE" w:rsidP="00B64B34">
            <w:pPr>
              <w:keepNext/>
              <w:keepLines/>
              <w:rPr>
                <w:rFonts w:ascii="Arial Narrow" w:hAnsi="Arial Narrow"/>
                <w:b/>
                <w:bCs/>
                <w:sz w:val="20"/>
                <w:szCs w:val="20"/>
              </w:rPr>
            </w:pPr>
            <w:r w:rsidRPr="000A33D2">
              <w:rPr>
                <w:rFonts w:ascii="Arial Narrow" w:hAnsi="Arial Narrow"/>
                <w:b/>
                <w:bCs/>
                <w:sz w:val="20"/>
                <w:szCs w:val="20"/>
              </w:rPr>
              <w:t>Discount rate (5%)</w:t>
            </w:r>
          </w:p>
        </w:tc>
      </w:tr>
      <w:tr w:rsidR="00DB69BE" w:rsidRPr="000A33D2" w14:paraId="206D42AD" w14:textId="77777777" w:rsidTr="001807EC">
        <w:trPr>
          <w:trHeight w:val="20"/>
        </w:trPr>
        <w:tc>
          <w:tcPr>
            <w:tcW w:w="2826" w:type="pct"/>
            <w:shd w:val="clear" w:color="auto" w:fill="auto"/>
            <w:vAlign w:val="center"/>
          </w:tcPr>
          <w:p w14:paraId="4BEA3C3B"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3.5%</w:t>
            </w:r>
          </w:p>
        </w:tc>
        <w:tc>
          <w:tcPr>
            <w:tcW w:w="551" w:type="pct"/>
            <w:shd w:val="clear" w:color="auto" w:fill="auto"/>
            <w:vAlign w:val="center"/>
          </w:tcPr>
          <w:p w14:paraId="741593D3" w14:textId="0B329DF4"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88"/>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88"/>
                <w14:textFill>
                  <w14:solidFill>
                    <w14:srgbClr w14:val="000000">
                      <w14:alpha w14:val="100000"/>
                    </w14:srgbClr>
                  </w14:solidFill>
                </w14:textFill>
              </w:rPr>
              <w:t>|</w:t>
            </w:r>
          </w:p>
        </w:tc>
        <w:tc>
          <w:tcPr>
            <w:tcW w:w="470" w:type="pct"/>
            <w:shd w:val="clear" w:color="auto" w:fill="auto"/>
            <w:vAlign w:val="center"/>
          </w:tcPr>
          <w:p w14:paraId="7AD4F12C"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1.2845</w:t>
            </w:r>
          </w:p>
        </w:tc>
        <w:tc>
          <w:tcPr>
            <w:tcW w:w="529" w:type="pct"/>
            <w:shd w:val="clear" w:color="auto" w:fill="auto"/>
            <w:vAlign w:val="center"/>
          </w:tcPr>
          <w:p w14:paraId="56351800" w14:textId="0B942CE2"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87"/>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87"/>
                <w14:textFill>
                  <w14:solidFill>
                    <w14:srgbClr w14:val="000000">
                      <w14:alpha w14:val="100000"/>
                    </w14:srgbClr>
                  </w14:solidFill>
                </w14:textFill>
              </w:rPr>
              <w:t>|</w:t>
            </w:r>
            <w:r w:rsidR="00B64B34">
              <w:rPr>
                <w:rFonts w:ascii="Arial Narrow" w:hAnsi="Arial Narrow"/>
                <w:sz w:val="20"/>
                <w:szCs w:val="20"/>
                <w:vertAlign w:val="superscript"/>
              </w:rPr>
              <w:t>3</w:t>
            </w:r>
          </w:p>
        </w:tc>
        <w:tc>
          <w:tcPr>
            <w:tcW w:w="624" w:type="pct"/>
            <w:shd w:val="clear" w:color="auto" w:fill="auto"/>
          </w:tcPr>
          <w:p w14:paraId="4DE68AF2" w14:textId="0C998A10"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09"/>
                <w:sz w:val="20"/>
                <w:szCs w:val="20"/>
                <w:shd w:val="solid" w:color="000000" w:fill="000000"/>
                <w:fitText w:val="195" w:id="-1032575986"/>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195" w:id="-1032575986"/>
                <w14:textFill>
                  <w14:solidFill>
                    <w14:srgbClr w14:val="000000">
                      <w14:alpha w14:val="100000"/>
                    </w14:srgbClr>
                  </w14:solidFill>
                </w14:textFill>
              </w:rPr>
              <w:t>|</w:t>
            </w:r>
            <w:r w:rsidRPr="000A33D2">
              <w:rPr>
                <w:rFonts w:ascii="Arial Narrow" w:hAnsi="Arial Narrow"/>
                <w:sz w:val="20"/>
                <w:szCs w:val="20"/>
              </w:rPr>
              <w:t>%</w:t>
            </w:r>
          </w:p>
        </w:tc>
      </w:tr>
      <w:tr w:rsidR="00DB69BE" w:rsidRPr="000A33D2" w14:paraId="45BF17DC" w14:textId="77777777" w:rsidTr="001807EC">
        <w:trPr>
          <w:trHeight w:val="20"/>
        </w:trPr>
        <w:tc>
          <w:tcPr>
            <w:tcW w:w="2826" w:type="pct"/>
            <w:tcBorders>
              <w:bottom w:val="single" w:sz="4" w:space="0" w:color="000000" w:themeColor="text1"/>
            </w:tcBorders>
            <w:shd w:val="clear" w:color="auto" w:fill="auto"/>
            <w:vAlign w:val="center"/>
          </w:tcPr>
          <w:p w14:paraId="1AA3BBBE"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0%</w:t>
            </w:r>
          </w:p>
        </w:tc>
        <w:tc>
          <w:tcPr>
            <w:tcW w:w="551" w:type="pct"/>
            <w:tcBorders>
              <w:bottom w:val="single" w:sz="4" w:space="0" w:color="000000" w:themeColor="text1"/>
            </w:tcBorders>
            <w:shd w:val="clear" w:color="auto" w:fill="auto"/>
            <w:vAlign w:val="center"/>
          </w:tcPr>
          <w:p w14:paraId="16663A26" w14:textId="5F78CD58"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85"/>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85"/>
                <w14:textFill>
                  <w14:solidFill>
                    <w14:srgbClr w14:val="000000">
                      <w14:alpha w14:val="100000"/>
                    </w14:srgbClr>
                  </w14:solidFill>
                </w14:textFill>
              </w:rPr>
              <w:t>|</w:t>
            </w:r>
          </w:p>
        </w:tc>
        <w:tc>
          <w:tcPr>
            <w:tcW w:w="470" w:type="pct"/>
            <w:tcBorders>
              <w:bottom w:val="single" w:sz="4" w:space="0" w:color="000000" w:themeColor="text1"/>
            </w:tcBorders>
            <w:shd w:val="clear" w:color="auto" w:fill="auto"/>
            <w:vAlign w:val="center"/>
          </w:tcPr>
          <w:p w14:paraId="6AD17A46"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1.4666</w:t>
            </w:r>
          </w:p>
        </w:tc>
        <w:tc>
          <w:tcPr>
            <w:tcW w:w="529" w:type="pct"/>
            <w:tcBorders>
              <w:bottom w:val="single" w:sz="4" w:space="0" w:color="000000" w:themeColor="text1"/>
            </w:tcBorders>
            <w:shd w:val="clear" w:color="auto" w:fill="auto"/>
            <w:vAlign w:val="center"/>
          </w:tcPr>
          <w:p w14:paraId="014CD1A9" w14:textId="4154FB24"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84"/>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84"/>
                <w14:textFill>
                  <w14:solidFill>
                    <w14:srgbClr w14:val="000000">
                      <w14:alpha w14:val="100000"/>
                    </w14:srgbClr>
                  </w14:solidFill>
                </w14:textFill>
              </w:rPr>
              <w:t>|</w:t>
            </w:r>
            <w:r w:rsidR="00B64B34">
              <w:rPr>
                <w:rFonts w:ascii="Arial Narrow" w:hAnsi="Arial Narrow"/>
                <w:sz w:val="20"/>
                <w:szCs w:val="20"/>
                <w:vertAlign w:val="superscript"/>
              </w:rPr>
              <w:t>3</w:t>
            </w:r>
          </w:p>
        </w:tc>
        <w:tc>
          <w:tcPr>
            <w:tcW w:w="624" w:type="pct"/>
            <w:tcBorders>
              <w:bottom w:val="single" w:sz="4" w:space="0" w:color="000000" w:themeColor="text1"/>
            </w:tcBorders>
            <w:shd w:val="clear" w:color="auto" w:fill="auto"/>
          </w:tcPr>
          <w:p w14:paraId="7B13E82E" w14:textId="11F23CDB"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09"/>
                <w:sz w:val="20"/>
                <w:szCs w:val="20"/>
                <w:shd w:val="solid" w:color="000000" w:fill="000000"/>
                <w:fitText w:val="195" w:id="-1032576000"/>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195" w:id="-1032576000"/>
                <w14:textFill>
                  <w14:solidFill>
                    <w14:srgbClr w14:val="000000">
                      <w14:alpha w14:val="100000"/>
                    </w14:srgbClr>
                  </w14:solidFill>
                </w14:textFill>
              </w:rPr>
              <w:t>|</w:t>
            </w:r>
            <w:r w:rsidRPr="000A33D2">
              <w:rPr>
                <w:rFonts w:ascii="Arial Narrow" w:hAnsi="Arial Narrow"/>
                <w:sz w:val="20"/>
                <w:szCs w:val="20"/>
              </w:rPr>
              <w:t>%</w:t>
            </w:r>
          </w:p>
        </w:tc>
      </w:tr>
      <w:tr w:rsidR="003B1243" w:rsidRPr="000A33D2" w14:paraId="251C1A84" w14:textId="77777777" w:rsidTr="004322B7">
        <w:trPr>
          <w:trHeight w:val="20"/>
        </w:trPr>
        <w:tc>
          <w:tcPr>
            <w:tcW w:w="5000" w:type="pct"/>
            <w:gridSpan w:val="5"/>
            <w:tcBorders>
              <w:bottom w:val="single" w:sz="4" w:space="0" w:color="000000" w:themeColor="text1"/>
            </w:tcBorders>
            <w:shd w:val="clear" w:color="auto" w:fill="auto"/>
            <w:vAlign w:val="center"/>
          </w:tcPr>
          <w:p w14:paraId="3966501C" w14:textId="104FCD52" w:rsidR="003B1243" w:rsidRPr="000A33D2" w:rsidRDefault="003B1243" w:rsidP="00B64B34">
            <w:pPr>
              <w:keepNext/>
              <w:keepLines/>
              <w:jc w:val="left"/>
              <w:rPr>
                <w:rFonts w:ascii="Arial Narrow" w:hAnsi="Arial Narrow"/>
                <w:b/>
                <w:bCs/>
                <w:sz w:val="20"/>
                <w:szCs w:val="20"/>
              </w:rPr>
            </w:pPr>
            <w:bookmarkStart w:id="81" w:name="_Hlk144756851"/>
            <w:r w:rsidRPr="000A33D2">
              <w:rPr>
                <w:rFonts w:ascii="Arial Narrow" w:hAnsi="Arial Narrow"/>
                <w:b/>
                <w:bCs/>
                <w:sz w:val="20"/>
                <w:szCs w:val="20"/>
              </w:rPr>
              <w:t>Proportion using subsequent immunotherapy (</w:t>
            </w:r>
            <w:r w:rsidR="002F4F5C" w:rsidRPr="000A33D2">
              <w:rPr>
                <w:rFonts w:ascii="Arial Narrow" w:hAnsi="Arial Narrow"/>
                <w:b/>
                <w:bCs/>
                <w:sz w:val="20"/>
                <w:szCs w:val="20"/>
              </w:rPr>
              <w:t xml:space="preserve">56.8% (25/44) of progressed patients or </w:t>
            </w:r>
            <w:r w:rsidRPr="000A33D2">
              <w:rPr>
                <w:rFonts w:ascii="Arial Narrow" w:hAnsi="Arial Narrow"/>
                <w:b/>
                <w:bCs/>
                <w:sz w:val="20"/>
                <w:szCs w:val="20"/>
              </w:rPr>
              <w:t>65.8</w:t>
            </w:r>
            <w:r w:rsidRPr="00B64B34">
              <w:rPr>
                <w:rFonts w:ascii="Arial Narrow" w:hAnsi="Arial Narrow"/>
                <w:b/>
                <w:bCs/>
                <w:sz w:val="20"/>
                <w:szCs w:val="20"/>
              </w:rPr>
              <w:t>%</w:t>
            </w:r>
            <w:r w:rsidR="005571BF" w:rsidRPr="00B64B34">
              <w:rPr>
                <w:rFonts w:ascii="Arial Narrow" w:hAnsi="Arial Narrow"/>
                <w:b/>
                <w:bCs/>
                <w:sz w:val="20"/>
                <w:szCs w:val="20"/>
              </w:rPr>
              <w:t xml:space="preserve"> </w:t>
            </w:r>
            <w:r w:rsidR="002F4F5C" w:rsidRPr="00B64B34">
              <w:rPr>
                <w:rFonts w:ascii="Arial Narrow" w:hAnsi="Arial Narrow"/>
                <w:b/>
                <w:bCs/>
                <w:sz w:val="20"/>
                <w:szCs w:val="20"/>
              </w:rPr>
              <w:t>(25/38)</w:t>
            </w:r>
            <w:r w:rsidR="002F4F5C" w:rsidRPr="000A33D2">
              <w:rPr>
                <w:rFonts w:ascii="Arial Narrow" w:hAnsi="Arial Narrow"/>
                <w:sz w:val="20"/>
                <w:szCs w:val="20"/>
              </w:rPr>
              <w:t xml:space="preserve"> </w:t>
            </w:r>
            <w:r w:rsidR="005571BF" w:rsidRPr="000A33D2">
              <w:rPr>
                <w:rFonts w:ascii="Arial Narrow" w:hAnsi="Arial Narrow"/>
                <w:b/>
                <w:bCs/>
                <w:sz w:val="20"/>
                <w:szCs w:val="20"/>
              </w:rPr>
              <w:t xml:space="preserve">of </w:t>
            </w:r>
            <w:r w:rsidR="002F4F5C" w:rsidRPr="000A33D2">
              <w:rPr>
                <w:rFonts w:ascii="Arial Narrow" w:hAnsi="Arial Narrow"/>
                <w:b/>
                <w:bCs/>
                <w:sz w:val="20"/>
                <w:szCs w:val="20"/>
              </w:rPr>
              <w:t>subsequent treatments)</w:t>
            </w:r>
          </w:p>
        </w:tc>
      </w:tr>
      <w:tr w:rsidR="003B1243" w:rsidRPr="000A33D2" w14:paraId="76471151" w14:textId="77777777" w:rsidTr="004322B7">
        <w:trPr>
          <w:trHeight w:val="20"/>
        </w:trPr>
        <w:tc>
          <w:tcPr>
            <w:tcW w:w="2826" w:type="pct"/>
            <w:tcBorders>
              <w:bottom w:val="single" w:sz="4" w:space="0" w:color="000000" w:themeColor="text1"/>
            </w:tcBorders>
            <w:shd w:val="clear" w:color="auto" w:fill="auto"/>
            <w:vAlign w:val="center"/>
          </w:tcPr>
          <w:p w14:paraId="4231F359" w14:textId="111B1FD8" w:rsidR="003B1243" w:rsidRPr="000A33D2" w:rsidRDefault="003B1243" w:rsidP="00B64B34">
            <w:pPr>
              <w:keepNext/>
              <w:keepLines/>
              <w:rPr>
                <w:rFonts w:ascii="Arial Narrow" w:hAnsi="Arial Narrow"/>
                <w:sz w:val="20"/>
                <w:szCs w:val="20"/>
                <w:highlight w:val="yellow"/>
              </w:rPr>
            </w:pPr>
            <w:r w:rsidRPr="000A33D2">
              <w:rPr>
                <w:rFonts w:ascii="Arial Narrow" w:hAnsi="Arial Narrow"/>
                <w:sz w:val="20"/>
                <w:szCs w:val="20"/>
              </w:rPr>
              <w:t xml:space="preserve">Change proportion using subsequent immunotherapy to 51.3% </w:t>
            </w:r>
            <w:r w:rsidR="005571BF" w:rsidRPr="000A33D2">
              <w:rPr>
                <w:rFonts w:ascii="Arial Narrow" w:hAnsi="Arial Narrow"/>
                <w:sz w:val="20"/>
                <w:szCs w:val="20"/>
              </w:rPr>
              <w:t>of progressed patients (equal to 37.2% of all patients)</w:t>
            </w:r>
          </w:p>
        </w:tc>
        <w:tc>
          <w:tcPr>
            <w:tcW w:w="551" w:type="pct"/>
            <w:tcBorders>
              <w:bottom w:val="single" w:sz="4" w:space="0" w:color="000000" w:themeColor="text1"/>
            </w:tcBorders>
            <w:shd w:val="clear" w:color="auto" w:fill="auto"/>
            <w:vAlign w:val="center"/>
          </w:tcPr>
          <w:p w14:paraId="11517C6B" w14:textId="7C8FC9BC"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9"/>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9"/>
                <w14:textFill>
                  <w14:solidFill>
                    <w14:srgbClr w14:val="000000">
                      <w14:alpha w14:val="100000"/>
                    </w14:srgbClr>
                  </w14:solidFill>
                </w14:textFill>
              </w:rPr>
              <w:t>|</w:t>
            </w:r>
          </w:p>
        </w:tc>
        <w:tc>
          <w:tcPr>
            <w:tcW w:w="470" w:type="pct"/>
            <w:tcBorders>
              <w:bottom w:val="single" w:sz="4" w:space="0" w:color="000000" w:themeColor="text1"/>
            </w:tcBorders>
            <w:shd w:val="clear" w:color="auto" w:fill="auto"/>
            <w:vAlign w:val="center"/>
          </w:tcPr>
          <w:p w14:paraId="7E1EDB9A" w14:textId="77777777"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1.2171</w:t>
            </w:r>
          </w:p>
        </w:tc>
        <w:tc>
          <w:tcPr>
            <w:tcW w:w="529" w:type="pct"/>
            <w:tcBorders>
              <w:bottom w:val="single" w:sz="4" w:space="0" w:color="000000" w:themeColor="text1"/>
            </w:tcBorders>
            <w:shd w:val="clear" w:color="auto" w:fill="auto"/>
            <w:vAlign w:val="center"/>
          </w:tcPr>
          <w:p w14:paraId="00DB8EC5" w14:textId="5019D7C1"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98"/>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98"/>
                <w14:textFill>
                  <w14:solidFill>
                    <w14:srgbClr w14:val="000000">
                      <w14:alpha w14:val="100000"/>
                    </w14:srgbClr>
                  </w14:solidFill>
                </w14:textFill>
              </w:rPr>
              <w:t>|</w:t>
            </w:r>
            <w:r w:rsidR="00B64B34">
              <w:rPr>
                <w:rFonts w:ascii="Arial Narrow" w:hAnsi="Arial Narrow"/>
                <w:sz w:val="20"/>
                <w:szCs w:val="20"/>
                <w:vertAlign w:val="superscript"/>
              </w:rPr>
              <w:t>1</w:t>
            </w:r>
          </w:p>
        </w:tc>
        <w:tc>
          <w:tcPr>
            <w:tcW w:w="624" w:type="pct"/>
            <w:tcBorders>
              <w:bottom w:val="single" w:sz="4" w:space="0" w:color="000000" w:themeColor="text1"/>
            </w:tcBorders>
            <w:shd w:val="clear" w:color="auto" w:fill="auto"/>
            <w:vAlign w:val="center"/>
          </w:tcPr>
          <w:p w14:paraId="0200DDBB" w14:textId="1D44B295" w:rsidR="003B1243"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997"/>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997"/>
                <w14:textFill>
                  <w14:solidFill>
                    <w14:srgbClr w14:val="000000">
                      <w14:alpha w14:val="100000"/>
                    </w14:srgbClr>
                  </w14:solidFill>
                </w14:textFill>
              </w:rPr>
              <w:t>|</w:t>
            </w:r>
            <w:r w:rsidR="003B1243" w:rsidRPr="000A33D2">
              <w:rPr>
                <w:rFonts w:ascii="Arial Narrow" w:hAnsi="Arial Narrow"/>
                <w:sz w:val="20"/>
                <w:szCs w:val="20"/>
              </w:rPr>
              <w:t>%</w:t>
            </w:r>
          </w:p>
        </w:tc>
      </w:tr>
      <w:tr w:rsidR="003B1243" w:rsidRPr="000A33D2" w14:paraId="0C0CBC44" w14:textId="77777777" w:rsidTr="004322B7">
        <w:trPr>
          <w:trHeight w:val="20"/>
        </w:trPr>
        <w:tc>
          <w:tcPr>
            <w:tcW w:w="5000" w:type="pct"/>
            <w:gridSpan w:val="5"/>
            <w:shd w:val="clear" w:color="auto" w:fill="auto"/>
            <w:vAlign w:val="center"/>
          </w:tcPr>
          <w:p w14:paraId="7288FADC" w14:textId="77777777" w:rsidR="003B1243" w:rsidRPr="000A33D2" w:rsidRDefault="003B1243" w:rsidP="00B64B34">
            <w:pPr>
              <w:keepNext/>
              <w:keepLines/>
              <w:rPr>
                <w:rFonts w:ascii="Arial Narrow" w:hAnsi="Arial Narrow"/>
                <w:b/>
                <w:bCs/>
                <w:sz w:val="20"/>
                <w:szCs w:val="20"/>
              </w:rPr>
            </w:pPr>
            <w:r w:rsidRPr="000A33D2">
              <w:rPr>
                <w:rFonts w:ascii="Arial Narrow" w:hAnsi="Arial Narrow"/>
                <w:b/>
                <w:bCs/>
                <w:sz w:val="20"/>
                <w:szCs w:val="20"/>
              </w:rPr>
              <w:t>Terminal care costs ($</w:t>
            </w:r>
            <w:r w:rsidRPr="00E15D52">
              <w:rPr>
                <w:rFonts w:ascii="Arial Narrow" w:hAnsi="Arial Narrow"/>
                <w:b/>
                <w:bCs/>
                <w:sz w:val="20"/>
                <w:szCs w:val="20"/>
              </w:rPr>
              <w:t>63,048</w:t>
            </w:r>
            <w:r w:rsidRPr="000A33D2">
              <w:rPr>
                <w:rFonts w:ascii="Arial Narrow" w:hAnsi="Arial Narrow"/>
                <w:b/>
                <w:bCs/>
                <w:sz w:val="20"/>
                <w:szCs w:val="20"/>
              </w:rPr>
              <w:t>; Goldsbury 2018)</w:t>
            </w:r>
          </w:p>
        </w:tc>
      </w:tr>
      <w:tr w:rsidR="003B1243" w:rsidRPr="000A33D2" w14:paraId="56F6C492" w14:textId="77777777" w:rsidTr="004322B7">
        <w:trPr>
          <w:trHeight w:val="20"/>
        </w:trPr>
        <w:tc>
          <w:tcPr>
            <w:tcW w:w="2826" w:type="pct"/>
            <w:shd w:val="clear" w:color="auto" w:fill="auto"/>
            <w:vAlign w:val="center"/>
          </w:tcPr>
          <w:p w14:paraId="41B57752" w14:textId="77777777" w:rsidR="003B1243" w:rsidRPr="000A33D2" w:rsidRDefault="003B1243" w:rsidP="00B64B34">
            <w:pPr>
              <w:keepNext/>
              <w:keepLines/>
              <w:rPr>
                <w:rFonts w:ascii="Arial Narrow" w:hAnsi="Arial Narrow"/>
                <w:sz w:val="20"/>
                <w:szCs w:val="20"/>
              </w:rPr>
            </w:pPr>
            <w:r w:rsidRPr="000A33D2">
              <w:rPr>
                <w:rFonts w:ascii="Arial Narrow" w:hAnsi="Arial Narrow"/>
                <w:sz w:val="20"/>
                <w:szCs w:val="20"/>
              </w:rPr>
              <w:t>$0 (excluded)</w:t>
            </w:r>
          </w:p>
        </w:tc>
        <w:tc>
          <w:tcPr>
            <w:tcW w:w="551" w:type="pct"/>
            <w:shd w:val="clear" w:color="auto" w:fill="auto"/>
            <w:vAlign w:val="center"/>
          </w:tcPr>
          <w:p w14:paraId="69AF593B" w14:textId="3C774626"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6"/>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6"/>
                <w14:textFill>
                  <w14:solidFill>
                    <w14:srgbClr w14:val="000000">
                      <w14:alpha w14:val="100000"/>
                    </w14:srgbClr>
                  </w14:solidFill>
                </w14:textFill>
              </w:rPr>
              <w:t>|</w:t>
            </w:r>
          </w:p>
        </w:tc>
        <w:tc>
          <w:tcPr>
            <w:tcW w:w="470" w:type="pct"/>
            <w:shd w:val="clear" w:color="auto" w:fill="auto"/>
            <w:vAlign w:val="center"/>
          </w:tcPr>
          <w:p w14:paraId="06FF217A" w14:textId="77777777"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1.2171</w:t>
            </w:r>
          </w:p>
        </w:tc>
        <w:tc>
          <w:tcPr>
            <w:tcW w:w="529" w:type="pct"/>
            <w:shd w:val="clear" w:color="auto" w:fill="auto"/>
            <w:vAlign w:val="center"/>
          </w:tcPr>
          <w:p w14:paraId="04B3EE29" w14:textId="40E10BD1" w:rsidR="003B1243" w:rsidRPr="00B64B34" w:rsidRDefault="003B1243"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95"/>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95"/>
                <w14:textFill>
                  <w14:solidFill>
                    <w14:srgbClr w14:val="000000">
                      <w14:alpha w14:val="100000"/>
                    </w14:srgbClr>
                  </w14:solidFill>
                </w14:textFill>
              </w:rPr>
              <w:t>|</w:t>
            </w:r>
            <w:r w:rsidR="00B64B34" w:rsidRPr="00B64B34">
              <w:rPr>
                <w:rFonts w:ascii="Arial Narrow" w:hAnsi="Arial Narrow"/>
                <w:sz w:val="20"/>
                <w:szCs w:val="20"/>
                <w:vertAlign w:val="superscript"/>
              </w:rPr>
              <w:t>1</w:t>
            </w:r>
          </w:p>
        </w:tc>
        <w:tc>
          <w:tcPr>
            <w:tcW w:w="624" w:type="pct"/>
            <w:shd w:val="clear" w:color="auto" w:fill="auto"/>
          </w:tcPr>
          <w:p w14:paraId="05C44E26" w14:textId="7A05FBC5" w:rsidR="003B1243"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994"/>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994"/>
                <w14:textFill>
                  <w14:solidFill>
                    <w14:srgbClr w14:val="000000">
                      <w14:alpha w14:val="100000"/>
                    </w14:srgbClr>
                  </w14:solidFill>
                </w14:textFill>
              </w:rPr>
              <w:t>|</w:t>
            </w:r>
            <w:r w:rsidR="003B1243" w:rsidRPr="00B64B34">
              <w:rPr>
                <w:rFonts w:ascii="Arial Narrow" w:hAnsi="Arial Narrow"/>
                <w:sz w:val="20"/>
                <w:szCs w:val="20"/>
              </w:rPr>
              <w:t>%</w:t>
            </w:r>
          </w:p>
        </w:tc>
      </w:tr>
      <w:tr w:rsidR="003B1243" w:rsidRPr="000A33D2" w14:paraId="3873E09C" w14:textId="77777777" w:rsidTr="004322B7">
        <w:trPr>
          <w:trHeight w:val="20"/>
        </w:trPr>
        <w:tc>
          <w:tcPr>
            <w:tcW w:w="5000" w:type="pct"/>
            <w:gridSpan w:val="5"/>
            <w:shd w:val="clear" w:color="auto" w:fill="auto"/>
            <w:vAlign w:val="center"/>
          </w:tcPr>
          <w:p w14:paraId="33F77C9A" w14:textId="77777777" w:rsidR="003B1243" w:rsidRPr="000A33D2" w:rsidRDefault="003B1243" w:rsidP="00B64B34">
            <w:pPr>
              <w:keepNext/>
              <w:keepLines/>
              <w:rPr>
                <w:rFonts w:ascii="Arial Narrow" w:hAnsi="Arial Narrow"/>
                <w:b/>
                <w:bCs/>
                <w:sz w:val="20"/>
                <w:szCs w:val="20"/>
              </w:rPr>
            </w:pPr>
            <w:r w:rsidRPr="000A33D2">
              <w:rPr>
                <w:rFonts w:ascii="Arial Narrow" w:hAnsi="Arial Narrow"/>
                <w:b/>
                <w:bCs/>
                <w:sz w:val="20"/>
                <w:szCs w:val="20"/>
              </w:rPr>
              <w:t>PFS and OS HR (point estimate from RUBY, OS = 0.3, PFS = 0.28)</w:t>
            </w:r>
          </w:p>
        </w:tc>
      </w:tr>
      <w:tr w:rsidR="003B1243" w:rsidRPr="000A33D2" w14:paraId="504A88FA" w14:textId="77777777" w:rsidTr="004322B7">
        <w:trPr>
          <w:trHeight w:val="20"/>
        </w:trPr>
        <w:tc>
          <w:tcPr>
            <w:tcW w:w="2826" w:type="pct"/>
            <w:shd w:val="clear" w:color="auto" w:fill="auto"/>
            <w:vAlign w:val="center"/>
          </w:tcPr>
          <w:p w14:paraId="507C9125" w14:textId="77777777" w:rsidR="003B1243" w:rsidRPr="000A33D2" w:rsidRDefault="003B1243" w:rsidP="00B64B34">
            <w:pPr>
              <w:keepNext/>
              <w:keepLines/>
              <w:rPr>
                <w:rFonts w:ascii="Arial Narrow" w:hAnsi="Arial Narrow"/>
                <w:sz w:val="20"/>
                <w:szCs w:val="20"/>
              </w:rPr>
            </w:pPr>
            <w:r w:rsidRPr="000A33D2">
              <w:rPr>
                <w:rFonts w:ascii="Arial Narrow" w:hAnsi="Arial Narrow"/>
                <w:sz w:val="20"/>
                <w:szCs w:val="20"/>
              </w:rPr>
              <w:t>Upper 95% CI (OS = 0.70,PFS = 0.50)</w:t>
            </w:r>
          </w:p>
        </w:tc>
        <w:tc>
          <w:tcPr>
            <w:tcW w:w="551" w:type="pct"/>
            <w:shd w:val="clear" w:color="auto" w:fill="auto"/>
            <w:vAlign w:val="center"/>
          </w:tcPr>
          <w:p w14:paraId="55D9156D" w14:textId="1C887548"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3"/>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3"/>
                <w14:textFill>
                  <w14:solidFill>
                    <w14:srgbClr w14:val="000000">
                      <w14:alpha w14:val="100000"/>
                    </w14:srgbClr>
                  </w14:solidFill>
                </w14:textFill>
              </w:rPr>
              <w:t>|</w:t>
            </w:r>
          </w:p>
        </w:tc>
        <w:tc>
          <w:tcPr>
            <w:tcW w:w="470" w:type="pct"/>
            <w:shd w:val="clear" w:color="auto" w:fill="auto"/>
            <w:vAlign w:val="center"/>
          </w:tcPr>
          <w:p w14:paraId="0417E066" w14:textId="77777777"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1.1048</w:t>
            </w:r>
          </w:p>
        </w:tc>
        <w:tc>
          <w:tcPr>
            <w:tcW w:w="529" w:type="pct"/>
            <w:shd w:val="clear" w:color="auto" w:fill="auto"/>
            <w:vAlign w:val="center"/>
          </w:tcPr>
          <w:p w14:paraId="23086ED1" w14:textId="4C7D3963" w:rsidR="003B1243" w:rsidRPr="00B64B34" w:rsidRDefault="003B1243"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92"/>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92"/>
                <w14:textFill>
                  <w14:solidFill>
                    <w14:srgbClr w14:val="000000">
                      <w14:alpha w14:val="100000"/>
                    </w14:srgbClr>
                  </w14:solidFill>
                </w14:textFill>
              </w:rPr>
              <w:t>|</w:t>
            </w:r>
            <w:r w:rsidR="00B64B34" w:rsidRPr="00B64B34">
              <w:rPr>
                <w:rFonts w:ascii="Arial Narrow" w:hAnsi="Arial Narrow"/>
                <w:sz w:val="20"/>
                <w:szCs w:val="20"/>
                <w:vertAlign w:val="superscript"/>
              </w:rPr>
              <w:t>1</w:t>
            </w:r>
          </w:p>
        </w:tc>
        <w:tc>
          <w:tcPr>
            <w:tcW w:w="624" w:type="pct"/>
            <w:shd w:val="clear" w:color="auto" w:fill="auto"/>
          </w:tcPr>
          <w:p w14:paraId="158FFF87" w14:textId="3EA62CC8" w:rsidR="003B1243"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109"/>
                <w:sz w:val="20"/>
                <w:szCs w:val="20"/>
                <w:shd w:val="solid" w:color="000000" w:fill="000000"/>
                <w:fitText w:val="195" w:id="-1032575991"/>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95" w:id="-1032575991"/>
                <w14:textFill>
                  <w14:solidFill>
                    <w14:srgbClr w14:val="000000">
                      <w14:alpha w14:val="100000"/>
                    </w14:srgbClr>
                  </w14:solidFill>
                </w14:textFill>
              </w:rPr>
              <w:t>|</w:t>
            </w:r>
            <w:r w:rsidR="00B64B34">
              <w:rPr>
                <w:rFonts w:ascii="Arial Narrow" w:hAnsi="Arial Narrow"/>
                <w:sz w:val="20"/>
                <w:szCs w:val="20"/>
              </w:rPr>
              <w:t>%</w:t>
            </w:r>
            <w:r w:rsidR="003B1243" w:rsidRPr="000A33D2">
              <w:rPr>
                <w:rFonts w:ascii="Arial Narrow" w:hAnsi="Arial Narrow"/>
                <w:sz w:val="20"/>
                <w:szCs w:val="20"/>
              </w:rPr>
              <w:t>.</w:t>
            </w:r>
          </w:p>
        </w:tc>
      </w:tr>
      <w:tr w:rsidR="003B1243" w:rsidRPr="000A33D2" w14:paraId="3CBF9068" w14:textId="77777777" w:rsidTr="004322B7">
        <w:trPr>
          <w:trHeight w:val="20"/>
        </w:trPr>
        <w:tc>
          <w:tcPr>
            <w:tcW w:w="2826" w:type="pct"/>
            <w:shd w:val="clear" w:color="auto" w:fill="auto"/>
            <w:vAlign w:val="center"/>
          </w:tcPr>
          <w:p w14:paraId="5675BBBB" w14:textId="77777777" w:rsidR="003B1243" w:rsidRPr="000A33D2" w:rsidRDefault="003B1243" w:rsidP="00B64B34">
            <w:pPr>
              <w:keepNext/>
              <w:keepLines/>
              <w:rPr>
                <w:rFonts w:ascii="Arial Narrow" w:hAnsi="Arial Narrow"/>
                <w:sz w:val="20"/>
                <w:szCs w:val="20"/>
              </w:rPr>
            </w:pPr>
            <w:r w:rsidRPr="000A33D2">
              <w:rPr>
                <w:rFonts w:ascii="Arial Narrow" w:hAnsi="Arial Narrow"/>
                <w:sz w:val="20"/>
                <w:szCs w:val="20"/>
              </w:rPr>
              <w:t>Lower 95% CI (OS = 0.13,PFS = 0.16)</w:t>
            </w:r>
          </w:p>
        </w:tc>
        <w:tc>
          <w:tcPr>
            <w:tcW w:w="551" w:type="pct"/>
            <w:shd w:val="clear" w:color="auto" w:fill="auto"/>
            <w:vAlign w:val="center"/>
          </w:tcPr>
          <w:p w14:paraId="7DAFD7C3" w14:textId="42C67C4C"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90"/>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90"/>
                <w14:textFill>
                  <w14:solidFill>
                    <w14:srgbClr w14:val="000000">
                      <w14:alpha w14:val="100000"/>
                    </w14:srgbClr>
                  </w14:solidFill>
                </w14:textFill>
              </w:rPr>
              <w:t>|</w:t>
            </w:r>
          </w:p>
        </w:tc>
        <w:tc>
          <w:tcPr>
            <w:tcW w:w="470" w:type="pct"/>
            <w:shd w:val="clear" w:color="auto" w:fill="auto"/>
            <w:vAlign w:val="center"/>
          </w:tcPr>
          <w:p w14:paraId="5DF54415" w14:textId="77777777"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1.2670</w:t>
            </w:r>
          </w:p>
        </w:tc>
        <w:tc>
          <w:tcPr>
            <w:tcW w:w="529" w:type="pct"/>
            <w:shd w:val="clear" w:color="auto" w:fill="auto"/>
            <w:vAlign w:val="center"/>
          </w:tcPr>
          <w:p w14:paraId="2541B75E" w14:textId="193ACB68"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989"/>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989"/>
                <w14:textFill>
                  <w14:solidFill>
                    <w14:srgbClr w14:val="000000">
                      <w14:alpha w14:val="100000"/>
                    </w14:srgbClr>
                  </w14:solidFill>
                </w14:textFill>
              </w:rPr>
              <w:t>|</w:t>
            </w:r>
            <w:r w:rsidR="00B64B34">
              <w:rPr>
                <w:rFonts w:ascii="Arial Narrow" w:hAnsi="Arial Narrow"/>
                <w:sz w:val="20"/>
                <w:szCs w:val="20"/>
                <w:vertAlign w:val="superscript"/>
              </w:rPr>
              <w:t>3</w:t>
            </w:r>
          </w:p>
        </w:tc>
        <w:tc>
          <w:tcPr>
            <w:tcW w:w="624" w:type="pct"/>
            <w:shd w:val="clear" w:color="auto" w:fill="auto"/>
          </w:tcPr>
          <w:p w14:paraId="65244D8A" w14:textId="30AFBD35" w:rsidR="003B1243" w:rsidRPr="000A33D2" w:rsidRDefault="003B1243"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09"/>
                <w:sz w:val="20"/>
                <w:szCs w:val="20"/>
                <w:shd w:val="solid" w:color="000000" w:fill="000000"/>
                <w:fitText w:val="195" w:id="-1032575988"/>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195" w:id="-1032575988"/>
                <w14:textFill>
                  <w14:solidFill>
                    <w14:srgbClr w14:val="000000">
                      <w14:alpha w14:val="100000"/>
                    </w14:srgbClr>
                  </w14:solidFill>
                </w14:textFill>
              </w:rPr>
              <w:t>|</w:t>
            </w:r>
            <w:r w:rsidRPr="000A33D2">
              <w:rPr>
                <w:rFonts w:ascii="Arial Narrow" w:hAnsi="Arial Narrow"/>
                <w:sz w:val="20"/>
                <w:szCs w:val="20"/>
              </w:rPr>
              <w:t>%</w:t>
            </w:r>
          </w:p>
        </w:tc>
      </w:tr>
      <w:bookmarkEnd w:id="81"/>
      <w:tr w:rsidR="00DB69BE" w:rsidRPr="000A33D2" w14:paraId="5DDD8939" w14:textId="77777777" w:rsidTr="001807EC">
        <w:trPr>
          <w:trHeight w:val="20"/>
        </w:trPr>
        <w:tc>
          <w:tcPr>
            <w:tcW w:w="5000" w:type="pct"/>
            <w:gridSpan w:val="5"/>
            <w:shd w:val="clear" w:color="auto" w:fill="auto"/>
            <w:vAlign w:val="center"/>
          </w:tcPr>
          <w:p w14:paraId="270DF786" w14:textId="77777777" w:rsidR="00DB69BE" w:rsidRPr="000A33D2" w:rsidRDefault="00DB69BE" w:rsidP="00B64B34">
            <w:pPr>
              <w:keepNext/>
              <w:keepLines/>
              <w:rPr>
                <w:rFonts w:ascii="Arial Narrow" w:hAnsi="Arial Narrow"/>
                <w:b/>
                <w:bCs/>
                <w:sz w:val="20"/>
                <w:szCs w:val="20"/>
              </w:rPr>
            </w:pPr>
            <w:r w:rsidRPr="000A33D2">
              <w:rPr>
                <w:rFonts w:ascii="Arial Narrow" w:hAnsi="Arial Narrow"/>
                <w:b/>
                <w:bCs/>
                <w:sz w:val="20"/>
                <w:szCs w:val="20"/>
              </w:rPr>
              <w:t>Convergence of survival curves (between 3 to 10 years)</w:t>
            </w:r>
          </w:p>
        </w:tc>
      </w:tr>
      <w:tr w:rsidR="00DB69BE" w:rsidRPr="000A33D2" w14:paraId="7FF7E0A9" w14:textId="77777777" w:rsidTr="001807EC">
        <w:trPr>
          <w:trHeight w:val="20"/>
        </w:trPr>
        <w:tc>
          <w:tcPr>
            <w:tcW w:w="2826" w:type="pct"/>
            <w:shd w:val="clear" w:color="auto" w:fill="auto"/>
            <w:vAlign w:val="center"/>
          </w:tcPr>
          <w:p w14:paraId="7ECFC498"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Between 3 and 7.5 years</w:t>
            </w:r>
          </w:p>
        </w:tc>
        <w:tc>
          <w:tcPr>
            <w:tcW w:w="551" w:type="pct"/>
            <w:shd w:val="clear" w:color="auto" w:fill="auto"/>
            <w:vAlign w:val="center"/>
          </w:tcPr>
          <w:p w14:paraId="03B603AB" w14:textId="22D6E2AE"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987"/>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987"/>
                <w14:textFill>
                  <w14:solidFill>
                    <w14:srgbClr w14:val="000000">
                      <w14:alpha w14:val="100000"/>
                    </w14:srgbClr>
                  </w14:solidFill>
                </w14:textFill>
              </w:rPr>
              <w:t>|</w:t>
            </w:r>
          </w:p>
        </w:tc>
        <w:tc>
          <w:tcPr>
            <w:tcW w:w="470" w:type="pct"/>
            <w:shd w:val="clear" w:color="auto" w:fill="auto"/>
            <w:vAlign w:val="center"/>
          </w:tcPr>
          <w:p w14:paraId="78B761C1"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0.9276</w:t>
            </w:r>
          </w:p>
        </w:tc>
        <w:tc>
          <w:tcPr>
            <w:tcW w:w="529" w:type="pct"/>
            <w:shd w:val="clear" w:color="auto" w:fill="auto"/>
            <w:vAlign w:val="center"/>
          </w:tcPr>
          <w:p w14:paraId="2E2E1084" w14:textId="3297685D"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44"/>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44"/>
                <w14:textFill>
                  <w14:solidFill>
                    <w14:srgbClr w14:val="000000">
                      <w14:alpha w14:val="100000"/>
                    </w14:srgbClr>
                  </w14:solidFill>
                </w14:textFill>
              </w:rPr>
              <w:t>|</w:t>
            </w:r>
            <w:r w:rsidR="00B64B34">
              <w:rPr>
                <w:rFonts w:ascii="Arial Narrow" w:hAnsi="Arial Narrow"/>
                <w:sz w:val="20"/>
                <w:szCs w:val="20"/>
                <w:vertAlign w:val="superscript"/>
              </w:rPr>
              <w:t>2</w:t>
            </w:r>
          </w:p>
        </w:tc>
        <w:tc>
          <w:tcPr>
            <w:tcW w:w="624" w:type="pct"/>
            <w:shd w:val="clear" w:color="auto" w:fill="auto"/>
          </w:tcPr>
          <w:p w14:paraId="383C64E8" w14:textId="63CF1857" w:rsidR="00DB69BE"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743"/>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743"/>
                <w14:textFill>
                  <w14:solidFill>
                    <w14:srgbClr w14:val="000000">
                      <w14:alpha w14:val="100000"/>
                    </w14:srgbClr>
                  </w14:solidFill>
                </w14:textFill>
              </w:rPr>
              <w:t>|</w:t>
            </w:r>
            <w:r w:rsidR="00DB69BE" w:rsidRPr="000A33D2">
              <w:rPr>
                <w:rFonts w:ascii="Arial Narrow" w:hAnsi="Arial Narrow"/>
                <w:sz w:val="20"/>
                <w:szCs w:val="20"/>
              </w:rPr>
              <w:t>%</w:t>
            </w:r>
          </w:p>
        </w:tc>
      </w:tr>
      <w:tr w:rsidR="00DB69BE" w:rsidRPr="000A33D2" w14:paraId="1E9BD0CE" w14:textId="77777777" w:rsidTr="001807EC">
        <w:trPr>
          <w:trHeight w:val="20"/>
        </w:trPr>
        <w:tc>
          <w:tcPr>
            <w:tcW w:w="2826" w:type="pct"/>
            <w:shd w:val="clear" w:color="auto" w:fill="auto"/>
            <w:vAlign w:val="center"/>
          </w:tcPr>
          <w:p w14:paraId="63729F11"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 xml:space="preserve">No convergence </w:t>
            </w:r>
          </w:p>
        </w:tc>
        <w:tc>
          <w:tcPr>
            <w:tcW w:w="551" w:type="pct"/>
            <w:shd w:val="clear" w:color="auto" w:fill="auto"/>
            <w:vAlign w:val="center"/>
          </w:tcPr>
          <w:p w14:paraId="3F4D29C4" w14:textId="332A52A3"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42"/>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42"/>
                <w14:textFill>
                  <w14:solidFill>
                    <w14:srgbClr w14:val="000000">
                      <w14:alpha w14:val="100000"/>
                    </w14:srgbClr>
                  </w14:solidFill>
                </w14:textFill>
              </w:rPr>
              <w:t>|</w:t>
            </w:r>
          </w:p>
        </w:tc>
        <w:tc>
          <w:tcPr>
            <w:tcW w:w="470" w:type="pct"/>
            <w:shd w:val="clear" w:color="auto" w:fill="auto"/>
            <w:vAlign w:val="center"/>
          </w:tcPr>
          <w:p w14:paraId="0E480ED6"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1.9254</w:t>
            </w:r>
          </w:p>
        </w:tc>
        <w:tc>
          <w:tcPr>
            <w:tcW w:w="529" w:type="pct"/>
            <w:shd w:val="clear" w:color="auto" w:fill="auto"/>
            <w:vAlign w:val="center"/>
          </w:tcPr>
          <w:p w14:paraId="7D6DD7EB" w14:textId="3B2F5FB7" w:rsidR="00DB69BE" w:rsidRPr="00B64B34" w:rsidRDefault="00DB69BE"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41"/>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41"/>
                <w14:textFill>
                  <w14:solidFill>
                    <w14:srgbClr w14:val="000000">
                      <w14:alpha w14:val="100000"/>
                    </w14:srgbClr>
                  </w14:solidFill>
                </w14:textFill>
              </w:rPr>
              <w:t>|</w:t>
            </w:r>
            <w:r w:rsidR="00B64B34" w:rsidRPr="00B64B34">
              <w:rPr>
                <w:rFonts w:ascii="Arial Narrow" w:hAnsi="Arial Narrow"/>
                <w:sz w:val="20"/>
                <w:szCs w:val="20"/>
                <w:vertAlign w:val="superscript"/>
              </w:rPr>
              <w:t>4</w:t>
            </w:r>
          </w:p>
        </w:tc>
        <w:tc>
          <w:tcPr>
            <w:tcW w:w="624" w:type="pct"/>
            <w:shd w:val="clear" w:color="auto" w:fill="auto"/>
          </w:tcPr>
          <w:p w14:paraId="7A014AB4" w14:textId="44956BBE"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09"/>
                <w:sz w:val="20"/>
                <w:szCs w:val="20"/>
                <w:shd w:val="solid" w:color="000000" w:fill="000000"/>
                <w:fitText w:val="195" w:id="-1032575740"/>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195" w:id="-1032575740"/>
                <w14:textFill>
                  <w14:solidFill>
                    <w14:srgbClr w14:val="000000">
                      <w14:alpha w14:val="100000"/>
                    </w14:srgbClr>
                  </w14:solidFill>
                </w14:textFill>
              </w:rPr>
              <w:t>|</w:t>
            </w:r>
            <w:r w:rsidRPr="000A33D2">
              <w:rPr>
                <w:rFonts w:ascii="Arial Narrow" w:hAnsi="Arial Narrow"/>
                <w:sz w:val="20"/>
                <w:szCs w:val="20"/>
              </w:rPr>
              <w:t>%</w:t>
            </w:r>
          </w:p>
        </w:tc>
      </w:tr>
      <w:tr w:rsidR="00DB69BE" w:rsidRPr="000A33D2" w14:paraId="36227ED5" w14:textId="77777777" w:rsidTr="001807EC">
        <w:trPr>
          <w:trHeight w:val="20"/>
        </w:trPr>
        <w:tc>
          <w:tcPr>
            <w:tcW w:w="5000" w:type="pct"/>
            <w:gridSpan w:val="5"/>
            <w:shd w:val="clear" w:color="auto" w:fill="auto"/>
            <w:vAlign w:val="center"/>
          </w:tcPr>
          <w:p w14:paraId="5AA63A96" w14:textId="77777777" w:rsidR="00DB69BE" w:rsidRPr="000A33D2" w:rsidRDefault="00DB69BE" w:rsidP="00B64B34">
            <w:pPr>
              <w:keepNext/>
              <w:keepLines/>
              <w:rPr>
                <w:rFonts w:ascii="Arial Narrow" w:hAnsi="Arial Narrow"/>
                <w:b/>
                <w:bCs/>
                <w:sz w:val="20"/>
                <w:szCs w:val="20"/>
              </w:rPr>
            </w:pPr>
            <w:r w:rsidRPr="000A33D2">
              <w:rPr>
                <w:rFonts w:ascii="Arial Narrow" w:hAnsi="Arial Narrow"/>
                <w:b/>
                <w:bCs/>
                <w:sz w:val="20"/>
                <w:szCs w:val="20"/>
              </w:rPr>
              <w:t xml:space="preserve">Method of extrapolation for OS and PFS (LT real-world data plus HRs [Miller 2020 ITT – CP arm]) </w:t>
            </w:r>
            <w:r w:rsidRPr="000A33D2">
              <w:rPr>
                <w:rFonts w:ascii="Arial Narrow" w:hAnsi="Arial Narrow"/>
                <w:b/>
                <w:bCs/>
                <w:sz w:val="20"/>
                <w:szCs w:val="20"/>
                <w:vertAlign w:val="superscript"/>
              </w:rPr>
              <w:t>a</w:t>
            </w:r>
          </w:p>
        </w:tc>
      </w:tr>
      <w:tr w:rsidR="00E8030E" w:rsidRPr="000A33D2" w14:paraId="0E11CFEC" w14:textId="77777777" w:rsidTr="001807EC">
        <w:trPr>
          <w:trHeight w:val="20"/>
        </w:trPr>
        <w:tc>
          <w:tcPr>
            <w:tcW w:w="2826" w:type="pct"/>
            <w:shd w:val="clear" w:color="auto" w:fill="auto"/>
            <w:vAlign w:val="center"/>
          </w:tcPr>
          <w:p w14:paraId="3B9D3329" w14:textId="5A650630" w:rsidR="00E8030E" w:rsidRPr="000A33D2" w:rsidRDefault="00E8030E" w:rsidP="00B64B34">
            <w:pPr>
              <w:keepNext/>
              <w:keepLines/>
              <w:rPr>
                <w:rFonts w:ascii="Arial Narrow" w:hAnsi="Arial Narrow"/>
                <w:sz w:val="20"/>
                <w:szCs w:val="20"/>
              </w:rPr>
            </w:pPr>
            <w:r w:rsidRPr="000A33D2">
              <w:rPr>
                <w:rFonts w:ascii="Arial Narrow" w:hAnsi="Arial Narrow"/>
                <w:sz w:val="20"/>
                <w:szCs w:val="20"/>
              </w:rPr>
              <w:t>OS KM data up to 22 months for CP arm (base case 25.07 months)</w:t>
            </w:r>
          </w:p>
        </w:tc>
        <w:tc>
          <w:tcPr>
            <w:tcW w:w="551" w:type="pct"/>
            <w:shd w:val="clear" w:color="auto" w:fill="auto"/>
            <w:vAlign w:val="center"/>
          </w:tcPr>
          <w:p w14:paraId="18C085E3" w14:textId="0F4FF661" w:rsidR="00E8030E" w:rsidRPr="000A33D2" w:rsidRDefault="00E8030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39"/>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39"/>
                <w14:textFill>
                  <w14:solidFill>
                    <w14:srgbClr w14:val="000000">
                      <w14:alpha w14:val="100000"/>
                    </w14:srgbClr>
                  </w14:solidFill>
                </w14:textFill>
              </w:rPr>
              <w:t>|</w:t>
            </w:r>
          </w:p>
        </w:tc>
        <w:tc>
          <w:tcPr>
            <w:tcW w:w="470" w:type="pct"/>
            <w:shd w:val="clear" w:color="auto" w:fill="auto"/>
            <w:vAlign w:val="center"/>
          </w:tcPr>
          <w:p w14:paraId="2CDD0EB6" w14:textId="58E5AA1C" w:rsidR="00E8030E" w:rsidRPr="000A33D2" w:rsidRDefault="00E8030E" w:rsidP="00B64B34">
            <w:pPr>
              <w:keepNext/>
              <w:keepLines/>
              <w:jc w:val="center"/>
              <w:rPr>
                <w:rFonts w:ascii="Arial Narrow" w:hAnsi="Arial Narrow"/>
                <w:sz w:val="20"/>
                <w:szCs w:val="20"/>
              </w:rPr>
            </w:pPr>
            <w:r w:rsidRPr="000A33D2">
              <w:rPr>
                <w:rFonts w:ascii="Arial Narrow" w:hAnsi="Arial Narrow"/>
                <w:sz w:val="20"/>
                <w:szCs w:val="20"/>
              </w:rPr>
              <w:t>1.1383</w:t>
            </w:r>
          </w:p>
        </w:tc>
        <w:tc>
          <w:tcPr>
            <w:tcW w:w="529" w:type="pct"/>
            <w:shd w:val="clear" w:color="auto" w:fill="auto"/>
            <w:vAlign w:val="center"/>
          </w:tcPr>
          <w:p w14:paraId="378A2D44" w14:textId="1C97BF07" w:rsidR="00E8030E" w:rsidRPr="00B64B34" w:rsidRDefault="00DF44D1"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38"/>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38"/>
                <w14:textFill>
                  <w14:solidFill>
                    <w14:srgbClr w14:val="000000">
                      <w14:alpha w14:val="100000"/>
                    </w14:srgbClr>
                  </w14:solidFill>
                </w14:textFill>
              </w:rPr>
              <w:t>|</w:t>
            </w:r>
            <w:r w:rsidR="00B64B34" w:rsidRPr="00B64B34">
              <w:rPr>
                <w:rFonts w:ascii="Arial Narrow" w:hAnsi="Arial Narrow"/>
                <w:sz w:val="20"/>
                <w:szCs w:val="20"/>
                <w:vertAlign w:val="superscript"/>
              </w:rPr>
              <w:t>1</w:t>
            </w:r>
          </w:p>
        </w:tc>
        <w:tc>
          <w:tcPr>
            <w:tcW w:w="624" w:type="pct"/>
            <w:shd w:val="clear" w:color="auto" w:fill="auto"/>
            <w:vAlign w:val="center"/>
          </w:tcPr>
          <w:p w14:paraId="4AF758AD" w14:textId="77777777" w:rsidR="00E8030E" w:rsidRPr="000A33D2" w:rsidRDefault="00E8030E" w:rsidP="00B64B34">
            <w:pPr>
              <w:keepNext/>
              <w:keepLines/>
              <w:jc w:val="center"/>
              <w:rPr>
                <w:rFonts w:ascii="Arial Narrow" w:hAnsi="Arial Narrow"/>
                <w:sz w:val="20"/>
                <w:szCs w:val="20"/>
              </w:rPr>
            </w:pPr>
          </w:p>
        </w:tc>
      </w:tr>
      <w:tr w:rsidR="00DB69BE" w:rsidRPr="000A33D2" w14:paraId="6874BE93" w14:textId="77777777" w:rsidTr="001807EC">
        <w:trPr>
          <w:trHeight w:val="20"/>
        </w:trPr>
        <w:tc>
          <w:tcPr>
            <w:tcW w:w="2826" w:type="pct"/>
            <w:shd w:val="clear" w:color="auto" w:fill="auto"/>
            <w:vAlign w:val="center"/>
          </w:tcPr>
          <w:p w14:paraId="522B4186" w14:textId="0E80DBB6"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DOS+CP arm parametric function</w:t>
            </w:r>
            <w:r w:rsidR="009A149C" w:rsidRPr="000A33D2">
              <w:rPr>
                <w:rFonts w:ascii="Arial Narrow" w:hAnsi="Arial Narrow"/>
                <w:sz w:val="20"/>
                <w:szCs w:val="20"/>
              </w:rPr>
              <w:t xml:space="preserve"> </w:t>
            </w:r>
            <w:r w:rsidR="009A149C" w:rsidRPr="000A33D2">
              <w:rPr>
                <w:rFonts w:ascii="Arial Narrow" w:hAnsi="Arial Narrow"/>
                <w:sz w:val="20"/>
                <w:szCs w:val="20"/>
                <w:vertAlign w:val="superscript"/>
              </w:rPr>
              <w:t>b</w:t>
            </w:r>
            <w:r w:rsidRPr="000A33D2">
              <w:rPr>
                <w:rFonts w:ascii="Arial Narrow" w:hAnsi="Arial Narrow"/>
                <w:sz w:val="20"/>
                <w:szCs w:val="20"/>
              </w:rPr>
              <w:t xml:space="preserve"> (OS, PFS): Exponential, generalised Gamma </w:t>
            </w:r>
          </w:p>
          <w:p w14:paraId="1700A9B9" w14:textId="71CF1228" w:rsidR="00691A4B" w:rsidRPr="000A33D2" w:rsidRDefault="00DB69BE" w:rsidP="00B64B34">
            <w:pPr>
              <w:keepNext/>
              <w:keepLines/>
              <w:rPr>
                <w:rFonts w:ascii="Arial Narrow" w:hAnsi="Arial Narrow"/>
                <w:sz w:val="20"/>
                <w:szCs w:val="20"/>
              </w:rPr>
            </w:pPr>
            <w:r w:rsidRPr="000A33D2">
              <w:rPr>
                <w:rFonts w:ascii="Arial Narrow" w:hAnsi="Arial Narrow"/>
                <w:sz w:val="20"/>
                <w:szCs w:val="20"/>
              </w:rPr>
              <w:t xml:space="preserve">CP arm parametric function </w:t>
            </w:r>
            <w:r w:rsidR="009A149C" w:rsidRPr="000A33D2">
              <w:rPr>
                <w:rFonts w:ascii="Arial Narrow" w:hAnsi="Arial Narrow"/>
                <w:sz w:val="20"/>
                <w:szCs w:val="20"/>
                <w:vertAlign w:val="superscript"/>
              </w:rPr>
              <w:t>b</w:t>
            </w:r>
            <w:r w:rsidR="009A149C" w:rsidRPr="000A33D2">
              <w:rPr>
                <w:rFonts w:ascii="Arial Narrow" w:hAnsi="Arial Narrow"/>
                <w:sz w:val="20"/>
                <w:szCs w:val="20"/>
              </w:rPr>
              <w:t xml:space="preserve"> </w:t>
            </w:r>
            <w:r w:rsidRPr="000A33D2">
              <w:rPr>
                <w:rFonts w:ascii="Arial Narrow" w:hAnsi="Arial Narrow"/>
                <w:sz w:val="20"/>
                <w:szCs w:val="20"/>
              </w:rPr>
              <w:t xml:space="preserve">(OS, PFS): Lognormal, log-logistic </w:t>
            </w:r>
          </w:p>
          <w:p w14:paraId="607DA598" w14:textId="5F5F07BA" w:rsidR="00B029BF" w:rsidRPr="000A33D2" w:rsidRDefault="00B029BF" w:rsidP="00B64B34">
            <w:pPr>
              <w:keepNext/>
              <w:keepLines/>
              <w:rPr>
                <w:rFonts w:ascii="Arial Narrow" w:hAnsi="Arial Narrow"/>
                <w:i/>
                <w:iCs/>
                <w:sz w:val="20"/>
                <w:szCs w:val="20"/>
              </w:rPr>
            </w:pPr>
            <w:r w:rsidRPr="000A33D2">
              <w:rPr>
                <w:rFonts w:ascii="Arial Narrow" w:hAnsi="Arial Narrow"/>
                <w:i/>
                <w:iCs/>
                <w:sz w:val="20"/>
                <w:szCs w:val="20"/>
              </w:rPr>
              <w:t>(includes convergence between 3-10 years)</w:t>
            </w:r>
          </w:p>
        </w:tc>
        <w:tc>
          <w:tcPr>
            <w:tcW w:w="551" w:type="pct"/>
            <w:shd w:val="clear" w:color="auto" w:fill="auto"/>
            <w:vAlign w:val="center"/>
          </w:tcPr>
          <w:p w14:paraId="4F4691FB" w14:textId="6C0735C4"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37"/>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37"/>
                <w14:textFill>
                  <w14:solidFill>
                    <w14:srgbClr w14:val="000000">
                      <w14:alpha w14:val="100000"/>
                    </w14:srgbClr>
                  </w14:solidFill>
                </w14:textFill>
              </w:rPr>
              <w:t>|</w:t>
            </w:r>
          </w:p>
        </w:tc>
        <w:tc>
          <w:tcPr>
            <w:tcW w:w="470" w:type="pct"/>
            <w:shd w:val="clear" w:color="auto" w:fill="auto"/>
            <w:vAlign w:val="center"/>
          </w:tcPr>
          <w:p w14:paraId="615B3B40"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1.2642</w:t>
            </w:r>
          </w:p>
        </w:tc>
        <w:tc>
          <w:tcPr>
            <w:tcW w:w="529" w:type="pct"/>
            <w:shd w:val="clear" w:color="auto" w:fill="auto"/>
            <w:vAlign w:val="center"/>
          </w:tcPr>
          <w:p w14:paraId="03FCE3C4" w14:textId="6085CA93"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36"/>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36"/>
                <w14:textFill>
                  <w14:solidFill>
                    <w14:srgbClr w14:val="000000">
                      <w14:alpha w14:val="100000"/>
                    </w14:srgbClr>
                  </w14:solidFill>
                </w14:textFill>
              </w:rPr>
              <w:t>|</w:t>
            </w:r>
            <w:r w:rsidR="00B64B34">
              <w:rPr>
                <w:rFonts w:ascii="Arial Narrow" w:hAnsi="Arial Narrow"/>
                <w:sz w:val="20"/>
                <w:szCs w:val="20"/>
                <w:vertAlign w:val="superscript"/>
              </w:rPr>
              <w:t>3</w:t>
            </w:r>
          </w:p>
        </w:tc>
        <w:tc>
          <w:tcPr>
            <w:tcW w:w="624" w:type="pct"/>
            <w:shd w:val="clear" w:color="auto" w:fill="auto"/>
            <w:vAlign w:val="center"/>
          </w:tcPr>
          <w:p w14:paraId="17BA7DB1" w14:textId="2901F1D6"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09"/>
                <w:sz w:val="20"/>
                <w:szCs w:val="20"/>
                <w:shd w:val="solid" w:color="000000" w:fill="000000"/>
                <w:fitText w:val="195" w:id="-1032575735"/>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195" w:id="-1032575735"/>
                <w14:textFill>
                  <w14:solidFill>
                    <w14:srgbClr w14:val="000000">
                      <w14:alpha w14:val="100000"/>
                    </w14:srgbClr>
                  </w14:solidFill>
                </w14:textFill>
              </w:rPr>
              <w:t>|</w:t>
            </w:r>
            <w:r w:rsidRPr="000A33D2">
              <w:rPr>
                <w:rFonts w:ascii="Arial Narrow" w:hAnsi="Arial Narrow"/>
                <w:sz w:val="20"/>
                <w:szCs w:val="20"/>
              </w:rPr>
              <w:t>%</w:t>
            </w:r>
          </w:p>
        </w:tc>
      </w:tr>
      <w:tr w:rsidR="00691A4B" w:rsidRPr="000A33D2" w14:paraId="5E7E474B" w14:textId="77777777" w:rsidTr="001807EC">
        <w:trPr>
          <w:trHeight w:val="20"/>
        </w:trPr>
        <w:tc>
          <w:tcPr>
            <w:tcW w:w="2826" w:type="pct"/>
            <w:shd w:val="clear" w:color="auto" w:fill="auto"/>
            <w:vAlign w:val="center"/>
          </w:tcPr>
          <w:p w14:paraId="60C94C17" w14:textId="670F6A39" w:rsidR="00691A4B" w:rsidRPr="000A33D2" w:rsidRDefault="00DF44D1" w:rsidP="00B64B34">
            <w:pPr>
              <w:keepNext/>
              <w:keepLines/>
              <w:rPr>
                <w:rFonts w:ascii="Arial Narrow" w:hAnsi="Arial Narrow"/>
                <w:sz w:val="20"/>
                <w:szCs w:val="20"/>
              </w:rPr>
            </w:pPr>
            <w:r w:rsidRPr="000A33D2">
              <w:rPr>
                <w:rFonts w:ascii="Arial Narrow" w:hAnsi="Arial Narrow"/>
                <w:sz w:val="20"/>
                <w:szCs w:val="20"/>
              </w:rPr>
              <w:t>As above + c</w:t>
            </w:r>
            <w:r w:rsidR="00691A4B" w:rsidRPr="000A33D2">
              <w:rPr>
                <w:rFonts w:ascii="Arial Narrow" w:hAnsi="Arial Narrow"/>
                <w:sz w:val="20"/>
                <w:szCs w:val="20"/>
              </w:rPr>
              <w:t>orrected</w:t>
            </w:r>
          </w:p>
        </w:tc>
        <w:tc>
          <w:tcPr>
            <w:tcW w:w="551" w:type="pct"/>
            <w:shd w:val="clear" w:color="auto" w:fill="auto"/>
            <w:vAlign w:val="center"/>
          </w:tcPr>
          <w:p w14:paraId="2578F456" w14:textId="4FA68323" w:rsidR="00691A4B" w:rsidRPr="000A33D2" w:rsidRDefault="00691A4B"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34"/>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34"/>
                <w14:textFill>
                  <w14:solidFill>
                    <w14:srgbClr w14:val="000000">
                      <w14:alpha w14:val="100000"/>
                    </w14:srgbClr>
                  </w14:solidFill>
                </w14:textFill>
              </w:rPr>
              <w:t>|</w:t>
            </w:r>
          </w:p>
        </w:tc>
        <w:tc>
          <w:tcPr>
            <w:tcW w:w="470" w:type="pct"/>
            <w:shd w:val="clear" w:color="auto" w:fill="auto"/>
            <w:vAlign w:val="center"/>
          </w:tcPr>
          <w:p w14:paraId="2C4242E3" w14:textId="0B506B73" w:rsidR="00691A4B" w:rsidRPr="000A33D2" w:rsidRDefault="00691A4B" w:rsidP="00B64B34">
            <w:pPr>
              <w:keepNext/>
              <w:keepLines/>
              <w:jc w:val="center"/>
              <w:rPr>
                <w:rFonts w:ascii="Arial Narrow" w:hAnsi="Arial Narrow"/>
                <w:sz w:val="20"/>
                <w:szCs w:val="20"/>
              </w:rPr>
            </w:pPr>
            <w:r w:rsidRPr="000A33D2">
              <w:rPr>
                <w:rFonts w:ascii="Arial Narrow" w:hAnsi="Arial Narrow"/>
                <w:sz w:val="20"/>
                <w:szCs w:val="20"/>
              </w:rPr>
              <w:t>1.2587</w:t>
            </w:r>
          </w:p>
        </w:tc>
        <w:tc>
          <w:tcPr>
            <w:tcW w:w="529" w:type="pct"/>
            <w:shd w:val="clear" w:color="auto" w:fill="auto"/>
            <w:vAlign w:val="center"/>
          </w:tcPr>
          <w:p w14:paraId="050CC86C" w14:textId="7AB5A5F3" w:rsidR="00691A4B" w:rsidRPr="00B64B34" w:rsidRDefault="00691A4B"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33"/>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33"/>
                <w14:textFill>
                  <w14:solidFill>
                    <w14:srgbClr w14:val="000000">
                      <w14:alpha w14:val="100000"/>
                    </w14:srgbClr>
                  </w14:solidFill>
                </w14:textFill>
              </w:rPr>
              <w:t>|</w:t>
            </w:r>
            <w:r w:rsidR="00B64B34" w:rsidRPr="00B64B34">
              <w:rPr>
                <w:rFonts w:ascii="Arial Narrow" w:hAnsi="Arial Narrow"/>
                <w:sz w:val="20"/>
                <w:szCs w:val="20"/>
                <w:vertAlign w:val="superscript"/>
              </w:rPr>
              <w:t>3</w:t>
            </w:r>
          </w:p>
        </w:tc>
        <w:tc>
          <w:tcPr>
            <w:tcW w:w="624" w:type="pct"/>
            <w:shd w:val="clear" w:color="auto" w:fill="auto"/>
            <w:vAlign w:val="center"/>
          </w:tcPr>
          <w:p w14:paraId="5671956C" w14:textId="77777777" w:rsidR="00691A4B" w:rsidRPr="000A33D2" w:rsidRDefault="00691A4B" w:rsidP="00B64B34">
            <w:pPr>
              <w:keepNext/>
              <w:keepLines/>
              <w:jc w:val="center"/>
              <w:rPr>
                <w:rFonts w:ascii="Arial Narrow" w:hAnsi="Arial Narrow"/>
                <w:sz w:val="20"/>
                <w:szCs w:val="20"/>
              </w:rPr>
            </w:pPr>
          </w:p>
        </w:tc>
      </w:tr>
      <w:tr w:rsidR="00DF44D1" w:rsidRPr="000A33D2" w14:paraId="64018579" w14:textId="77777777" w:rsidTr="001807EC">
        <w:trPr>
          <w:trHeight w:val="20"/>
        </w:trPr>
        <w:tc>
          <w:tcPr>
            <w:tcW w:w="2826" w:type="pct"/>
            <w:shd w:val="clear" w:color="auto" w:fill="auto"/>
            <w:vAlign w:val="center"/>
          </w:tcPr>
          <w:p w14:paraId="4F3F66D5" w14:textId="14724FB6" w:rsidR="00DF44D1" w:rsidRPr="000A33D2" w:rsidRDefault="00DF44D1" w:rsidP="00B64B34">
            <w:pPr>
              <w:keepNext/>
              <w:keepLines/>
              <w:rPr>
                <w:rFonts w:ascii="Arial Narrow" w:hAnsi="Arial Narrow"/>
                <w:sz w:val="20"/>
                <w:szCs w:val="20"/>
              </w:rPr>
            </w:pPr>
            <w:r w:rsidRPr="000A33D2">
              <w:rPr>
                <w:rFonts w:ascii="Arial Narrow" w:hAnsi="Arial Narrow"/>
                <w:sz w:val="20"/>
                <w:szCs w:val="20"/>
              </w:rPr>
              <w:t>As above + OS KM data up to 22 months for CP arm (base case 25.07 months)</w:t>
            </w:r>
          </w:p>
        </w:tc>
        <w:tc>
          <w:tcPr>
            <w:tcW w:w="551" w:type="pct"/>
            <w:shd w:val="clear" w:color="auto" w:fill="auto"/>
            <w:vAlign w:val="center"/>
          </w:tcPr>
          <w:p w14:paraId="4E58E859" w14:textId="49466388" w:rsidR="00DF44D1" w:rsidRPr="000A33D2" w:rsidRDefault="00DF44D1"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32"/>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32"/>
                <w14:textFill>
                  <w14:solidFill>
                    <w14:srgbClr w14:val="000000">
                      <w14:alpha w14:val="100000"/>
                    </w14:srgbClr>
                  </w14:solidFill>
                </w14:textFill>
              </w:rPr>
              <w:t>|</w:t>
            </w:r>
          </w:p>
        </w:tc>
        <w:tc>
          <w:tcPr>
            <w:tcW w:w="470" w:type="pct"/>
            <w:shd w:val="clear" w:color="auto" w:fill="auto"/>
            <w:vAlign w:val="center"/>
          </w:tcPr>
          <w:p w14:paraId="43D6788C" w14:textId="5DA4D850" w:rsidR="00DF44D1" w:rsidRPr="000A33D2" w:rsidRDefault="00DF44D1" w:rsidP="00B64B34">
            <w:pPr>
              <w:keepNext/>
              <w:keepLines/>
              <w:jc w:val="center"/>
              <w:rPr>
                <w:rFonts w:ascii="Arial Narrow" w:hAnsi="Arial Narrow"/>
                <w:sz w:val="20"/>
                <w:szCs w:val="20"/>
              </w:rPr>
            </w:pPr>
            <w:r w:rsidRPr="000A33D2">
              <w:rPr>
                <w:rFonts w:ascii="Arial Narrow" w:hAnsi="Arial Narrow"/>
                <w:sz w:val="20"/>
                <w:szCs w:val="20"/>
              </w:rPr>
              <w:t>1.1298</w:t>
            </w:r>
          </w:p>
        </w:tc>
        <w:tc>
          <w:tcPr>
            <w:tcW w:w="529" w:type="pct"/>
            <w:shd w:val="clear" w:color="auto" w:fill="auto"/>
            <w:vAlign w:val="center"/>
          </w:tcPr>
          <w:p w14:paraId="15DB6103" w14:textId="1A0CE297" w:rsidR="00DF44D1" w:rsidRPr="000A33D2" w:rsidRDefault="00DF44D1"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31"/>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31"/>
                <w14:textFill>
                  <w14:solidFill>
                    <w14:srgbClr w14:val="000000">
                      <w14:alpha w14:val="100000"/>
                    </w14:srgbClr>
                  </w14:solidFill>
                </w14:textFill>
              </w:rPr>
              <w:t>|</w:t>
            </w:r>
            <w:r w:rsidR="00B64B34">
              <w:rPr>
                <w:rFonts w:ascii="Arial Narrow" w:hAnsi="Arial Narrow"/>
                <w:sz w:val="20"/>
                <w:szCs w:val="20"/>
                <w:vertAlign w:val="superscript"/>
              </w:rPr>
              <w:t>1</w:t>
            </w:r>
          </w:p>
        </w:tc>
        <w:tc>
          <w:tcPr>
            <w:tcW w:w="624" w:type="pct"/>
            <w:shd w:val="clear" w:color="auto" w:fill="auto"/>
            <w:vAlign w:val="center"/>
          </w:tcPr>
          <w:p w14:paraId="1C2574E0" w14:textId="77777777" w:rsidR="00DF44D1" w:rsidRPr="000A33D2" w:rsidRDefault="00DF44D1" w:rsidP="00B64B34">
            <w:pPr>
              <w:keepNext/>
              <w:keepLines/>
              <w:jc w:val="center"/>
              <w:rPr>
                <w:rFonts w:ascii="Arial Narrow" w:hAnsi="Arial Narrow"/>
                <w:sz w:val="20"/>
                <w:szCs w:val="20"/>
              </w:rPr>
            </w:pPr>
          </w:p>
        </w:tc>
      </w:tr>
      <w:tr w:rsidR="00DB69BE" w:rsidRPr="000A33D2" w14:paraId="73F48B33" w14:textId="77777777" w:rsidTr="001807EC">
        <w:trPr>
          <w:trHeight w:val="20"/>
        </w:trPr>
        <w:tc>
          <w:tcPr>
            <w:tcW w:w="2826" w:type="pct"/>
            <w:shd w:val="clear" w:color="auto" w:fill="auto"/>
            <w:vAlign w:val="center"/>
          </w:tcPr>
          <w:p w14:paraId="61BFEDFC" w14:textId="68E96458"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DOS+CP arm parametric function</w:t>
            </w:r>
            <w:r w:rsidR="009A149C" w:rsidRPr="000A33D2">
              <w:rPr>
                <w:rFonts w:ascii="Arial Narrow" w:hAnsi="Arial Narrow"/>
                <w:sz w:val="20"/>
                <w:szCs w:val="20"/>
              </w:rPr>
              <w:t xml:space="preserve"> </w:t>
            </w:r>
            <w:r w:rsidR="009A149C" w:rsidRPr="000A33D2">
              <w:rPr>
                <w:rFonts w:ascii="Arial Narrow" w:hAnsi="Arial Narrow"/>
                <w:sz w:val="20"/>
                <w:szCs w:val="20"/>
                <w:vertAlign w:val="superscript"/>
              </w:rPr>
              <w:t>c</w:t>
            </w:r>
            <w:r w:rsidRPr="000A33D2">
              <w:rPr>
                <w:rFonts w:ascii="Arial Narrow" w:hAnsi="Arial Narrow"/>
                <w:sz w:val="20"/>
                <w:szCs w:val="20"/>
              </w:rPr>
              <w:t xml:space="preserve"> (OS, PFS): Exponential, Gompertz </w:t>
            </w:r>
          </w:p>
          <w:p w14:paraId="33853040" w14:textId="3A9011E4"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CP arm parametric function</w:t>
            </w:r>
            <w:r w:rsidR="009A149C" w:rsidRPr="000A33D2">
              <w:rPr>
                <w:rFonts w:ascii="Arial Narrow" w:hAnsi="Arial Narrow"/>
                <w:sz w:val="20"/>
                <w:szCs w:val="20"/>
              </w:rPr>
              <w:t xml:space="preserve"> </w:t>
            </w:r>
            <w:r w:rsidR="009A149C" w:rsidRPr="000A33D2">
              <w:rPr>
                <w:rFonts w:ascii="Arial Narrow" w:hAnsi="Arial Narrow"/>
                <w:sz w:val="20"/>
                <w:szCs w:val="20"/>
                <w:vertAlign w:val="superscript"/>
              </w:rPr>
              <w:t>c</w:t>
            </w:r>
            <w:r w:rsidRPr="000A33D2">
              <w:rPr>
                <w:rFonts w:ascii="Arial Narrow" w:hAnsi="Arial Narrow"/>
                <w:sz w:val="20"/>
                <w:szCs w:val="20"/>
              </w:rPr>
              <w:t xml:space="preserve"> (OS, PFS): Exponential, log-logistic</w:t>
            </w:r>
          </w:p>
          <w:p w14:paraId="1B19BB8F" w14:textId="205FA010" w:rsidR="00B029BF" w:rsidRPr="000A33D2" w:rsidRDefault="00B029BF" w:rsidP="00B64B34">
            <w:pPr>
              <w:keepNext/>
              <w:keepLines/>
              <w:rPr>
                <w:rFonts w:ascii="Arial Narrow" w:hAnsi="Arial Narrow"/>
                <w:sz w:val="20"/>
                <w:szCs w:val="20"/>
              </w:rPr>
            </w:pPr>
            <w:r w:rsidRPr="000A33D2">
              <w:rPr>
                <w:rFonts w:ascii="Arial Narrow" w:hAnsi="Arial Narrow"/>
                <w:sz w:val="20"/>
                <w:szCs w:val="20"/>
              </w:rPr>
              <w:t>(includes convergence between 3-10 years)</w:t>
            </w:r>
          </w:p>
        </w:tc>
        <w:tc>
          <w:tcPr>
            <w:tcW w:w="551" w:type="pct"/>
            <w:shd w:val="clear" w:color="auto" w:fill="auto"/>
            <w:vAlign w:val="center"/>
          </w:tcPr>
          <w:p w14:paraId="453D1CB7" w14:textId="316AE99B"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30"/>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30"/>
                <w14:textFill>
                  <w14:solidFill>
                    <w14:srgbClr w14:val="000000">
                      <w14:alpha w14:val="100000"/>
                    </w14:srgbClr>
                  </w14:solidFill>
                </w14:textFill>
              </w:rPr>
              <w:t>|</w:t>
            </w:r>
          </w:p>
        </w:tc>
        <w:tc>
          <w:tcPr>
            <w:tcW w:w="470" w:type="pct"/>
            <w:shd w:val="clear" w:color="auto" w:fill="auto"/>
            <w:vAlign w:val="center"/>
          </w:tcPr>
          <w:p w14:paraId="5483620F"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1.3228</w:t>
            </w:r>
          </w:p>
        </w:tc>
        <w:tc>
          <w:tcPr>
            <w:tcW w:w="529" w:type="pct"/>
            <w:shd w:val="clear" w:color="auto" w:fill="auto"/>
            <w:vAlign w:val="center"/>
          </w:tcPr>
          <w:p w14:paraId="4F55C186" w14:textId="7F578997" w:rsidR="00DB69BE" w:rsidRPr="00B64B34" w:rsidRDefault="00DB69BE"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29"/>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29"/>
                <w14:textFill>
                  <w14:solidFill>
                    <w14:srgbClr w14:val="000000">
                      <w14:alpha w14:val="100000"/>
                    </w14:srgbClr>
                  </w14:solidFill>
                </w14:textFill>
              </w:rPr>
              <w:t>|</w:t>
            </w:r>
            <w:r w:rsidR="00B64B34" w:rsidRPr="00B64B34">
              <w:rPr>
                <w:rFonts w:ascii="Arial Narrow" w:hAnsi="Arial Narrow"/>
                <w:sz w:val="20"/>
                <w:szCs w:val="20"/>
                <w:vertAlign w:val="superscript"/>
              </w:rPr>
              <w:t>3</w:t>
            </w:r>
          </w:p>
        </w:tc>
        <w:tc>
          <w:tcPr>
            <w:tcW w:w="624" w:type="pct"/>
            <w:shd w:val="clear" w:color="auto" w:fill="auto"/>
            <w:vAlign w:val="center"/>
          </w:tcPr>
          <w:p w14:paraId="27EE16FC" w14:textId="5B30F5F1"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09"/>
                <w:sz w:val="20"/>
                <w:szCs w:val="20"/>
                <w:shd w:val="solid" w:color="000000" w:fill="000000"/>
                <w:fitText w:val="195" w:id="-1032575728"/>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195" w:id="-1032575728"/>
                <w14:textFill>
                  <w14:solidFill>
                    <w14:srgbClr w14:val="000000">
                      <w14:alpha w14:val="100000"/>
                    </w14:srgbClr>
                  </w14:solidFill>
                </w14:textFill>
              </w:rPr>
              <w:t>|</w:t>
            </w:r>
            <w:r w:rsidRPr="000A33D2">
              <w:rPr>
                <w:rFonts w:ascii="Arial Narrow" w:hAnsi="Arial Narrow"/>
                <w:sz w:val="20"/>
                <w:szCs w:val="20"/>
              </w:rPr>
              <w:t>%</w:t>
            </w:r>
          </w:p>
        </w:tc>
      </w:tr>
      <w:tr w:rsidR="00691A4B" w:rsidRPr="000A33D2" w14:paraId="5A7C82F3" w14:textId="77777777" w:rsidTr="001807EC">
        <w:trPr>
          <w:trHeight w:val="20"/>
        </w:trPr>
        <w:tc>
          <w:tcPr>
            <w:tcW w:w="2826" w:type="pct"/>
            <w:shd w:val="clear" w:color="auto" w:fill="auto"/>
            <w:vAlign w:val="center"/>
          </w:tcPr>
          <w:p w14:paraId="57101328" w14:textId="35D77253" w:rsidR="00691A4B" w:rsidRPr="000A33D2" w:rsidRDefault="00DF44D1" w:rsidP="00B64B34">
            <w:pPr>
              <w:keepNext/>
              <w:keepLines/>
              <w:rPr>
                <w:rFonts w:ascii="Arial Narrow" w:hAnsi="Arial Narrow"/>
                <w:sz w:val="20"/>
                <w:szCs w:val="20"/>
              </w:rPr>
            </w:pPr>
            <w:r w:rsidRPr="000A33D2">
              <w:rPr>
                <w:rFonts w:ascii="Arial Narrow" w:hAnsi="Arial Narrow"/>
                <w:sz w:val="20"/>
                <w:szCs w:val="20"/>
              </w:rPr>
              <w:t>As above + c</w:t>
            </w:r>
            <w:r w:rsidR="00691A4B" w:rsidRPr="000A33D2">
              <w:rPr>
                <w:rFonts w:ascii="Arial Narrow" w:hAnsi="Arial Narrow"/>
                <w:sz w:val="20"/>
                <w:szCs w:val="20"/>
              </w:rPr>
              <w:t>orrected</w:t>
            </w:r>
          </w:p>
        </w:tc>
        <w:tc>
          <w:tcPr>
            <w:tcW w:w="551" w:type="pct"/>
            <w:shd w:val="clear" w:color="auto" w:fill="auto"/>
            <w:vAlign w:val="center"/>
          </w:tcPr>
          <w:p w14:paraId="1EBBB9D4" w14:textId="1B84CA0E" w:rsidR="00691A4B" w:rsidRPr="000A33D2" w:rsidRDefault="00691A4B"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44"/>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44"/>
                <w14:textFill>
                  <w14:solidFill>
                    <w14:srgbClr w14:val="000000">
                      <w14:alpha w14:val="100000"/>
                    </w14:srgbClr>
                  </w14:solidFill>
                </w14:textFill>
              </w:rPr>
              <w:t>|</w:t>
            </w:r>
          </w:p>
        </w:tc>
        <w:tc>
          <w:tcPr>
            <w:tcW w:w="470" w:type="pct"/>
            <w:shd w:val="clear" w:color="auto" w:fill="auto"/>
            <w:vAlign w:val="center"/>
          </w:tcPr>
          <w:p w14:paraId="22D4BAC1" w14:textId="71B8AE4F" w:rsidR="00691A4B" w:rsidRPr="000A33D2" w:rsidRDefault="00691A4B" w:rsidP="00B64B34">
            <w:pPr>
              <w:keepNext/>
              <w:keepLines/>
              <w:jc w:val="center"/>
              <w:rPr>
                <w:rFonts w:ascii="Arial Narrow" w:hAnsi="Arial Narrow"/>
                <w:sz w:val="20"/>
                <w:szCs w:val="20"/>
              </w:rPr>
            </w:pPr>
            <w:r w:rsidRPr="000A33D2">
              <w:rPr>
                <w:rFonts w:ascii="Arial Narrow" w:hAnsi="Arial Narrow"/>
                <w:sz w:val="20"/>
                <w:szCs w:val="20"/>
              </w:rPr>
              <w:t>1.3173</w:t>
            </w:r>
          </w:p>
        </w:tc>
        <w:tc>
          <w:tcPr>
            <w:tcW w:w="529" w:type="pct"/>
            <w:shd w:val="clear" w:color="auto" w:fill="auto"/>
            <w:vAlign w:val="center"/>
          </w:tcPr>
          <w:p w14:paraId="560D558E" w14:textId="718FB964" w:rsidR="00691A4B" w:rsidRPr="000A33D2" w:rsidRDefault="00691A4B"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43"/>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43"/>
                <w14:textFill>
                  <w14:solidFill>
                    <w14:srgbClr w14:val="000000">
                      <w14:alpha w14:val="100000"/>
                    </w14:srgbClr>
                  </w14:solidFill>
                </w14:textFill>
              </w:rPr>
              <w:t>|</w:t>
            </w:r>
            <w:r w:rsidR="00B64B34">
              <w:rPr>
                <w:rFonts w:ascii="Arial Narrow" w:hAnsi="Arial Narrow"/>
                <w:sz w:val="20"/>
                <w:szCs w:val="20"/>
                <w:vertAlign w:val="superscript"/>
              </w:rPr>
              <w:t>3</w:t>
            </w:r>
          </w:p>
        </w:tc>
        <w:tc>
          <w:tcPr>
            <w:tcW w:w="624" w:type="pct"/>
            <w:shd w:val="clear" w:color="auto" w:fill="auto"/>
            <w:vAlign w:val="center"/>
          </w:tcPr>
          <w:p w14:paraId="58980173" w14:textId="77777777" w:rsidR="00691A4B" w:rsidRPr="000A33D2" w:rsidRDefault="00691A4B" w:rsidP="00B64B34">
            <w:pPr>
              <w:keepNext/>
              <w:keepLines/>
              <w:jc w:val="center"/>
              <w:rPr>
                <w:rFonts w:ascii="Arial Narrow" w:hAnsi="Arial Narrow"/>
                <w:sz w:val="20"/>
                <w:szCs w:val="20"/>
              </w:rPr>
            </w:pPr>
          </w:p>
        </w:tc>
      </w:tr>
      <w:tr w:rsidR="00DF44D1" w:rsidRPr="000A33D2" w14:paraId="5285DC1E" w14:textId="77777777" w:rsidTr="001807EC">
        <w:trPr>
          <w:trHeight w:val="20"/>
        </w:trPr>
        <w:tc>
          <w:tcPr>
            <w:tcW w:w="2826" w:type="pct"/>
            <w:shd w:val="clear" w:color="auto" w:fill="auto"/>
            <w:vAlign w:val="center"/>
          </w:tcPr>
          <w:p w14:paraId="1252C2B5" w14:textId="646A69DE" w:rsidR="00DF44D1" w:rsidRPr="000A33D2" w:rsidRDefault="00DF44D1" w:rsidP="00B64B34">
            <w:pPr>
              <w:keepNext/>
              <w:keepLines/>
              <w:rPr>
                <w:rFonts w:ascii="Arial Narrow" w:hAnsi="Arial Narrow"/>
                <w:sz w:val="20"/>
                <w:szCs w:val="20"/>
              </w:rPr>
            </w:pPr>
            <w:r w:rsidRPr="000A33D2">
              <w:rPr>
                <w:rFonts w:ascii="Arial Narrow" w:hAnsi="Arial Narrow"/>
                <w:sz w:val="20"/>
                <w:szCs w:val="20"/>
              </w:rPr>
              <w:t>As above + OS KM data up to 22 months for CP arm (base case 25.07 months)</w:t>
            </w:r>
          </w:p>
        </w:tc>
        <w:tc>
          <w:tcPr>
            <w:tcW w:w="551" w:type="pct"/>
            <w:shd w:val="clear" w:color="auto" w:fill="auto"/>
            <w:vAlign w:val="center"/>
          </w:tcPr>
          <w:p w14:paraId="0C044FB5" w14:textId="12C6A86C" w:rsidR="00DF44D1" w:rsidRPr="000A33D2" w:rsidRDefault="00DF44D1"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42"/>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42"/>
                <w14:textFill>
                  <w14:solidFill>
                    <w14:srgbClr w14:val="000000">
                      <w14:alpha w14:val="100000"/>
                    </w14:srgbClr>
                  </w14:solidFill>
                </w14:textFill>
              </w:rPr>
              <w:t>|</w:t>
            </w:r>
          </w:p>
        </w:tc>
        <w:tc>
          <w:tcPr>
            <w:tcW w:w="470" w:type="pct"/>
            <w:shd w:val="clear" w:color="auto" w:fill="auto"/>
            <w:vAlign w:val="center"/>
          </w:tcPr>
          <w:p w14:paraId="1C727DD7" w14:textId="63F96F93" w:rsidR="00DF44D1" w:rsidRPr="000A33D2" w:rsidRDefault="00DF44D1" w:rsidP="00B64B34">
            <w:pPr>
              <w:keepNext/>
              <w:keepLines/>
              <w:jc w:val="center"/>
              <w:rPr>
                <w:rFonts w:ascii="Arial Narrow" w:hAnsi="Arial Narrow"/>
                <w:sz w:val="20"/>
                <w:szCs w:val="20"/>
              </w:rPr>
            </w:pPr>
            <w:r w:rsidRPr="000A33D2">
              <w:rPr>
                <w:rFonts w:ascii="Arial Narrow" w:hAnsi="Arial Narrow"/>
                <w:sz w:val="20"/>
                <w:szCs w:val="20"/>
              </w:rPr>
              <w:t>1.1951</w:t>
            </w:r>
          </w:p>
        </w:tc>
        <w:tc>
          <w:tcPr>
            <w:tcW w:w="529" w:type="pct"/>
            <w:shd w:val="clear" w:color="auto" w:fill="auto"/>
            <w:vAlign w:val="center"/>
          </w:tcPr>
          <w:p w14:paraId="6F526596" w14:textId="68D13055" w:rsidR="00DF44D1" w:rsidRPr="000A33D2" w:rsidRDefault="00DF44D1"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41"/>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41"/>
                <w14:textFill>
                  <w14:solidFill>
                    <w14:srgbClr w14:val="000000">
                      <w14:alpha w14:val="100000"/>
                    </w14:srgbClr>
                  </w14:solidFill>
                </w14:textFill>
              </w:rPr>
              <w:t>|</w:t>
            </w:r>
            <w:r w:rsidR="00B64B34">
              <w:rPr>
                <w:rFonts w:ascii="Arial Narrow" w:hAnsi="Arial Narrow"/>
                <w:sz w:val="20"/>
                <w:szCs w:val="20"/>
                <w:vertAlign w:val="superscript"/>
              </w:rPr>
              <w:t>1</w:t>
            </w:r>
          </w:p>
        </w:tc>
        <w:tc>
          <w:tcPr>
            <w:tcW w:w="624" w:type="pct"/>
            <w:shd w:val="clear" w:color="auto" w:fill="auto"/>
            <w:vAlign w:val="center"/>
          </w:tcPr>
          <w:p w14:paraId="47102C72" w14:textId="77777777" w:rsidR="00DF44D1" w:rsidRPr="000A33D2" w:rsidRDefault="00DF44D1" w:rsidP="00B64B34">
            <w:pPr>
              <w:keepNext/>
              <w:keepLines/>
              <w:jc w:val="center"/>
              <w:rPr>
                <w:rFonts w:ascii="Arial Narrow" w:hAnsi="Arial Narrow"/>
                <w:sz w:val="20"/>
                <w:szCs w:val="20"/>
              </w:rPr>
            </w:pPr>
          </w:p>
        </w:tc>
      </w:tr>
      <w:tr w:rsidR="00DB69BE" w:rsidRPr="000A33D2" w14:paraId="2B1F6A47" w14:textId="77777777" w:rsidTr="001807EC">
        <w:trPr>
          <w:trHeight w:val="20"/>
        </w:trPr>
        <w:tc>
          <w:tcPr>
            <w:tcW w:w="5000" w:type="pct"/>
            <w:gridSpan w:val="5"/>
            <w:shd w:val="clear" w:color="auto" w:fill="auto"/>
            <w:vAlign w:val="center"/>
          </w:tcPr>
          <w:p w14:paraId="446328C2" w14:textId="77777777" w:rsidR="00DB69BE" w:rsidRPr="000A33D2" w:rsidRDefault="00DB69BE" w:rsidP="00B64B34">
            <w:pPr>
              <w:keepNext/>
              <w:keepLines/>
              <w:jc w:val="left"/>
              <w:rPr>
                <w:rFonts w:ascii="Arial Narrow" w:hAnsi="Arial Narrow"/>
                <w:b/>
                <w:bCs/>
                <w:sz w:val="20"/>
                <w:szCs w:val="20"/>
              </w:rPr>
            </w:pPr>
            <w:r w:rsidRPr="000A33D2">
              <w:rPr>
                <w:rFonts w:ascii="Arial Narrow" w:hAnsi="Arial Narrow"/>
                <w:b/>
                <w:bCs/>
                <w:sz w:val="20"/>
                <w:szCs w:val="20"/>
              </w:rPr>
              <w:t>Multivariate sensitivity analyses</w:t>
            </w:r>
          </w:p>
        </w:tc>
      </w:tr>
      <w:tr w:rsidR="00DB69BE" w:rsidRPr="000A33D2" w14:paraId="00EBEFAA" w14:textId="77777777" w:rsidTr="001807EC">
        <w:trPr>
          <w:trHeight w:val="20"/>
        </w:trPr>
        <w:tc>
          <w:tcPr>
            <w:tcW w:w="2826" w:type="pct"/>
            <w:shd w:val="clear" w:color="auto" w:fill="auto"/>
            <w:vAlign w:val="center"/>
          </w:tcPr>
          <w:p w14:paraId="6F3CEA6D"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Time horizon of 5 years and survival convergence between 3 and 5 years</w:t>
            </w:r>
          </w:p>
        </w:tc>
        <w:tc>
          <w:tcPr>
            <w:tcW w:w="551" w:type="pct"/>
            <w:shd w:val="clear" w:color="auto" w:fill="auto"/>
            <w:vAlign w:val="center"/>
          </w:tcPr>
          <w:p w14:paraId="0EFA4020" w14:textId="585F9BA5"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40"/>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40"/>
                <w14:textFill>
                  <w14:solidFill>
                    <w14:srgbClr w14:val="000000">
                      <w14:alpha w14:val="100000"/>
                    </w14:srgbClr>
                  </w14:solidFill>
                </w14:textFill>
              </w:rPr>
              <w:t>|</w:t>
            </w:r>
          </w:p>
        </w:tc>
        <w:tc>
          <w:tcPr>
            <w:tcW w:w="470" w:type="pct"/>
            <w:shd w:val="clear" w:color="auto" w:fill="auto"/>
            <w:vAlign w:val="center"/>
          </w:tcPr>
          <w:p w14:paraId="317ACE16"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0.6173</w:t>
            </w:r>
          </w:p>
        </w:tc>
        <w:tc>
          <w:tcPr>
            <w:tcW w:w="529" w:type="pct"/>
            <w:shd w:val="clear" w:color="auto" w:fill="auto"/>
            <w:vAlign w:val="center"/>
          </w:tcPr>
          <w:p w14:paraId="4F410040" w14:textId="1415BE74" w:rsidR="00DB69BE" w:rsidRPr="00B64B34" w:rsidRDefault="00DB69BE" w:rsidP="00B64B34">
            <w:pPr>
              <w:keepNext/>
              <w:keepLines/>
              <w:jc w:val="center"/>
              <w:rPr>
                <w:rFonts w:ascii="Arial Narrow" w:hAnsi="Arial Narrow"/>
                <w:sz w:val="20"/>
                <w:szCs w:val="20"/>
                <w:highlight w:val="darkGray"/>
              </w:rPr>
            </w:pPr>
            <w:r w:rsidRPr="00B64B34">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39"/>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39"/>
                <w14:textFill>
                  <w14:solidFill>
                    <w14:srgbClr w14:val="000000">
                      <w14:alpha w14:val="100000"/>
                    </w14:srgbClr>
                  </w14:solidFill>
                </w14:textFill>
              </w:rPr>
              <w:t>|</w:t>
            </w:r>
            <w:r w:rsidR="00B64B34" w:rsidRPr="00B64B34">
              <w:rPr>
                <w:rFonts w:ascii="Arial Narrow" w:hAnsi="Arial Narrow"/>
                <w:sz w:val="20"/>
                <w:szCs w:val="20"/>
                <w:vertAlign w:val="superscript"/>
              </w:rPr>
              <w:t>5</w:t>
            </w:r>
          </w:p>
        </w:tc>
        <w:tc>
          <w:tcPr>
            <w:tcW w:w="624" w:type="pct"/>
            <w:shd w:val="clear" w:color="auto" w:fill="auto"/>
            <w:vAlign w:val="center"/>
          </w:tcPr>
          <w:p w14:paraId="0BB3846D" w14:textId="77FC9655" w:rsidR="00DB69BE"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738"/>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738"/>
                <w14:textFill>
                  <w14:solidFill>
                    <w14:srgbClr w14:val="000000">
                      <w14:alpha w14:val="100000"/>
                    </w14:srgbClr>
                  </w14:solidFill>
                </w14:textFill>
              </w:rPr>
              <w:t>|</w:t>
            </w:r>
            <w:r w:rsidR="00DB69BE" w:rsidRPr="000A33D2">
              <w:rPr>
                <w:rFonts w:ascii="Arial Narrow" w:hAnsi="Arial Narrow"/>
                <w:sz w:val="20"/>
                <w:szCs w:val="20"/>
              </w:rPr>
              <w:t>%</w:t>
            </w:r>
          </w:p>
        </w:tc>
      </w:tr>
      <w:tr w:rsidR="00DB69BE" w:rsidRPr="000A33D2" w14:paraId="0BC312AF" w14:textId="77777777" w:rsidTr="001807EC">
        <w:trPr>
          <w:trHeight w:val="20"/>
        </w:trPr>
        <w:tc>
          <w:tcPr>
            <w:tcW w:w="2826" w:type="pct"/>
            <w:shd w:val="clear" w:color="auto" w:fill="auto"/>
            <w:vAlign w:val="center"/>
          </w:tcPr>
          <w:p w14:paraId="76560AB8" w14:textId="77777777" w:rsidR="00DB69BE" w:rsidRPr="000A33D2" w:rsidRDefault="00DB69BE" w:rsidP="00B64B34">
            <w:pPr>
              <w:keepNext/>
              <w:keepLines/>
              <w:rPr>
                <w:rFonts w:ascii="Arial Narrow" w:hAnsi="Arial Narrow"/>
                <w:sz w:val="20"/>
                <w:szCs w:val="20"/>
              </w:rPr>
            </w:pPr>
            <w:r w:rsidRPr="000A33D2">
              <w:rPr>
                <w:rFonts w:ascii="Arial Narrow" w:hAnsi="Arial Narrow"/>
                <w:sz w:val="20"/>
                <w:szCs w:val="20"/>
              </w:rPr>
              <w:t>Time horizon of 7.5 years and convergence of survival curves between 3 and 7.5 years</w:t>
            </w:r>
          </w:p>
        </w:tc>
        <w:tc>
          <w:tcPr>
            <w:tcW w:w="551" w:type="pct"/>
            <w:shd w:val="clear" w:color="auto" w:fill="auto"/>
            <w:vAlign w:val="center"/>
          </w:tcPr>
          <w:p w14:paraId="5DE63D5D" w14:textId="0E707066"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41"/>
                <w:sz w:val="20"/>
                <w:szCs w:val="20"/>
                <w:shd w:val="solid" w:color="000000" w:fill="000000"/>
                <w:fitText w:val="210" w:id="-1032575737"/>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10" w:id="-1032575737"/>
                <w14:textFill>
                  <w14:solidFill>
                    <w14:srgbClr w14:val="000000">
                      <w14:alpha w14:val="100000"/>
                    </w14:srgbClr>
                  </w14:solidFill>
                </w14:textFill>
              </w:rPr>
              <w:t>|</w:t>
            </w:r>
          </w:p>
        </w:tc>
        <w:tc>
          <w:tcPr>
            <w:tcW w:w="470" w:type="pct"/>
            <w:shd w:val="clear" w:color="auto" w:fill="auto"/>
            <w:vAlign w:val="center"/>
          </w:tcPr>
          <w:p w14:paraId="64CCFC37" w14:textId="77777777"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0.9276</w:t>
            </w:r>
          </w:p>
        </w:tc>
        <w:tc>
          <w:tcPr>
            <w:tcW w:w="529" w:type="pct"/>
            <w:shd w:val="clear" w:color="auto" w:fill="auto"/>
            <w:vAlign w:val="center"/>
          </w:tcPr>
          <w:p w14:paraId="26F4A53F" w14:textId="14870BF3" w:rsidR="00DB69BE" w:rsidRPr="000A33D2" w:rsidRDefault="00DB69BE" w:rsidP="00B64B34">
            <w:pPr>
              <w:keepNext/>
              <w:keepLines/>
              <w:jc w:val="center"/>
              <w:rPr>
                <w:rFonts w:ascii="Arial Narrow" w:hAnsi="Arial Narrow"/>
                <w:sz w:val="20"/>
                <w:szCs w:val="20"/>
              </w:rPr>
            </w:pPr>
            <w:r w:rsidRPr="000A33D2">
              <w:rPr>
                <w:rFonts w:ascii="Arial Narrow" w:hAnsi="Arial Narrow"/>
                <w:sz w:val="20"/>
                <w:szCs w:val="20"/>
              </w:rPr>
              <w:t>$</w:t>
            </w:r>
            <w:r w:rsidR="007C10F8" w:rsidRPr="007C10F8">
              <w:rPr>
                <w:rFonts w:ascii="Arial Narrow" w:hAnsi="Arial Narrow"/>
                <w:color w:val="000000"/>
                <w:spacing w:val="169"/>
                <w:sz w:val="20"/>
                <w:szCs w:val="20"/>
                <w:shd w:val="solid" w:color="000000" w:fill="000000"/>
                <w:fitText w:val="255" w:id="-1032575736"/>
                <w14:textFill>
                  <w14:solidFill>
                    <w14:srgbClr w14:val="000000">
                      <w14:alpha w14:val="100000"/>
                    </w14:srgbClr>
                  </w14:solidFill>
                </w14:textFill>
              </w:rPr>
              <w:t>|</w:t>
            </w:r>
            <w:r w:rsidR="007C10F8" w:rsidRPr="007C10F8">
              <w:rPr>
                <w:rFonts w:ascii="Arial Narrow" w:hAnsi="Arial Narrow"/>
                <w:color w:val="000000"/>
                <w:spacing w:val="1"/>
                <w:sz w:val="20"/>
                <w:szCs w:val="20"/>
                <w:shd w:val="solid" w:color="000000" w:fill="000000"/>
                <w:fitText w:val="255" w:id="-1032575736"/>
                <w14:textFill>
                  <w14:solidFill>
                    <w14:srgbClr w14:val="000000">
                      <w14:alpha w14:val="100000"/>
                    </w14:srgbClr>
                  </w14:solidFill>
                </w14:textFill>
              </w:rPr>
              <w:t>|</w:t>
            </w:r>
            <w:r w:rsidR="00B64B34">
              <w:rPr>
                <w:rFonts w:ascii="Arial Narrow" w:hAnsi="Arial Narrow"/>
                <w:sz w:val="20"/>
                <w:szCs w:val="20"/>
                <w:vertAlign w:val="superscript"/>
              </w:rPr>
              <w:t>2</w:t>
            </w:r>
          </w:p>
        </w:tc>
        <w:tc>
          <w:tcPr>
            <w:tcW w:w="624" w:type="pct"/>
            <w:shd w:val="clear" w:color="auto" w:fill="auto"/>
            <w:vAlign w:val="center"/>
          </w:tcPr>
          <w:p w14:paraId="12741E82" w14:textId="09BD268B" w:rsidR="00DB69BE" w:rsidRPr="000A33D2" w:rsidRDefault="007C10F8" w:rsidP="00B64B34">
            <w:pPr>
              <w:keepNext/>
              <w:keepLines/>
              <w:jc w:val="center"/>
              <w:rPr>
                <w:rFonts w:ascii="Arial Narrow" w:hAnsi="Arial Narrow"/>
                <w:sz w:val="20"/>
                <w:szCs w:val="20"/>
              </w:rPr>
            </w:pPr>
            <w:r w:rsidRPr="007C10F8">
              <w:rPr>
                <w:rFonts w:ascii="Arial Narrow" w:hAnsi="Arial Narrow"/>
                <w:color w:val="000000"/>
                <w:spacing w:val="79"/>
                <w:sz w:val="20"/>
                <w:szCs w:val="20"/>
                <w:shd w:val="solid" w:color="000000" w:fill="000000"/>
                <w:fitText w:val="165" w:id="-1032575735"/>
                <w14:textFill>
                  <w14:solidFill>
                    <w14:srgbClr w14:val="000000">
                      <w14:alpha w14:val="100000"/>
                    </w14:srgbClr>
                  </w14:solidFill>
                </w14:textFill>
              </w:rPr>
              <w:t>|</w:t>
            </w:r>
            <w:r w:rsidRPr="007C10F8">
              <w:rPr>
                <w:rFonts w:ascii="Arial Narrow" w:hAnsi="Arial Narrow"/>
                <w:color w:val="000000"/>
                <w:spacing w:val="1"/>
                <w:sz w:val="20"/>
                <w:szCs w:val="20"/>
                <w:shd w:val="solid" w:color="000000" w:fill="000000"/>
                <w:fitText w:val="165" w:id="-1032575735"/>
                <w14:textFill>
                  <w14:solidFill>
                    <w14:srgbClr w14:val="000000">
                      <w14:alpha w14:val="100000"/>
                    </w14:srgbClr>
                  </w14:solidFill>
                </w14:textFill>
              </w:rPr>
              <w:t>|</w:t>
            </w:r>
            <w:r w:rsidR="00DB69BE" w:rsidRPr="000A33D2">
              <w:rPr>
                <w:rFonts w:ascii="Arial Narrow" w:hAnsi="Arial Narrow"/>
                <w:sz w:val="20"/>
                <w:szCs w:val="20"/>
              </w:rPr>
              <w:t>%</w:t>
            </w:r>
          </w:p>
        </w:tc>
      </w:tr>
    </w:tbl>
    <w:p w14:paraId="57C55345" w14:textId="6BF9A8A5" w:rsidR="00DB69BE" w:rsidRPr="000A33D2" w:rsidRDefault="00DB69BE" w:rsidP="00B64B34">
      <w:pPr>
        <w:pStyle w:val="FooterTableFigure"/>
        <w:keepNext/>
        <w:keepLines/>
        <w:spacing w:after="0"/>
        <w:rPr>
          <w:i/>
          <w:iCs/>
        </w:rPr>
      </w:pPr>
      <w:r w:rsidRPr="000A33D2">
        <w:t xml:space="preserve">Source: Table 113, pp170-171 of the submission. </w:t>
      </w:r>
      <w:r w:rsidR="00691A4B" w:rsidRPr="000A33D2">
        <w:rPr>
          <w:i/>
          <w:iCs/>
        </w:rPr>
        <w:t>Values in italics added based on PSCR corrected model</w:t>
      </w:r>
    </w:p>
    <w:p w14:paraId="48187487" w14:textId="5AEBBBAC" w:rsidR="00DB69BE" w:rsidRPr="000A33D2" w:rsidRDefault="00DB69BE" w:rsidP="00B64B34">
      <w:pPr>
        <w:pStyle w:val="FooterTableFigure"/>
        <w:keepNext/>
        <w:keepLines/>
        <w:spacing w:after="0"/>
      </w:pPr>
      <w:r w:rsidRPr="000A33D2">
        <w:t>CP = carboplatin-paclitaxel; DOS = dostarlimab; dMMR = mismatch repair-deficient; HR = hazard ratio; ICER = incremental cost effectiveness ratio; Incr. = incremental; ITT = intention to treat; LT, long term; OS = overall survival; PFS = progression free survival; QALY = quality adjusted life year</w:t>
      </w:r>
      <w:r w:rsidR="003A5D84" w:rsidRPr="000A33D2">
        <w:t xml:space="preserve">; </w:t>
      </w:r>
      <w:r w:rsidRPr="000A33D2">
        <w:t xml:space="preserve">TTD = </w:t>
      </w:r>
      <w:r w:rsidRPr="000A33D2">
        <w:rPr>
          <w:szCs w:val="18"/>
        </w:rPr>
        <w:t>time to treatment discontinuation.</w:t>
      </w:r>
    </w:p>
    <w:p w14:paraId="6D3B3F8C" w14:textId="6FB1A6E2" w:rsidR="00DB69BE" w:rsidRPr="000A33D2" w:rsidRDefault="00DB69BE" w:rsidP="00B64B34">
      <w:pPr>
        <w:pStyle w:val="FooterTableFigure"/>
        <w:keepNext/>
        <w:keepLines/>
        <w:spacing w:after="0"/>
      </w:pPr>
      <w:r w:rsidRPr="000A33D2">
        <w:t xml:space="preserve">a When parametric functions were </w:t>
      </w:r>
      <w:proofErr w:type="gramStart"/>
      <w:r w:rsidRPr="000A33D2">
        <w:t>applied,</w:t>
      </w:r>
      <w:proofErr w:type="gramEnd"/>
      <w:r w:rsidRPr="000A33D2">
        <w:t xml:space="preserve"> extrapolated TTD was based on a fitted Gompertz parametric curve.</w:t>
      </w:r>
    </w:p>
    <w:p w14:paraId="20F7A24C" w14:textId="77777777" w:rsidR="009A149C" w:rsidRPr="000A33D2" w:rsidRDefault="009A149C" w:rsidP="00B64B34">
      <w:pPr>
        <w:pStyle w:val="FooterTableFigure"/>
        <w:keepNext/>
        <w:keepLines/>
        <w:spacing w:after="0"/>
      </w:pPr>
      <w:r w:rsidRPr="000A33D2">
        <w:t>b Best fitting per AIC</w:t>
      </w:r>
    </w:p>
    <w:p w14:paraId="5719FA9A" w14:textId="77777777" w:rsidR="009A149C" w:rsidRPr="000A33D2" w:rsidRDefault="009A149C" w:rsidP="00B64B34">
      <w:pPr>
        <w:pStyle w:val="FooterTableFigure"/>
        <w:spacing w:after="0"/>
      </w:pPr>
      <w:r w:rsidRPr="000A33D2">
        <w:t>c Best fitting per BIC</w:t>
      </w:r>
    </w:p>
    <w:p w14:paraId="20AD8A48" w14:textId="77777777" w:rsidR="00B64B34" w:rsidRPr="009A6D58" w:rsidRDefault="00B64B34" w:rsidP="00B64B3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C9EB48A" w14:textId="7A99A9C3" w:rsidR="00B64B34" w:rsidRPr="009A6D58" w:rsidRDefault="00B64B34" w:rsidP="00B64B3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B64B34">
        <w:rPr>
          <w:rFonts w:ascii="Arial Narrow" w:hAnsi="Arial Narrow"/>
          <w:i/>
          <w:sz w:val="18"/>
          <w:szCs w:val="18"/>
        </w:rPr>
        <w:t>$75,000 to &lt; $95,000</w:t>
      </w:r>
    </w:p>
    <w:p w14:paraId="2F80D771" w14:textId="57D418DF" w:rsidR="00B64B34" w:rsidRPr="009A6D58" w:rsidRDefault="00B64B34" w:rsidP="00B64B3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B64B34">
        <w:rPr>
          <w:rFonts w:ascii="Arial Narrow" w:hAnsi="Arial Narrow"/>
          <w:i/>
          <w:sz w:val="18"/>
          <w:szCs w:val="18"/>
        </w:rPr>
        <w:t>$95,000 to &lt; $115,000</w:t>
      </w:r>
    </w:p>
    <w:p w14:paraId="7CD5E490" w14:textId="23EDB9B8" w:rsidR="00B64B34" w:rsidRDefault="00B64B34" w:rsidP="00B64B3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B64B34">
        <w:rPr>
          <w:rFonts w:ascii="Arial Narrow" w:hAnsi="Arial Narrow"/>
          <w:i/>
          <w:sz w:val="18"/>
          <w:szCs w:val="18"/>
        </w:rPr>
        <w:t>$55,000 to &lt; $75,000</w:t>
      </w:r>
    </w:p>
    <w:p w14:paraId="34AE5256" w14:textId="1B07287B" w:rsidR="00B64B34" w:rsidRDefault="00B64B34" w:rsidP="00B64B34">
      <w:pPr>
        <w:rPr>
          <w:rFonts w:ascii="Arial Narrow" w:hAnsi="Arial Narrow"/>
          <w:i/>
          <w:sz w:val="18"/>
          <w:szCs w:val="18"/>
        </w:rPr>
      </w:pPr>
      <w:r>
        <w:rPr>
          <w:rFonts w:ascii="Arial Narrow" w:hAnsi="Arial Narrow"/>
          <w:i/>
          <w:sz w:val="18"/>
          <w:szCs w:val="18"/>
          <w:vertAlign w:val="superscript"/>
        </w:rPr>
        <w:lastRenderedPageBreak/>
        <w:t>4</w:t>
      </w:r>
      <w:r>
        <w:rPr>
          <w:rFonts w:ascii="Arial Narrow" w:hAnsi="Arial Narrow"/>
          <w:i/>
          <w:sz w:val="18"/>
          <w:szCs w:val="18"/>
        </w:rPr>
        <w:t xml:space="preserve"> </w:t>
      </w:r>
      <w:r w:rsidRPr="00B64B34">
        <w:rPr>
          <w:rFonts w:ascii="Arial Narrow" w:hAnsi="Arial Narrow"/>
          <w:i/>
          <w:sz w:val="18"/>
          <w:szCs w:val="18"/>
        </w:rPr>
        <w:t>$35,000 to &lt; $45,000</w:t>
      </w:r>
    </w:p>
    <w:p w14:paraId="1E9987FC" w14:textId="4B8EB3AB" w:rsidR="00B64B34" w:rsidRDefault="00B64B34" w:rsidP="00B64B34">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B64B34">
        <w:rPr>
          <w:rFonts w:ascii="Arial Narrow" w:hAnsi="Arial Narrow"/>
          <w:i/>
          <w:sz w:val="18"/>
          <w:szCs w:val="18"/>
        </w:rPr>
        <w:t>$135,000 to &lt; $155,000</w:t>
      </w:r>
    </w:p>
    <w:p w14:paraId="0CDF7422" w14:textId="41DF7739" w:rsidR="003B1243" w:rsidRPr="000A33D2" w:rsidRDefault="00BC17BE" w:rsidP="003B1243">
      <w:pPr>
        <w:pStyle w:val="3-BodyText"/>
      </w:pPr>
      <w:r w:rsidRPr="000A33D2">
        <w:t xml:space="preserve">In the model’s base case for </w:t>
      </w:r>
      <w:r w:rsidR="00256AEF" w:rsidRPr="000A33D2">
        <w:t xml:space="preserve">the </w:t>
      </w:r>
      <w:proofErr w:type="spellStart"/>
      <w:r w:rsidRPr="000A33D2">
        <w:t>dMMR</w:t>
      </w:r>
      <w:proofErr w:type="spellEnd"/>
      <w:r w:rsidRPr="000A33D2">
        <w:t xml:space="preserve"> </w:t>
      </w:r>
      <w:r w:rsidR="00256AEF" w:rsidRPr="00E15D52">
        <w:t xml:space="preserve">cohort </w:t>
      </w:r>
      <w:r w:rsidR="003B1243" w:rsidRPr="00E15D52">
        <w:t xml:space="preserve">47.66% </w:t>
      </w:r>
      <w:r w:rsidRPr="00E15D52">
        <w:t xml:space="preserve">of all CP patients were estimated to receive subsequent immunotherapy (2L PEM+LEN) </w:t>
      </w:r>
      <w:r w:rsidR="003B1243" w:rsidRPr="00E15D52">
        <w:t>and 42.74% for all</w:t>
      </w:r>
      <w:r w:rsidR="003D2C80" w:rsidRPr="00E15D52">
        <w:noBreakHyphen/>
      </w:r>
      <w:r w:rsidR="003B1243" w:rsidRPr="00E15D52">
        <w:t>comers</w:t>
      </w:r>
      <w:r w:rsidR="009756FC">
        <w:rPr>
          <w:rStyle w:val="FootnoteReference"/>
        </w:rPr>
        <w:footnoteReference w:id="6"/>
      </w:r>
      <w:r w:rsidRPr="00E15D52">
        <w:t>.</w:t>
      </w:r>
      <w:r w:rsidR="003B1243" w:rsidRPr="00E15D52">
        <w:t xml:space="preserve"> This was higher than observed in RUBY (38.5% for dMMR and 34.5%</w:t>
      </w:r>
      <w:r w:rsidR="008C7F09" w:rsidRPr="000A33D2">
        <w:t xml:space="preserve"> for all-comers</w:t>
      </w:r>
      <w:r w:rsidR="003B1243" w:rsidRPr="000A33D2">
        <w:t xml:space="preserve">) and the assumed usage of 2L PEM in the March 2022 PEM submission considered by the PBAC (37.2%; see </w:t>
      </w:r>
      <w:r w:rsidR="003B1243" w:rsidRPr="000A33D2">
        <w:fldChar w:fldCharType="begin" w:fldLock="1"/>
      </w:r>
      <w:r w:rsidR="003B1243" w:rsidRPr="000A33D2">
        <w:instrText xml:space="preserve"> REF _Ref144379249 \h  \* MERGEFORMAT </w:instrText>
      </w:r>
      <w:r w:rsidR="003B1243" w:rsidRPr="000A33D2">
        <w:fldChar w:fldCharType="separate"/>
      </w:r>
      <w:r w:rsidR="00B62E71" w:rsidRPr="000A33D2">
        <w:t xml:space="preserve">Table </w:t>
      </w:r>
      <w:r w:rsidR="00B62E71">
        <w:t>19</w:t>
      </w:r>
      <w:r w:rsidR="003B1243" w:rsidRPr="000A33D2">
        <w:fldChar w:fldCharType="end"/>
      </w:r>
      <w:r w:rsidR="003B1243" w:rsidRPr="000A33D2">
        <w:rPr>
          <w:i/>
          <w:iCs/>
        </w:rPr>
        <w:t>).</w:t>
      </w:r>
      <w:r w:rsidRPr="000A33D2">
        <w:rPr>
          <w:b/>
          <w:i/>
          <w:iCs/>
          <w:snapToGrid/>
        </w:rPr>
        <w:t xml:space="preserve"> </w:t>
      </w:r>
      <w:r w:rsidRPr="000A33D2">
        <w:t>Adjusting the proportion of 2L immunotherapy use to 37.2% overall, increased the ICER by 6-7%. The PSCR noted the marginally higher estimate of 2L immunotherapy use in the economic model compared to RUBY was expected given this accounts for patients progressing beyond the trial period</w:t>
      </w:r>
      <w:r w:rsidR="00933158" w:rsidRPr="000A33D2">
        <w:t>,</w:t>
      </w:r>
      <w:r w:rsidRPr="000A33D2">
        <w:t xml:space="preserve"> who would then become eligible for subsequent treatment. </w:t>
      </w:r>
    </w:p>
    <w:p w14:paraId="45097009" w14:textId="394AE81D" w:rsidR="003B1243" w:rsidRPr="000A33D2" w:rsidRDefault="003B1243" w:rsidP="00EA239B">
      <w:pPr>
        <w:pStyle w:val="3-BodyText"/>
      </w:pPr>
      <w:r w:rsidRPr="000A33D2">
        <w:t xml:space="preserve">Given the assumption of </w:t>
      </w:r>
      <w:r w:rsidRPr="00E15D52">
        <w:t xml:space="preserve">convergence such that the number of deaths </w:t>
      </w:r>
      <w:r w:rsidR="00024F7D" w:rsidRPr="00E15D52">
        <w:t xml:space="preserve">was </w:t>
      </w:r>
      <w:r w:rsidRPr="00E15D52">
        <w:t>equal at 10</w:t>
      </w:r>
      <w:r w:rsidR="006D6983" w:rsidRPr="00E15D52">
        <w:t> </w:t>
      </w:r>
      <w:r w:rsidRPr="00E15D52">
        <w:t>years, differences in terminal care costs</w:t>
      </w:r>
      <w:r w:rsidR="00BA3440" w:rsidRPr="00E15D52">
        <w:t xml:space="preserve"> </w:t>
      </w:r>
      <w:r w:rsidRPr="00E15D52">
        <w:t>($63,048 per death, based on Goldsbury 2018) were wholly a function of discounting. Removal of term</w:t>
      </w:r>
      <w:r w:rsidRPr="000A33D2">
        <w:t xml:space="preserve">inal care costs increased the ICER by 5%. </w:t>
      </w:r>
      <w:r w:rsidR="00CD42B5" w:rsidRPr="000A33D2">
        <w:t xml:space="preserve">The PBAC </w:t>
      </w:r>
      <w:r w:rsidR="007758A4" w:rsidRPr="000A33D2">
        <w:t>noted</w:t>
      </w:r>
      <w:r w:rsidR="00CD42B5" w:rsidRPr="000A33D2">
        <w:t xml:space="preserve"> that the terminal care costs </w:t>
      </w:r>
      <w:r w:rsidR="007758A4" w:rsidRPr="000A33D2">
        <w:t>were relatively high; terminal care costs of $51,413 were applied in the PEM+LEN submission (Table</w:t>
      </w:r>
      <w:r w:rsidR="006D6983">
        <w:t> </w:t>
      </w:r>
      <w:r w:rsidR="007758A4" w:rsidRPr="000A33D2">
        <w:t>13, Pembrolizumab PSD, March 2022/2023 PBAC meetings)</w:t>
      </w:r>
      <w:r w:rsidR="00CE0721" w:rsidRPr="000A33D2">
        <w:t>. The alternative sources presented in the submission were also lower: $42,946 (Reeve 2018) and $32,950 (AIHW)</w:t>
      </w:r>
      <w:r w:rsidR="007758A4" w:rsidRPr="000A33D2">
        <w:t>.</w:t>
      </w:r>
      <w:r w:rsidR="00CE0721" w:rsidRPr="000A33D2">
        <w:t xml:space="preserve"> The PBAC noted that use of the highest terminal care cost favoured dostarlimab.</w:t>
      </w:r>
    </w:p>
    <w:p w14:paraId="4A7BCCC0" w14:textId="5EADCFA4" w:rsidR="001533E7" w:rsidRPr="000A33D2" w:rsidRDefault="001533E7" w:rsidP="00EA239B">
      <w:pPr>
        <w:pStyle w:val="3-BodyText"/>
      </w:pPr>
      <w:bookmarkStart w:id="82" w:name="_Hlk148454361"/>
      <w:r w:rsidRPr="000A33D2">
        <w:t xml:space="preserve">Overall, the ESC considered that </w:t>
      </w:r>
      <w:r w:rsidR="00321BFF" w:rsidRPr="000A33D2">
        <w:t xml:space="preserve">the modelled outcomes were highly uncertain due to the immature overall survival and likely to be </w:t>
      </w:r>
      <w:r w:rsidR="00DE413B" w:rsidRPr="000A33D2">
        <w:t>optimistic</w:t>
      </w:r>
      <w:r w:rsidR="00321BFF" w:rsidRPr="000A33D2">
        <w:t xml:space="preserve"> for </w:t>
      </w:r>
      <w:r w:rsidR="00DE413B" w:rsidRPr="000A33D2">
        <w:t>patients with advanced/recurrent EC</w:t>
      </w:r>
      <w:r w:rsidR="000A33D2">
        <w:t xml:space="preserve">. </w:t>
      </w:r>
      <w:r w:rsidR="00256AEF" w:rsidRPr="000A33D2">
        <w:t xml:space="preserve">Further, the PBAC noted that the small number of patients in the dMMR cohort also increased uncertainty in the modelled outcomes. </w:t>
      </w:r>
      <w:r w:rsidR="00B50CAC" w:rsidRPr="000A33D2">
        <w:t>The ESC considered that the multivariate sensitivity analyses applying both earlier convergence and a shorter time horizon (</w:t>
      </w:r>
      <w:r w:rsidR="00B50CAC" w:rsidRPr="000A33D2">
        <w:fldChar w:fldCharType="begin" w:fldLock="1"/>
      </w:r>
      <w:r w:rsidR="00B50CAC" w:rsidRPr="000A33D2">
        <w:instrText xml:space="preserve"> REF _Ref104804865 \h  \* MERGEFORMAT </w:instrText>
      </w:r>
      <w:r w:rsidR="00B50CAC" w:rsidRPr="000A33D2">
        <w:fldChar w:fldCharType="separate"/>
      </w:r>
      <w:r w:rsidR="00B62E71" w:rsidRPr="000A33D2">
        <w:t xml:space="preserve">Table </w:t>
      </w:r>
      <w:r w:rsidR="00B62E71">
        <w:t>17</w:t>
      </w:r>
      <w:r w:rsidR="00B50CAC" w:rsidRPr="000A33D2">
        <w:fldChar w:fldCharType="end"/>
      </w:r>
      <w:r w:rsidR="00B50CAC" w:rsidRPr="000A33D2">
        <w:t>) were potentially informative</w:t>
      </w:r>
      <w:r w:rsidR="000C7563" w:rsidRPr="000A33D2">
        <w:t>, given the combined issues of uncertainty associated with long term incremental benefit with DOS+CP relative to CP, the underestimated OS in the CP arm due to omission of 2L immunotherapy and the potential overestimate of DOS+CP OS due to 2L immunotherapy use in the DOS+CP arm in RUBY.</w:t>
      </w:r>
      <w:r w:rsidR="00256AEF" w:rsidRPr="000A33D2">
        <w:t xml:space="preserve"> </w:t>
      </w:r>
    </w:p>
    <w:p w14:paraId="1D11942B" w14:textId="78E09632" w:rsidR="00560739" w:rsidRPr="000A33D2" w:rsidRDefault="009A1FD5" w:rsidP="00560739">
      <w:pPr>
        <w:pStyle w:val="3-BodyText"/>
      </w:pPr>
      <w:r w:rsidRPr="000A33D2">
        <w:t>The PBAC noted that the pre-PBAC response provided a revised base case applying convergence between 3 and 7.5 years, with a time horizon of 7.5 years and a lower effective price of $</w:t>
      </w:r>
      <w:r w:rsidR="007C10F8" w:rsidRPr="00D03BA6">
        <w:rPr>
          <w:color w:val="000000"/>
          <w:w w:val="15"/>
          <w:shd w:val="solid" w:color="000000" w:fill="000000"/>
          <w:fitText w:val="-20" w:id="-1032575734"/>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5734"/>
          <w14:textFill>
            <w14:solidFill>
              <w14:srgbClr w14:val="000000">
                <w14:alpha w14:val="100000"/>
              </w14:srgbClr>
            </w14:solidFill>
          </w14:textFill>
        </w:rPr>
        <w:t>|</w:t>
      </w:r>
      <w:r w:rsidRPr="000A33D2">
        <w:t xml:space="preserve"> per vial (reduced from $</w:t>
      </w:r>
      <w:r w:rsidR="007C10F8" w:rsidRPr="00D03BA6">
        <w:rPr>
          <w:color w:val="000000"/>
          <w:w w:val="15"/>
          <w:shd w:val="solid" w:color="000000" w:fill="000000"/>
          <w:fitText w:val="-20" w:id="-1032575733"/>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5733"/>
          <w14:textFill>
            <w14:solidFill>
              <w14:srgbClr w14:val="000000">
                <w14:alpha w14:val="100000"/>
              </w14:srgbClr>
            </w14:solidFill>
          </w14:textFill>
        </w:rPr>
        <w:t>|</w:t>
      </w:r>
      <w:r w:rsidRPr="000A33D2">
        <w:t xml:space="preserve"> per vial). This maintained the ICER at </w:t>
      </w:r>
      <w:r w:rsidR="006D6983" w:rsidRPr="00636C0C">
        <w:rPr>
          <w:rFonts w:cstheme="minorHAnsi"/>
          <w:color w:val="333333"/>
          <w:sz w:val="21"/>
          <w:szCs w:val="21"/>
        </w:rPr>
        <w:t>$</w:t>
      </w:r>
      <w:r w:rsidR="006D6983" w:rsidRPr="00C92599">
        <w:rPr>
          <w:rFonts w:cstheme="minorHAnsi"/>
          <w:color w:val="333333"/>
        </w:rPr>
        <w:t xml:space="preserve">75,000 to &lt; $95,000 </w:t>
      </w:r>
      <w:r w:rsidRPr="00C92599">
        <w:rPr>
          <w:rFonts w:cstheme="minorHAnsi"/>
        </w:rPr>
        <w:t xml:space="preserve">per QALY for the dMMR population. The Pre-PBAC response noted that using parametric extrapolations reduced this ICER to less than </w:t>
      </w:r>
      <w:r w:rsidR="00636C0C" w:rsidRPr="00C92599">
        <w:rPr>
          <w:rFonts w:cstheme="minorHAnsi"/>
          <w:color w:val="333333"/>
        </w:rPr>
        <w:t>$75,000 to &lt; $95,000</w:t>
      </w:r>
      <w:r w:rsidR="00636C0C">
        <w:rPr>
          <w:rFonts w:ascii="Arial" w:hAnsi="Arial"/>
          <w:color w:val="333333"/>
          <w:sz w:val="21"/>
          <w:szCs w:val="21"/>
        </w:rPr>
        <w:t xml:space="preserve"> </w:t>
      </w:r>
      <w:r w:rsidRPr="000A33D2">
        <w:t>per QALY.</w:t>
      </w:r>
      <w:r w:rsidR="00560739" w:rsidRPr="000A33D2">
        <w:t xml:space="preserve"> The PBAC considered this was an appropriate model </w:t>
      </w:r>
      <w:r w:rsidR="00560739" w:rsidRPr="000A33D2">
        <w:lastRenderedPageBreak/>
        <w:t>scenario given uncertainty in the modelled outcomes and uncertainty regarding their applicability to Australian clinical practice in terms of 2L immunotherapy.</w:t>
      </w:r>
    </w:p>
    <w:p w14:paraId="30C95907" w14:textId="38201C16" w:rsidR="008350CC" w:rsidRPr="000A33D2" w:rsidRDefault="00C25D9C" w:rsidP="008350CC">
      <w:pPr>
        <w:pStyle w:val="4-SubsectionHeading"/>
      </w:pPr>
      <w:bookmarkStart w:id="83" w:name="_Toc22897646"/>
      <w:bookmarkStart w:id="84" w:name="_Toc145426902"/>
      <w:bookmarkEnd w:id="82"/>
      <w:r w:rsidRPr="000A33D2">
        <w:t>Drug cost/patient/course</w:t>
      </w:r>
      <w:bookmarkStart w:id="85" w:name="_Ref104805102"/>
      <w:bookmarkEnd w:id="83"/>
      <w:bookmarkEnd w:id="84"/>
    </w:p>
    <w:p w14:paraId="000FA457" w14:textId="4764F788" w:rsidR="008350CC" w:rsidRPr="000A33D2" w:rsidRDefault="008350CC" w:rsidP="00B97E49">
      <w:pPr>
        <w:pStyle w:val="3-BodyText"/>
        <w:rPr>
          <w:snapToGrid/>
        </w:rPr>
      </w:pPr>
      <w:r w:rsidRPr="000A33D2">
        <w:t xml:space="preserve">Drug acquisition costs </w:t>
      </w:r>
      <w:r w:rsidR="0078218D" w:rsidRPr="000A33D2">
        <w:t>for DOS</w:t>
      </w:r>
      <w:r w:rsidR="007758A4" w:rsidRPr="000A33D2">
        <w:t xml:space="preserve"> as proposed in the submission</w:t>
      </w:r>
      <w:r w:rsidR="0078218D" w:rsidRPr="000A33D2">
        <w:t xml:space="preserve"> </w:t>
      </w:r>
      <w:r w:rsidRPr="000A33D2">
        <w:t xml:space="preserve">are summarised in </w:t>
      </w:r>
      <w:r w:rsidRPr="000A33D2">
        <w:fldChar w:fldCharType="begin" w:fldLock="1"/>
      </w:r>
      <w:r w:rsidRPr="000A33D2">
        <w:instrText xml:space="preserve"> REF _Ref144377831 \h </w:instrText>
      </w:r>
      <w:r w:rsidRPr="000A33D2">
        <w:fldChar w:fldCharType="separate"/>
      </w:r>
      <w:r w:rsidR="00B62E71" w:rsidRPr="000A33D2">
        <w:t>Table</w:t>
      </w:r>
      <w:r w:rsidR="006D6983">
        <w:t> </w:t>
      </w:r>
      <w:r w:rsidR="00B62E71">
        <w:rPr>
          <w:noProof/>
        </w:rPr>
        <w:t>18</w:t>
      </w:r>
      <w:r w:rsidRPr="000A33D2">
        <w:fldChar w:fldCharType="end"/>
      </w:r>
      <w:r w:rsidRPr="000A33D2">
        <w:t xml:space="preserve"> for the </w:t>
      </w:r>
      <w:proofErr w:type="spellStart"/>
      <w:r w:rsidRPr="000A33D2">
        <w:t>dMMR</w:t>
      </w:r>
      <w:proofErr w:type="spellEnd"/>
      <w:r w:rsidRPr="000A33D2">
        <w:t xml:space="preserve"> population. </w:t>
      </w:r>
      <w:r w:rsidR="007758A4" w:rsidRPr="000A33D2">
        <w:t>The Pre-PBAC response proposed a reduction in the price for dostarlimab from $</w:t>
      </w:r>
      <w:r w:rsidR="007C10F8" w:rsidRPr="00D03BA6">
        <w:rPr>
          <w:color w:val="000000"/>
          <w:w w:val="15"/>
          <w:shd w:val="solid" w:color="000000" w:fill="000000"/>
          <w:fitText w:val="-20" w:id="-1032575732"/>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5732"/>
          <w14:textFill>
            <w14:solidFill>
              <w14:srgbClr w14:val="000000">
                <w14:alpha w14:val="100000"/>
              </w14:srgbClr>
            </w14:solidFill>
          </w14:textFill>
        </w:rPr>
        <w:t>|</w:t>
      </w:r>
      <w:r w:rsidR="007758A4" w:rsidRPr="000A33D2">
        <w:t xml:space="preserve"> to $</w:t>
      </w:r>
      <w:r w:rsidR="007C10F8" w:rsidRPr="00D03BA6">
        <w:rPr>
          <w:color w:val="000000"/>
          <w:w w:val="15"/>
          <w:shd w:val="solid" w:color="000000" w:fill="000000"/>
          <w:fitText w:val="-20" w:id="-1032575731"/>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5731"/>
          <w14:textFill>
            <w14:solidFill>
              <w14:srgbClr w14:val="000000">
                <w14:alpha w14:val="100000"/>
              </w14:srgbClr>
            </w14:solidFill>
          </w14:textFill>
        </w:rPr>
        <w:t>|</w:t>
      </w:r>
      <w:r w:rsidR="007758A4" w:rsidRPr="000A33D2">
        <w:t xml:space="preserve"> EMP per 500</w:t>
      </w:r>
      <w:r w:rsidR="006D6983">
        <w:t> </w:t>
      </w:r>
      <w:r w:rsidR="007758A4" w:rsidRPr="000A33D2">
        <w:t>mg vial</w:t>
      </w:r>
      <w:r w:rsidR="004A3679" w:rsidRPr="000A33D2">
        <w:t xml:space="preserve">, which would reduce the costs shown in </w:t>
      </w:r>
      <w:r w:rsidR="004A3679" w:rsidRPr="000A33D2">
        <w:fldChar w:fldCharType="begin" w:fldLock="1"/>
      </w:r>
      <w:r w:rsidR="004A3679" w:rsidRPr="000A33D2">
        <w:instrText xml:space="preserve"> REF _Ref144377831 \h </w:instrText>
      </w:r>
      <w:r w:rsidR="004A3679" w:rsidRPr="000A33D2">
        <w:fldChar w:fldCharType="separate"/>
      </w:r>
      <w:r w:rsidR="00B62E71" w:rsidRPr="000A33D2">
        <w:t xml:space="preserve">Table </w:t>
      </w:r>
      <w:r w:rsidR="00B62E71">
        <w:rPr>
          <w:noProof/>
        </w:rPr>
        <w:t>18</w:t>
      </w:r>
      <w:r w:rsidR="004A3679" w:rsidRPr="000A33D2">
        <w:fldChar w:fldCharType="end"/>
      </w:r>
      <w:r w:rsidR="007758A4" w:rsidRPr="000A33D2">
        <w:t xml:space="preserve">. </w:t>
      </w:r>
      <w:r w:rsidR="00A00DC7" w:rsidRPr="000A33D2">
        <w:rPr>
          <w:snapToGrid/>
        </w:rPr>
        <w:t>Cost</w:t>
      </w:r>
      <w:r w:rsidR="00774D41" w:rsidRPr="000A33D2">
        <w:rPr>
          <w:snapToGrid/>
        </w:rPr>
        <w:t>s</w:t>
      </w:r>
      <w:r w:rsidR="00A00DC7" w:rsidRPr="000A33D2">
        <w:rPr>
          <w:snapToGrid/>
        </w:rPr>
        <w:t xml:space="preserve"> for CP were not included</w:t>
      </w:r>
      <w:r w:rsidR="00BC3B1E" w:rsidRPr="000A33D2">
        <w:rPr>
          <w:snapToGrid/>
        </w:rPr>
        <w:t xml:space="preserve"> in </w:t>
      </w:r>
      <w:r w:rsidR="00BC3B1E" w:rsidRPr="000A33D2">
        <w:rPr>
          <w:snapToGrid/>
        </w:rPr>
        <w:fldChar w:fldCharType="begin" w:fldLock="1"/>
      </w:r>
      <w:r w:rsidR="00BC3B1E" w:rsidRPr="000A33D2">
        <w:rPr>
          <w:snapToGrid/>
        </w:rPr>
        <w:instrText xml:space="preserve"> REF _Ref144377831 \h  \* MERGEFORMAT </w:instrText>
      </w:r>
      <w:r w:rsidR="00BC3B1E" w:rsidRPr="000A33D2">
        <w:rPr>
          <w:snapToGrid/>
        </w:rPr>
      </w:r>
      <w:r w:rsidR="00BC3B1E" w:rsidRPr="000A33D2">
        <w:rPr>
          <w:snapToGrid/>
        </w:rPr>
        <w:fldChar w:fldCharType="separate"/>
      </w:r>
      <w:r w:rsidR="00B62E71" w:rsidRPr="000A33D2">
        <w:t xml:space="preserve">Table </w:t>
      </w:r>
      <w:r w:rsidR="00B62E71">
        <w:t>18</w:t>
      </w:r>
      <w:r w:rsidR="00BC3B1E" w:rsidRPr="000A33D2">
        <w:rPr>
          <w:snapToGrid/>
        </w:rPr>
        <w:fldChar w:fldCharType="end"/>
      </w:r>
      <w:r w:rsidR="00BC3B1E" w:rsidRPr="000A33D2">
        <w:rPr>
          <w:snapToGrid/>
        </w:rPr>
        <w:t xml:space="preserve"> </w:t>
      </w:r>
      <w:r w:rsidR="00A00DC7" w:rsidRPr="000A33D2">
        <w:rPr>
          <w:snapToGrid/>
        </w:rPr>
        <w:t xml:space="preserve">as they were expected to remain relatively unchanged. </w:t>
      </w:r>
    </w:p>
    <w:p w14:paraId="51691BD3" w14:textId="211F0FB8" w:rsidR="00494207" w:rsidRPr="000A33D2" w:rsidRDefault="00E16AD8" w:rsidP="004175AA">
      <w:pPr>
        <w:pStyle w:val="Caption"/>
        <w:rPr>
          <w:rStyle w:val="CommentReference"/>
          <w:b/>
          <w:szCs w:val="24"/>
        </w:rPr>
      </w:pPr>
      <w:bookmarkStart w:id="86" w:name="_Ref144377831"/>
      <w:r w:rsidRPr="000A33D2">
        <w:t xml:space="preserve">Table </w:t>
      </w:r>
      <w:r>
        <w:fldChar w:fldCharType="begin" w:fldLock="1"/>
      </w:r>
      <w:r>
        <w:instrText>SEQ Table \* ARABIC</w:instrText>
      </w:r>
      <w:r>
        <w:fldChar w:fldCharType="separate"/>
      </w:r>
      <w:r w:rsidR="00B62E71">
        <w:rPr>
          <w:noProof/>
        </w:rPr>
        <w:t>18</w:t>
      </w:r>
      <w:r>
        <w:fldChar w:fldCharType="end"/>
      </w:r>
      <w:bookmarkEnd w:id="85"/>
      <w:bookmarkEnd w:id="86"/>
      <w:r w:rsidRPr="000A33D2">
        <w:t>:</w:t>
      </w:r>
      <w:r w:rsidR="00494207" w:rsidRPr="000A33D2">
        <w:rPr>
          <w:rStyle w:val="CommentReference"/>
          <w:b/>
          <w:szCs w:val="24"/>
        </w:rPr>
        <w:t xml:space="preserve"> Drug cost per patient for </w:t>
      </w:r>
      <w:r w:rsidR="0078218D" w:rsidRPr="000A33D2">
        <w:rPr>
          <w:rStyle w:val="CommentReference"/>
          <w:b/>
          <w:szCs w:val="24"/>
        </w:rPr>
        <w:t xml:space="preserve">DOS </w:t>
      </w:r>
      <w:r w:rsidR="00CD1EEC" w:rsidRPr="000A33D2">
        <w:rPr>
          <w:rStyle w:val="CommentReference"/>
          <w:b/>
          <w:szCs w:val="24"/>
        </w:rPr>
        <w:t>(dMMR)</w:t>
      </w:r>
      <w:r w:rsidR="007758A4" w:rsidRPr="000A33D2">
        <w:rPr>
          <w:rStyle w:val="CommentReference"/>
          <w:b/>
          <w:szCs w:val="24"/>
        </w:rPr>
        <w:t xml:space="preserve"> (as per submission proposed price)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1"/>
        <w:gridCol w:w="2270"/>
        <w:gridCol w:w="1558"/>
        <w:gridCol w:w="2218"/>
      </w:tblGrid>
      <w:tr w:rsidR="0078218D" w:rsidRPr="000A33D2" w14:paraId="4F94E0A5" w14:textId="77777777" w:rsidTr="00DF181C">
        <w:trPr>
          <w:cantSplit/>
          <w:tblHeader/>
          <w:jc w:val="center"/>
        </w:trPr>
        <w:tc>
          <w:tcPr>
            <w:tcW w:w="1647" w:type="pct"/>
            <w:shd w:val="clear" w:color="auto" w:fill="auto"/>
            <w:vAlign w:val="center"/>
          </w:tcPr>
          <w:p w14:paraId="747210BE" w14:textId="77777777" w:rsidR="0078218D" w:rsidRPr="000A33D2" w:rsidRDefault="0078218D" w:rsidP="004175AA">
            <w:pPr>
              <w:pStyle w:val="In-tableHeading"/>
              <w:keepLines/>
              <w:jc w:val="center"/>
              <w:rPr>
                <w:lang w:val="en-AU"/>
              </w:rPr>
            </w:pPr>
          </w:p>
        </w:tc>
        <w:tc>
          <w:tcPr>
            <w:tcW w:w="1258" w:type="pct"/>
            <w:shd w:val="clear" w:color="auto" w:fill="auto"/>
            <w:vAlign w:val="center"/>
          </w:tcPr>
          <w:p w14:paraId="56F92E40" w14:textId="77777777" w:rsidR="0078218D" w:rsidRPr="000A33D2" w:rsidRDefault="0078218D" w:rsidP="004175AA">
            <w:pPr>
              <w:pStyle w:val="In-tableHeading"/>
              <w:keepLines/>
              <w:jc w:val="center"/>
              <w:rPr>
                <w:lang w:val="en-AU"/>
              </w:rPr>
            </w:pPr>
            <w:r w:rsidRPr="000A33D2">
              <w:rPr>
                <w:lang w:val="en-AU"/>
              </w:rPr>
              <w:t>Trial dose and duration</w:t>
            </w:r>
          </w:p>
        </w:tc>
        <w:tc>
          <w:tcPr>
            <w:tcW w:w="864" w:type="pct"/>
            <w:shd w:val="clear" w:color="auto" w:fill="auto"/>
            <w:vAlign w:val="center"/>
          </w:tcPr>
          <w:p w14:paraId="30703660" w14:textId="77777777" w:rsidR="0078218D" w:rsidRPr="000A33D2" w:rsidRDefault="0078218D" w:rsidP="004175AA">
            <w:pPr>
              <w:pStyle w:val="In-tableHeading"/>
              <w:keepLines/>
              <w:jc w:val="center"/>
              <w:rPr>
                <w:lang w:val="en-AU"/>
              </w:rPr>
            </w:pPr>
            <w:r w:rsidRPr="000A33D2">
              <w:rPr>
                <w:lang w:val="en-AU"/>
              </w:rPr>
              <w:t>Model</w:t>
            </w:r>
          </w:p>
        </w:tc>
        <w:tc>
          <w:tcPr>
            <w:tcW w:w="1230" w:type="pct"/>
            <w:shd w:val="clear" w:color="auto" w:fill="auto"/>
            <w:vAlign w:val="center"/>
          </w:tcPr>
          <w:p w14:paraId="5BE2D4A5" w14:textId="77777777" w:rsidR="0078218D" w:rsidRPr="000A33D2" w:rsidRDefault="0078218D" w:rsidP="004175AA">
            <w:pPr>
              <w:pStyle w:val="In-tableHeading"/>
              <w:keepLines/>
              <w:jc w:val="center"/>
              <w:rPr>
                <w:lang w:val="en-AU"/>
              </w:rPr>
            </w:pPr>
            <w:r w:rsidRPr="000A33D2">
              <w:rPr>
                <w:lang w:val="en-AU"/>
              </w:rPr>
              <w:t>Financial estimates</w:t>
            </w:r>
          </w:p>
        </w:tc>
      </w:tr>
      <w:tr w:rsidR="0078218D" w:rsidRPr="000A33D2" w14:paraId="777ACC33" w14:textId="77777777" w:rsidTr="00DF181C">
        <w:trPr>
          <w:cantSplit/>
          <w:jc w:val="center"/>
        </w:trPr>
        <w:tc>
          <w:tcPr>
            <w:tcW w:w="1647" w:type="pct"/>
            <w:shd w:val="clear" w:color="auto" w:fill="auto"/>
            <w:vAlign w:val="center"/>
          </w:tcPr>
          <w:p w14:paraId="1D7B03F8" w14:textId="484CD424" w:rsidR="0078218D" w:rsidRPr="000A33D2" w:rsidRDefault="0078218D" w:rsidP="004175AA">
            <w:pPr>
              <w:pStyle w:val="TableText0"/>
              <w:keepLines/>
            </w:pPr>
            <w:r w:rsidRPr="000A33D2">
              <w:t>Mean</w:t>
            </w:r>
            <w:r w:rsidR="004D371E" w:rsidRPr="000A33D2">
              <w:t xml:space="preserve"> number of</w:t>
            </w:r>
            <w:r w:rsidRPr="000A33D2">
              <w:t xml:space="preserve"> </w:t>
            </w:r>
            <w:r w:rsidR="00647024" w:rsidRPr="000A33D2">
              <w:t xml:space="preserve">initiation </w:t>
            </w:r>
            <w:r w:rsidRPr="000A33D2">
              <w:t>dose</w:t>
            </w:r>
            <w:r w:rsidR="004D371E" w:rsidRPr="000A33D2">
              <w:t xml:space="preserve">s </w:t>
            </w:r>
          </w:p>
        </w:tc>
        <w:tc>
          <w:tcPr>
            <w:tcW w:w="1258" w:type="pct"/>
            <w:shd w:val="clear" w:color="auto" w:fill="auto"/>
            <w:vAlign w:val="center"/>
          </w:tcPr>
          <w:p w14:paraId="1353F566" w14:textId="4E7ADB46" w:rsidR="0078218D" w:rsidRPr="000A33D2" w:rsidRDefault="00647024" w:rsidP="004175AA">
            <w:pPr>
              <w:pStyle w:val="TableText0"/>
              <w:keepLines/>
              <w:jc w:val="center"/>
              <w:rPr>
                <w:vertAlign w:val="superscript"/>
              </w:rPr>
            </w:pPr>
            <w:r w:rsidRPr="000A33D2">
              <w:rPr>
                <w:bCs w:val="0"/>
              </w:rPr>
              <w:t>6</w:t>
            </w:r>
            <w:r w:rsidR="003A7C3C" w:rsidRPr="000A33D2">
              <w:rPr>
                <w:bCs w:val="0"/>
              </w:rPr>
              <w:t xml:space="preserve"> </w:t>
            </w:r>
            <w:r w:rsidR="003A7C3C" w:rsidRPr="000A33D2">
              <w:rPr>
                <w:bCs w:val="0"/>
                <w:vertAlign w:val="superscript"/>
              </w:rPr>
              <w:t>a</w:t>
            </w:r>
          </w:p>
        </w:tc>
        <w:tc>
          <w:tcPr>
            <w:tcW w:w="864" w:type="pct"/>
            <w:shd w:val="clear" w:color="auto" w:fill="auto"/>
            <w:vAlign w:val="center"/>
          </w:tcPr>
          <w:p w14:paraId="16F9F54B" w14:textId="08BDF7C7" w:rsidR="0078218D" w:rsidRPr="00E15D52" w:rsidRDefault="007D1D9D" w:rsidP="004175AA">
            <w:pPr>
              <w:pStyle w:val="TableText0"/>
              <w:keepLines/>
              <w:jc w:val="center"/>
              <w:rPr>
                <w:vertAlign w:val="superscript"/>
              </w:rPr>
            </w:pPr>
            <w:r w:rsidRPr="00E15D52">
              <w:rPr>
                <w:bCs w:val="0"/>
              </w:rPr>
              <w:t>5.10</w:t>
            </w:r>
            <w:r w:rsidR="00833951" w:rsidRPr="00E15D52">
              <w:rPr>
                <w:bCs w:val="0"/>
              </w:rPr>
              <w:t xml:space="preserve"> </w:t>
            </w:r>
            <w:r w:rsidR="004A5F09" w:rsidRPr="00E15D52">
              <w:rPr>
                <w:bCs w:val="0"/>
                <w:vertAlign w:val="superscript"/>
              </w:rPr>
              <w:t>c</w:t>
            </w:r>
            <w:r w:rsidR="009756FC">
              <w:rPr>
                <w:bCs w:val="0"/>
                <w:vertAlign w:val="superscript"/>
              </w:rPr>
              <w:t>*</w:t>
            </w:r>
          </w:p>
        </w:tc>
        <w:tc>
          <w:tcPr>
            <w:tcW w:w="1230" w:type="pct"/>
            <w:shd w:val="clear" w:color="auto" w:fill="auto"/>
            <w:vAlign w:val="center"/>
          </w:tcPr>
          <w:p w14:paraId="0E43EA4F" w14:textId="371D2862" w:rsidR="0078218D" w:rsidRPr="00E15D52" w:rsidRDefault="00C90FC3" w:rsidP="004175AA">
            <w:pPr>
              <w:pStyle w:val="TableText0"/>
              <w:keepLines/>
              <w:jc w:val="center"/>
              <w:rPr>
                <w:vertAlign w:val="superscript"/>
              </w:rPr>
            </w:pPr>
            <w:r w:rsidRPr="00E15D52">
              <w:t>5.66</w:t>
            </w:r>
            <w:r w:rsidR="00985AD8" w:rsidRPr="00E15D52">
              <w:t xml:space="preserve"> </w:t>
            </w:r>
            <w:r w:rsidR="004A5F09" w:rsidRPr="00E15D52">
              <w:rPr>
                <w:vertAlign w:val="superscript"/>
              </w:rPr>
              <w:t>f</w:t>
            </w:r>
            <w:r w:rsidR="009756FC">
              <w:rPr>
                <w:vertAlign w:val="superscript"/>
              </w:rPr>
              <w:t>*</w:t>
            </w:r>
          </w:p>
        </w:tc>
      </w:tr>
      <w:tr w:rsidR="00647024" w:rsidRPr="000A33D2" w14:paraId="226CC1D7" w14:textId="77777777" w:rsidTr="00DF181C">
        <w:trPr>
          <w:cantSplit/>
          <w:jc w:val="center"/>
        </w:trPr>
        <w:tc>
          <w:tcPr>
            <w:tcW w:w="1647" w:type="pct"/>
            <w:shd w:val="clear" w:color="auto" w:fill="auto"/>
            <w:vAlign w:val="center"/>
          </w:tcPr>
          <w:p w14:paraId="2CA7B11A" w14:textId="3692004A" w:rsidR="00647024" w:rsidRPr="000A33D2" w:rsidRDefault="00647024" w:rsidP="004175AA">
            <w:pPr>
              <w:pStyle w:val="TableText0"/>
              <w:keepLines/>
            </w:pPr>
            <w:r w:rsidRPr="000A33D2">
              <w:t>Mean number of maintenance doses</w:t>
            </w:r>
          </w:p>
        </w:tc>
        <w:tc>
          <w:tcPr>
            <w:tcW w:w="1258" w:type="pct"/>
            <w:shd w:val="clear" w:color="auto" w:fill="auto"/>
            <w:vAlign w:val="center"/>
          </w:tcPr>
          <w:p w14:paraId="38420C96" w14:textId="6A2FD8D0" w:rsidR="00647024" w:rsidRPr="000A33D2" w:rsidRDefault="00647024" w:rsidP="004175AA">
            <w:pPr>
              <w:pStyle w:val="TableText0"/>
              <w:keepLines/>
              <w:jc w:val="center"/>
              <w:rPr>
                <w:bCs w:val="0"/>
                <w:vertAlign w:val="superscript"/>
              </w:rPr>
            </w:pPr>
            <w:r w:rsidRPr="000A33D2">
              <w:rPr>
                <w:bCs w:val="0"/>
              </w:rPr>
              <w:t>8.4</w:t>
            </w:r>
            <w:r w:rsidR="003A7C3C" w:rsidRPr="000A33D2">
              <w:rPr>
                <w:bCs w:val="0"/>
              </w:rPr>
              <w:t xml:space="preserve"> </w:t>
            </w:r>
            <w:r w:rsidR="003A7C3C" w:rsidRPr="000A33D2">
              <w:rPr>
                <w:bCs w:val="0"/>
                <w:vertAlign w:val="superscript"/>
              </w:rPr>
              <w:t>a</w:t>
            </w:r>
          </w:p>
        </w:tc>
        <w:tc>
          <w:tcPr>
            <w:tcW w:w="864" w:type="pct"/>
            <w:shd w:val="clear" w:color="auto" w:fill="auto"/>
            <w:vAlign w:val="center"/>
          </w:tcPr>
          <w:p w14:paraId="58E99DAC" w14:textId="63DE0A11" w:rsidR="00647024" w:rsidRPr="00E15D52" w:rsidRDefault="00833951" w:rsidP="004175AA">
            <w:pPr>
              <w:pStyle w:val="TableText0"/>
              <w:keepLines/>
              <w:jc w:val="center"/>
              <w:rPr>
                <w:bCs w:val="0"/>
                <w:vertAlign w:val="superscript"/>
              </w:rPr>
            </w:pPr>
            <w:r w:rsidRPr="00E15D52">
              <w:rPr>
                <w:bCs w:val="0"/>
              </w:rPr>
              <w:t>12.0</w:t>
            </w:r>
            <w:r w:rsidR="00985AD8" w:rsidRPr="00E15D52">
              <w:rPr>
                <w:bCs w:val="0"/>
              </w:rPr>
              <w:t xml:space="preserve"> </w:t>
            </w:r>
            <w:r w:rsidR="004A5F09" w:rsidRPr="00E15D52">
              <w:rPr>
                <w:bCs w:val="0"/>
                <w:vertAlign w:val="superscript"/>
              </w:rPr>
              <w:t>d</w:t>
            </w:r>
            <w:r w:rsidR="009756FC">
              <w:rPr>
                <w:bCs w:val="0"/>
                <w:vertAlign w:val="superscript"/>
              </w:rPr>
              <w:t>*</w:t>
            </w:r>
          </w:p>
        </w:tc>
        <w:tc>
          <w:tcPr>
            <w:tcW w:w="1230" w:type="pct"/>
            <w:shd w:val="clear" w:color="auto" w:fill="auto"/>
            <w:vAlign w:val="center"/>
          </w:tcPr>
          <w:p w14:paraId="1552BEC1" w14:textId="19B147FF" w:rsidR="00647024" w:rsidRPr="00E15D52" w:rsidRDefault="005B4074" w:rsidP="004175AA">
            <w:pPr>
              <w:pStyle w:val="TableText0"/>
              <w:keepLines/>
              <w:jc w:val="center"/>
              <w:rPr>
                <w:vertAlign w:val="superscript"/>
              </w:rPr>
            </w:pPr>
            <w:r w:rsidRPr="00E15D52">
              <w:t>11.16</w:t>
            </w:r>
            <w:r w:rsidR="004A5F09" w:rsidRPr="00E15D52">
              <w:t xml:space="preserve"> </w:t>
            </w:r>
            <w:r w:rsidR="004A5F09" w:rsidRPr="00E15D52">
              <w:rPr>
                <w:vertAlign w:val="superscript"/>
              </w:rPr>
              <w:t>g</w:t>
            </w:r>
            <w:r w:rsidR="009756FC">
              <w:rPr>
                <w:vertAlign w:val="superscript"/>
              </w:rPr>
              <w:t>*</w:t>
            </w:r>
          </w:p>
        </w:tc>
      </w:tr>
      <w:tr w:rsidR="0078218D" w:rsidRPr="000A33D2" w14:paraId="46D1F4F3" w14:textId="77777777" w:rsidTr="00DF181C">
        <w:trPr>
          <w:cantSplit/>
          <w:jc w:val="center"/>
        </w:trPr>
        <w:tc>
          <w:tcPr>
            <w:tcW w:w="1647" w:type="pct"/>
            <w:shd w:val="clear" w:color="auto" w:fill="auto"/>
            <w:vAlign w:val="center"/>
          </w:tcPr>
          <w:p w14:paraId="3CF8B989" w14:textId="77777777" w:rsidR="0078218D" w:rsidRPr="000A33D2" w:rsidRDefault="0078218D" w:rsidP="004175AA">
            <w:pPr>
              <w:pStyle w:val="TableText0"/>
              <w:keepLines/>
            </w:pPr>
            <w:r w:rsidRPr="000A33D2">
              <w:t>Mean duration</w:t>
            </w:r>
          </w:p>
        </w:tc>
        <w:tc>
          <w:tcPr>
            <w:tcW w:w="1258" w:type="pct"/>
            <w:shd w:val="clear" w:color="auto" w:fill="auto"/>
            <w:vAlign w:val="center"/>
          </w:tcPr>
          <w:p w14:paraId="2CF2A419" w14:textId="0722287F" w:rsidR="0078218D" w:rsidRPr="000A33D2" w:rsidRDefault="0078218D" w:rsidP="004175AA">
            <w:pPr>
              <w:pStyle w:val="TableText0"/>
              <w:keepLines/>
              <w:jc w:val="center"/>
            </w:pPr>
            <w:r w:rsidRPr="000A33D2">
              <w:rPr>
                <w:bCs w:val="0"/>
              </w:rPr>
              <w:t>71.3 weeks</w:t>
            </w:r>
          </w:p>
        </w:tc>
        <w:tc>
          <w:tcPr>
            <w:tcW w:w="864" w:type="pct"/>
            <w:shd w:val="clear" w:color="auto" w:fill="auto"/>
            <w:vAlign w:val="center"/>
          </w:tcPr>
          <w:p w14:paraId="738E1910" w14:textId="5423B923" w:rsidR="0078218D" w:rsidRPr="00E15D52" w:rsidRDefault="0078218D" w:rsidP="004175AA">
            <w:pPr>
              <w:pStyle w:val="TableText0"/>
              <w:keepLines/>
              <w:jc w:val="center"/>
            </w:pPr>
            <w:r w:rsidRPr="00E15D52">
              <w:rPr>
                <w:bCs w:val="0"/>
              </w:rPr>
              <w:t xml:space="preserve">87.32 weeks </w:t>
            </w:r>
            <w:r w:rsidR="004A5F09" w:rsidRPr="00E15D52">
              <w:rPr>
                <w:bCs w:val="0"/>
                <w:vertAlign w:val="superscript"/>
              </w:rPr>
              <w:t>e</w:t>
            </w:r>
            <w:r w:rsidR="009756FC">
              <w:rPr>
                <w:bCs w:val="0"/>
                <w:vertAlign w:val="superscript"/>
              </w:rPr>
              <w:t>*</w:t>
            </w:r>
          </w:p>
        </w:tc>
        <w:tc>
          <w:tcPr>
            <w:tcW w:w="1230" w:type="pct"/>
            <w:shd w:val="clear" w:color="auto" w:fill="auto"/>
            <w:vAlign w:val="center"/>
          </w:tcPr>
          <w:p w14:paraId="2D646DAE" w14:textId="71425A9C" w:rsidR="0078218D" w:rsidRPr="00E15D52" w:rsidRDefault="0078218D" w:rsidP="004175AA">
            <w:pPr>
              <w:pStyle w:val="TableText0"/>
              <w:keepLines/>
              <w:jc w:val="center"/>
            </w:pPr>
            <w:r w:rsidRPr="00E15D52">
              <w:rPr>
                <w:bCs w:val="0"/>
              </w:rPr>
              <w:t xml:space="preserve">86.84 weeks </w:t>
            </w:r>
            <w:r w:rsidR="004A5F09" w:rsidRPr="00E15D52">
              <w:rPr>
                <w:vertAlign w:val="superscript"/>
              </w:rPr>
              <w:t>e</w:t>
            </w:r>
            <w:r w:rsidR="009756FC">
              <w:rPr>
                <w:vertAlign w:val="superscript"/>
              </w:rPr>
              <w:t>*</w:t>
            </w:r>
          </w:p>
        </w:tc>
      </w:tr>
      <w:tr w:rsidR="009A09DF" w:rsidRPr="000A33D2" w14:paraId="74AC3140" w14:textId="77777777" w:rsidTr="00DF181C">
        <w:trPr>
          <w:cantSplit/>
          <w:jc w:val="center"/>
        </w:trPr>
        <w:tc>
          <w:tcPr>
            <w:tcW w:w="1647" w:type="pct"/>
            <w:shd w:val="clear" w:color="auto" w:fill="auto"/>
            <w:vAlign w:val="center"/>
          </w:tcPr>
          <w:p w14:paraId="2A478471" w14:textId="19AAD622" w:rsidR="009A09DF" w:rsidRPr="000A33D2" w:rsidRDefault="009A09DF" w:rsidP="004175AA">
            <w:pPr>
              <w:pStyle w:val="TableText0"/>
              <w:keepLines/>
            </w:pPr>
            <w:r w:rsidRPr="000A33D2">
              <w:t>Mean duration - corrected</w:t>
            </w:r>
          </w:p>
        </w:tc>
        <w:tc>
          <w:tcPr>
            <w:tcW w:w="1258" w:type="pct"/>
            <w:shd w:val="clear" w:color="auto" w:fill="auto"/>
            <w:vAlign w:val="center"/>
          </w:tcPr>
          <w:p w14:paraId="14B0A72A" w14:textId="77777777" w:rsidR="009A09DF" w:rsidRPr="000A33D2" w:rsidRDefault="009A09DF" w:rsidP="004175AA">
            <w:pPr>
              <w:pStyle w:val="TableText0"/>
              <w:keepLines/>
              <w:jc w:val="center"/>
              <w:rPr>
                <w:bCs w:val="0"/>
              </w:rPr>
            </w:pPr>
          </w:p>
        </w:tc>
        <w:tc>
          <w:tcPr>
            <w:tcW w:w="864" w:type="pct"/>
            <w:shd w:val="clear" w:color="auto" w:fill="auto"/>
            <w:vAlign w:val="center"/>
          </w:tcPr>
          <w:p w14:paraId="5809AE01" w14:textId="5EC4CED2" w:rsidR="009A09DF" w:rsidRPr="00E15D52" w:rsidRDefault="009A09DF" w:rsidP="004175AA">
            <w:pPr>
              <w:pStyle w:val="TableText0"/>
              <w:keepLines/>
              <w:jc w:val="center"/>
              <w:rPr>
                <w:bCs w:val="0"/>
              </w:rPr>
            </w:pPr>
            <w:r w:rsidRPr="00E15D52">
              <w:rPr>
                <w:bCs w:val="0"/>
              </w:rPr>
              <w:t>88.94</w:t>
            </w:r>
            <w:r w:rsidR="00407D58" w:rsidRPr="00E15D52">
              <w:rPr>
                <w:bCs w:val="0"/>
              </w:rPr>
              <w:t xml:space="preserve"> weeks</w:t>
            </w:r>
            <w:r w:rsidR="009756FC">
              <w:rPr>
                <w:bCs w:val="0"/>
              </w:rPr>
              <w:t>*</w:t>
            </w:r>
          </w:p>
        </w:tc>
        <w:tc>
          <w:tcPr>
            <w:tcW w:w="1230" w:type="pct"/>
            <w:shd w:val="clear" w:color="auto" w:fill="auto"/>
            <w:vAlign w:val="center"/>
          </w:tcPr>
          <w:p w14:paraId="06653B9A" w14:textId="22472F62" w:rsidR="009A09DF" w:rsidRPr="00E15D52" w:rsidRDefault="00407D58" w:rsidP="004175AA">
            <w:pPr>
              <w:pStyle w:val="TableText0"/>
              <w:keepLines/>
              <w:jc w:val="center"/>
              <w:rPr>
                <w:bCs w:val="0"/>
              </w:rPr>
            </w:pPr>
            <w:r w:rsidRPr="00E15D52">
              <w:rPr>
                <w:bCs w:val="0"/>
              </w:rPr>
              <w:t>88.94 weeks</w:t>
            </w:r>
            <w:r w:rsidR="009756FC">
              <w:rPr>
                <w:bCs w:val="0"/>
              </w:rPr>
              <w:t>*</w:t>
            </w:r>
          </w:p>
        </w:tc>
      </w:tr>
      <w:tr w:rsidR="0078218D" w:rsidRPr="000A33D2" w14:paraId="2F8B5585" w14:textId="77777777" w:rsidTr="00DC7F8A">
        <w:trPr>
          <w:cantSplit/>
          <w:trHeight w:val="70"/>
          <w:jc w:val="center"/>
        </w:trPr>
        <w:tc>
          <w:tcPr>
            <w:tcW w:w="1647" w:type="pct"/>
            <w:shd w:val="clear" w:color="auto" w:fill="auto"/>
            <w:vAlign w:val="center"/>
          </w:tcPr>
          <w:p w14:paraId="3E5C6768" w14:textId="087D58B0" w:rsidR="0078218D" w:rsidRPr="000A33D2" w:rsidRDefault="0078218D" w:rsidP="004175AA">
            <w:pPr>
              <w:pStyle w:val="TableText0"/>
              <w:keepLines/>
            </w:pPr>
            <w:r w:rsidRPr="000A33D2">
              <w:t>Cost/patient/course</w:t>
            </w:r>
            <w:r w:rsidR="00407D58" w:rsidRPr="000A33D2">
              <w:t xml:space="preserve"> - corrected</w:t>
            </w:r>
          </w:p>
        </w:tc>
        <w:tc>
          <w:tcPr>
            <w:tcW w:w="1258" w:type="pct"/>
            <w:shd w:val="clear" w:color="auto" w:fill="auto"/>
            <w:vAlign w:val="center"/>
          </w:tcPr>
          <w:p w14:paraId="79F7E4CF" w14:textId="5B67F9A4" w:rsidR="0078218D" w:rsidRPr="000A33D2" w:rsidRDefault="0078218D" w:rsidP="004175AA">
            <w:pPr>
              <w:pStyle w:val="TableText0"/>
              <w:keepLines/>
              <w:jc w:val="center"/>
            </w:pPr>
            <w:r w:rsidRPr="000A33D2">
              <w:rPr>
                <w:bCs w:val="0"/>
              </w:rPr>
              <w:t>$</w:t>
            </w:r>
            <w:r w:rsidR="007C10F8" w:rsidRPr="007C10F8">
              <w:rPr>
                <w:bCs w:val="0"/>
                <w:color w:val="000000"/>
                <w:shd w:val="solid" w:color="000000" w:fill="000000"/>
                <w14:textFill>
                  <w14:solidFill>
                    <w14:srgbClr w14:val="000000">
                      <w14:alpha w14:val="100000"/>
                    </w14:srgbClr>
                  </w14:solidFill>
                </w14:textFill>
              </w:rPr>
              <w:t>|</w:t>
            </w:r>
            <w:r w:rsidRPr="000A33D2">
              <w:rPr>
                <w:bCs w:val="0"/>
              </w:rPr>
              <w:t xml:space="preserve"> </w:t>
            </w:r>
            <w:r w:rsidR="003A7C3C" w:rsidRPr="000A33D2">
              <w:rPr>
                <w:bCs w:val="0"/>
                <w:vertAlign w:val="superscript"/>
              </w:rPr>
              <w:t>b</w:t>
            </w:r>
          </w:p>
        </w:tc>
        <w:tc>
          <w:tcPr>
            <w:tcW w:w="864" w:type="pct"/>
            <w:shd w:val="clear" w:color="auto" w:fill="auto"/>
            <w:vAlign w:val="center"/>
          </w:tcPr>
          <w:p w14:paraId="3611C5D9" w14:textId="39F1A319" w:rsidR="0078218D" w:rsidRPr="000A33D2" w:rsidRDefault="0078218D" w:rsidP="004175AA">
            <w:pPr>
              <w:pStyle w:val="TableText0"/>
              <w:keepLines/>
              <w:jc w:val="center"/>
            </w:pPr>
            <w:r w:rsidRPr="000A33D2">
              <w:rPr>
                <w:bCs w:val="0"/>
              </w:rPr>
              <w:t>$</w:t>
            </w:r>
            <w:r w:rsidR="007C10F8" w:rsidRPr="007C10F8">
              <w:rPr>
                <w:bCs w:val="0"/>
                <w:color w:val="000000"/>
                <w:shd w:val="solid" w:color="000000" w:fill="000000"/>
                <w14:textFill>
                  <w14:solidFill>
                    <w14:srgbClr w14:val="000000">
                      <w14:alpha w14:val="100000"/>
                    </w14:srgbClr>
                  </w14:solidFill>
                </w14:textFill>
              </w:rPr>
              <w:t>|</w:t>
            </w:r>
          </w:p>
        </w:tc>
        <w:tc>
          <w:tcPr>
            <w:tcW w:w="1230" w:type="pct"/>
            <w:shd w:val="clear" w:color="auto" w:fill="auto"/>
            <w:vAlign w:val="center"/>
          </w:tcPr>
          <w:p w14:paraId="62DFD7FE" w14:textId="6735B97A" w:rsidR="0078218D" w:rsidRPr="000A33D2" w:rsidRDefault="000E59A0" w:rsidP="004175AA">
            <w:pPr>
              <w:pStyle w:val="TableText0"/>
              <w:keepLines/>
              <w:jc w:val="center"/>
            </w:pPr>
            <w:r w:rsidRPr="000A33D2">
              <w:t>$</w:t>
            </w:r>
            <w:r w:rsidR="007C10F8" w:rsidRPr="007C10F8">
              <w:rPr>
                <w:color w:val="000000"/>
                <w:shd w:val="solid" w:color="000000" w:fill="000000"/>
                <w14:textFill>
                  <w14:solidFill>
                    <w14:srgbClr w14:val="000000">
                      <w14:alpha w14:val="100000"/>
                    </w14:srgbClr>
                  </w14:solidFill>
                </w14:textFill>
              </w:rPr>
              <w:t>|</w:t>
            </w:r>
          </w:p>
        </w:tc>
      </w:tr>
    </w:tbl>
    <w:p w14:paraId="717CADAF" w14:textId="6FBCE752" w:rsidR="00494207" w:rsidRPr="000A33D2" w:rsidRDefault="00494207" w:rsidP="004175AA">
      <w:pPr>
        <w:pStyle w:val="FooterTableFigure"/>
        <w:keepNext/>
        <w:keepLines/>
      </w:pPr>
      <w:r w:rsidRPr="000A33D2">
        <w:t xml:space="preserve">Source: </w:t>
      </w:r>
      <w:r w:rsidR="00072F5B" w:rsidRPr="000A33D2">
        <w:t>Estimated during the evaluation using table 21, p54-55 of the submission, economic model and financial estimate spreadsheets</w:t>
      </w:r>
      <w:r w:rsidR="009A09DF" w:rsidRPr="000A33D2">
        <w:t>, corrected values from PSCR</w:t>
      </w:r>
      <w:r w:rsidR="004E026E" w:rsidRPr="000A33D2">
        <w:t xml:space="preserve"> financial estimates and economic model</w:t>
      </w:r>
    </w:p>
    <w:p w14:paraId="094BD065" w14:textId="193E0568" w:rsidR="00B9752E" w:rsidRPr="000A33D2" w:rsidRDefault="00BF4FFD" w:rsidP="004175AA">
      <w:pPr>
        <w:pStyle w:val="FooterTableFigure"/>
        <w:keepNext/>
        <w:keepLines/>
      </w:pPr>
      <w:r w:rsidRPr="000A33D2">
        <w:t xml:space="preserve">dMMR = mismatch repair-deficient; </w:t>
      </w:r>
      <w:r w:rsidR="00B9752E" w:rsidRPr="000A33D2">
        <w:t>DOS = dostarlimab; Q3W = every three weeks; Q6W = every six weeks</w:t>
      </w:r>
    </w:p>
    <w:p w14:paraId="50702DDB" w14:textId="0D1F07EE" w:rsidR="003A7C3C" w:rsidRPr="000A33D2" w:rsidRDefault="008B30DA" w:rsidP="004175AA">
      <w:pPr>
        <w:pStyle w:val="FooterTableFigure"/>
        <w:keepNext/>
        <w:keepLines/>
      </w:pPr>
      <w:r w:rsidRPr="000A33D2">
        <w:t xml:space="preserve">a </w:t>
      </w:r>
      <w:r w:rsidR="003A7C3C" w:rsidRPr="000A33D2">
        <w:t>RUBY reported a total of 14.4 doses, assume 6 doses (Q3W) for initiation and remainder as maintenance</w:t>
      </w:r>
      <w:r w:rsidR="00027224" w:rsidRPr="000A33D2">
        <w:t>.</w:t>
      </w:r>
    </w:p>
    <w:p w14:paraId="0D9A0B20" w14:textId="4F926A75" w:rsidR="008B30DA" w:rsidRPr="000A33D2" w:rsidRDefault="00407D58" w:rsidP="004175AA">
      <w:pPr>
        <w:pStyle w:val="FooterTableFigure"/>
        <w:keepNext/>
        <w:keepLines/>
      </w:pPr>
      <w:r w:rsidRPr="000A33D2">
        <w:t>b</w:t>
      </w:r>
      <w:r w:rsidR="003A7C3C" w:rsidRPr="000A33D2">
        <w:t xml:space="preserve"> </w:t>
      </w:r>
      <w:r w:rsidR="008B30DA" w:rsidRPr="000A33D2">
        <w:t xml:space="preserve">Price based on </w:t>
      </w:r>
      <w:r w:rsidR="003013E3" w:rsidRPr="000A33D2">
        <w:t>$</w:t>
      </w:r>
      <w:r w:rsidR="007C10F8" w:rsidRPr="007C10F8">
        <w:rPr>
          <w:color w:val="000000"/>
          <w:spacing w:val="35"/>
          <w:shd w:val="solid" w:color="000000" w:fill="000000"/>
          <w:fitText w:val="265" w:id="-1032575730"/>
          <w14:textFill>
            <w14:solidFill>
              <w14:srgbClr w14:val="000000">
                <w14:alpha w14:val="100000"/>
              </w14:srgbClr>
            </w14:solidFill>
          </w14:textFill>
        </w:rPr>
        <w:t xml:space="preserve">|  </w:t>
      </w:r>
      <w:r w:rsidR="007C10F8" w:rsidRPr="007C10F8">
        <w:rPr>
          <w:color w:val="000000"/>
          <w:spacing w:val="2"/>
          <w:shd w:val="solid" w:color="000000" w:fill="000000"/>
          <w:fitText w:val="265" w:id="-1032575730"/>
          <w14:textFill>
            <w14:solidFill>
              <w14:srgbClr w14:val="000000">
                <w14:alpha w14:val="100000"/>
              </w14:srgbClr>
            </w14:solidFill>
          </w14:textFill>
        </w:rPr>
        <w:t>|</w:t>
      </w:r>
      <w:r w:rsidR="003013E3" w:rsidRPr="000A33D2">
        <w:t xml:space="preserve"> x first 6 doses + $</w:t>
      </w:r>
      <w:r w:rsidR="007C10F8" w:rsidRPr="007C10F8">
        <w:rPr>
          <w:color w:val="000000"/>
          <w:spacing w:val="35"/>
          <w:shd w:val="solid" w:color="000000" w:fill="000000"/>
          <w:fitText w:val="265" w:id="-1032575729"/>
          <w14:textFill>
            <w14:solidFill>
              <w14:srgbClr w14:val="000000">
                <w14:alpha w14:val="100000"/>
              </w14:srgbClr>
            </w14:solidFill>
          </w14:textFill>
        </w:rPr>
        <w:t xml:space="preserve">|  </w:t>
      </w:r>
      <w:r w:rsidR="007C10F8" w:rsidRPr="007C10F8">
        <w:rPr>
          <w:color w:val="000000"/>
          <w:spacing w:val="2"/>
          <w:shd w:val="solid" w:color="000000" w:fill="000000"/>
          <w:fitText w:val="265" w:id="-1032575729"/>
          <w14:textFill>
            <w14:solidFill>
              <w14:srgbClr w14:val="000000">
                <w14:alpha w14:val="100000"/>
              </w14:srgbClr>
            </w14:solidFill>
          </w14:textFill>
        </w:rPr>
        <w:t>|</w:t>
      </w:r>
      <w:r w:rsidR="00896B33" w:rsidRPr="000A33D2">
        <w:t xml:space="preserve"> </w:t>
      </w:r>
      <w:r w:rsidR="003013E3" w:rsidRPr="000A33D2">
        <w:t>x subsequent 8.4 doses</w:t>
      </w:r>
      <w:r w:rsidR="008562F1" w:rsidRPr="000A33D2">
        <w:t xml:space="preserve">, weighted by a 67% private and 33% public split, as used by the submission in their estimates. </w:t>
      </w:r>
    </w:p>
    <w:p w14:paraId="7F46F64C" w14:textId="586B7E78" w:rsidR="00985AD8" w:rsidRPr="000A33D2" w:rsidRDefault="00407D58" w:rsidP="004175AA">
      <w:pPr>
        <w:pStyle w:val="FooterTableFigure"/>
        <w:keepNext/>
        <w:keepLines/>
      </w:pPr>
      <w:r w:rsidRPr="000A33D2">
        <w:t>c</w:t>
      </w:r>
      <w:r w:rsidR="00DF2380" w:rsidRPr="000A33D2">
        <w:t xml:space="preserve"> </w:t>
      </w:r>
      <w:r w:rsidR="00141C97" w:rsidRPr="000A33D2">
        <w:t xml:space="preserve">Estimated during evaluation by dividing </w:t>
      </w:r>
      <w:r w:rsidR="00FB60C9" w:rsidRPr="000A33D2">
        <w:t xml:space="preserve">total </w:t>
      </w:r>
      <w:r w:rsidR="00141C97" w:rsidRPr="000A33D2">
        <w:t xml:space="preserve">cost of DOS </w:t>
      </w:r>
      <w:r w:rsidR="004D0B5C" w:rsidRPr="000A33D2">
        <w:t>for first six administrations for initiatio</w:t>
      </w:r>
      <w:r w:rsidR="00091043" w:rsidRPr="000A33D2">
        <w:t>n</w:t>
      </w:r>
      <w:r w:rsidR="00FB60C9" w:rsidRPr="000A33D2">
        <w:t xml:space="preserve"> </w:t>
      </w:r>
      <w:r w:rsidR="006169BA" w:rsidRPr="000A33D2">
        <w:t>(</w:t>
      </w:r>
      <w:r w:rsidR="00D45D2F" w:rsidRPr="000A33D2">
        <w:t xml:space="preserve">which accounted for a </w:t>
      </w:r>
      <w:r w:rsidR="006169BA" w:rsidRPr="000A33D2">
        <w:t xml:space="preserve">relative dose intensity of </w:t>
      </w:r>
      <w:r w:rsidR="00D45D2F" w:rsidRPr="000A33D2">
        <w:t xml:space="preserve">94.37%) </w:t>
      </w:r>
      <w:r w:rsidR="00FB60C9" w:rsidRPr="000A33D2">
        <w:t>by the unit cost of DOS given Q3W</w:t>
      </w:r>
      <w:r w:rsidR="00027224" w:rsidRPr="000A33D2">
        <w:t>.</w:t>
      </w:r>
    </w:p>
    <w:p w14:paraId="7D8CA31D" w14:textId="1A56F6FF" w:rsidR="00141C97" w:rsidRPr="000A33D2" w:rsidRDefault="004A5F09" w:rsidP="004175AA">
      <w:pPr>
        <w:pStyle w:val="FooterTableFigure"/>
        <w:keepNext/>
        <w:keepLines/>
      </w:pPr>
      <w:r w:rsidRPr="000A33D2">
        <w:t>d</w:t>
      </w:r>
      <w:r w:rsidR="00985AD8" w:rsidRPr="000A33D2">
        <w:t xml:space="preserve"> Estimated during evaluation by dividing total </w:t>
      </w:r>
      <w:r w:rsidR="00091043" w:rsidRPr="000A33D2">
        <w:t xml:space="preserve">cost of DOS </w:t>
      </w:r>
      <w:r w:rsidR="00FB60C9" w:rsidRPr="000A33D2">
        <w:t xml:space="preserve">after the first six cycles </w:t>
      </w:r>
      <w:r w:rsidR="00D45D2F" w:rsidRPr="000A33D2">
        <w:t xml:space="preserve">(which accounted for a relative dose intensity of 97.27%) </w:t>
      </w:r>
      <w:r w:rsidR="00FB60C9" w:rsidRPr="000A33D2">
        <w:t>by the unit cost of DOS given Q6W</w:t>
      </w:r>
      <w:r w:rsidR="00027224" w:rsidRPr="000A33D2">
        <w:t>.</w:t>
      </w:r>
    </w:p>
    <w:p w14:paraId="48398376" w14:textId="1CAEE180" w:rsidR="008350CC" w:rsidRPr="00E15D52" w:rsidRDefault="004A5F09" w:rsidP="004175AA">
      <w:pPr>
        <w:pStyle w:val="FooterTableFigure"/>
        <w:keepNext/>
        <w:keepLines/>
      </w:pPr>
      <w:r w:rsidRPr="000A33D2">
        <w:t>e</w:t>
      </w:r>
      <w:r w:rsidR="00985AD8" w:rsidRPr="000A33D2">
        <w:t xml:space="preserve"> </w:t>
      </w:r>
      <w:r w:rsidR="008350CC" w:rsidRPr="000A33D2">
        <w:t xml:space="preserve">The treatment duration from the model was calculated </w:t>
      </w:r>
      <w:r w:rsidR="008350CC" w:rsidRPr="00E15D52">
        <w:t>during the evaluation and differ</w:t>
      </w:r>
      <w:r w:rsidR="008562F1" w:rsidRPr="00E15D52">
        <w:t>ed</w:t>
      </w:r>
      <w:r w:rsidR="008350CC" w:rsidRPr="00E15D52">
        <w:t xml:space="preserve"> to the values reported by the submission (used in the financial estimates). The submission’s duration of treatment estimate </w:t>
      </w:r>
      <w:r w:rsidR="0040793B" w:rsidRPr="00E15D52">
        <w:t>(86.8</w:t>
      </w:r>
      <w:r w:rsidR="0026066C" w:rsidRPr="00E15D52">
        <w:t>4 weeks</w:t>
      </w:r>
      <w:r w:rsidR="009756FC">
        <w:t>*</w:t>
      </w:r>
      <w:r w:rsidR="0026066C" w:rsidRPr="00E15D52">
        <w:t>)</w:t>
      </w:r>
      <w:r w:rsidR="00BA3440" w:rsidRPr="00E15D52">
        <w:t xml:space="preserve"> </w:t>
      </w:r>
      <w:r w:rsidR="008350CC" w:rsidRPr="00E15D52">
        <w:t>was based on the sum of the proportion of patients on treatment at each cycle, but included periods for when patients would not have been receiving treatment, which was not accurate. For example, the estimate assumed 94.3% of patients were on treatment in cycles 2 and 3 even though patients received no treatment at these time points as they were dosed at the first cycle and every 3 or 6 cycles thereafter.</w:t>
      </w:r>
    </w:p>
    <w:p w14:paraId="13995633" w14:textId="2EDFB895" w:rsidR="00C92B2B" w:rsidRPr="00E15D52" w:rsidRDefault="00407D58" w:rsidP="004175AA">
      <w:pPr>
        <w:pStyle w:val="FooterTableFigure"/>
        <w:keepNext/>
        <w:keepLines/>
      </w:pPr>
      <w:r w:rsidRPr="00E15D52">
        <w:t>f</w:t>
      </w:r>
      <w:r w:rsidR="008350CC" w:rsidRPr="00E15D52">
        <w:t xml:space="preserve"> </w:t>
      </w:r>
      <w:r w:rsidR="00985AD8" w:rsidRPr="00E15D52">
        <w:t xml:space="preserve">Estimated by multiplying </w:t>
      </w:r>
      <w:r w:rsidR="00DF2380" w:rsidRPr="00E15D52">
        <w:t>a relative dose intensity of 94.37% for the first 6 cycles</w:t>
      </w:r>
      <w:r w:rsidR="00BA50ED" w:rsidRPr="00E15D52">
        <w:t xml:space="preserve"> (</w:t>
      </w:r>
      <w:r w:rsidR="00C92B2B" w:rsidRPr="00E15D52">
        <w:t>Q3W</w:t>
      </w:r>
      <w:r w:rsidR="00BA3440" w:rsidRPr="00E15D52">
        <w:t xml:space="preserve"> for</w:t>
      </w:r>
      <w:r w:rsidR="00C92B2B" w:rsidRPr="00E15D52">
        <w:t xml:space="preserve"> </w:t>
      </w:r>
      <w:r w:rsidR="0034594F" w:rsidRPr="00E15D52">
        <w:t>18 weeks)</w:t>
      </w:r>
      <w:r w:rsidR="00BA3440" w:rsidRPr="00E15D52">
        <w:t>.</w:t>
      </w:r>
    </w:p>
    <w:p w14:paraId="234531EC" w14:textId="5B2E2515" w:rsidR="008350CC" w:rsidRDefault="00407D58" w:rsidP="009756FC">
      <w:pPr>
        <w:pStyle w:val="FooterTableFigure"/>
        <w:keepLines/>
        <w:spacing w:after="0"/>
      </w:pPr>
      <w:r w:rsidRPr="00E15D52">
        <w:t>g</w:t>
      </w:r>
      <w:r w:rsidR="00C92B2B" w:rsidRPr="00E15D52">
        <w:rPr>
          <w:vertAlign w:val="superscript"/>
        </w:rPr>
        <w:t xml:space="preserve"> </w:t>
      </w:r>
      <w:r w:rsidR="00C92B2B" w:rsidRPr="00E15D52">
        <w:t xml:space="preserve">Estimated </w:t>
      </w:r>
      <w:r w:rsidR="00DF2380" w:rsidRPr="00E15D52">
        <w:t xml:space="preserve">by </w:t>
      </w:r>
      <w:r w:rsidR="00C92B2B" w:rsidRPr="00E15D52">
        <w:t xml:space="preserve">multiplying a relative dose </w:t>
      </w:r>
      <w:r w:rsidR="00B9752E" w:rsidRPr="00E15D52">
        <w:t xml:space="preserve">intensity of </w:t>
      </w:r>
      <w:r w:rsidR="00DF2380" w:rsidRPr="00E15D52">
        <w:t>9</w:t>
      </w:r>
      <w:r w:rsidR="00265DA5" w:rsidRPr="00E15D52">
        <w:t>7.27</w:t>
      </w:r>
      <w:r w:rsidR="00DF2380" w:rsidRPr="00E15D52">
        <w:t xml:space="preserve">% </w:t>
      </w:r>
      <w:r w:rsidR="00BF4FFD" w:rsidRPr="00E15D52">
        <w:t xml:space="preserve">for </w:t>
      </w:r>
      <w:r w:rsidR="0034594F" w:rsidRPr="00E15D52">
        <w:t>68.84 weeks</w:t>
      </w:r>
      <w:r w:rsidR="009756FC">
        <w:t>*</w:t>
      </w:r>
      <w:r w:rsidR="00B9752E" w:rsidRPr="00E15D52">
        <w:t>, using</w:t>
      </w:r>
      <w:r w:rsidR="00B9752E" w:rsidRPr="000A33D2">
        <w:t xml:space="preserve"> Q6W dosing</w:t>
      </w:r>
      <w:r w:rsidR="008562F1" w:rsidRPr="000A33D2">
        <w:t xml:space="preserve">. </w:t>
      </w:r>
    </w:p>
    <w:p w14:paraId="134FBC83" w14:textId="76408D7B" w:rsidR="009756FC" w:rsidRPr="009756FC" w:rsidRDefault="009756FC" w:rsidP="009756FC">
      <w:pPr>
        <w:spacing w:after="120"/>
        <w:rPr>
          <w:rFonts w:ascii="Arial Narrow" w:hAnsi="Arial Narrow"/>
          <w:snapToGrid w:val="0"/>
          <w:sz w:val="18"/>
          <w:szCs w:val="22"/>
        </w:rPr>
      </w:pPr>
      <w:r w:rsidRPr="009756FC">
        <w:rPr>
          <w:rFonts w:ascii="Arial Narrow" w:hAnsi="Arial Narrow"/>
          <w:snapToGrid w:val="0"/>
          <w:sz w:val="18"/>
          <w:szCs w:val="22"/>
        </w:rPr>
        <w:t xml:space="preserve">* </w:t>
      </w:r>
      <w:r w:rsidRPr="009756FC">
        <w:rPr>
          <w:rFonts w:ascii="Arial Narrow" w:hAnsi="Arial Narrow"/>
          <w:i/>
          <w:iCs/>
          <w:snapToGrid w:val="0"/>
          <w:sz w:val="18"/>
          <w:szCs w:val="22"/>
        </w:rPr>
        <w:t>Note that the modelled dose and duration of treatment were provided for the purposes of informing the PBAC consideration. Interpretation of the results and their application should therefore be limited to seeking to understand the basis for the PBAC outcome and should not be used for any other purpose.</w:t>
      </w:r>
    </w:p>
    <w:p w14:paraId="1C2E84DA" w14:textId="1A45597D" w:rsidR="00F61C95" w:rsidRPr="000A33D2" w:rsidRDefault="00F95307" w:rsidP="002B05A1">
      <w:pPr>
        <w:pStyle w:val="3-BodyText"/>
        <w:rPr>
          <w:snapToGrid/>
        </w:rPr>
      </w:pPr>
      <w:bookmarkStart w:id="87" w:name="_Hlk107307804"/>
      <w:r w:rsidRPr="000A33D2">
        <w:rPr>
          <w:snapToGrid/>
        </w:rPr>
        <w:t>A</w:t>
      </w:r>
      <w:r w:rsidR="001120A8" w:rsidRPr="000A33D2">
        <w:rPr>
          <w:snapToGrid/>
        </w:rPr>
        <w:t xml:space="preserve"> table comparing total subsequent </w:t>
      </w:r>
      <w:r w:rsidR="00F80EA6" w:rsidRPr="000A33D2">
        <w:rPr>
          <w:snapToGrid/>
        </w:rPr>
        <w:t xml:space="preserve">2L </w:t>
      </w:r>
      <w:r w:rsidR="001120A8" w:rsidRPr="000A33D2">
        <w:rPr>
          <w:snapToGrid/>
        </w:rPr>
        <w:t xml:space="preserve">immunotherapy usage </w:t>
      </w:r>
      <w:r w:rsidR="00E57F7F" w:rsidRPr="000A33D2">
        <w:rPr>
          <w:snapToGrid/>
        </w:rPr>
        <w:t xml:space="preserve">in RUBY, the economic model and the financial estimates </w:t>
      </w:r>
      <w:r w:rsidR="001120A8" w:rsidRPr="000A33D2">
        <w:rPr>
          <w:snapToGrid/>
        </w:rPr>
        <w:t>was constructed during the evaluation (</w:t>
      </w:r>
      <w:r w:rsidR="001120A8" w:rsidRPr="000A33D2">
        <w:rPr>
          <w:snapToGrid/>
        </w:rPr>
        <w:fldChar w:fldCharType="begin" w:fldLock="1"/>
      </w:r>
      <w:r w:rsidR="001120A8" w:rsidRPr="000A33D2">
        <w:rPr>
          <w:snapToGrid/>
        </w:rPr>
        <w:instrText xml:space="preserve"> REF _Ref144379249 \h  \* MERGEFORMAT </w:instrText>
      </w:r>
      <w:r w:rsidR="001120A8" w:rsidRPr="000A33D2">
        <w:rPr>
          <w:snapToGrid/>
        </w:rPr>
      </w:r>
      <w:r w:rsidR="001120A8" w:rsidRPr="000A33D2">
        <w:rPr>
          <w:snapToGrid/>
        </w:rPr>
        <w:fldChar w:fldCharType="separate"/>
      </w:r>
      <w:r w:rsidR="00B62E71" w:rsidRPr="000A33D2">
        <w:t xml:space="preserve">Table </w:t>
      </w:r>
      <w:r w:rsidR="00B62E71">
        <w:t>19</w:t>
      </w:r>
      <w:r w:rsidR="001120A8" w:rsidRPr="000A33D2">
        <w:rPr>
          <w:snapToGrid/>
        </w:rPr>
        <w:fldChar w:fldCharType="end"/>
      </w:r>
      <w:r w:rsidR="001120A8" w:rsidRPr="000A33D2">
        <w:rPr>
          <w:snapToGrid/>
        </w:rPr>
        <w:t xml:space="preserve">). </w:t>
      </w:r>
      <w:r w:rsidR="00E54F6A" w:rsidRPr="000A33D2">
        <w:rPr>
          <w:snapToGrid/>
        </w:rPr>
        <w:t>E</w:t>
      </w:r>
      <w:r w:rsidR="001120A8" w:rsidRPr="000A33D2">
        <w:rPr>
          <w:snapToGrid/>
        </w:rPr>
        <w:t xml:space="preserve">stimates from the submission’s economic model </w:t>
      </w:r>
      <w:r w:rsidR="00E54F6A" w:rsidRPr="000A33D2">
        <w:rPr>
          <w:snapToGrid/>
        </w:rPr>
        <w:t xml:space="preserve">and financial estimates </w:t>
      </w:r>
      <w:r w:rsidR="001120A8" w:rsidRPr="000A33D2">
        <w:rPr>
          <w:snapToGrid/>
        </w:rPr>
        <w:t>were higher than reported in RUBY</w:t>
      </w:r>
      <w:r w:rsidR="00E54F6A" w:rsidRPr="000A33D2">
        <w:rPr>
          <w:snapToGrid/>
        </w:rPr>
        <w:t xml:space="preserve"> and the assumptions in the March 2022 pembrolizumab submission (37.2%)</w:t>
      </w:r>
      <w:r w:rsidR="004E026E" w:rsidRPr="000A33D2">
        <w:rPr>
          <w:snapToGrid/>
        </w:rPr>
        <w:t>, which may be reasonable as it account</w:t>
      </w:r>
      <w:r w:rsidR="00306265" w:rsidRPr="000A33D2">
        <w:rPr>
          <w:snapToGrid/>
        </w:rPr>
        <w:t>s</w:t>
      </w:r>
      <w:r w:rsidR="004E026E" w:rsidRPr="000A33D2">
        <w:rPr>
          <w:snapToGrid/>
        </w:rPr>
        <w:t xml:space="preserve"> for patients who progress beyond the trial period</w:t>
      </w:r>
      <w:r w:rsidR="001120A8" w:rsidRPr="000A33D2">
        <w:rPr>
          <w:snapToGrid/>
        </w:rPr>
        <w:t>.</w:t>
      </w:r>
      <w:r w:rsidR="00DA440E" w:rsidRPr="000A33D2">
        <w:t xml:space="preserve"> </w:t>
      </w:r>
      <w:r w:rsidR="00BB5D1E" w:rsidRPr="000A33D2">
        <w:t>No usage for 2L immunotherapy in the DOS+CP arm was assumed in the economic model or financial estimates in the submission.</w:t>
      </w:r>
    </w:p>
    <w:p w14:paraId="71D5C730" w14:textId="1A3D6A88" w:rsidR="00F61C95" w:rsidRPr="000A33D2" w:rsidRDefault="00F61C95" w:rsidP="00F61C95">
      <w:pPr>
        <w:pStyle w:val="Caption"/>
      </w:pPr>
      <w:bookmarkStart w:id="88" w:name="_Ref144379249"/>
      <w:r w:rsidRPr="000A33D2">
        <w:lastRenderedPageBreak/>
        <w:t xml:space="preserve">Table </w:t>
      </w:r>
      <w:r>
        <w:fldChar w:fldCharType="begin" w:fldLock="1"/>
      </w:r>
      <w:r>
        <w:instrText>SEQ Table \* ARABIC</w:instrText>
      </w:r>
      <w:r>
        <w:fldChar w:fldCharType="separate"/>
      </w:r>
      <w:r w:rsidR="00B62E71">
        <w:rPr>
          <w:noProof/>
        </w:rPr>
        <w:t>19</w:t>
      </w:r>
      <w:r>
        <w:fldChar w:fldCharType="end"/>
      </w:r>
      <w:bookmarkEnd w:id="88"/>
      <w:r w:rsidRPr="000A33D2">
        <w:rPr>
          <w:rStyle w:val="CommentReference"/>
          <w:b/>
          <w:szCs w:val="24"/>
        </w:rPr>
        <w:t xml:space="preserve">: Total subsequent immunotherapy usage (2L PEM+LEN) presented by the submission </w:t>
      </w:r>
    </w:p>
    <w:tbl>
      <w:tblPr>
        <w:tblStyle w:val="TableGrid"/>
        <w:tblW w:w="0" w:type="auto"/>
        <w:tblLook w:val="04A0" w:firstRow="1" w:lastRow="0" w:firstColumn="1" w:lastColumn="0" w:noHBand="0" w:noVBand="1"/>
      </w:tblPr>
      <w:tblGrid>
        <w:gridCol w:w="1379"/>
        <w:gridCol w:w="1363"/>
        <w:gridCol w:w="1364"/>
        <w:gridCol w:w="1227"/>
        <w:gridCol w:w="1228"/>
        <w:gridCol w:w="1228"/>
        <w:gridCol w:w="1228"/>
      </w:tblGrid>
      <w:tr w:rsidR="00F61C95" w:rsidRPr="000A33D2" w14:paraId="1B055356" w14:textId="77777777" w:rsidTr="00EB41AA">
        <w:tc>
          <w:tcPr>
            <w:tcW w:w="1379" w:type="dxa"/>
            <w:vMerge w:val="restart"/>
          </w:tcPr>
          <w:p w14:paraId="3147632A" w14:textId="77777777" w:rsidR="00F61C95" w:rsidRPr="000A33D2" w:rsidRDefault="00F61C95" w:rsidP="00EB41AA">
            <w:pPr>
              <w:keepNext/>
              <w:keepLines/>
              <w:rPr>
                <w:rFonts w:ascii="Arial Narrow" w:hAnsi="Arial Narrow"/>
                <w:sz w:val="20"/>
                <w:szCs w:val="20"/>
              </w:rPr>
            </w:pPr>
          </w:p>
        </w:tc>
        <w:tc>
          <w:tcPr>
            <w:tcW w:w="2727" w:type="dxa"/>
            <w:gridSpan w:val="2"/>
          </w:tcPr>
          <w:p w14:paraId="1AB41D4C" w14:textId="77777777" w:rsidR="00F61C95" w:rsidRPr="000A33D2" w:rsidRDefault="00F61C95" w:rsidP="00EB41AA">
            <w:pPr>
              <w:keepNext/>
              <w:keepLines/>
              <w:jc w:val="center"/>
              <w:rPr>
                <w:rFonts w:ascii="Arial Narrow" w:hAnsi="Arial Narrow"/>
                <w:b/>
                <w:bCs/>
                <w:sz w:val="20"/>
                <w:szCs w:val="20"/>
              </w:rPr>
            </w:pPr>
            <w:r w:rsidRPr="000A33D2">
              <w:rPr>
                <w:rFonts w:ascii="Arial Narrow" w:hAnsi="Arial Narrow"/>
                <w:b/>
                <w:bCs/>
                <w:sz w:val="20"/>
                <w:szCs w:val="20"/>
              </w:rPr>
              <w:t>RUBY (n/N)</w:t>
            </w:r>
          </w:p>
        </w:tc>
        <w:tc>
          <w:tcPr>
            <w:tcW w:w="2455" w:type="dxa"/>
            <w:gridSpan w:val="2"/>
          </w:tcPr>
          <w:p w14:paraId="0AD4BAB0" w14:textId="77777777" w:rsidR="00F61C95" w:rsidRPr="000A33D2" w:rsidRDefault="00F61C95" w:rsidP="00EB41AA">
            <w:pPr>
              <w:keepNext/>
              <w:keepLines/>
              <w:jc w:val="center"/>
              <w:rPr>
                <w:rFonts w:ascii="Arial Narrow" w:hAnsi="Arial Narrow"/>
                <w:b/>
                <w:bCs/>
                <w:sz w:val="20"/>
                <w:szCs w:val="20"/>
              </w:rPr>
            </w:pPr>
            <w:r w:rsidRPr="000A33D2">
              <w:rPr>
                <w:rFonts w:ascii="Arial Narrow" w:hAnsi="Arial Narrow"/>
                <w:b/>
                <w:bCs/>
                <w:sz w:val="20"/>
                <w:szCs w:val="20"/>
              </w:rPr>
              <w:t>Economic model</w:t>
            </w:r>
          </w:p>
        </w:tc>
        <w:tc>
          <w:tcPr>
            <w:tcW w:w="2456" w:type="dxa"/>
            <w:gridSpan w:val="2"/>
          </w:tcPr>
          <w:p w14:paraId="1E0AAFC1" w14:textId="56A6325E" w:rsidR="00F61C95" w:rsidRPr="000A33D2" w:rsidRDefault="00F61C95" w:rsidP="00EB41AA">
            <w:pPr>
              <w:keepNext/>
              <w:keepLines/>
              <w:jc w:val="center"/>
              <w:rPr>
                <w:rFonts w:ascii="Arial Narrow" w:hAnsi="Arial Narrow"/>
                <w:b/>
                <w:bCs/>
                <w:sz w:val="20"/>
                <w:szCs w:val="20"/>
              </w:rPr>
            </w:pPr>
            <w:r w:rsidRPr="000A33D2">
              <w:rPr>
                <w:rFonts w:ascii="Arial Narrow" w:hAnsi="Arial Narrow"/>
                <w:b/>
                <w:bCs/>
                <w:sz w:val="20"/>
                <w:szCs w:val="20"/>
              </w:rPr>
              <w:t xml:space="preserve">Financial </w:t>
            </w:r>
            <w:r w:rsidR="00E57F7F" w:rsidRPr="000A33D2">
              <w:rPr>
                <w:rFonts w:ascii="Arial Narrow" w:hAnsi="Arial Narrow"/>
                <w:b/>
                <w:bCs/>
                <w:sz w:val="20"/>
                <w:szCs w:val="20"/>
              </w:rPr>
              <w:t>estimates</w:t>
            </w:r>
          </w:p>
        </w:tc>
      </w:tr>
      <w:tr w:rsidR="00F61C95" w:rsidRPr="000A33D2" w14:paraId="45125A0B" w14:textId="77777777" w:rsidTr="00EB41AA">
        <w:tc>
          <w:tcPr>
            <w:tcW w:w="1379" w:type="dxa"/>
            <w:vMerge/>
          </w:tcPr>
          <w:p w14:paraId="365AC403" w14:textId="77777777" w:rsidR="00F61C95" w:rsidRPr="000A33D2" w:rsidRDefault="00F61C95" w:rsidP="00EB41AA">
            <w:pPr>
              <w:keepNext/>
              <w:keepLines/>
              <w:rPr>
                <w:rFonts w:ascii="Arial Narrow" w:hAnsi="Arial Narrow"/>
                <w:sz w:val="20"/>
                <w:szCs w:val="20"/>
              </w:rPr>
            </w:pPr>
          </w:p>
        </w:tc>
        <w:tc>
          <w:tcPr>
            <w:tcW w:w="1363" w:type="dxa"/>
          </w:tcPr>
          <w:p w14:paraId="531E82A7" w14:textId="77777777" w:rsidR="00F61C95" w:rsidRPr="000A33D2" w:rsidRDefault="00F61C95" w:rsidP="00EB41AA">
            <w:pPr>
              <w:keepNext/>
              <w:keepLines/>
              <w:jc w:val="center"/>
              <w:rPr>
                <w:rFonts w:ascii="Arial Narrow" w:hAnsi="Arial Narrow"/>
                <w:sz w:val="20"/>
                <w:szCs w:val="20"/>
              </w:rPr>
            </w:pPr>
            <w:r w:rsidRPr="000A33D2">
              <w:rPr>
                <w:rFonts w:ascii="Arial Narrow" w:hAnsi="Arial Narrow"/>
                <w:sz w:val="20"/>
                <w:szCs w:val="20"/>
              </w:rPr>
              <w:t>dMMR</w:t>
            </w:r>
          </w:p>
        </w:tc>
        <w:tc>
          <w:tcPr>
            <w:tcW w:w="1364" w:type="dxa"/>
          </w:tcPr>
          <w:p w14:paraId="54871928" w14:textId="77777777" w:rsidR="00F61C95" w:rsidRPr="000A33D2" w:rsidRDefault="00F61C95" w:rsidP="00EB41AA">
            <w:pPr>
              <w:keepNext/>
              <w:keepLines/>
              <w:jc w:val="center"/>
              <w:rPr>
                <w:rFonts w:ascii="Arial Narrow" w:hAnsi="Arial Narrow"/>
                <w:sz w:val="20"/>
                <w:szCs w:val="20"/>
              </w:rPr>
            </w:pPr>
            <w:r w:rsidRPr="000A33D2">
              <w:rPr>
                <w:rFonts w:ascii="Arial Narrow" w:hAnsi="Arial Narrow"/>
                <w:sz w:val="20"/>
                <w:szCs w:val="20"/>
              </w:rPr>
              <w:t>All-comers</w:t>
            </w:r>
          </w:p>
        </w:tc>
        <w:tc>
          <w:tcPr>
            <w:tcW w:w="1227" w:type="dxa"/>
          </w:tcPr>
          <w:p w14:paraId="5DDD013A" w14:textId="77777777" w:rsidR="00F61C95" w:rsidRPr="000A33D2" w:rsidRDefault="00F61C95" w:rsidP="00EB41AA">
            <w:pPr>
              <w:keepNext/>
              <w:keepLines/>
              <w:jc w:val="center"/>
              <w:rPr>
                <w:rFonts w:ascii="Arial Narrow" w:hAnsi="Arial Narrow"/>
                <w:sz w:val="20"/>
                <w:szCs w:val="20"/>
              </w:rPr>
            </w:pPr>
            <w:r w:rsidRPr="000A33D2">
              <w:rPr>
                <w:rFonts w:ascii="Arial Narrow" w:hAnsi="Arial Narrow"/>
                <w:sz w:val="20"/>
                <w:szCs w:val="20"/>
              </w:rPr>
              <w:t>dMMR</w:t>
            </w:r>
          </w:p>
        </w:tc>
        <w:tc>
          <w:tcPr>
            <w:tcW w:w="1228" w:type="dxa"/>
          </w:tcPr>
          <w:p w14:paraId="0284E4EB" w14:textId="77777777" w:rsidR="00F61C95" w:rsidRPr="000A33D2" w:rsidRDefault="00F61C95" w:rsidP="00EB41AA">
            <w:pPr>
              <w:keepNext/>
              <w:keepLines/>
              <w:jc w:val="center"/>
              <w:rPr>
                <w:rFonts w:ascii="Arial Narrow" w:hAnsi="Arial Narrow"/>
                <w:sz w:val="20"/>
                <w:szCs w:val="20"/>
              </w:rPr>
            </w:pPr>
            <w:r w:rsidRPr="000A33D2">
              <w:rPr>
                <w:rFonts w:ascii="Arial Narrow" w:hAnsi="Arial Narrow"/>
                <w:sz w:val="20"/>
                <w:szCs w:val="20"/>
              </w:rPr>
              <w:t>All-comers</w:t>
            </w:r>
          </w:p>
        </w:tc>
        <w:tc>
          <w:tcPr>
            <w:tcW w:w="1228" w:type="dxa"/>
          </w:tcPr>
          <w:p w14:paraId="3F4EAC7D" w14:textId="77777777" w:rsidR="00F61C95" w:rsidRPr="000A33D2" w:rsidRDefault="00F61C95" w:rsidP="00EB41AA">
            <w:pPr>
              <w:keepNext/>
              <w:keepLines/>
              <w:jc w:val="center"/>
              <w:rPr>
                <w:rFonts w:ascii="Arial Narrow" w:hAnsi="Arial Narrow"/>
                <w:sz w:val="20"/>
                <w:szCs w:val="20"/>
              </w:rPr>
            </w:pPr>
            <w:r w:rsidRPr="000A33D2">
              <w:rPr>
                <w:rFonts w:ascii="Arial Narrow" w:hAnsi="Arial Narrow"/>
                <w:sz w:val="20"/>
                <w:szCs w:val="20"/>
              </w:rPr>
              <w:t>dMMR</w:t>
            </w:r>
          </w:p>
        </w:tc>
        <w:tc>
          <w:tcPr>
            <w:tcW w:w="1228" w:type="dxa"/>
          </w:tcPr>
          <w:p w14:paraId="483C1C31" w14:textId="77777777" w:rsidR="00F61C95" w:rsidRPr="000A33D2" w:rsidRDefault="00F61C95" w:rsidP="00EB41AA">
            <w:pPr>
              <w:keepNext/>
              <w:keepLines/>
              <w:jc w:val="center"/>
              <w:rPr>
                <w:rFonts w:ascii="Arial Narrow" w:hAnsi="Arial Narrow"/>
                <w:sz w:val="20"/>
                <w:szCs w:val="20"/>
              </w:rPr>
            </w:pPr>
            <w:r w:rsidRPr="000A33D2">
              <w:rPr>
                <w:rFonts w:ascii="Arial Narrow" w:hAnsi="Arial Narrow"/>
                <w:sz w:val="20"/>
                <w:szCs w:val="20"/>
              </w:rPr>
              <w:t>All-comers</w:t>
            </w:r>
          </w:p>
        </w:tc>
      </w:tr>
      <w:tr w:rsidR="00F61C95" w:rsidRPr="00E15D52" w14:paraId="1C4FB60D" w14:textId="77777777" w:rsidTr="00EB41AA">
        <w:tc>
          <w:tcPr>
            <w:tcW w:w="1379" w:type="dxa"/>
          </w:tcPr>
          <w:p w14:paraId="6C153475" w14:textId="77777777" w:rsidR="00F61C95" w:rsidRPr="00E15D52" w:rsidRDefault="00F61C95" w:rsidP="00EB41AA">
            <w:pPr>
              <w:keepNext/>
              <w:keepLines/>
              <w:rPr>
                <w:rFonts w:ascii="Arial Narrow" w:hAnsi="Arial Narrow"/>
                <w:sz w:val="20"/>
                <w:szCs w:val="20"/>
              </w:rPr>
            </w:pPr>
            <w:r w:rsidRPr="00E15D52">
              <w:rPr>
                <w:rFonts w:ascii="Arial Narrow" w:hAnsi="Arial Narrow"/>
                <w:sz w:val="20"/>
                <w:szCs w:val="20"/>
              </w:rPr>
              <w:t>DOS+CP arm</w:t>
            </w:r>
          </w:p>
        </w:tc>
        <w:tc>
          <w:tcPr>
            <w:tcW w:w="1363" w:type="dxa"/>
          </w:tcPr>
          <w:p w14:paraId="048A4BE4" w14:textId="7879FEBF"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15.</w:t>
            </w:r>
            <w:r w:rsidR="00480C68" w:rsidRPr="00E15D52">
              <w:rPr>
                <w:rFonts w:ascii="Arial Narrow" w:hAnsi="Arial Narrow"/>
                <w:sz w:val="20"/>
                <w:szCs w:val="20"/>
              </w:rPr>
              <w:t>1</w:t>
            </w:r>
            <w:r w:rsidRPr="00E15D52">
              <w:rPr>
                <w:rFonts w:ascii="Arial Narrow" w:hAnsi="Arial Narrow"/>
                <w:sz w:val="20"/>
                <w:szCs w:val="20"/>
              </w:rPr>
              <w:t>% (8/53)</w:t>
            </w:r>
          </w:p>
        </w:tc>
        <w:tc>
          <w:tcPr>
            <w:tcW w:w="1364" w:type="dxa"/>
          </w:tcPr>
          <w:p w14:paraId="488E2625" w14:textId="77777777"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15.5% (38/245)</w:t>
            </w:r>
          </w:p>
        </w:tc>
        <w:tc>
          <w:tcPr>
            <w:tcW w:w="2455" w:type="dxa"/>
            <w:gridSpan w:val="2"/>
          </w:tcPr>
          <w:p w14:paraId="105A3BC0" w14:textId="07A84666"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Assumed to be 0%</w:t>
            </w:r>
            <w:r w:rsidR="009756FC">
              <w:rPr>
                <w:rFonts w:ascii="Arial Narrow" w:hAnsi="Arial Narrow"/>
                <w:sz w:val="20"/>
                <w:szCs w:val="20"/>
              </w:rPr>
              <w:t>*</w:t>
            </w:r>
          </w:p>
        </w:tc>
        <w:tc>
          <w:tcPr>
            <w:tcW w:w="2456" w:type="dxa"/>
            <w:gridSpan w:val="2"/>
          </w:tcPr>
          <w:p w14:paraId="70B2F436" w14:textId="0D544753"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Assumed to be 0%</w:t>
            </w:r>
            <w:r w:rsidR="009756FC">
              <w:rPr>
                <w:rFonts w:ascii="Arial Narrow" w:hAnsi="Arial Narrow"/>
                <w:sz w:val="20"/>
                <w:szCs w:val="20"/>
              </w:rPr>
              <w:t>*</w:t>
            </w:r>
          </w:p>
        </w:tc>
      </w:tr>
      <w:tr w:rsidR="00F61C95" w:rsidRPr="00E15D52" w14:paraId="382F3111" w14:textId="77777777" w:rsidTr="00EB41AA">
        <w:tc>
          <w:tcPr>
            <w:tcW w:w="1379" w:type="dxa"/>
          </w:tcPr>
          <w:p w14:paraId="3907E312" w14:textId="77777777" w:rsidR="00F61C95" w:rsidRPr="00E15D52" w:rsidRDefault="00F61C95" w:rsidP="00EB41AA">
            <w:pPr>
              <w:keepNext/>
              <w:keepLines/>
              <w:rPr>
                <w:rFonts w:ascii="Arial Narrow" w:hAnsi="Arial Narrow"/>
                <w:sz w:val="20"/>
                <w:szCs w:val="20"/>
              </w:rPr>
            </w:pPr>
            <w:r w:rsidRPr="00E15D52">
              <w:rPr>
                <w:rFonts w:ascii="Arial Narrow" w:hAnsi="Arial Narrow"/>
                <w:sz w:val="20"/>
                <w:szCs w:val="20"/>
              </w:rPr>
              <w:t>CP arm</w:t>
            </w:r>
          </w:p>
        </w:tc>
        <w:tc>
          <w:tcPr>
            <w:tcW w:w="1363" w:type="dxa"/>
          </w:tcPr>
          <w:p w14:paraId="7E9EF4EA" w14:textId="77777777"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38.5% (25/65)</w:t>
            </w:r>
          </w:p>
        </w:tc>
        <w:tc>
          <w:tcPr>
            <w:tcW w:w="1364" w:type="dxa"/>
          </w:tcPr>
          <w:p w14:paraId="3326AADF" w14:textId="77777777"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34.5% (86/249)</w:t>
            </w:r>
          </w:p>
        </w:tc>
        <w:tc>
          <w:tcPr>
            <w:tcW w:w="1227" w:type="dxa"/>
          </w:tcPr>
          <w:p w14:paraId="6D75FC35" w14:textId="72035620"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47.</w:t>
            </w:r>
            <w:r w:rsidR="00480C68" w:rsidRPr="00E15D52">
              <w:rPr>
                <w:rFonts w:ascii="Arial Narrow" w:hAnsi="Arial Narrow"/>
                <w:sz w:val="20"/>
                <w:szCs w:val="20"/>
              </w:rPr>
              <w:t>7</w:t>
            </w:r>
            <w:r w:rsidRPr="00E15D52">
              <w:rPr>
                <w:rFonts w:ascii="Arial Narrow" w:hAnsi="Arial Narrow"/>
                <w:sz w:val="20"/>
                <w:szCs w:val="20"/>
              </w:rPr>
              <w:t xml:space="preserve">% </w:t>
            </w:r>
            <w:r w:rsidRPr="00E15D52">
              <w:rPr>
                <w:rFonts w:ascii="Arial Narrow" w:hAnsi="Arial Narrow"/>
                <w:sz w:val="20"/>
                <w:szCs w:val="20"/>
                <w:vertAlign w:val="superscript"/>
              </w:rPr>
              <w:t>a</w:t>
            </w:r>
            <w:r w:rsidR="009756FC">
              <w:rPr>
                <w:rFonts w:ascii="Arial Narrow" w:hAnsi="Arial Narrow"/>
                <w:sz w:val="20"/>
                <w:szCs w:val="20"/>
                <w:vertAlign w:val="superscript"/>
              </w:rPr>
              <w:t>*</w:t>
            </w:r>
          </w:p>
        </w:tc>
        <w:tc>
          <w:tcPr>
            <w:tcW w:w="1228" w:type="dxa"/>
          </w:tcPr>
          <w:p w14:paraId="62597D3B" w14:textId="2D32A4DA" w:rsidR="00F61C95" w:rsidRPr="00E15D52" w:rsidRDefault="00F61C95" w:rsidP="00EB41AA">
            <w:pPr>
              <w:keepNext/>
              <w:keepLines/>
              <w:jc w:val="center"/>
              <w:rPr>
                <w:rFonts w:ascii="Arial Narrow" w:hAnsi="Arial Narrow"/>
                <w:sz w:val="20"/>
                <w:szCs w:val="20"/>
              </w:rPr>
            </w:pPr>
            <w:r w:rsidRPr="00E15D52">
              <w:rPr>
                <w:rFonts w:ascii="Arial Narrow" w:hAnsi="Arial Narrow"/>
                <w:sz w:val="20"/>
                <w:szCs w:val="20"/>
              </w:rPr>
              <w:t xml:space="preserve">42.7% </w:t>
            </w:r>
            <w:r w:rsidRPr="00E15D52">
              <w:rPr>
                <w:rFonts w:ascii="Arial Narrow" w:hAnsi="Arial Narrow"/>
                <w:sz w:val="20"/>
                <w:szCs w:val="20"/>
                <w:vertAlign w:val="superscript"/>
              </w:rPr>
              <w:t>a</w:t>
            </w:r>
            <w:r w:rsidR="009756FC">
              <w:rPr>
                <w:rFonts w:ascii="Arial Narrow" w:hAnsi="Arial Narrow"/>
                <w:sz w:val="20"/>
                <w:szCs w:val="20"/>
                <w:vertAlign w:val="superscript"/>
              </w:rPr>
              <w:t>*</w:t>
            </w:r>
          </w:p>
        </w:tc>
        <w:tc>
          <w:tcPr>
            <w:tcW w:w="2456" w:type="dxa"/>
            <w:gridSpan w:val="2"/>
          </w:tcPr>
          <w:p w14:paraId="1E262391" w14:textId="0018C352" w:rsidR="00F61C95" w:rsidRPr="00E15D52" w:rsidRDefault="00E54F6A" w:rsidP="00EB41AA">
            <w:pPr>
              <w:keepNext/>
              <w:keepLines/>
              <w:jc w:val="center"/>
              <w:rPr>
                <w:rFonts w:ascii="Arial Narrow" w:hAnsi="Arial Narrow"/>
                <w:sz w:val="20"/>
                <w:szCs w:val="20"/>
              </w:rPr>
            </w:pPr>
            <w:r w:rsidRPr="00E15D52">
              <w:rPr>
                <w:rFonts w:ascii="Arial Narrow" w:hAnsi="Arial Narrow"/>
                <w:sz w:val="20"/>
                <w:szCs w:val="20"/>
              </w:rPr>
              <w:t>46.6</w:t>
            </w:r>
            <w:r w:rsidR="00F61C95" w:rsidRPr="00E15D52">
              <w:rPr>
                <w:rFonts w:ascii="Arial Narrow" w:hAnsi="Arial Narrow"/>
                <w:sz w:val="20"/>
                <w:szCs w:val="20"/>
              </w:rPr>
              <w:t xml:space="preserve">% </w:t>
            </w:r>
            <w:r w:rsidR="00F61C95" w:rsidRPr="00E15D52">
              <w:rPr>
                <w:rFonts w:ascii="Arial Narrow" w:hAnsi="Arial Narrow"/>
                <w:sz w:val="20"/>
                <w:szCs w:val="20"/>
                <w:vertAlign w:val="superscript"/>
              </w:rPr>
              <w:t>b</w:t>
            </w:r>
            <w:r w:rsidR="009756FC">
              <w:rPr>
                <w:rFonts w:ascii="Arial Narrow" w:hAnsi="Arial Narrow"/>
                <w:sz w:val="20"/>
                <w:szCs w:val="20"/>
                <w:vertAlign w:val="superscript"/>
              </w:rPr>
              <w:t>*</w:t>
            </w:r>
          </w:p>
        </w:tc>
      </w:tr>
    </w:tbl>
    <w:p w14:paraId="057A2648" w14:textId="44B32A51" w:rsidR="00F61C95" w:rsidRPr="00E15D52" w:rsidRDefault="00F61C95" w:rsidP="00F61C95">
      <w:pPr>
        <w:pStyle w:val="FooterTableFigure"/>
        <w:keepNext/>
        <w:keepLines/>
      </w:pPr>
      <w:r w:rsidRPr="00E15D52">
        <w:t>Source: Constructed during the evaluation using information sourced from outputs from the submission’s economic model (Excel workbook ‘</w:t>
      </w:r>
      <w:proofErr w:type="spellStart"/>
      <w:r w:rsidRPr="00E15D52">
        <w:t>Jemperli</w:t>
      </w:r>
      <w:proofErr w:type="spellEnd"/>
      <w:r w:rsidRPr="00E15D52">
        <w:t xml:space="preserve"> (</w:t>
      </w:r>
      <w:proofErr w:type="spellStart"/>
      <w:r w:rsidRPr="00E15D52">
        <w:t>dostarlimab</w:t>
      </w:r>
      <w:proofErr w:type="spellEnd"/>
      <w:r w:rsidRPr="00E15D52">
        <w:t xml:space="preserve">) 1L EC </w:t>
      </w:r>
      <w:proofErr w:type="spellStart"/>
      <w:r w:rsidRPr="00E15D52">
        <w:t>CUA_July</w:t>
      </w:r>
      <w:proofErr w:type="spellEnd"/>
      <w:r w:rsidRPr="00E15D52">
        <w:t xml:space="preserve"> 2023’) and Table 15, pembrolizumab PSD, March 2022 PBAC meeting.</w:t>
      </w:r>
    </w:p>
    <w:p w14:paraId="3A1B481C" w14:textId="63829318" w:rsidR="00F61C95" w:rsidRPr="00E15D52" w:rsidRDefault="00F61C95" w:rsidP="00F61C95">
      <w:pPr>
        <w:pStyle w:val="FooterTableFigure"/>
        <w:keepNext/>
        <w:keepLines/>
        <w:spacing w:after="0"/>
      </w:pPr>
      <w:r w:rsidRPr="00E15D52">
        <w:t>1L = first-line; 2L = second-line; CP = carboplatin-paclitaxel; DOS = dostarlimab; dMMR = mismatch repair deficient; ECOG = Eastern Cooperative Oncology Group; PBC = platinum-based chemotherapy; PEM+LEN = Pembrolizumab + Lenvatinib</w:t>
      </w:r>
      <w:r w:rsidR="004E430C" w:rsidRPr="00E15D52">
        <w:t>; PSD = public summary document</w:t>
      </w:r>
    </w:p>
    <w:p w14:paraId="43AA3D9A" w14:textId="2472417A" w:rsidR="00F61C95" w:rsidRPr="00E15D52" w:rsidRDefault="00F61C95" w:rsidP="00F61C95">
      <w:pPr>
        <w:pStyle w:val="FooterTableFigure"/>
        <w:keepNext/>
        <w:keepLines/>
        <w:spacing w:after="0"/>
      </w:pPr>
      <w:r w:rsidRPr="00E15D52">
        <w:t>a Calculated during the evaluation. Reported by the submission as 43.8%</w:t>
      </w:r>
      <w:r w:rsidR="00BA43FB">
        <w:t>*</w:t>
      </w:r>
      <w:r w:rsidRPr="00E15D52">
        <w:t xml:space="preserve"> but could not be verified during the evaluation. </w:t>
      </w:r>
    </w:p>
    <w:p w14:paraId="72758326" w14:textId="69E0F798" w:rsidR="00F61C95" w:rsidRDefault="00F61C95" w:rsidP="009756FC">
      <w:pPr>
        <w:pStyle w:val="FooterTableFigure"/>
        <w:keepLines/>
        <w:spacing w:after="0"/>
        <w:contextualSpacing w:val="0"/>
      </w:pPr>
      <w:r w:rsidRPr="00E15D52">
        <w:t xml:space="preserve">b </w:t>
      </w:r>
      <w:r w:rsidR="00A06402" w:rsidRPr="00E15D52">
        <w:t>The submission claimed that 46.6%</w:t>
      </w:r>
      <w:r w:rsidR="00BA43FB">
        <w:t>*</w:t>
      </w:r>
      <w:r w:rsidR="00A06402" w:rsidRPr="00E15D52">
        <w:t xml:space="preserve"> of 1L patients would be treated with 2L PEM+LEN (49%</w:t>
      </w:r>
      <w:r w:rsidR="00BA43FB">
        <w:t>*</w:t>
      </w:r>
      <w:r w:rsidR="00A06402" w:rsidRPr="00E15D52">
        <w:t xml:space="preserve"> x 95%</w:t>
      </w:r>
      <w:r w:rsidR="00BA43FB">
        <w:t>*</w:t>
      </w:r>
      <w:r w:rsidR="00A06402" w:rsidRPr="00E15D52">
        <w:t>)</w:t>
      </w:r>
      <w:r w:rsidR="008F7D57" w:rsidRPr="00E15D52">
        <w:t xml:space="preserve"> in the CP arm in the financial estimates</w:t>
      </w:r>
      <w:r w:rsidR="00A06402" w:rsidRPr="00E15D52">
        <w:t xml:space="preserve"> but this did not account for only the proportion of patients with ECOG PS of 0-1 (80%</w:t>
      </w:r>
      <w:r w:rsidR="00BA43FB">
        <w:t>*</w:t>
      </w:r>
      <w:r w:rsidR="00A06402" w:rsidRPr="00E15D52">
        <w:t>).</w:t>
      </w:r>
    </w:p>
    <w:p w14:paraId="1161B724" w14:textId="0EF5BFF9" w:rsidR="009756FC" w:rsidRPr="009756FC" w:rsidRDefault="009756FC" w:rsidP="009756FC">
      <w:pPr>
        <w:spacing w:after="120"/>
        <w:rPr>
          <w:rFonts w:ascii="Arial Narrow" w:hAnsi="Arial Narrow"/>
          <w:i/>
          <w:iCs/>
          <w:snapToGrid w:val="0"/>
          <w:sz w:val="18"/>
          <w:szCs w:val="22"/>
        </w:rPr>
      </w:pPr>
      <w:r w:rsidRPr="009756FC">
        <w:rPr>
          <w:rFonts w:ascii="Arial Narrow" w:hAnsi="Arial Narrow"/>
          <w:snapToGrid w:val="0"/>
          <w:sz w:val="18"/>
          <w:szCs w:val="22"/>
        </w:rPr>
        <w:t xml:space="preserve">* </w:t>
      </w:r>
      <w:r w:rsidRPr="009756FC">
        <w:rPr>
          <w:rFonts w:ascii="Arial Narrow" w:hAnsi="Arial Narrow"/>
          <w:i/>
          <w:iCs/>
          <w:snapToGrid w:val="0"/>
          <w:sz w:val="18"/>
          <w:szCs w:val="22"/>
        </w:rPr>
        <w:t>Note that the modelled subsequent immunotherapy proportions were provided for the purposes of informing the PBAC consideration. Interpretation of the results and their application should therefore be limited to seeking to understand the basis for the PBAC outcome and should not be used for any other purpose.</w:t>
      </w:r>
    </w:p>
    <w:p w14:paraId="268768EF" w14:textId="465DA90C" w:rsidR="00B60939" w:rsidRPr="000A33D2" w:rsidRDefault="00B60939" w:rsidP="002B05A1">
      <w:pPr>
        <w:pStyle w:val="4-SubsectionHeading"/>
      </w:pPr>
      <w:bookmarkStart w:id="89" w:name="_Toc22897647"/>
      <w:bookmarkStart w:id="90" w:name="_Toc145426903"/>
      <w:bookmarkEnd w:id="87"/>
      <w:r w:rsidRPr="000A33D2">
        <w:t>Estimated PBS usage &amp; financial implications</w:t>
      </w:r>
      <w:bookmarkEnd w:id="89"/>
      <w:bookmarkEnd w:id="90"/>
    </w:p>
    <w:p w14:paraId="2A45743C" w14:textId="18AA3266" w:rsidR="001F3D93" w:rsidRPr="000A33D2" w:rsidRDefault="00C25D9C" w:rsidP="002B05A1">
      <w:pPr>
        <w:pStyle w:val="3-BodyText"/>
      </w:pPr>
      <w:r w:rsidRPr="000A33D2">
        <w:t xml:space="preserve">This submission </w:t>
      </w:r>
      <w:r w:rsidR="00B201A4" w:rsidRPr="000A33D2">
        <w:t>w</w:t>
      </w:r>
      <w:r w:rsidR="00CE6B72" w:rsidRPr="000A33D2">
        <w:t>as</w:t>
      </w:r>
      <w:r w:rsidRPr="000A33D2">
        <w:t xml:space="preserve"> not considered by DUSC.</w:t>
      </w:r>
      <w:r w:rsidR="00D119CD" w:rsidRPr="000A33D2">
        <w:t xml:space="preserve"> </w:t>
      </w:r>
    </w:p>
    <w:p w14:paraId="3EE3A7F5" w14:textId="5E738E4F" w:rsidR="001F3D93" w:rsidRPr="000A33D2" w:rsidRDefault="00D119CD" w:rsidP="001F3D93">
      <w:pPr>
        <w:pStyle w:val="3-BodyText"/>
      </w:pPr>
      <w:r w:rsidRPr="000A33D2">
        <w:t xml:space="preserve">The submission used an epidemiological approach to estimate the financial impact of listing DOS (for use in combination with </w:t>
      </w:r>
      <w:r w:rsidR="0031112C" w:rsidRPr="000A33D2">
        <w:t>PBC</w:t>
      </w:r>
      <w:r w:rsidRPr="000A33D2">
        <w:t xml:space="preserve">) for dMMR patients (Population 1) and all-comers (Population 2) on the PBS for the treatment of 1L A/R EC. </w:t>
      </w:r>
      <w:r w:rsidR="001F3D93" w:rsidRPr="000A33D2">
        <w:t xml:space="preserve">The submission estimated the eligible population from the following patient populations: Stage I/II EC patients who experience first recurrence; Stage III patients who were treated with curative intent and experience first recurrence; primary advanced (Stage III and Stage IV) patients; prevalent patients with first recurrent Stage I-III disease; and grandfathered patients. The submission considered the use of subsequent immunotherapy </w:t>
      </w:r>
      <w:r w:rsidR="006B750F" w:rsidRPr="000A33D2">
        <w:t xml:space="preserve">as an offset only </w:t>
      </w:r>
      <w:r w:rsidR="001F3D93" w:rsidRPr="000A33D2">
        <w:t>(i.e. the proportion of patients who would have otherwise been treated with 2L PEM+LEN) in their financial</w:t>
      </w:r>
      <w:r w:rsidR="003B2D24" w:rsidRPr="000A33D2">
        <w:t xml:space="preserve"> estimates. </w:t>
      </w:r>
    </w:p>
    <w:p w14:paraId="5FE38F36" w14:textId="043F4C7D" w:rsidR="001F3D93" w:rsidRPr="000A33D2" w:rsidRDefault="001F3D93" w:rsidP="000F4B42">
      <w:pPr>
        <w:pStyle w:val="3-BodyText"/>
      </w:pPr>
      <w:r w:rsidRPr="000A33D2">
        <w:t xml:space="preserve">Key data sources used for estimating the financial </w:t>
      </w:r>
      <w:r w:rsidR="006B750F" w:rsidRPr="000A33D2">
        <w:t xml:space="preserve">estimates </w:t>
      </w:r>
      <w:r w:rsidRPr="000A33D2">
        <w:t>are presented in</w:t>
      </w:r>
      <w:r w:rsidR="004658B5" w:rsidRPr="000A33D2">
        <w:t xml:space="preserve"> </w:t>
      </w:r>
      <w:r w:rsidR="00E16AD8" w:rsidRPr="000A33D2">
        <w:fldChar w:fldCharType="begin" w:fldLock="1"/>
      </w:r>
      <w:r w:rsidR="00E16AD8" w:rsidRPr="000A33D2">
        <w:instrText xml:space="preserve"> REF _Ref104805262 \h  \* MERGEFORMAT </w:instrText>
      </w:r>
      <w:r w:rsidR="00E16AD8" w:rsidRPr="000A33D2">
        <w:fldChar w:fldCharType="separate"/>
      </w:r>
      <w:r w:rsidR="00B62E71" w:rsidRPr="000A33D2">
        <w:t>Table</w:t>
      </w:r>
      <w:r w:rsidR="006D6983">
        <w:t> </w:t>
      </w:r>
      <w:r w:rsidR="00B62E71">
        <w:t>20</w:t>
      </w:r>
      <w:r w:rsidR="00E16AD8" w:rsidRPr="000A33D2">
        <w:fldChar w:fldCharType="end"/>
      </w:r>
      <w:r w:rsidRPr="000A33D2">
        <w:t>.</w:t>
      </w:r>
      <w:r w:rsidR="00E16AD8" w:rsidRPr="000A33D2">
        <w:t xml:space="preserve"> </w:t>
      </w:r>
    </w:p>
    <w:p w14:paraId="3393BCE7" w14:textId="088B2328" w:rsidR="00E42F73" w:rsidRPr="000A33D2" w:rsidRDefault="00E16AD8" w:rsidP="00E16AD8">
      <w:pPr>
        <w:pStyle w:val="Caption"/>
        <w:rPr>
          <w:rStyle w:val="CommentReference"/>
          <w:b/>
          <w:szCs w:val="24"/>
        </w:rPr>
      </w:pPr>
      <w:bookmarkStart w:id="91" w:name="_Ref104805262"/>
      <w:r w:rsidRPr="000A33D2">
        <w:t xml:space="preserve">Table </w:t>
      </w:r>
      <w:r>
        <w:fldChar w:fldCharType="begin" w:fldLock="1"/>
      </w:r>
      <w:r>
        <w:instrText>SEQ Table \* ARABIC</w:instrText>
      </w:r>
      <w:r>
        <w:fldChar w:fldCharType="separate"/>
      </w:r>
      <w:r w:rsidR="00B62E71">
        <w:rPr>
          <w:noProof/>
        </w:rPr>
        <w:t>20</w:t>
      </w:r>
      <w:r>
        <w:fldChar w:fldCharType="end"/>
      </w:r>
      <w:bookmarkEnd w:id="91"/>
      <w:r w:rsidRPr="000A33D2">
        <w:t>:</w:t>
      </w:r>
      <w:r w:rsidR="00E42F73" w:rsidRPr="000A33D2">
        <w:rPr>
          <w:rStyle w:val="CommentReference"/>
          <w:b/>
          <w:szCs w:val="24"/>
        </w:rPr>
        <w:t xml:space="preserve"> Key inputs for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681"/>
        <w:gridCol w:w="3944"/>
      </w:tblGrid>
      <w:tr w:rsidR="00813B56" w:rsidRPr="000A33D2" w14:paraId="7542BCAB" w14:textId="77777777" w:rsidTr="000E4191">
        <w:trPr>
          <w:tblHeader/>
        </w:trPr>
        <w:tc>
          <w:tcPr>
            <w:tcW w:w="1555" w:type="dxa"/>
            <w:vAlign w:val="center"/>
          </w:tcPr>
          <w:p w14:paraId="36AC1AA4" w14:textId="77777777" w:rsidR="00813B56" w:rsidRPr="000A33D2" w:rsidRDefault="00813B56" w:rsidP="003411EA">
            <w:pPr>
              <w:pStyle w:val="In-tableHeading"/>
              <w:keepNext w:val="0"/>
              <w:jc w:val="center"/>
              <w:rPr>
                <w:lang w:val="en-AU"/>
              </w:rPr>
            </w:pPr>
            <w:r w:rsidRPr="000A33D2">
              <w:rPr>
                <w:lang w:val="en-AU"/>
              </w:rPr>
              <w:t>Data</w:t>
            </w:r>
          </w:p>
        </w:tc>
        <w:tc>
          <w:tcPr>
            <w:tcW w:w="3681" w:type="dxa"/>
            <w:vAlign w:val="center"/>
          </w:tcPr>
          <w:p w14:paraId="0386E929" w14:textId="77777777" w:rsidR="00813B56" w:rsidRPr="000A33D2" w:rsidRDefault="00813B56" w:rsidP="003411EA">
            <w:pPr>
              <w:pStyle w:val="In-tableHeading"/>
              <w:keepNext w:val="0"/>
              <w:jc w:val="center"/>
              <w:rPr>
                <w:lang w:val="en-AU"/>
              </w:rPr>
            </w:pPr>
            <w:r w:rsidRPr="000A33D2">
              <w:rPr>
                <w:lang w:val="en-AU"/>
              </w:rPr>
              <w:t>Value and Source</w:t>
            </w:r>
          </w:p>
        </w:tc>
        <w:tc>
          <w:tcPr>
            <w:tcW w:w="3944" w:type="dxa"/>
            <w:vAlign w:val="center"/>
          </w:tcPr>
          <w:p w14:paraId="69AB8CBA" w14:textId="77777777" w:rsidR="00813B56" w:rsidRPr="000A33D2" w:rsidRDefault="00813B56" w:rsidP="003411EA">
            <w:pPr>
              <w:pStyle w:val="In-tableHeading"/>
              <w:keepNext w:val="0"/>
              <w:jc w:val="center"/>
              <w:rPr>
                <w:lang w:val="en-AU"/>
              </w:rPr>
            </w:pPr>
            <w:r w:rsidRPr="000A33D2">
              <w:rPr>
                <w:lang w:val="en-AU"/>
              </w:rPr>
              <w:t>Comment</w:t>
            </w:r>
          </w:p>
        </w:tc>
      </w:tr>
      <w:tr w:rsidR="00813B56" w:rsidRPr="000A33D2" w14:paraId="4DE2202C" w14:textId="77777777" w:rsidTr="000E4191">
        <w:tc>
          <w:tcPr>
            <w:tcW w:w="9180" w:type="dxa"/>
            <w:gridSpan w:val="3"/>
            <w:vAlign w:val="center"/>
          </w:tcPr>
          <w:p w14:paraId="1C4CEB0D" w14:textId="77777777" w:rsidR="00813B56" w:rsidRPr="000A33D2" w:rsidRDefault="00813B56" w:rsidP="003411EA">
            <w:pPr>
              <w:pStyle w:val="In-tableHeading"/>
              <w:keepNext w:val="0"/>
              <w:rPr>
                <w:lang w:val="en-AU"/>
              </w:rPr>
            </w:pPr>
            <w:r w:rsidRPr="000A33D2">
              <w:rPr>
                <w:lang w:val="en-AU"/>
              </w:rPr>
              <w:t>Eligible population</w:t>
            </w:r>
          </w:p>
        </w:tc>
      </w:tr>
      <w:tr w:rsidR="00813B56" w:rsidRPr="000A33D2" w14:paraId="646720BF" w14:textId="77777777" w:rsidTr="000E4191">
        <w:tc>
          <w:tcPr>
            <w:tcW w:w="1555" w:type="dxa"/>
            <w:vAlign w:val="center"/>
          </w:tcPr>
          <w:p w14:paraId="76F918A4" w14:textId="77777777" w:rsidR="00813B56" w:rsidRPr="000A33D2" w:rsidRDefault="00813B56" w:rsidP="003411EA">
            <w:pPr>
              <w:pStyle w:val="TableText0"/>
              <w:keepNext w:val="0"/>
            </w:pPr>
            <w:r w:rsidRPr="000A33D2">
              <w:t>Incident EC patients</w:t>
            </w:r>
          </w:p>
        </w:tc>
        <w:tc>
          <w:tcPr>
            <w:tcW w:w="3681" w:type="dxa"/>
            <w:vAlign w:val="center"/>
          </w:tcPr>
          <w:p w14:paraId="2669D3BA" w14:textId="7CFA3253" w:rsidR="00813B56" w:rsidRPr="000A33D2" w:rsidRDefault="00813B56" w:rsidP="003411EA">
            <w:pPr>
              <w:pStyle w:val="TableText0"/>
              <w:keepNext w:val="0"/>
            </w:pPr>
            <w:r w:rsidRPr="000A33D2">
              <w:t>Calculated by applying the average growth rate (3%) based on the AIHW uterine cancer incidence projections for 2019-2022 to the incidence of uterine cancer in 2022 (AIHW ICD-10: C54 and C55). Then the application of 95% (proportion of uterine cancer reported as EC) to derive the projected incidence of EC (as reported by Cancer Council, and as used in PEM (Table 15, pembrolizumab PSD, March</w:t>
            </w:r>
            <w:r w:rsidR="006D6983">
              <w:t> </w:t>
            </w:r>
            <w:r w:rsidRPr="000A33D2">
              <w:t xml:space="preserve">2022). </w:t>
            </w:r>
          </w:p>
        </w:tc>
        <w:tc>
          <w:tcPr>
            <w:tcW w:w="3944" w:type="dxa"/>
            <w:vAlign w:val="center"/>
          </w:tcPr>
          <w:p w14:paraId="0BE17C38" w14:textId="640E4327" w:rsidR="00813B56" w:rsidRPr="000A33D2" w:rsidRDefault="000171F5" w:rsidP="003411EA">
            <w:pPr>
              <w:pStyle w:val="TableText0"/>
              <w:keepNext w:val="0"/>
            </w:pPr>
            <w:r w:rsidRPr="000A33D2">
              <w:t xml:space="preserve">Sources and approach were consistent with PEM estimates. </w:t>
            </w:r>
          </w:p>
        </w:tc>
      </w:tr>
      <w:tr w:rsidR="00813B56" w:rsidRPr="000A33D2" w14:paraId="257805B5" w14:textId="77777777" w:rsidTr="000E4191">
        <w:tc>
          <w:tcPr>
            <w:tcW w:w="1555" w:type="dxa"/>
            <w:vAlign w:val="center"/>
          </w:tcPr>
          <w:p w14:paraId="63602643" w14:textId="77777777" w:rsidR="00813B56" w:rsidRPr="000A33D2" w:rsidRDefault="00813B56" w:rsidP="003411EA">
            <w:pPr>
              <w:pStyle w:val="TableText0"/>
              <w:keepNext w:val="0"/>
            </w:pPr>
            <w:r w:rsidRPr="000A33D2">
              <w:t xml:space="preserve">Distribution of disease </w:t>
            </w:r>
          </w:p>
        </w:tc>
        <w:tc>
          <w:tcPr>
            <w:tcW w:w="3681" w:type="dxa"/>
            <w:vAlign w:val="center"/>
          </w:tcPr>
          <w:p w14:paraId="7AA8C13C" w14:textId="77777777" w:rsidR="00813B56" w:rsidRPr="000A33D2" w:rsidRDefault="00813B56" w:rsidP="003411EA">
            <w:pPr>
              <w:pStyle w:val="TableText0"/>
              <w:keepNext w:val="0"/>
            </w:pPr>
            <w:r w:rsidRPr="000A33D2">
              <w:t>Proportion with Stage I-II disease: 82.0%</w:t>
            </w:r>
          </w:p>
          <w:p w14:paraId="370A2664" w14:textId="77777777" w:rsidR="00813B56" w:rsidRPr="000A33D2" w:rsidRDefault="00813B56" w:rsidP="003411EA">
            <w:pPr>
              <w:pStyle w:val="TableText0"/>
              <w:keepNext w:val="0"/>
            </w:pPr>
            <w:r w:rsidRPr="000A33D2">
              <w:t>Proportion with Stage III disease with curative intent: 8.0%</w:t>
            </w:r>
          </w:p>
          <w:p w14:paraId="1B6F8D17" w14:textId="77777777" w:rsidR="00813B56" w:rsidRPr="000A33D2" w:rsidRDefault="00813B56" w:rsidP="003411EA">
            <w:pPr>
              <w:pStyle w:val="TableText0"/>
              <w:keepNext w:val="0"/>
            </w:pPr>
            <w:r w:rsidRPr="000A33D2">
              <w:t>Proportion with Stage III/IV unresectable disease: 10.0%</w:t>
            </w:r>
          </w:p>
          <w:p w14:paraId="21847F21" w14:textId="77777777" w:rsidR="00813B56" w:rsidRPr="000A33D2" w:rsidRDefault="00813B56" w:rsidP="003411EA">
            <w:pPr>
              <w:pStyle w:val="TableText0"/>
              <w:keepNext w:val="0"/>
            </w:pPr>
            <w:r w:rsidRPr="000A33D2">
              <w:lastRenderedPageBreak/>
              <w:t>Source: Surveillance, Epidemiology, and End Results (SEER) database and clinician feedback, as used in the PEM submission (Table 15, pembrolizumab PSD, March 2022 meeting).</w:t>
            </w:r>
          </w:p>
        </w:tc>
        <w:tc>
          <w:tcPr>
            <w:tcW w:w="3944" w:type="dxa"/>
            <w:vAlign w:val="center"/>
          </w:tcPr>
          <w:p w14:paraId="730DCB4F" w14:textId="381E54C4" w:rsidR="00813B56" w:rsidRPr="000A33D2" w:rsidRDefault="00813B56" w:rsidP="003411EA">
            <w:pPr>
              <w:pStyle w:val="TableText0"/>
              <w:keepNext w:val="0"/>
            </w:pPr>
            <w:r w:rsidRPr="000A33D2">
              <w:lastRenderedPageBreak/>
              <w:t>These values were previously used in the submission for PEM (2L EC) (Table 15, pembrolizumab PSD, March 2022 meeting). In a separate submission for DOS (2L EC), the proportion of patient</w:t>
            </w:r>
            <w:r w:rsidR="00142985" w:rsidRPr="000A33D2">
              <w:t>s</w:t>
            </w:r>
            <w:r w:rsidRPr="000A33D2">
              <w:t xml:space="preserve"> with Stage III-IV disease was estimated to be 21% (vs 18% used by this </w:t>
            </w:r>
            <w:r w:rsidRPr="000A33D2">
              <w:lastRenderedPageBreak/>
              <w:t xml:space="preserve">submission) (Table 23, dostarlimab PSD, November 2022 meeting). </w:t>
            </w:r>
          </w:p>
          <w:p w14:paraId="733D89FC" w14:textId="77777777" w:rsidR="00813B56" w:rsidRPr="000A33D2" w:rsidRDefault="00813B56" w:rsidP="003411EA">
            <w:pPr>
              <w:pStyle w:val="TableText0"/>
              <w:keepNext w:val="0"/>
            </w:pPr>
          </w:p>
          <w:p w14:paraId="1AE38528" w14:textId="06707A89" w:rsidR="00813B56" w:rsidRPr="000A33D2" w:rsidRDefault="00813B56" w:rsidP="003411EA">
            <w:pPr>
              <w:pStyle w:val="TableText0"/>
              <w:keepNext w:val="0"/>
            </w:pPr>
            <w:r w:rsidRPr="000A33D2">
              <w:t>The separation of Stage III disease with curative intent was in line with previous DUSC advice that “a proportion of Stage III patients would be treated with curative intent” (</w:t>
            </w:r>
            <w:r w:rsidR="00F907D9" w:rsidRPr="000A33D2">
              <w:t>Table 14, dostarlimab PSD, March 2022 PBAC meeting</w:t>
            </w:r>
            <w:r w:rsidRPr="000A33D2">
              <w:t xml:space="preserve">). </w:t>
            </w:r>
          </w:p>
        </w:tc>
      </w:tr>
      <w:tr w:rsidR="00813B56" w:rsidRPr="000A33D2" w14:paraId="5CA86816" w14:textId="77777777" w:rsidTr="000E4191">
        <w:tc>
          <w:tcPr>
            <w:tcW w:w="1555" w:type="dxa"/>
            <w:vAlign w:val="center"/>
          </w:tcPr>
          <w:p w14:paraId="087FB0BF" w14:textId="77777777" w:rsidR="00813B56" w:rsidRPr="000A33D2" w:rsidRDefault="00813B56" w:rsidP="006D6983">
            <w:pPr>
              <w:pStyle w:val="TableText0"/>
              <w:keepLines/>
            </w:pPr>
            <w:r w:rsidRPr="000A33D2">
              <w:lastRenderedPageBreak/>
              <w:t>First recurrence</w:t>
            </w:r>
          </w:p>
        </w:tc>
        <w:tc>
          <w:tcPr>
            <w:tcW w:w="3681" w:type="dxa"/>
            <w:vAlign w:val="center"/>
          </w:tcPr>
          <w:p w14:paraId="25AC4783" w14:textId="77777777" w:rsidR="00813B56" w:rsidRPr="000A33D2" w:rsidRDefault="00813B56" w:rsidP="006D6983">
            <w:pPr>
              <w:pStyle w:val="TableText0"/>
              <w:keepLines/>
            </w:pPr>
            <w:r w:rsidRPr="000A33D2">
              <w:t>Proportion with first recurrence</w:t>
            </w:r>
          </w:p>
          <w:p w14:paraId="5D4021F0" w14:textId="77777777" w:rsidR="00813B56" w:rsidRPr="000A33D2" w:rsidRDefault="00813B56" w:rsidP="006D6983">
            <w:pPr>
              <w:pStyle w:val="TableText0"/>
              <w:keepLines/>
            </w:pPr>
            <w:r w:rsidRPr="000A33D2">
              <w:t>Stage I/II: 13%</w:t>
            </w:r>
          </w:p>
          <w:p w14:paraId="0062DA9E" w14:textId="77777777" w:rsidR="00813B56" w:rsidRPr="000A33D2" w:rsidRDefault="00813B56" w:rsidP="006D6983">
            <w:pPr>
              <w:pStyle w:val="TableText0"/>
              <w:keepLines/>
            </w:pPr>
            <w:r w:rsidRPr="000A33D2">
              <w:t>Stage III curative: 36%</w:t>
            </w:r>
          </w:p>
          <w:p w14:paraId="4DF1F901" w14:textId="41BFB951" w:rsidR="00813B56" w:rsidRPr="000A33D2" w:rsidRDefault="00813B56" w:rsidP="006D6983">
            <w:pPr>
              <w:pStyle w:val="TableText0"/>
              <w:keepLines/>
            </w:pPr>
            <w:r w:rsidRPr="000A33D2">
              <w:t>Source: Fung-Kee-Fung 2006; De Boer 2019</w:t>
            </w:r>
          </w:p>
        </w:tc>
        <w:tc>
          <w:tcPr>
            <w:tcW w:w="3944" w:type="dxa"/>
            <w:vAlign w:val="center"/>
          </w:tcPr>
          <w:p w14:paraId="56EA6A43" w14:textId="0FADEF3B" w:rsidR="00813B56" w:rsidRPr="000A33D2" w:rsidRDefault="00813B56" w:rsidP="006D6983">
            <w:pPr>
              <w:pStyle w:val="TableText0"/>
              <w:keepLines/>
            </w:pPr>
            <w:r w:rsidRPr="000A33D2">
              <w:t xml:space="preserve">DUSC previously considered the 13% estimate of recurrence in </w:t>
            </w:r>
            <w:r w:rsidR="005D387A" w:rsidRPr="000A33D2">
              <w:t>S</w:t>
            </w:r>
            <w:r w:rsidRPr="000A33D2">
              <w:t>tage I/II EC may be reasonable (p5, dostarlimab DUSC advice</w:t>
            </w:r>
            <w:r w:rsidR="005D387A" w:rsidRPr="000A33D2">
              <w:t>,</w:t>
            </w:r>
            <w:r w:rsidRPr="000A33D2">
              <w:t xml:space="preserve"> March 2022 meeting). </w:t>
            </w:r>
          </w:p>
          <w:p w14:paraId="79FB7071" w14:textId="77777777" w:rsidR="00813B56" w:rsidRPr="000A33D2" w:rsidRDefault="00813B56" w:rsidP="006D6983">
            <w:pPr>
              <w:pStyle w:val="TableText0"/>
              <w:keepLines/>
            </w:pPr>
          </w:p>
          <w:p w14:paraId="3E1592AA" w14:textId="66CB1698" w:rsidR="00813B56" w:rsidRPr="000A33D2" w:rsidRDefault="00813B56" w:rsidP="006D6983">
            <w:pPr>
              <w:pStyle w:val="TableText0"/>
              <w:keepLines/>
            </w:pPr>
            <w:r w:rsidRPr="000A33D2">
              <w:t>The</w:t>
            </w:r>
            <w:r w:rsidR="00560E1F" w:rsidRPr="000A33D2">
              <w:t xml:space="preserve"> evaluation noted the</w:t>
            </w:r>
            <w:r w:rsidRPr="000A33D2">
              <w:t xml:space="preserve"> recurrence rate of 36% for Stage III patients may be overestimated given this was based on patients with high-risk EC</w:t>
            </w:r>
            <w:r w:rsidR="001369CD" w:rsidRPr="000A33D2">
              <w:t xml:space="preserve"> </w:t>
            </w:r>
            <w:r w:rsidR="00560E1F" w:rsidRPr="000A33D2">
              <w:t xml:space="preserve">(PORTEC3, </w:t>
            </w:r>
            <w:r w:rsidR="001369CD" w:rsidRPr="000A33D2">
              <w:t>De Boer 2019</w:t>
            </w:r>
            <w:r w:rsidR="00560E1F" w:rsidRPr="000A33D2">
              <w:t>)</w:t>
            </w:r>
            <w:r w:rsidR="00FB26F6" w:rsidRPr="000A33D2">
              <w:t xml:space="preserve">. The PBAC considered 30% recurrence rate for stage III patients would be appropriate, based on the 5 year failure-free survival in PORTEC3 of 70.9%. </w:t>
            </w:r>
            <w:r w:rsidR="0010252C" w:rsidRPr="000A33D2">
              <w:t>.</w:t>
            </w:r>
          </w:p>
        </w:tc>
      </w:tr>
      <w:tr w:rsidR="00BA6FFD" w:rsidRPr="000A33D2" w14:paraId="0E05C189" w14:textId="77777777" w:rsidTr="000E4191">
        <w:trPr>
          <w:trHeight w:val="798"/>
        </w:trPr>
        <w:tc>
          <w:tcPr>
            <w:tcW w:w="1555" w:type="dxa"/>
            <w:vAlign w:val="center"/>
          </w:tcPr>
          <w:p w14:paraId="739C450F" w14:textId="77777777" w:rsidR="00BA6FFD" w:rsidRPr="000A33D2" w:rsidRDefault="00BA6FFD" w:rsidP="003411EA">
            <w:pPr>
              <w:pStyle w:val="TableText0"/>
              <w:keepNext w:val="0"/>
            </w:pPr>
            <w:r w:rsidRPr="000A33D2">
              <w:t>Proportion expected to receive 1L PBC</w:t>
            </w:r>
          </w:p>
        </w:tc>
        <w:tc>
          <w:tcPr>
            <w:tcW w:w="3681" w:type="dxa"/>
            <w:vAlign w:val="center"/>
          </w:tcPr>
          <w:p w14:paraId="4D123F31" w14:textId="77777777" w:rsidR="00BA6FFD" w:rsidRPr="000A33D2" w:rsidRDefault="00BA6FFD" w:rsidP="003411EA">
            <w:pPr>
              <w:pStyle w:val="TableText0"/>
              <w:keepNext w:val="0"/>
            </w:pPr>
            <w:r w:rsidRPr="000A33D2">
              <w:t>90%</w:t>
            </w:r>
          </w:p>
          <w:p w14:paraId="500F269F" w14:textId="77777777" w:rsidR="00BA6FFD" w:rsidRPr="000A33D2" w:rsidRDefault="00BA6FFD" w:rsidP="003411EA">
            <w:pPr>
              <w:pStyle w:val="TableText0"/>
              <w:keepNext w:val="0"/>
            </w:pPr>
            <w:r w:rsidRPr="000A33D2">
              <w:t>Source: Assumption</w:t>
            </w:r>
          </w:p>
        </w:tc>
        <w:tc>
          <w:tcPr>
            <w:tcW w:w="3944" w:type="dxa"/>
            <w:vMerge w:val="restart"/>
            <w:vAlign w:val="center"/>
          </w:tcPr>
          <w:p w14:paraId="0817A446" w14:textId="1FB17EEF" w:rsidR="00BA6FFD" w:rsidRPr="000A33D2" w:rsidRDefault="00BA6FFD" w:rsidP="005D387A">
            <w:pPr>
              <w:pStyle w:val="TableText0"/>
            </w:pPr>
            <w:r w:rsidRPr="000A33D2">
              <w:t xml:space="preserve">The application of the proportion expected to receive 1L PBC and the proportion with ECOG 0-1 may result in potential double counting given patients expected to receive 1L PBC would have to be suitable for or well enough to tolerate treatment. </w:t>
            </w:r>
            <w:r w:rsidR="00CF2775" w:rsidRPr="000A33D2">
              <w:t xml:space="preserve">The ESC noted that in consideration of PEM, the PBAC considered that the submission’s increase from 70% to 75% of patients receiving 1L PBC was not reasonable. </w:t>
            </w:r>
            <w:r w:rsidR="00560E1F" w:rsidRPr="000A33D2">
              <w:t>The PBAC considered that the proportion of patients with ECOG 0-1 and expected to receive 1L PBC of 72% (90%x80%) was reasonable.</w:t>
            </w:r>
          </w:p>
        </w:tc>
      </w:tr>
      <w:tr w:rsidR="00BA6FFD" w:rsidRPr="000A33D2" w14:paraId="326B86E6" w14:textId="77777777" w:rsidTr="000E4191">
        <w:trPr>
          <w:trHeight w:val="798"/>
        </w:trPr>
        <w:tc>
          <w:tcPr>
            <w:tcW w:w="1555" w:type="dxa"/>
            <w:vAlign w:val="center"/>
          </w:tcPr>
          <w:p w14:paraId="0DDE6FC7" w14:textId="77777777" w:rsidR="00BA6FFD" w:rsidRPr="000A33D2" w:rsidRDefault="00BA6FFD" w:rsidP="003411EA">
            <w:pPr>
              <w:pStyle w:val="TableText0"/>
              <w:keepNext w:val="0"/>
            </w:pPr>
            <w:r w:rsidRPr="000A33D2">
              <w:t>Proportion with ECOG 0-1 (DOS+CP)</w:t>
            </w:r>
          </w:p>
        </w:tc>
        <w:tc>
          <w:tcPr>
            <w:tcW w:w="3681" w:type="dxa"/>
            <w:vAlign w:val="center"/>
          </w:tcPr>
          <w:p w14:paraId="2972D1F4" w14:textId="77777777" w:rsidR="00BA6FFD" w:rsidRPr="000A33D2" w:rsidRDefault="00BA6FFD" w:rsidP="003411EA">
            <w:pPr>
              <w:pStyle w:val="TableText0"/>
              <w:keepNext w:val="0"/>
            </w:pPr>
            <w:r w:rsidRPr="000A33D2">
              <w:t>80%</w:t>
            </w:r>
          </w:p>
          <w:p w14:paraId="34ED3B02" w14:textId="77777777" w:rsidR="00BA6FFD" w:rsidRPr="000A33D2" w:rsidRDefault="00BA6FFD" w:rsidP="003411EA">
            <w:pPr>
              <w:pStyle w:val="TableText0"/>
              <w:keepNext w:val="0"/>
            </w:pPr>
            <w:r w:rsidRPr="000A33D2">
              <w:t>Source: Table 15, pembrolizumab PSD, March 2022 PBAC meeting</w:t>
            </w:r>
          </w:p>
        </w:tc>
        <w:tc>
          <w:tcPr>
            <w:tcW w:w="3944" w:type="dxa"/>
            <w:vMerge/>
            <w:vAlign w:val="center"/>
          </w:tcPr>
          <w:p w14:paraId="4441FBF4" w14:textId="091C2879" w:rsidR="00BA6FFD" w:rsidRPr="000A33D2" w:rsidRDefault="00BA6FFD" w:rsidP="005D387A">
            <w:pPr>
              <w:pStyle w:val="TableText0"/>
              <w:keepNext w:val="0"/>
            </w:pPr>
          </w:p>
        </w:tc>
      </w:tr>
      <w:tr w:rsidR="00813B56" w:rsidRPr="000A33D2" w14:paraId="79388F26" w14:textId="77777777" w:rsidTr="000E4191">
        <w:tc>
          <w:tcPr>
            <w:tcW w:w="1555" w:type="dxa"/>
            <w:vAlign w:val="center"/>
          </w:tcPr>
          <w:p w14:paraId="6222F56D" w14:textId="77777777" w:rsidR="00813B56" w:rsidRPr="000A33D2" w:rsidRDefault="00813B56" w:rsidP="003411EA">
            <w:pPr>
              <w:pStyle w:val="TableText0"/>
              <w:keepNext w:val="0"/>
            </w:pPr>
            <w:r w:rsidRPr="000A33D2">
              <w:t>Proportion with dMMR</w:t>
            </w:r>
          </w:p>
        </w:tc>
        <w:tc>
          <w:tcPr>
            <w:tcW w:w="3681" w:type="dxa"/>
            <w:vAlign w:val="center"/>
          </w:tcPr>
          <w:p w14:paraId="722E4890" w14:textId="77777777" w:rsidR="00813B56" w:rsidRPr="000A33D2" w:rsidRDefault="00813B56" w:rsidP="003411EA">
            <w:pPr>
              <w:pStyle w:val="TableText0"/>
              <w:keepNext w:val="0"/>
            </w:pPr>
            <w:r w:rsidRPr="000A33D2">
              <w:t>27%</w:t>
            </w:r>
          </w:p>
          <w:p w14:paraId="74A2A0B7" w14:textId="77777777" w:rsidR="00813B56" w:rsidRPr="000A33D2" w:rsidRDefault="00813B56" w:rsidP="003411EA">
            <w:pPr>
              <w:pStyle w:val="TableText0"/>
              <w:keepNext w:val="0"/>
            </w:pPr>
            <w:r w:rsidRPr="000A33D2">
              <w:t>Source: Gupta 2021</w:t>
            </w:r>
          </w:p>
        </w:tc>
        <w:tc>
          <w:tcPr>
            <w:tcW w:w="3944" w:type="dxa"/>
            <w:vAlign w:val="center"/>
          </w:tcPr>
          <w:p w14:paraId="1DFC759B" w14:textId="2569872D" w:rsidR="00813B56" w:rsidRPr="000A33D2" w:rsidRDefault="00813B56" w:rsidP="003411EA">
            <w:pPr>
              <w:pStyle w:val="TableText0"/>
              <w:keepNext w:val="0"/>
            </w:pPr>
            <w:r w:rsidRPr="000A33D2">
              <w:t xml:space="preserve">DUSC </w:t>
            </w:r>
            <w:r w:rsidR="00737657" w:rsidRPr="000A33D2">
              <w:t xml:space="preserve">previously </w:t>
            </w:r>
            <w:r w:rsidRPr="000A33D2">
              <w:t>considered this may be reasonable (</w:t>
            </w:r>
            <w:r w:rsidR="00CB6904" w:rsidRPr="000A33D2">
              <w:t>Table 14, dostarlimab PSD, March</w:t>
            </w:r>
            <w:r w:rsidR="006D6983">
              <w:t> </w:t>
            </w:r>
            <w:r w:rsidR="00CB6904" w:rsidRPr="000A33D2">
              <w:t>2022 PBAC meeting</w:t>
            </w:r>
            <w:r w:rsidRPr="000A33D2">
              <w:t xml:space="preserve">). </w:t>
            </w:r>
          </w:p>
        </w:tc>
      </w:tr>
      <w:tr w:rsidR="00813B56" w:rsidRPr="000A33D2" w14:paraId="10BDA914" w14:textId="77777777" w:rsidTr="000E4191">
        <w:tc>
          <w:tcPr>
            <w:tcW w:w="1555" w:type="dxa"/>
            <w:vAlign w:val="center"/>
          </w:tcPr>
          <w:p w14:paraId="09D8AED4" w14:textId="77777777" w:rsidR="00813B56" w:rsidRPr="000A33D2" w:rsidRDefault="00813B56" w:rsidP="003411EA">
            <w:pPr>
              <w:pStyle w:val="TableText0"/>
              <w:keepNext w:val="0"/>
            </w:pPr>
            <w:r w:rsidRPr="000A33D2">
              <w:t>Proportion of patients treated with 1L PBC who are eligible for 2L PEM+LEN</w:t>
            </w:r>
          </w:p>
        </w:tc>
        <w:tc>
          <w:tcPr>
            <w:tcW w:w="3681" w:type="dxa"/>
            <w:vAlign w:val="center"/>
          </w:tcPr>
          <w:p w14:paraId="58B79E9B" w14:textId="77777777" w:rsidR="00813B56" w:rsidRPr="000A33D2" w:rsidRDefault="00813B56" w:rsidP="003411EA">
            <w:pPr>
              <w:pStyle w:val="TableText0"/>
              <w:keepNext w:val="0"/>
            </w:pPr>
            <w:r w:rsidRPr="000A33D2">
              <w:t>49%</w:t>
            </w:r>
          </w:p>
          <w:p w14:paraId="174C84DD" w14:textId="77777777" w:rsidR="00813B56" w:rsidRPr="000A33D2" w:rsidRDefault="00813B56" w:rsidP="003411EA">
            <w:pPr>
              <w:pStyle w:val="TableText0"/>
              <w:keepNext w:val="0"/>
            </w:pPr>
            <w:r w:rsidRPr="000A33D2">
              <w:t>Source: Based on 51% response rate in Miller 2012 RCT, as used in the PEM submission (Table 15, pembrolizumab PSD, March 2022 meeting).</w:t>
            </w:r>
          </w:p>
        </w:tc>
        <w:tc>
          <w:tcPr>
            <w:tcW w:w="3944" w:type="dxa"/>
            <w:vAlign w:val="center"/>
          </w:tcPr>
          <w:p w14:paraId="6D91E2FB" w14:textId="3DB1323C" w:rsidR="00813B56" w:rsidRPr="000A33D2" w:rsidRDefault="00813B56" w:rsidP="003411EA">
            <w:pPr>
              <w:pStyle w:val="TableText0"/>
              <w:keepNext w:val="0"/>
            </w:pPr>
            <w:r w:rsidRPr="000A33D2">
              <w:t xml:space="preserve">DUSC </w:t>
            </w:r>
            <w:r w:rsidR="00FB26F6" w:rsidRPr="000A33D2">
              <w:t xml:space="preserve">previously </w:t>
            </w:r>
            <w:r w:rsidRPr="000A33D2">
              <w:t>considered this estimate may be reasonable</w:t>
            </w:r>
            <w:r w:rsidR="00EA5960" w:rsidRPr="000A33D2">
              <w:t xml:space="preserve"> and it was accepted by the PBAC</w:t>
            </w:r>
            <w:r w:rsidRPr="000A33D2">
              <w:t xml:space="preserve"> (</w:t>
            </w:r>
            <w:r w:rsidR="0074066F" w:rsidRPr="000A33D2">
              <w:t>Table 15</w:t>
            </w:r>
            <w:r w:rsidRPr="000A33D2">
              <w:t xml:space="preserve">, pembrolizumab </w:t>
            </w:r>
            <w:r w:rsidR="0074066F" w:rsidRPr="000A33D2">
              <w:t>PSD</w:t>
            </w:r>
            <w:r w:rsidRPr="000A33D2">
              <w:t xml:space="preserve">, March 2022 </w:t>
            </w:r>
            <w:r w:rsidR="0074066F" w:rsidRPr="000A33D2">
              <w:t xml:space="preserve">PBAC </w:t>
            </w:r>
            <w:r w:rsidRPr="000A33D2">
              <w:t>meeting).</w:t>
            </w:r>
          </w:p>
        </w:tc>
      </w:tr>
      <w:tr w:rsidR="00813B56" w:rsidRPr="000A33D2" w14:paraId="494E0369" w14:textId="77777777" w:rsidTr="000E4191">
        <w:tc>
          <w:tcPr>
            <w:tcW w:w="1555" w:type="dxa"/>
            <w:vAlign w:val="center"/>
          </w:tcPr>
          <w:p w14:paraId="570C1B56" w14:textId="3BDCBA34" w:rsidR="00813B56" w:rsidRPr="000A33D2" w:rsidRDefault="00813B56" w:rsidP="003411EA">
            <w:pPr>
              <w:pStyle w:val="TableText0"/>
              <w:keepNext w:val="0"/>
            </w:pPr>
            <w:r w:rsidRPr="000A33D2">
              <w:t>Proportion with ECOG 0-1 (</w:t>
            </w:r>
            <w:r w:rsidR="00B12B03" w:rsidRPr="000A33D2">
              <w:t xml:space="preserve">2L </w:t>
            </w:r>
            <w:r w:rsidRPr="000A33D2">
              <w:t>PEM+LEN)</w:t>
            </w:r>
          </w:p>
        </w:tc>
        <w:tc>
          <w:tcPr>
            <w:tcW w:w="3681" w:type="dxa"/>
            <w:vAlign w:val="center"/>
          </w:tcPr>
          <w:p w14:paraId="06819F7E" w14:textId="77777777" w:rsidR="00813B56" w:rsidRPr="000A33D2" w:rsidRDefault="00813B56" w:rsidP="003411EA">
            <w:pPr>
              <w:pStyle w:val="TableText0"/>
              <w:keepNext w:val="0"/>
            </w:pPr>
            <w:r w:rsidRPr="000A33D2">
              <w:t>Assumed to be 100% by the submission.</w:t>
            </w:r>
          </w:p>
        </w:tc>
        <w:tc>
          <w:tcPr>
            <w:tcW w:w="3944" w:type="dxa"/>
            <w:vAlign w:val="center"/>
          </w:tcPr>
          <w:p w14:paraId="3EE6B9AA" w14:textId="440907FB" w:rsidR="00813B56" w:rsidRPr="000A33D2" w:rsidRDefault="00813B56" w:rsidP="003411EA">
            <w:pPr>
              <w:pStyle w:val="TableText0"/>
              <w:keepNext w:val="0"/>
            </w:pPr>
            <w:r w:rsidRPr="000A33D2">
              <w:t xml:space="preserve">The submission did not adjust for </w:t>
            </w:r>
            <w:r w:rsidR="008F7D57" w:rsidRPr="000A33D2">
              <w:t>the proportion with an</w:t>
            </w:r>
            <w:r w:rsidRPr="000A33D2">
              <w:t xml:space="preserve"> ECOG performance score of 0-1 for </w:t>
            </w:r>
            <w:r w:rsidR="00B12B03" w:rsidRPr="000A33D2">
              <w:t xml:space="preserve">2L </w:t>
            </w:r>
            <w:r w:rsidRPr="000A33D2">
              <w:t xml:space="preserve">PEM+LEN. </w:t>
            </w:r>
            <w:r w:rsidR="00525854" w:rsidRPr="000A33D2">
              <w:t>P</w:t>
            </w:r>
            <w:r w:rsidRPr="000A33D2">
              <w:t xml:space="preserve">atients’ ECOG status may have changed </w:t>
            </w:r>
            <w:r w:rsidR="00525854" w:rsidRPr="000A33D2">
              <w:t xml:space="preserve">between 1L and </w:t>
            </w:r>
            <w:r w:rsidRPr="000A33D2">
              <w:t xml:space="preserve">2L </w:t>
            </w:r>
            <w:r w:rsidR="00525854" w:rsidRPr="000A33D2">
              <w:t xml:space="preserve">therapies are </w:t>
            </w:r>
            <w:r w:rsidRPr="000A33D2">
              <w:t>considered. This omission may lead to an overestimate of the offset costs of PEM+LEN. The proportion of patients with ECOG 0-1 for 2L PEM+LEN was estimated to be 80% in the submission for PEM. DUSC</w:t>
            </w:r>
            <w:r w:rsidR="002C6305" w:rsidRPr="000A33D2">
              <w:t xml:space="preserve"> and PBAC</w:t>
            </w:r>
            <w:r w:rsidRPr="000A33D2">
              <w:t xml:space="preserve"> </w:t>
            </w:r>
            <w:r w:rsidR="00FB26F6" w:rsidRPr="000A33D2">
              <w:t xml:space="preserve">previously </w:t>
            </w:r>
            <w:r w:rsidRPr="000A33D2">
              <w:t>considered this was reasonable in the 2L setting (</w:t>
            </w:r>
            <w:r w:rsidR="00FE17C8" w:rsidRPr="000A33D2">
              <w:t>Table 15, pembrolizumab PSD, March 2022 meeting</w:t>
            </w:r>
            <w:r w:rsidRPr="000A33D2">
              <w:t xml:space="preserve">). </w:t>
            </w:r>
          </w:p>
          <w:p w14:paraId="73A98486" w14:textId="48896365" w:rsidR="002C6305" w:rsidRPr="000A33D2" w:rsidRDefault="002C6305" w:rsidP="003411EA">
            <w:pPr>
              <w:pStyle w:val="TableText0"/>
              <w:keepNext w:val="0"/>
              <w:rPr>
                <w:highlight w:val="yellow"/>
              </w:rPr>
            </w:pPr>
            <w:r w:rsidRPr="000A33D2">
              <w:t xml:space="preserve">The overall proportion of 1L patients treated with 2L PEM would </w:t>
            </w:r>
            <w:r w:rsidR="00EA5960" w:rsidRPr="000A33D2">
              <w:t xml:space="preserve">therefore </w:t>
            </w:r>
            <w:r w:rsidRPr="000A33D2">
              <w:t>be 49%</w:t>
            </w:r>
            <w:r w:rsidR="000A33D2">
              <w:t xml:space="preserve"> </w:t>
            </w:r>
            <w:r w:rsidRPr="000A33D2">
              <w:t>x</w:t>
            </w:r>
            <w:r w:rsidR="000A33D2">
              <w:t xml:space="preserve"> </w:t>
            </w:r>
            <w:r w:rsidRPr="000A33D2">
              <w:t>80%</w:t>
            </w:r>
            <w:r w:rsidR="000A33D2">
              <w:t xml:space="preserve"> </w:t>
            </w:r>
            <w:r w:rsidRPr="000A33D2">
              <w:t>x</w:t>
            </w:r>
            <w:r w:rsidR="000A33D2">
              <w:t xml:space="preserve"> </w:t>
            </w:r>
            <w:r w:rsidRPr="000A33D2">
              <w:t xml:space="preserve">95% uptake = </w:t>
            </w:r>
            <w:r w:rsidR="00EA5960" w:rsidRPr="000A33D2">
              <w:t>37%.</w:t>
            </w:r>
            <w:r w:rsidR="005B7B38">
              <w:t xml:space="preserve"> The PBAC considered that the </w:t>
            </w:r>
            <w:r w:rsidR="005B7B38">
              <w:lastRenderedPageBreak/>
              <w:t>p</w:t>
            </w:r>
            <w:r w:rsidR="005B7B38" w:rsidRPr="000A33D2">
              <w:t>roportion of patients treated with 1L PBC who are eligible for 2L PEM+LEN</w:t>
            </w:r>
            <w:r w:rsidR="005B7B38">
              <w:t xml:space="preserve"> (49%) would already incorporate ECOG status and therefore submission’s assumption of 100% was reasonable.</w:t>
            </w:r>
          </w:p>
        </w:tc>
      </w:tr>
      <w:tr w:rsidR="00813B56" w:rsidRPr="000A33D2" w14:paraId="54844AD4" w14:textId="77777777" w:rsidTr="000E4191">
        <w:tc>
          <w:tcPr>
            <w:tcW w:w="1555" w:type="dxa"/>
            <w:vAlign w:val="center"/>
          </w:tcPr>
          <w:p w14:paraId="50E5C15D" w14:textId="77777777" w:rsidR="00813B56" w:rsidRPr="000A33D2" w:rsidRDefault="00813B56" w:rsidP="006D6983">
            <w:pPr>
              <w:pStyle w:val="TableText0"/>
              <w:keepLines/>
            </w:pPr>
            <w:r w:rsidRPr="000A33D2">
              <w:lastRenderedPageBreak/>
              <w:t>Prevalent patients (Stage I/II patients and Stage III curative patients who experience recurrence in 2023)</w:t>
            </w:r>
          </w:p>
        </w:tc>
        <w:tc>
          <w:tcPr>
            <w:tcW w:w="3681" w:type="dxa"/>
            <w:vAlign w:val="center"/>
          </w:tcPr>
          <w:p w14:paraId="1937EE0B" w14:textId="77777777" w:rsidR="00813B56" w:rsidRPr="000A33D2" w:rsidRDefault="00813B56" w:rsidP="006D6983">
            <w:pPr>
              <w:pStyle w:val="TableText0"/>
              <w:keepLines/>
            </w:pPr>
            <w:r w:rsidRPr="000A33D2">
              <w:t>Probability of survival from diagnosis: Yr 1: 85.1%</w:t>
            </w:r>
          </w:p>
          <w:p w14:paraId="11B3ECFF" w14:textId="52C25CA1" w:rsidR="00813B56" w:rsidRPr="000A33D2" w:rsidRDefault="00813B56" w:rsidP="006D6983">
            <w:pPr>
              <w:pStyle w:val="TableText0"/>
              <w:keepLines/>
            </w:pPr>
            <w:r w:rsidRPr="000A33D2">
              <w:t xml:space="preserve">Note: </w:t>
            </w:r>
            <w:r w:rsidR="00DE3BA7" w:rsidRPr="000A33D2">
              <w:t xml:space="preserve">Patients initially diagnosed with Stage I/II or Stage III curative patients </w:t>
            </w:r>
            <w:r w:rsidR="000D20BF" w:rsidRPr="000A33D2">
              <w:t>who</w:t>
            </w:r>
            <w:r w:rsidR="00B44A4C" w:rsidRPr="000A33D2">
              <w:t xml:space="preserve"> experience</w:t>
            </w:r>
            <w:r w:rsidR="000D20BF" w:rsidRPr="000A33D2">
              <w:t xml:space="preserve"> recur</w:t>
            </w:r>
            <w:r w:rsidR="00B44A4C" w:rsidRPr="000A33D2">
              <w:t>rence</w:t>
            </w:r>
            <w:r w:rsidR="000D20BF" w:rsidRPr="000A33D2">
              <w:t xml:space="preserve"> in 2023 was adjusted with the probability of survival</w:t>
            </w:r>
            <w:r w:rsidR="0031222F" w:rsidRPr="000A33D2">
              <w:t xml:space="preserve"> in order to estimate eligible prevalent patients in year one of </w:t>
            </w:r>
            <w:r w:rsidR="00CF45E6" w:rsidRPr="000A33D2">
              <w:t xml:space="preserve">listing </w:t>
            </w:r>
            <w:r w:rsidR="0031222F" w:rsidRPr="000A33D2">
              <w:t>with DOS+CP</w:t>
            </w:r>
            <w:r w:rsidR="000D20BF" w:rsidRPr="000A33D2">
              <w:t xml:space="preserve">. </w:t>
            </w:r>
            <w:r w:rsidRPr="000A33D2">
              <w:t xml:space="preserve">Half cycle correction was applied by the submission (p184) ‘to account for the fact that the first recurrence for a proportion of patients may occur at any point between 2023-2024’. </w:t>
            </w:r>
          </w:p>
          <w:p w14:paraId="5CD4C0CC" w14:textId="6A680A25" w:rsidR="00813B56" w:rsidRPr="000A33D2" w:rsidRDefault="00813B56" w:rsidP="006D6983">
            <w:pPr>
              <w:pStyle w:val="TableText0"/>
              <w:keepLines/>
            </w:pPr>
            <w:r w:rsidRPr="000A33D2">
              <w:t>Source: AIHW 5-year relative cancer survival data 2014-2018 (C54.1)</w:t>
            </w:r>
          </w:p>
        </w:tc>
        <w:tc>
          <w:tcPr>
            <w:tcW w:w="3944" w:type="dxa"/>
            <w:vAlign w:val="center"/>
          </w:tcPr>
          <w:p w14:paraId="68F540DA" w14:textId="551F44CA" w:rsidR="00813B56" w:rsidRPr="000A33D2" w:rsidRDefault="00813B56" w:rsidP="006D6983">
            <w:pPr>
              <w:pStyle w:val="TableText0"/>
              <w:keepLines/>
            </w:pPr>
            <w:r w:rsidRPr="000A33D2">
              <w:t xml:space="preserve">This was similar to the estimate (83.5%) applied in the PEM submission </w:t>
            </w:r>
            <w:r w:rsidR="00374388" w:rsidRPr="000A33D2">
              <w:t>and</w:t>
            </w:r>
            <w:r w:rsidR="00F264A8" w:rsidRPr="000A33D2">
              <w:t xml:space="preserve"> </w:t>
            </w:r>
            <w:r w:rsidRPr="000A33D2">
              <w:t>in line with DUSC consideration that as the prevalent pool were not all diagnosed in the last year, it was not reasonable to apply the one-year survival rate to all prevalent patients (</w:t>
            </w:r>
            <w:r w:rsidR="00DE04A9" w:rsidRPr="000A33D2">
              <w:t>Table 15, pembrolizumab PSD, March 2022 PBAC meeting</w:t>
            </w:r>
            <w:r w:rsidRPr="000A33D2">
              <w:t>).</w:t>
            </w:r>
          </w:p>
          <w:p w14:paraId="23C5D6DF" w14:textId="77777777" w:rsidR="00813B56" w:rsidRPr="000A33D2" w:rsidRDefault="00813B56" w:rsidP="006D6983">
            <w:pPr>
              <w:pStyle w:val="TableText0"/>
              <w:keepLines/>
            </w:pPr>
          </w:p>
          <w:p w14:paraId="2A9C981D" w14:textId="7587410D" w:rsidR="00813B56" w:rsidRPr="000A33D2" w:rsidRDefault="008C4E61" w:rsidP="006D6983">
            <w:pPr>
              <w:pStyle w:val="TableText0"/>
              <w:keepLines/>
            </w:pPr>
            <w:r w:rsidRPr="000A33D2">
              <w:t>Application of hal</w:t>
            </w:r>
            <w:r w:rsidR="000D7A59" w:rsidRPr="000A33D2">
              <w:t>f</w:t>
            </w:r>
            <w:r w:rsidRPr="000A33D2">
              <w:t>-cycle correction</w:t>
            </w:r>
            <w:r w:rsidR="00AE1436" w:rsidRPr="000A33D2">
              <w:t xml:space="preserve"> was corrected in the estimates provided with the PSCR.</w:t>
            </w:r>
          </w:p>
        </w:tc>
      </w:tr>
      <w:tr w:rsidR="00813B56" w:rsidRPr="000A33D2" w14:paraId="5DEF6AAB" w14:textId="77777777" w:rsidTr="000E4191">
        <w:tc>
          <w:tcPr>
            <w:tcW w:w="9180" w:type="dxa"/>
            <w:gridSpan w:val="3"/>
            <w:vAlign w:val="center"/>
          </w:tcPr>
          <w:p w14:paraId="7724E844" w14:textId="77777777" w:rsidR="00813B56" w:rsidRPr="000A33D2" w:rsidRDefault="00813B56" w:rsidP="003411EA">
            <w:pPr>
              <w:pStyle w:val="TableText0"/>
              <w:keepNext w:val="0"/>
              <w:rPr>
                <w:b/>
              </w:rPr>
            </w:pPr>
            <w:r w:rsidRPr="000A33D2">
              <w:rPr>
                <w:b/>
              </w:rPr>
              <w:t>Treatment utilisation</w:t>
            </w:r>
          </w:p>
        </w:tc>
      </w:tr>
      <w:tr w:rsidR="00813B56" w:rsidRPr="000A33D2" w14:paraId="114472EF" w14:textId="77777777" w:rsidTr="000E4191">
        <w:tc>
          <w:tcPr>
            <w:tcW w:w="1555" w:type="dxa"/>
            <w:vAlign w:val="center"/>
          </w:tcPr>
          <w:p w14:paraId="44DC069A" w14:textId="77777777" w:rsidR="00813B56" w:rsidRPr="000A33D2" w:rsidRDefault="00813B56" w:rsidP="003411EA">
            <w:pPr>
              <w:pStyle w:val="TableText0"/>
              <w:keepNext w:val="0"/>
            </w:pPr>
            <w:r w:rsidRPr="000A33D2">
              <w:t>Grandfathered patients (1L A/R dMMR EC)</w:t>
            </w:r>
          </w:p>
        </w:tc>
        <w:tc>
          <w:tcPr>
            <w:tcW w:w="3681" w:type="dxa"/>
            <w:vAlign w:val="center"/>
          </w:tcPr>
          <w:p w14:paraId="47F60BAD" w14:textId="4B9A4664" w:rsidR="00813B56" w:rsidRPr="000A33D2" w:rsidRDefault="007C10F8" w:rsidP="003411EA">
            <w:pPr>
              <w:pStyle w:val="TableText0"/>
              <w:keepNext w:val="0"/>
            </w:pPr>
            <w:r w:rsidRPr="007C10F8">
              <w:rPr>
                <w:color w:val="000000"/>
                <w:spacing w:val="53"/>
                <w:shd w:val="solid" w:color="000000" w:fill="000000"/>
                <w:fitText w:val="330" w:id="-1032575728"/>
                <w14:textFill>
                  <w14:solidFill>
                    <w14:srgbClr w14:val="000000">
                      <w14:alpha w14:val="100000"/>
                    </w14:srgbClr>
                  </w14:solidFill>
                </w14:textFill>
              </w:rPr>
              <w:t>|||</w:t>
            </w:r>
            <w:r w:rsidRPr="007C10F8">
              <w:rPr>
                <w:color w:val="000000"/>
                <w:spacing w:val="1"/>
                <w:shd w:val="solid" w:color="000000" w:fill="000000"/>
                <w:fitText w:val="330" w:id="-1032575728"/>
                <w14:textFill>
                  <w14:solidFill>
                    <w14:srgbClr w14:val="000000">
                      <w14:alpha w14:val="100000"/>
                    </w14:srgbClr>
                  </w14:solidFill>
                </w14:textFill>
              </w:rPr>
              <w:t>|</w:t>
            </w:r>
            <w:r w:rsidR="00D74B19">
              <w:rPr>
                <w:vertAlign w:val="superscript"/>
              </w:rPr>
              <w:t>1</w:t>
            </w:r>
            <w:r w:rsidR="00813B56" w:rsidRPr="000A33D2">
              <w:t xml:space="preserve"> in Yr 1</w:t>
            </w:r>
          </w:p>
          <w:p w14:paraId="452ABB7F" w14:textId="77777777" w:rsidR="00813B56" w:rsidRPr="000A33D2" w:rsidRDefault="00813B56" w:rsidP="003411EA">
            <w:pPr>
              <w:pStyle w:val="TableText0"/>
              <w:keepNext w:val="0"/>
            </w:pPr>
            <w:r w:rsidRPr="000A33D2">
              <w:t>Source: Sponsor estimate</w:t>
            </w:r>
          </w:p>
        </w:tc>
        <w:tc>
          <w:tcPr>
            <w:tcW w:w="3944" w:type="dxa"/>
            <w:vAlign w:val="center"/>
          </w:tcPr>
          <w:p w14:paraId="1367D433" w14:textId="7C71F5A2" w:rsidR="00813B56" w:rsidRPr="000A33D2" w:rsidRDefault="00813B56" w:rsidP="003411EA">
            <w:pPr>
              <w:pStyle w:val="TableText0"/>
              <w:keepNext w:val="0"/>
            </w:pPr>
            <w:r w:rsidRPr="000A33D2">
              <w:t>A patient access program was anticipated to commence in 2023 for the treatment of patients with 1L A/R dMMR EC by the submission.</w:t>
            </w:r>
            <w:r w:rsidR="000D66BE">
              <w:t xml:space="preserve"> </w:t>
            </w:r>
            <w:r w:rsidR="005B7B38" w:rsidRPr="000A33D2">
              <w:t>Grandfathered patients were assumed to only use maintenance doses</w:t>
            </w:r>
            <w:r w:rsidR="00EC6262">
              <w:t xml:space="preserve"> (treatment duration was </w:t>
            </w:r>
            <w:r w:rsidR="00EC6262" w:rsidRPr="00E15D52">
              <w:t>reduced by 16 weeks</w:t>
            </w:r>
            <w:r w:rsidR="001C0010">
              <w:t>*</w:t>
            </w:r>
            <w:r w:rsidR="00EC6262">
              <w:t>).</w:t>
            </w:r>
          </w:p>
        </w:tc>
      </w:tr>
      <w:tr w:rsidR="00813B56" w:rsidRPr="000A33D2" w14:paraId="3F2CBAF5" w14:textId="77777777" w:rsidTr="000E4191">
        <w:tc>
          <w:tcPr>
            <w:tcW w:w="1555" w:type="dxa"/>
            <w:vAlign w:val="center"/>
          </w:tcPr>
          <w:p w14:paraId="09F9FC77" w14:textId="77777777" w:rsidR="00813B56" w:rsidRPr="000A33D2" w:rsidRDefault="00813B56" w:rsidP="003411EA">
            <w:pPr>
              <w:pStyle w:val="TableText0"/>
              <w:keepNext w:val="0"/>
            </w:pPr>
            <w:r w:rsidRPr="000A33D2">
              <w:t>Uptake rate of 1L DOS (plus platinum containing chemotherapy)</w:t>
            </w:r>
          </w:p>
        </w:tc>
        <w:tc>
          <w:tcPr>
            <w:tcW w:w="3681" w:type="dxa"/>
            <w:vAlign w:val="center"/>
          </w:tcPr>
          <w:p w14:paraId="56571933" w14:textId="24C550D9" w:rsidR="00813B56" w:rsidRPr="000A33D2" w:rsidRDefault="007C10F8" w:rsidP="003411EA">
            <w:pPr>
              <w:pStyle w:val="TableText0"/>
              <w:keepNext w:val="0"/>
            </w:pPr>
            <w:r w:rsidRPr="007C10F8">
              <w:rPr>
                <w:color w:val="000000"/>
                <w:spacing w:val="53"/>
                <w:shd w:val="solid" w:color="000000" w:fill="000000"/>
                <w:fitText w:val="330" w:id="-1032575744"/>
                <w14:textFill>
                  <w14:solidFill>
                    <w14:srgbClr w14:val="000000">
                      <w14:alpha w14:val="100000"/>
                    </w14:srgbClr>
                  </w14:solidFill>
                </w14:textFill>
              </w:rPr>
              <w:t>|||</w:t>
            </w:r>
            <w:r w:rsidRPr="007C10F8">
              <w:rPr>
                <w:color w:val="000000"/>
                <w:spacing w:val="1"/>
                <w:shd w:val="solid" w:color="000000" w:fill="000000"/>
                <w:fitText w:val="330" w:id="-1032575744"/>
                <w14:textFill>
                  <w14:solidFill>
                    <w14:srgbClr w14:val="000000">
                      <w14:alpha w14:val="100000"/>
                    </w14:srgbClr>
                  </w14:solidFill>
                </w14:textFill>
              </w:rPr>
              <w:t>|</w:t>
            </w:r>
            <w:r w:rsidR="00813B56" w:rsidRPr="000A33D2">
              <w:t>%</w:t>
            </w:r>
          </w:p>
          <w:p w14:paraId="666EADAA" w14:textId="571CF320" w:rsidR="00813B56" w:rsidRPr="000A33D2" w:rsidRDefault="00813B56" w:rsidP="003411EA">
            <w:pPr>
              <w:pStyle w:val="TableText0"/>
              <w:keepNext w:val="0"/>
            </w:pPr>
            <w:r w:rsidRPr="000A33D2">
              <w:t xml:space="preserve">Source: Assumption, </w:t>
            </w:r>
            <w:r w:rsidR="007C10F8" w:rsidRPr="007C10F8">
              <w:rPr>
                <w:color w:val="000000"/>
                <w:spacing w:val="53"/>
                <w:shd w:val="solid" w:color="000000" w:fill="000000"/>
                <w:fitText w:val="330" w:id="-1032575743"/>
                <w14:textFill>
                  <w14:solidFill>
                    <w14:srgbClr w14:val="000000">
                      <w14:alpha w14:val="100000"/>
                    </w14:srgbClr>
                  </w14:solidFill>
                </w14:textFill>
              </w:rPr>
              <w:t>|||</w:t>
            </w:r>
            <w:r w:rsidR="007C10F8" w:rsidRPr="007C10F8">
              <w:rPr>
                <w:color w:val="000000"/>
                <w:spacing w:val="1"/>
                <w:shd w:val="solid" w:color="000000" w:fill="000000"/>
                <w:fitText w:val="330" w:id="-1032575743"/>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42"/>
                <w14:textFill>
                  <w14:solidFill>
                    <w14:srgbClr w14:val="000000">
                      <w14:alpha w14:val="100000"/>
                    </w14:srgbClr>
                  </w14:solidFill>
                </w14:textFill>
              </w:rPr>
              <w:t>|||</w:t>
            </w:r>
            <w:r w:rsidR="007C10F8" w:rsidRPr="007C10F8">
              <w:rPr>
                <w:color w:val="000000"/>
                <w:spacing w:val="1"/>
                <w:shd w:val="solid" w:color="000000" w:fill="000000"/>
                <w:fitText w:val="330" w:id="-1032575742"/>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41"/>
                <w14:textFill>
                  <w14:solidFill>
                    <w14:srgbClr w14:val="000000">
                      <w14:alpha w14:val="100000"/>
                    </w14:srgbClr>
                  </w14:solidFill>
                </w14:textFill>
              </w:rPr>
              <w:t>|||</w:t>
            </w:r>
            <w:r w:rsidR="007C10F8" w:rsidRPr="007C10F8">
              <w:rPr>
                <w:color w:val="000000"/>
                <w:spacing w:val="1"/>
                <w:shd w:val="solid" w:color="000000" w:fill="000000"/>
                <w:fitText w:val="330" w:id="-1032575741"/>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40"/>
                <w14:textFill>
                  <w14:solidFill>
                    <w14:srgbClr w14:val="000000">
                      <w14:alpha w14:val="100000"/>
                    </w14:srgbClr>
                  </w14:solidFill>
                </w14:textFill>
              </w:rPr>
              <w:t>|||</w:t>
            </w:r>
            <w:r w:rsidR="007C10F8" w:rsidRPr="007C10F8">
              <w:rPr>
                <w:color w:val="000000"/>
                <w:spacing w:val="1"/>
                <w:shd w:val="solid" w:color="000000" w:fill="000000"/>
                <w:fitText w:val="330" w:id="-1032575740"/>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9"/>
                <w14:textFill>
                  <w14:solidFill>
                    <w14:srgbClr w14:val="000000">
                      <w14:alpha w14:val="100000"/>
                    </w14:srgbClr>
                  </w14:solidFill>
                </w14:textFill>
              </w:rPr>
              <w:t>|||</w:t>
            </w:r>
            <w:r w:rsidR="007C10F8" w:rsidRPr="007C10F8">
              <w:rPr>
                <w:color w:val="000000"/>
                <w:spacing w:val="1"/>
                <w:shd w:val="solid" w:color="000000" w:fill="000000"/>
                <w:fitText w:val="330" w:id="-1032575739"/>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8"/>
                <w14:textFill>
                  <w14:solidFill>
                    <w14:srgbClr w14:val="000000">
                      <w14:alpha w14:val="100000"/>
                    </w14:srgbClr>
                  </w14:solidFill>
                </w14:textFill>
              </w:rPr>
              <w:t>|||</w:t>
            </w:r>
            <w:r w:rsidR="007C10F8" w:rsidRPr="007C10F8">
              <w:rPr>
                <w:color w:val="000000"/>
                <w:spacing w:val="1"/>
                <w:shd w:val="solid" w:color="000000" w:fill="000000"/>
                <w:fitText w:val="330" w:id="-1032575738"/>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7"/>
                <w14:textFill>
                  <w14:solidFill>
                    <w14:srgbClr w14:val="000000">
                      <w14:alpha w14:val="100000"/>
                    </w14:srgbClr>
                  </w14:solidFill>
                </w14:textFill>
              </w:rPr>
              <w:t>|||</w:t>
            </w:r>
            <w:r w:rsidR="007C10F8" w:rsidRPr="007C10F8">
              <w:rPr>
                <w:color w:val="000000"/>
                <w:spacing w:val="1"/>
                <w:shd w:val="solid" w:color="000000" w:fill="000000"/>
                <w:fitText w:val="330" w:id="-1032575737"/>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6"/>
                <w14:textFill>
                  <w14:solidFill>
                    <w14:srgbClr w14:val="000000">
                      <w14:alpha w14:val="100000"/>
                    </w14:srgbClr>
                  </w14:solidFill>
                </w14:textFill>
              </w:rPr>
              <w:t>|||</w:t>
            </w:r>
            <w:r w:rsidR="007C10F8" w:rsidRPr="007C10F8">
              <w:rPr>
                <w:color w:val="000000"/>
                <w:spacing w:val="1"/>
                <w:shd w:val="solid" w:color="000000" w:fill="000000"/>
                <w:fitText w:val="330" w:id="-1032575736"/>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5"/>
                <w14:textFill>
                  <w14:solidFill>
                    <w14:srgbClr w14:val="000000">
                      <w14:alpha w14:val="100000"/>
                    </w14:srgbClr>
                  </w14:solidFill>
                </w14:textFill>
              </w:rPr>
              <w:t>|||</w:t>
            </w:r>
            <w:r w:rsidR="007C10F8" w:rsidRPr="007C10F8">
              <w:rPr>
                <w:color w:val="000000"/>
                <w:spacing w:val="1"/>
                <w:shd w:val="solid" w:color="000000" w:fill="000000"/>
                <w:fitText w:val="330" w:id="-1032575735"/>
                <w14:textFill>
                  <w14:solidFill>
                    <w14:srgbClr w14:val="000000">
                      <w14:alpha w14:val="100000"/>
                    </w14:srgbClr>
                  </w14:solidFill>
                </w14:textFill>
              </w:rPr>
              <w:t>|</w:t>
            </w:r>
            <w:r w:rsidR="007C10F8" w:rsidRPr="007C10F8">
              <w:t xml:space="preserve"> </w:t>
            </w:r>
            <w:r w:rsidR="007C10F8" w:rsidRPr="007C10F8">
              <w:rPr>
                <w:color w:val="000000"/>
                <w:spacing w:val="48"/>
                <w:shd w:val="solid" w:color="000000" w:fill="000000"/>
                <w:fitText w:val="315" w:id="-1032575734"/>
                <w14:textFill>
                  <w14:solidFill>
                    <w14:srgbClr w14:val="000000">
                      <w14:alpha w14:val="100000"/>
                    </w14:srgbClr>
                  </w14:solidFill>
                </w14:textFill>
              </w:rPr>
              <w:t>|||</w:t>
            </w:r>
            <w:r w:rsidR="007C10F8" w:rsidRPr="007C10F8">
              <w:rPr>
                <w:color w:val="000000"/>
                <w:spacing w:val="1"/>
                <w:shd w:val="solid" w:color="000000" w:fill="000000"/>
                <w:fitText w:val="315" w:id="-1032575734"/>
                <w14:textFill>
                  <w14:solidFill>
                    <w14:srgbClr w14:val="000000">
                      <w14:alpha w14:val="100000"/>
                    </w14:srgbClr>
                  </w14:solidFill>
                </w14:textFill>
              </w:rPr>
              <w:t>|</w:t>
            </w:r>
            <w:r w:rsidR="007C10F8" w:rsidRPr="007C10F8">
              <w:t xml:space="preserve"> </w:t>
            </w:r>
            <w:r w:rsidR="007C10F8" w:rsidRPr="007C10F8">
              <w:rPr>
                <w:color w:val="000000"/>
                <w:spacing w:val="48"/>
                <w:shd w:val="solid" w:color="000000" w:fill="000000"/>
                <w:fitText w:val="315" w:id="-1032575733"/>
                <w14:textFill>
                  <w14:solidFill>
                    <w14:srgbClr w14:val="000000">
                      <w14:alpha w14:val="100000"/>
                    </w14:srgbClr>
                  </w14:solidFill>
                </w14:textFill>
              </w:rPr>
              <w:t>|||</w:t>
            </w:r>
            <w:r w:rsidR="007C10F8" w:rsidRPr="007C10F8">
              <w:rPr>
                <w:color w:val="000000"/>
                <w:spacing w:val="1"/>
                <w:shd w:val="solid" w:color="000000" w:fill="000000"/>
                <w:fitText w:val="315" w:id="-1032575733"/>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2"/>
                <w14:textFill>
                  <w14:solidFill>
                    <w14:srgbClr w14:val="000000">
                      <w14:alpha w14:val="100000"/>
                    </w14:srgbClr>
                  </w14:solidFill>
                </w14:textFill>
              </w:rPr>
              <w:t>|||</w:t>
            </w:r>
            <w:r w:rsidR="007C10F8" w:rsidRPr="007C10F8">
              <w:rPr>
                <w:color w:val="000000"/>
                <w:spacing w:val="1"/>
                <w:shd w:val="solid" w:color="000000" w:fill="000000"/>
                <w:fitText w:val="330" w:id="-1032575732"/>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1"/>
                <w14:textFill>
                  <w14:solidFill>
                    <w14:srgbClr w14:val="000000">
                      <w14:alpha w14:val="100000"/>
                    </w14:srgbClr>
                  </w14:solidFill>
                </w14:textFill>
              </w:rPr>
              <w:t>|||</w:t>
            </w:r>
            <w:r w:rsidR="007C10F8" w:rsidRPr="007C10F8">
              <w:rPr>
                <w:color w:val="000000"/>
                <w:spacing w:val="1"/>
                <w:shd w:val="solid" w:color="000000" w:fill="000000"/>
                <w:fitText w:val="330" w:id="-1032575731"/>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30"/>
                <w14:textFill>
                  <w14:solidFill>
                    <w14:srgbClr w14:val="000000">
                      <w14:alpha w14:val="100000"/>
                    </w14:srgbClr>
                  </w14:solidFill>
                </w14:textFill>
              </w:rPr>
              <w:t>|||</w:t>
            </w:r>
            <w:r w:rsidR="007C10F8" w:rsidRPr="007C10F8">
              <w:rPr>
                <w:color w:val="000000"/>
                <w:spacing w:val="1"/>
                <w:shd w:val="solid" w:color="000000" w:fill="000000"/>
                <w:fitText w:val="330" w:id="-1032575730"/>
                <w14:textFill>
                  <w14:solidFill>
                    <w14:srgbClr w14:val="000000">
                      <w14:alpha w14:val="100000"/>
                    </w14:srgbClr>
                  </w14:solidFill>
                </w14:textFill>
              </w:rPr>
              <w:t>|</w:t>
            </w:r>
            <w:r w:rsidR="007C10F8" w:rsidRPr="007C10F8">
              <w:t xml:space="preserve"> </w:t>
            </w:r>
            <w:r w:rsidR="007C10F8" w:rsidRPr="007C10F8">
              <w:rPr>
                <w:color w:val="000000"/>
                <w:spacing w:val="53"/>
                <w:shd w:val="solid" w:color="000000" w:fill="000000"/>
                <w:fitText w:val="330" w:id="-1032575729"/>
                <w14:textFill>
                  <w14:solidFill>
                    <w14:srgbClr w14:val="000000">
                      <w14:alpha w14:val="100000"/>
                    </w14:srgbClr>
                  </w14:solidFill>
                </w14:textFill>
              </w:rPr>
              <w:t>|||</w:t>
            </w:r>
            <w:r w:rsidR="007C10F8" w:rsidRPr="007C10F8">
              <w:rPr>
                <w:color w:val="000000"/>
                <w:spacing w:val="1"/>
                <w:shd w:val="solid" w:color="000000" w:fill="000000"/>
                <w:fitText w:val="330" w:id="-1032575729"/>
                <w14:textFill>
                  <w14:solidFill>
                    <w14:srgbClr w14:val="000000">
                      <w14:alpha w14:val="100000"/>
                    </w14:srgbClr>
                  </w14:solidFill>
                </w14:textFill>
              </w:rPr>
              <w:t>|</w:t>
            </w:r>
          </w:p>
        </w:tc>
        <w:tc>
          <w:tcPr>
            <w:tcW w:w="3944" w:type="dxa"/>
            <w:vAlign w:val="center"/>
          </w:tcPr>
          <w:p w14:paraId="1D93839C" w14:textId="4225E069" w:rsidR="00813B56" w:rsidRPr="000A33D2" w:rsidRDefault="002C6305" w:rsidP="00B64C0C">
            <w:pPr>
              <w:pStyle w:val="TableText0"/>
              <w:keepNext w:val="0"/>
            </w:pPr>
            <w:r w:rsidRPr="000A33D2">
              <w:t>PBAC</w:t>
            </w:r>
            <w:r w:rsidR="00813B56" w:rsidRPr="000A33D2">
              <w:t xml:space="preserve"> previously </w:t>
            </w:r>
            <w:r w:rsidRPr="000A33D2">
              <w:t xml:space="preserve">accepted </w:t>
            </w:r>
            <w:r w:rsidR="004866A3" w:rsidRPr="000A33D2">
              <w:t xml:space="preserve">an uptake rate of 95% for 2L immunotherapy in A/R EC </w:t>
            </w:r>
            <w:r w:rsidR="001C1744" w:rsidRPr="000A33D2">
              <w:t>(</w:t>
            </w:r>
            <w:r w:rsidR="004D2B6F" w:rsidRPr="000A33D2">
              <w:t>Table 15, pembrolizumab PSD, March 2022 meeting)</w:t>
            </w:r>
            <w:r w:rsidR="008C4E61" w:rsidRPr="000A33D2">
              <w:t>.</w:t>
            </w:r>
          </w:p>
        </w:tc>
      </w:tr>
      <w:tr w:rsidR="00813B56" w:rsidRPr="000A33D2" w14:paraId="6C9C1473" w14:textId="77777777" w:rsidTr="000E4191">
        <w:tc>
          <w:tcPr>
            <w:tcW w:w="1555" w:type="dxa"/>
            <w:vAlign w:val="center"/>
          </w:tcPr>
          <w:p w14:paraId="3A2B29F6" w14:textId="77777777" w:rsidR="00813B56" w:rsidRPr="000A33D2" w:rsidRDefault="00813B56" w:rsidP="003411EA">
            <w:pPr>
              <w:pStyle w:val="TableText0"/>
              <w:keepNext w:val="0"/>
            </w:pPr>
            <w:r w:rsidRPr="000A33D2">
              <w:t>Uptake rate of subsequent 2L PEM+LEN</w:t>
            </w:r>
          </w:p>
        </w:tc>
        <w:tc>
          <w:tcPr>
            <w:tcW w:w="3681" w:type="dxa"/>
            <w:vAlign w:val="center"/>
          </w:tcPr>
          <w:p w14:paraId="24F5A37A" w14:textId="77777777" w:rsidR="00813B56" w:rsidRPr="000A33D2" w:rsidRDefault="00813B56" w:rsidP="003411EA">
            <w:pPr>
              <w:pStyle w:val="TableText0"/>
              <w:keepNext w:val="0"/>
            </w:pPr>
            <w:r w:rsidRPr="000A33D2">
              <w:t>95%</w:t>
            </w:r>
          </w:p>
          <w:p w14:paraId="7E8D4261" w14:textId="0C7B0638" w:rsidR="00813B56" w:rsidRPr="000A33D2" w:rsidRDefault="00813B56" w:rsidP="003411EA">
            <w:pPr>
              <w:pStyle w:val="TableText0"/>
              <w:keepNext w:val="0"/>
            </w:pPr>
            <w:r w:rsidRPr="000A33D2">
              <w:t>Source: Consistent with uptake used in the PEM submission (Table 15, pembrolizumab PSD, March 2022 meeting).</w:t>
            </w:r>
          </w:p>
        </w:tc>
        <w:tc>
          <w:tcPr>
            <w:tcW w:w="3944" w:type="dxa"/>
            <w:vAlign w:val="center"/>
          </w:tcPr>
          <w:p w14:paraId="0C3872E3" w14:textId="120BEBE0" w:rsidR="00813B56" w:rsidRPr="000A33D2" w:rsidRDefault="00813B56" w:rsidP="003411EA">
            <w:pPr>
              <w:pStyle w:val="TableText0"/>
              <w:keepNext w:val="0"/>
            </w:pPr>
            <w:r w:rsidRPr="000A33D2">
              <w:t>DUSC previously considered this estimate was reasonable for the uptake rate of 2L PEM+LEN</w:t>
            </w:r>
            <w:r w:rsidR="008C4E61" w:rsidRPr="000A33D2">
              <w:t>.</w:t>
            </w:r>
            <w:r w:rsidRPr="000A33D2">
              <w:t xml:space="preserve"> </w:t>
            </w:r>
            <w:r w:rsidR="005B7B38">
              <w:t>The PBAC considered that the p</w:t>
            </w:r>
            <w:r w:rsidR="005B7B38" w:rsidRPr="000A33D2">
              <w:t>roportion of patients treated with 1L PBC who are eligible for 2L PEM+LEN</w:t>
            </w:r>
            <w:r w:rsidR="005B7B38">
              <w:t xml:space="preserve"> (49%) would already incorporate uptake and therefore 100% uptake was reasonable.</w:t>
            </w:r>
          </w:p>
        </w:tc>
      </w:tr>
      <w:tr w:rsidR="00813B56" w:rsidRPr="000A33D2" w14:paraId="3A0AB27A" w14:textId="77777777" w:rsidTr="000E4191">
        <w:tc>
          <w:tcPr>
            <w:tcW w:w="9180" w:type="dxa"/>
            <w:gridSpan w:val="3"/>
            <w:vAlign w:val="center"/>
          </w:tcPr>
          <w:p w14:paraId="6A3CD029" w14:textId="77777777" w:rsidR="00813B56" w:rsidRPr="000A33D2" w:rsidRDefault="00813B56" w:rsidP="003411EA">
            <w:pPr>
              <w:pStyle w:val="TableText0"/>
              <w:keepNext w:val="0"/>
              <w:rPr>
                <w:b/>
              </w:rPr>
            </w:pPr>
            <w:r w:rsidRPr="000A33D2">
              <w:rPr>
                <w:b/>
              </w:rPr>
              <w:t>Costs</w:t>
            </w:r>
          </w:p>
        </w:tc>
      </w:tr>
      <w:tr w:rsidR="00813B56" w:rsidRPr="000A33D2" w14:paraId="03A8D63B" w14:textId="77777777" w:rsidTr="000E4191">
        <w:tc>
          <w:tcPr>
            <w:tcW w:w="1555" w:type="dxa"/>
            <w:vAlign w:val="center"/>
          </w:tcPr>
          <w:p w14:paraId="31892984" w14:textId="77777777" w:rsidR="00813B56" w:rsidRPr="000A33D2" w:rsidRDefault="00813B56" w:rsidP="003411EA">
            <w:pPr>
              <w:pStyle w:val="TableText0"/>
              <w:keepNext w:val="0"/>
            </w:pPr>
            <w:r w:rsidRPr="000A33D2">
              <w:t>Infusion costs</w:t>
            </w:r>
          </w:p>
        </w:tc>
        <w:tc>
          <w:tcPr>
            <w:tcW w:w="3681" w:type="dxa"/>
            <w:vAlign w:val="center"/>
          </w:tcPr>
          <w:p w14:paraId="760A812B" w14:textId="77777777" w:rsidR="00813B56" w:rsidRPr="000A33D2" w:rsidRDefault="00813B56" w:rsidP="003411EA">
            <w:pPr>
              <w:pStyle w:val="TableText0"/>
              <w:keepNext w:val="0"/>
            </w:pPr>
            <w:r w:rsidRPr="000A33D2">
              <w:t xml:space="preserve">$118.30 </w:t>
            </w:r>
          </w:p>
          <w:p w14:paraId="0C0A551F" w14:textId="77777777" w:rsidR="00813B56" w:rsidRPr="000A33D2" w:rsidRDefault="00813B56" w:rsidP="003411EA">
            <w:pPr>
              <w:pStyle w:val="TableText0"/>
              <w:keepNext w:val="0"/>
            </w:pPr>
            <w:r w:rsidRPr="000A33D2">
              <w:t>Source: MBS 13950</w:t>
            </w:r>
          </w:p>
        </w:tc>
        <w:tc>
          <w:tcPr>
            <w:tcW w:w="3944" w:type="dxa"/>
            <w:vAlign w:val="center"/>
          </w:tcPr>
          <w:p w14:paraId="03703B8A" w14:textId="16B25A8F" w:rsidR="00813B56" w:rsidRPr="000A33D2" w:rsidRDefault="005E31E5" w:rsidP="003411EA">
            <w:pPr>
              <w:pStyle w:val="TableText0"/>
              <w:keepNext w:val="0"/>
            </w:pPr>
            <w:r w:rsidRPr="000A33D2">
              <w:t>T</w:t>
            </w:r>
            <w:r w:rsidR="00813B56" w:rsidRPr="000A33D2">
              <w:t>he cost of infusion provided in the model ($114.20) had changed since the submission and this was updated during the evaluation.</w:t>
            </w:r>
          </w:p>
        </w:tc>
      </w:tr>
    </w:tbl>
    <w:p w14:paraId="06F5F480" w14:textId="5BCB5620" w:rsidR="00951DE4" w:rsidRPr="000A33D2" w:rsidRDefault="00951DE4" w:rsidP="00951DE4">
      <w:pPr>
        <w:pStyle w:val="FooterTableFigure"/>
        <w:spacing w:after="0"/>
      </w:pPr>
      <w:r w:rsidRPr="000A33D2">
        <w:t>Source: Table 115</w:t>
      </w:r>
      <w:r w:rsidR="00F80EA6" w:rsidRPr="000A33D2">
        <w:t>&amp;</w:t>
      </w:r>
      <w:r w:rsidRPr="000A33D2">
        <w:t>116 pp176-178</w:t>
      </w:r>
      <w:r w:rsidR="00F80EA6" w:rsidRPr="000A33D2">
        <w:t>&amp;1</w:t>
      </w:r>
      <w:r w:rsidRPr="000A33D2">
        <w:t>81 of the submission.</w:t>
      </w:r>
    </w:p>
    <w:p w14:paraId="24B186A7" w14:textId="7805862F" w:rsidR="00951DE4" w:rsidRDefault="00951DE4" w:rsidP="006D6983">
      <w:pPr>
        <w:rPr>
          <w:rFonts w:ascii="Arial Narrow" w:hAnsi="Arial Narrow"/>
          <w:snapToGrid w:val="0"/>
          <w:sz w:val="18"/>
          <w:szCs w:val="22"/>
        </w:rPr>
      </w:pPr>
      <w:r w:rsidRPr="000A33D2">
        <w:rPr>
          <w:rFonts w:ascii="Arial Narrow" w:hAnsi="Arial Narrow"/>
          <w:snapToGrid w:val="0"/>
          <w:sz w:val="18"/>
          <w:szCs w:val="22"/>
        </w:rPr>
        <w:t>1L = first-line; 2L = second-line; AEMP = approved ex-manufacturer price; AIHW = Australian Institute of Health and Welfare; A/R = advanced or recurrent; CP = carboplatin-paclitaxel; dMMR = mismatch repair deficient; DOS = dostarlimab; DUSC = drug utilisation sub-committee; EC = endometrial cancer; ECOG = Eastern Cooperative Oncology Group; ICD-10 = International Classification of Diseases version 10; MBS = Medicare Benefits Schedule; PBC = platinum-based chemotherapy; PBS = Pharmaceutical Benefits Scheme; PEM+LEN = pembrolizumab + lenvatinib; RPBS = Repatriation Pharmaceutical Benefits Scheme; Yr = year.</w:t>
      </w:r>
    </w:p>
    <w:p w14:paraId="1BD1C9F1" w14:textId="31E5EDA9" w:rsidR="001C0010" w:rsidRDefault="001C0010" w:rsidP="001C0010">
      <w:pPr>
        <w:rPr>
          <w:snapToGrid w:val="0"/>
        </w:rPr>
      </w:pPr>
      <w:r w:rsidRPr="001C0010">
        <w:rPr>
          <w:rFonts w:ascii="Arial Narrow" w:hAnsi="Arial Narrow"/>
          <w:snapToGrid w:val="0"/>
          <w:sz w:val="18"/>
          <w:szCs w:val="22"/>
        </w:rPr>
        <w:t>*</w:t>
      </w:r>
      <w:r>
        <w:rPr>
          <w:snapToGrid w:val="0"/>
        </w:rPr>
        <w:t xml:space="preserve"> </w:t>
      </w:r>
      <w:r w:rsidRPr="001C0010">
        <w:rPr>
          <w:rFonts w:ascii="Arial Narrow" w:hAnsi="Arial Narrow"/>
          <w:i/>
          <w:sz w:val="18"/>
          <w:szCs w:val="18"/>
        </w:rPr>
        <w:t>Note that the modelled duration of treatment were provided for the purposes of informing the PBAC consideration. Interpretation of the results and their application should therefore be limited to seeking to understand the basis for the PBAC outcome and should not be used for any other purpose.</w:t>
      </w:r>
    </w:p>
    <w:p w14:paraId="2339ACEA" w14:textId="77777777" w:rsidR="00D74B19" w:rsidRPr="009A6D58" w:rsidRDefault="00D74B19" w:rsidP="00D74B1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6F9B8FB" w14:textId="1602C611" w:rsidR="00D74B19" w:rsidRPr="000A33D2" w:rsidRDefault="00D74B19" w:rsidP="006D6983">
      <w:pPr>
        <w:spacing w:after="120"/>
        <w:rPr>
          <w:rFonts w:ascii="Arial Narrow" w:hAnsi="Arial Narrow"/>
          <w:snapToGrid w:val="0"/>
          <w:sz w:val="18"/>
          <w:szCs w:val="22"/>
        </w:rPr>
      </w:pPr>
      <w:r w:rsidRPr="009A6D58">
        <w:rPr>
          <w:rFonts w:ascii="Arial Narrow" w:hAnsi="Arial Narrow"/>
          <w:i/>
          <w:sz w:val="18"/>
          <w:szCs w:val="18"/>
          <w:vertAlign w:val="superscript"/>
        </w:rPr>
        <w:t>1</w:t>
      </w:r>
      <w:r>
        <w:rPr>
          <w:rFonts w:ascii="Arial Narrow" w:hAnsi="Arial Narrow"/>
          <w:i/>
          <w:sz w:val="18"/>
          <w:szCs w:val="18"/>
        </w:rPr>
        <w:t xml:space="preserve"> </w:t>
      </w:r>
      <w:r w:rsidRPr="00D74B19">
        <w:rPr>
          <w:rFonts w:ascii="Arial Narrow" w:hAnsi="Arial Narrow"/>
          <w:i/>
          <w:sz w:val="18"/>
          <w:szCs w:val="18"/>
        </w:rPr>
        <w:t>&lt; 500</w:t>
      </w:r>
    </w:p>
    <w:p w14:paraId="5CC5AEC0" w14:textId="64C82A62" w:rsidR="00AE1436" w:rsidRPr="000A33D2" w:rsidRDefault="002D39C2" w:rsidP="00AB3DCE">
      <w:pPr>
        <w:pStyle w:val="3-BodyText"/>
      </w:pPr>
      <w:r w:rsidRPr="000A33D2">
        <w:t xml:space="preserve">The estimated financial impact of PBS listing DOS is summarised in </w:t>
      </w:r>
      <w:r w:rsidR="00E16AD8" w:rsidRPr="000A33D2">
        <w:fldChar w:fldCharType="begin" w:fldLock="1"/>
      </w:r>
      <w:r w:rsidR="00E16AD8" w:rsidRPr="000A33D2">
        <w:instrText xml:space="preserve"> REF _Ref104805295 \h  \* MERGEFORMAT </w:instrText>
      </w:r>
      <w:r w:rsidR="00E16AD8" w:rsidRPr="000A33D2">
        <w:fldChar w:fldCharType="separate"/>
      </w:r>
      <w:r w:rsidR="00B62E71" w:rsidRPr="000A33D2">
        <w:t xml:space="preserve">Table </w:t>
      </w:r>
      <w:r w:rsidR="00B62E71">
        <w:t>21</w:t>
      </w:r>
      <w:r w:rsidR="00E16AD8" w:rsidRPr="000A33D2">
        <w:fldChar w:fldCharType="end"/>
      </w:r>
      <w:r w:rsidRPr="000A33D2">
        <w:t xml:space="preserve"> for </w:t>
      </w:r>
      <w:proofErr w:type="spellStart"/>
      <w:r w:rsidRPr="000A33D2">
        <w:t>dMMR</w:t>
      </w:r>
      <w:proofErr w:type="spellEnd"/>
      <w:r w:rsidRPr="000A33D2">
        <w:t xml:space="preserve"> patients</w:t>
      </w:r>
      <w:r w:rsidR="00AB3DCE" w:rsidRPr="000A33D2">
        <w:t xml:space="preserve">, based on revised </w:t>
      </w:r>
      <w:r w:rsidR="00AB3DCE" w:rsidRPr="000A33D2">
        <w:lastRenderedPageBreak/>
        <w:t xml:space="preserve">estimates provided in the PSCR. </w:t>
      </w:r>
      <w:r w:rsidR="00AB3DCE" w:rsidRPr="000A33D2">
        <w:fldChar w:fldCharType="begin" w:fldLock="1"/>
      </w:r>
      <w:r w:rsidR="00AB3DCE" w:rsidRPr="000A33D2">
        <w:instrText xml:space="preserve"> REF _Ref104805295 \h </w:instrText>
      </w:r>
      <w:r w:rsidR="00AB3DCE" w:rsidRPr="000A33D2">
        <w:fldChar w:fldCharType="separate"/>
      </w:r>
      <w:r w:rsidR="00B62E71" w:rsidRPr="000A33D2">
        <w:t xml:space="preserve">Table </w:t>
      </w:r>
      <w:r w:rsidR="00B62E71">
        <w:rPr>
          <w:noProof/>
        </w:rPr>
        <w:t>21</w:t>
      </w:r>
      <w:r w:rsidR="00AB3DCE" w:rsidRPr="000A33D2">
        <w:fldChar w:fldCharType="end"/>
      </w:r>
      <w:r w:rsidR="00AB3DCE" w:rsidRPr="000A33D2">
        <w:t xml:space="preserve"> also includes the Pre-PBAC revised estimates which apply a lower price for </w:t>
      </w:r>
      <w:proofErr w:type="spellStart"/>
      <w:r w:rsidR="00AB3DCE" w:rsidRPr="000A33D2">
        <w:t>dostarlimab</w:t>
      </w:r>
      <w:proofErr w:type="spellEnd"/>
      <w:r w:rsidR="00AB3DCE" w:rsidRPr="000A33D2">
        <w:t xml:space="preserve">. </w:t>
      </w:r>
      <w:r w:rsidR="00C11C49" w:rsidRPr="000A33D2">
        <w:t xml:space="preserve">The financial estimates below assume a </w:t>
      </w:r>
      <w:r w:rsidR="00C11C49" w:rsidRPr="00E15D52">
        <w:t>cost of $60,000 per</w:t>
      </w:r>
      <w:r w:rsidR="00C11C49" w:rsidRPr="000A33D2">
        <w:t xml:space="preserve"> course per patient for 2L PEM+LEN. </w:t>
      </w:r>
      <w:r w:rsidR="0087662C" w:rsidRPr="000A33D2">
        <w:rPr>
          <w:szCs w:val="18"/>
        </w:rPr>
        <w:t xml:space="preserve">Current script use of CP was expected to be the same as the script use of CP (in combination with DOS) in the proposed listing scenario, therefore there was no financial impact due to changes in CP utilisation. </w:t>
      </w:r>
    </w:p>
    <w:p w14:paraId="26FB6670" w14:textId="03753B4B" w:rsidR="00B505C8" w:rsidRPr="000A33D2" w:rsidRDefault="00AE1436" w:rsidP="006D6983">
      <w:pPr>
        <w:pStyle w:val="3-BodyText"/>
      </w:pPr>
      <w:r w:rsidRPr="000A33D2">
        <w:t>The PSCR presented revised base case financial estimates that addressed the issues raised above, specifically</w:t>
      </w:r>
      <w:r w:rsidRPr="000A33D2">
        <w:rPr>
          <w:lang w:bidi="en-US"/>
        </w:rPr>
        <w:t>: the removal of adjustment for ECOG 0-1 for DOS+CP, removal of half-cycle correction in the derivation of the prevalent population, adjusting for ECOG 0-1 for 2L PEM+LEN (80%), and a revised mean duration of DOS treatment. The ESC noted these revisions resulted in a substantial increase in the patient numbers and financial impact for dostarlimab.</w:t>
      </w:r>
    </w:p>
    <w:p w14:paraId="38EC053C" w14:textId="6D61E17D" w:rsidR="00C25D9C" w:rsidRPr="000A33D2" w:rsidRDefault="00E16AD8" w:rsidP="009B63B1">
      <w:pPr>
        <w:pStyle w:val="Caption"/>
        <w:rPr>
          <w:rStyle w:val="CommentReference"/>
          <w:b/>
          <w:szCs w:val="24"/>
        </w:rPr>
      </w:pPr>
      <w:bookmarkStart w:id="92" w:name="_Ref104805295"/>
      <w:r w:rsidRPr="000A33D2">
        <w:t xml:space="preserve">Table </w:t>
      </w:r>
      <w:r>
        <w:fldChar w:fldCharType="begin" w:fldLock="1"/>
      </w:r>
      <w:r>
        <w:instrText>SEQ Table \* ARABIC</w:instrText>
      </w:r>
      <w:r>
        <w:fldChar w:fldCharType="separate"/>
      </w:r>
      <w:r w:rsidR="00B62E71">
        <w:rPr>
          <w:noProof/>
        </w:rPr>
        <w:t>21</w:t>
      </w:r>
      <w:r>
        <w:fldChar w:fldCharType="end"/>
      </w:r>
      <w:bookmarkEnd w:id="92"/>
      <w:r w:rsidRPr="000A33D2">
        <w:t>:</w:t>
      </w:r>
      <w:r w:rsidR="002A2F50" w:rsidRPr="000A33D2">
        <w:rPr>
          <w:rStyle w:val="CommentReference"/>
          <w:b/>
          <w:szCs w:val="24"/>
        </w:rPr>
        <w:t xml:space="preserve"> Estimated use and financial implications</w:t>
      </w:r>
      <w:r w:rsidR="00387F33" w:rsidRPr="000A33D2">
        <w:rPr>
          <w:rStyle w:val="CommentReference"/>
          <w:b/>
          <w:szCs w:val="24"/>
        </w:rPr>
        <w:t xml:space="preserve"> (dMMR)</w:t>
      </w:r>
      <w:r w:rsidR="0000768D" w:rsidRPr="000A33D2">
        <w:rPr>
          <w:rStyle w:val="CommentReference"/>
          <w:b/>
          <w:szCs w:val="24"/>
        </w:rPr>
        <w:t xml:space="preserve"> revised PSCR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1157"/>
        <w:gridCol w:w="261"/>
        <w:gridCol w:w="283"/>
        <w:gridCol w:w="472"/>
        <w:gridCol w:w="1016"/>
        <w:gridCol w:w="1016"/>
        <w:gridCol w:w="1016"/>
        <w:gridCol w:w="1016"/>
      </w:tblGrid>
      <w:tr w:rsidR="002D39C2" w:rsidRPr="000A33D2" w14:paraId="486D72DD" w14:textId="77777777" w:rsidTr="003411EA">
        <w:trPr>
          <w:tblHeader/>
        </w:trPr>
        <w:tc>
          <w:tcPr>
            <w:tcW w:w="2830" w:type="dxa"/>
            <w:shd w:val="clear" w:color="auto" w:fill="auto"/>
            <w:vAlign w:val="center"/>
          </w:tcPr>
          <w:p w14:paraId="45EF53F6" w14:textId="77777777" w:rsidR="002D39C2" w:rsidRPr="000A33D2" w:rsidRDefault="002D39C2" w:rsidP="009B63B1">
            <w:pPr>
              <w:pStyle w:val="In-tableHeading"/>
              <w:keepLines/>
              <w:rPr>
                <w:lang w:val="en-AU"/>
              </w:rPr>
            </w:pPr>
          </w:p>
        </w:tc>
        <w:tc>
          <w:tcPr>
            <w:tcW w:w="1157" w:type="dxa"/>
            <w:shd w:val="clear" w:color="auto" w:fill="auto"/>
            <w:vAlign w:val="center"/>
          </w:tcPr>
          <w:p w14:paraId="0974D24C" w14:textId="77777777" w:rsidR="002D39C2" w:rsidRPr="000A33D2" w:rsidRDefault="002D39C2" w:rsidP="009B63B1">
            <w:pPr>
              <w:pStyle w:val="In-tableHeading"/>
              <w:keepLines/>
              <w:jc w:val="center"/>
              <w:rPr>
                <w:lang w:val="en-AU"/>
              </w:rPr>
            </w:pPr>
            <w:r w:rsidRPr="000A33D2">
              <w:rPr>
                <w:lang w:val="en-AU"/>
              </w:rPr>
              <w:t>Year 1</w:t>
            </w:r>
          </w:p>
        </w:tc>
        <w:tc>
          <w:tcPr>
            <w:tcW w:w="1016" w:type="dxa"/>
            <w:gridSpan w:val="3"/>
            <w:shd w:val="clear" w:color="auto" w:fill="auto"/>
            <w:vAlign w:val="center"/>
          </w:tcPr>
          <w:p w14:paraId="61B45D7D" w14:textId="77777777" w:rsidR="002D39C2" w:rsidRPr="000A33D2" w:rsidRDefault="002D39C2" w:rsidP="009B63B1">
            <w:pPr>
              <w:pStyle w:val="In-tableHeading"/>
              <w:keepLines/>
              <w:jc w:val="center"/>
              <w:rPr>
                <w:lang w:val="en-AU"/>
              </w:rPr>
            </w:pPr>
            <w:r w:rsidRPr="000A33D2">
              <w:rPr>
                <w:lang w:val="en-AU"/>
              </w:rPr>
              <w:t>Year 2</w:t>
            </w:r>
          </w:p>
        </w:tc>
        <w:tc>
          <w:tcPr>
            <w:tcW w:w="1016" w:type="dxa"/>
            <w:shd w:val="clear" w:color="auto" w:fill="auto"/>
            <w:vAlign w:val="center"/>
          </w:tcPr>
          <w:p w14:paraId="5F7360DF" w14:textId="77777777" w:rsidR="002D39C2" w:rsidRPr="000A33D2" w:rsidRDefault="002D39C2" w:rsidP="009B63B1">
            <w:pPr>
              <w:pStyle w:val="In-tableHeading"/>
              <w:keepLines/>
              <w:jc w:val="center"/>
              <w:rPr>
                <w:lang w:val="en-AU"/>
              </w:rPr>
            </w:pPr>
            <w:r w:rsidRPr="000A33D2">
              <w:rPr>
                <w:lang w:val="en-AU"/>
              </w:rPr>
              <w:t>Year 3</w:t>
            </w:r>
          </w:p>
        </w:tc>
        <w:tc>
          <w:tcPr>
            <w:tcW w:w="1016" w:type="dxa"/>
            <w:shd w:val="clear" w:color="auto" w:fill="auto"/>
            <w:vAlign w:val="center"/>
          </w:tcPr>
          <w:p w14:paraId="68582A65" w14:textId="77777777" w:rsidR="002D39C2" w:rsidRPr="000A33D2" w:rsidRDefault="002D39C2" w:rsidP="009B63B1">
            <w:pPr>
              <w:pStyle w:val="In-tableHeading"/>
              <w:keepLines/>
              <w:jc w:val="center"/>
              <w:rPr>
                <w:lang w:val="en-AU"/>
              </w:rPr>
            </w:pPr>
            <w:r w:rsidRPr="000A33D2">
              <w:rPr>
                <w:lang w:val="en-AU"/>
              </w:rPr>
              <w:t>Year 4</w:t>
            </w:r>
          </w:p>
        </w:tc>
        <w:tc>
          <w:tcPr>
            <w:tcW w:w="1016" w:type="dxa"/>
            <w:shd w:val="clear" w:color="auto" w:fill="auto"/>
            <w:vAlign w:val="center"/>
          </w:tcPr>
          <w:p w14:paraId="195F474D" w14:textId="77777777" w:rsidR="002D39C2" w:rsidRPr="000A33D2" w:rsidRDefault="002D39C2" w:rsidP="009B63B1">
            <w:pPr>
              <w:pStyle w:val="In-tableHeading"/>
              <w:keepLines/>
              <w:jc w:val="center"/>
              <w:rPr>
                <w:lang w:val="en-AU"/>
              </w:rPr>
            </w:pPr>
            <w:r w:rsidRPr="000A33D2">
              <w:rPr>
                <w:lang w:val="en-AU"/>
              </w:rPr>
              <w:t>Year 5</w:t>
            </w:r>
          </w:p>
        </w:tc>
        <w:tc>
          <w:tcPr>
            <w:tcW w:w="1016" w:type="dxa"/>
            <w:shd w:val="clear" w:color="auto" w:fill="auto"/>
            <w:vAlign w:val="center"/>
          </w:tcPr>
          <w:p w14:paraId="773F09F2" w14:textId="77777777" w:rsidR="002D39C2" w:rsidRPr="000A33D2" w:rsidRDefault="002D39C2" w:rsidP="009B63B1">
            <w:pPr>
              <w:pStyle w:val="In-tableHeading"/>
              <w:keepLines/>
              <w:jc w:val="center"/>
              <w:rPr>
                <w:lang w:val="en-AU"/>
              </w:rPr>
            </w:pPr>
            <w:r w:rsidRPr="000A33D2">
              <w:rPr>
                <w:lang w:val="en-AU"/>
              </w:rPr>
              <w:t>Year 6</w:t>
            </w:r>
          </w:p>
        </w:tc>
      </w:tr>
      <w:tr w:rsidR="002D39C2" w:rsidRPr="000A33D2" w14:paraId="05C741A6" w14:textId="77777777" w:rsidTr="003411EA">
        <w:tc>
          <w:tcPr>
            <w:tcW w:w="9067" w:type="dxa"/>
            <w:gridSpan w:val="9"/>
            <w:shd w:val="clear" w:color="auto" w:fill="auto"/>
            <w:vAlign w:val="center"/>
          </w:tcPr>
          <w:p w14:paraId="29DC5C22" w14:textId="07910CBF" w:rsidR="002D39C2" w:rsidRPr="000A33D2" w:rsidRDefault="002D39C2" w:rsidP="009B63B1">
            <w:pPr>
              <w:pStyle w:val="TableText0"/>
              <w:keepLines/>
              <w:rPr>
                <w:b/>
                <w:bCs w:val="0"/>
              </w:rPr>
            </w:pPr>
            <w:r w:rsidRPr="000A33D2">
              <w:rPr>
                <w:b/>
                <w:bCs w:val="0"/>
              </w:rPr>
              <w:t>Estimation of use and financial impact of the proposed medicine (PBS and RPBS)</w:t>
            </w:r>
          </w:p>
        </w:tc>
      </w:tr>
      <w:tr w:rsidR="00B47197" w:rsidRPr="000A33D2" w14:paraId="57E36C84" w14:textId="77777777" w:rsidTr="006D6983">
        <w:tc>
          <w:tcPr>
            <w:tcW w:w="2830" w:type="dxa"/>
            <w:shd w:val="clear" w:color="auto" w:fill="auto"/>
            <w:vAlign w:val="center"/>
          </w:tcPr>
          <w:p w14:paraId="5C5DC7E7" w14:textId="4A4EC8C1" w:rsidR="00B47197" w:rsidRPr="000A33D2" w:rsidRDefault="00B47197" w:rsidP="006D6983">
            <w:pPr>
              <w:pStyle w:val="TableText0"/>
            </w:pPr>
            <w:r w:rsidRPr="000A33D2">
              <w:t>Pts treated with DOS+CP (</w:t>
            </w:r>
            <w:r w:rsidR="007C10F8" w:rsidRPr="007C10F8">
              <w:rPr>
                <w:color w:val="000000"/>
                <w:spacing w:val="53"/>
                <w:shd w:val="solid" w:color="000000" w:fill="000000"/>
                <w:fitText w:val="330" w:id="-1032575728"/>
                <w14:textFill>
                  <w14:solidFill>
                    <w14:srgbClr w14:val="000000">
                      <w14:alpha w14:val="100000"/>
                    </w14:srgbClr>
                  </w14:solidFill>
                </w14:textFill>
              </w:rPr>
              <w:t>|||</w:t>
            </w:r>
            <w:r w:rsidR="007C10F8" w:rsidRPr="007C10F8">
              <w:rPr>
                <w:color w:val="000000"/>
                <w:spacing w:val="1"/>
                <w:shd w:val="solid" w:color="000000" w:fill="000000"/>
                <w:fitText w:val="330" w:id="-1032575728"/>
                <w14:textFill>
                  <w14:solidFill>
                    <w14:srgbClr w14:val="000000">
                      <w14:alpha w14:val="100000"/>
                    </w14:srgbClr>
                  </w14:solidFill>
                </w14:textFill>
              </w:rPr>
              <w:t>|</w:t>
            </w:r>
            <w:r w:rsidRPr="000A33D2">
              <w:t xml:space="preserve">%) </w:t>
            </w:r>
            <w:r w:rsidR="00031CE3" w:rsidRPr="000A33D2">
              <w:rPr>
                <w:vertAlign w:val="superscript"/>
              </w:rPr>
              <w:t>a</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14CAE17B" w14:textId="6D859707" w:rsidR="00B47197" w:rsidRPr="00020D40" w:rsidRDefault="007C10F8" w:rsidP="006D6983">
            <w:pPr>
              <w:pStyle w:val="TableText0"/>
              <w:jc w:val="center"/>
              <w:rPr>
                <w:rFonts w:eastAsia="Calibri" w:cs="Times New Roman"/>
                <w:szCs w:val="20"/>
                <w:vertAlign w:val="superscript"/>
              </w:rPr>
            </w:pPr>
            <w:r w:rsidRPr="007C10F8">
              <w:rPr>
                <w:rFonts w:eastAsia="Calibri" w:cs="Times New Roman" w:hint="eastAsia"/>
                <w:color w:val="000000"/>
                <w:w w:val="15"/>
                <w:szCs w:val="20"/>
                <w:shd w:val="solid" w:color="000000" w:fill="000000"/>
                <w:fitText w:val="30" w:id="-1032575744"/>
                <w14:textFill>
                  <w14:solidFill>
                    <w14:srgbClr w14:val="000000">
                      <w14:alpha w14:val="100000"/>
                    </w14:srgbClr>
                  </w14:solidFill>
                </w14:textFill>
              </w:rPr>
              <w:t xml:space="preserve">　</w:t>
            </w:r>
            <w:r w:rsidRPr="007C10F8">
              <w:rPr>
                <w:rFonts w:eastAsia="Calibri" w:cs="Times New Roman"/>
                <w:color w:val="000000"/>
                <w:w w:val="15"/>
                <w:szCs w:val="20"/>
                <w:shd w:val="solid" w:color="000000" w:fill="000000"/>
                <w:fitText w:val="30" w:id="-1032575744"/>
                <w14:textFill>
                  <w14:solidFill>
                    <w14:srgbClr w14:val="000000">
                      <w14:alpha w14:val="100000"/>
                    </w14:srgbClr>
                  </w14:solidFill>
                </w14:textFill>
              </w:rPr>
              <w:t>|</w:t>
            </w:r>
            <w:r w:rsidRPr="007C10F8">
              <w:rPr>
                <w:rFonts w:eastAsia="Calibri" w:cs="Times New Roman" w:hint="eastAsia"/>
                <w:color w:val="000000"/>
                <w:spacing w:val="-35"/>
                <w:w w:val="15"/>
                <w:szCs w:val="20"/>
                <w:shd w:val="solid" w:color="000000" w:fill="000000"/>
                <w:fitText w:val="30" w:id="-1032575744"/>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gridSpan w:val="3"/>
            <w:tcBorders>
              <w:top w:val="single" w:sz="4" w:space="0" w:color="auto"/>
              <w:left w:val="nil"/>
              <w:bottom w:val="single" w:sz="4" w:space="0" w:color="auto"/>
              <w:right w:val="single" w:sz="4" w:space="0" w:color="auto"/>
            </w:tcBorders>
            <w:shd w:val="clear" w:color="auto" w:fill="auto"/>
            <w:vAlign w:val="center"/>
          </w:tcPr>
          <w:p w14:paraId="4638E920" w14:textId="400EF254" w:rsidR="00B47197" w:rsidRPr="000A33D2" w:rsidRDefault="007C10F8" w:rsidP="006D6983">
            <w:pPr>
              <w:pStyle w:val="TableText0"/>
              <w:jc w:val="center"/>
              <w:rPr>
                <w:rFonts w:eastAsia="Calibri" w:cs="Times New Roman"/>
                <w:szCs w:val="20"/>
              </w:rPr>
            </w:pPr>
            <w:r w:rsidRPr="007C10F8">
              <w:rPr>
                <w:rFonts w:eastAsia="Calibri" w:cs="Times New Roman" w:hint="eastAsia"/>
                <w:color w:val="000000"/>
                <w:w w:val="23"/>
                <w:szCs w:val="20"/>
                <w:shd w:val="solid" w:color="000000" w:fill="000000"/>
                <w:fitText w:val="105" w:id="-1032575743"/>
                <w14:textFill>
                  <w14:solidFill>
                    <w14:srgbClr w14:val="000000">
                      <w14:alpha w14:val="100000"/>
                    </w14:srgbClr>
                  </w14:solidFill>
                </w14:textFill>
              </w:rPr>
              <w:t xml:space="preserve">　</w:t>
            </w:r>
            <w:r w:rsidRPr="007C10F8">
              <w:rPr>
                <w:rFonts w:eastAsia="Calibri" w:cs="Times New Roman"/>
                <w:color w:val="000000"/>
                <w:w w:val="23"/>
                <w:szCs w:val="20"/>
                <w:shd w:val="solid" w:color="000000" w:fill="000000"/>
                <w:fitText w:val="105" w:id="-1032575743"/>
                <w14:textFill>
                  <w14:solidFill>
                    <w14:srgbClr w14:val="000000">
                      <w14:alpha w14:val="100000"/>
                    </w14:srgbClr>
                  </w14:solidFill>
                </w14:textFill>
              </w:rPr>
              <w:t>|</w:t>
            </w:r>
            <w:r w:rsidRPr="007C10F8">
              <w:rPr>
                <w:rFonts w:eastAsia="Calibri" w:cs="Times New Roman" w:hint="eastAsia"/>
                <w:color w:val="000000"/>
                <w:spacing w:val="4"/>
                <w:w w:val="23"/>
                <w:szCs w:val="20"/>
                <w:shd w:val="solid" w:color="000000" w:fill="000000"/>
                <w:fitText w:val="105" w:id="-1032575743"/>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tcBorders>
              <w:top w:val="single" w:sz="4" w:space="0" w:color="auto"/>
              <w:left w:val="nil"/>
              <w:bottom w:val="single" w:sz="4" w:space="0" w:color="auto"/>
              <w:right w:val="single" w:sz="4" w:space="0" w:color="auto"/>
            </w:tcBorders>
            <w:shd w:val="clear" w:color="auto" w:fill="auto"/>
            <w:vAlign w:val="center"/>
          </w:tcPr>
          <w:p w14:paraId="1054485F" w14:textId="64C76957" w:rsidR="00B47197" w:rsidRPr="000A33D2" w:rsidRDefault="007C10F8" w:rsidP="006D6983">
            <w:pPr>
              <w:pStyle w:val="TableText0"/>
              <w:jc w:val="center"/>
              <w:rPr>
                <w:rFonts w:eastAsia="Calibri" w:cs="Times New Roman"/>
                <w:szCs w:val="20"/>
              </w:rPr>
            </w:pPr>
            <w:r w:rsidRPr="007C10F8">
              <w:rPr>
                <w:rFonts w:eastAsia="Calibri" w:cs="Times New Roman" w:hint="eastAsia"/>
                <w:color w:val="000000"/>
                <w:w w:val="23"/>
                <w:szCs w:val="20"/>
                <w:shd w:val="solid" w:color="000000" w:fill="000000"/>
                <w:fitText w:val="105" w:id="-1032575742"/>
                <w14:textFill>
                  <w14:solidFill>
                    <w14:srgbClr w14:val="000000">
                      <w14:alpha w14:val="100000"/>
                    </w14:srgbClr>
                  </w14:solidFill>
                </w14:textFill>
              </w:rPr>
              <w:t xml:space="preserve">　</w:t>
            </w:r>
            <w:r w:rsidRPr="007C10F8">
              <w:rPr>
                <w:rFonts w:eastAsia="Calibri" w:cs="Times New Roman"/>
                <w:color w:val="000000"/>
                <w:w w:val="23"/>
                <w:szCs w:val="20"/>
                <w:shd w:val="solid" w:color="000000" w:fill="000000"/>
                <w:fitText w:val="105" w:id="-1032575742"/>
                <w14:textFill>
                  <w14:solidFill>
                    <w14:srgbClr w14:val="000000">
                      <w14:alpha w14:val="100000"/>
                    </w14:srgbClr>
                  </w14:solidFill>
                </w14:textFill>
              </w:rPr>
              <w:t>|</w:t>
            </w:r>
            <w:r w:rsidRPr="007C10F8">
              <w:rPr>
                <w:rFonts w:eastAsia="Calibri" w:cs="Times New Roman" w:hint="eastAsia"/>
                <w:color w:val="000000"/>
                <w:spacing w:val="4"/>
                <w:w w:val="23"/>
                <w:szCs w:val="20"/>
                <w:shd w:val="solid" w:color="000000" w:fill="000000"/>
                <w:fitText w:val="105" w:id="-1032575742"/>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tcBorders>
              <w:top w:val="single" w:sz="4" w:space="0" w:color="auto"/>
              <w:left w:val="nil"/>
              <w:bottom w:val="single" w:sz="4" w:space="0" w:color="auto"/>
              <w:right w:val="single" w:sz="4" w:space="0" w:color="auto"/>
            </w:tcBorders>
            <w:shd w:val="clear" w:color="auto" w:fill="auto"/>
            <w:vAlign w:val="center"/>
          </w:tcPr>
          <w:p w14:paraId="0C690C87" w14:textId="4E24BCE5" w:rsidR="00B47197" w:rsidRPr="000A33D2" w:rsidRDefault="007C10F8" w:rsidP="006D6983">
            <w:pPr>
              <w:pStyle w:val="TableText0"/>
              <w:jc w:val="center"/>
              <w:rPr>
                <w:rFonts w:eastAsia="Calibri" w:cs="Times New Roman"/>
                <w:szCs w:val="20"/>
              </w:rPr>
            </w:pPr>
            <w:r w:rsidRPr="007C10F8">
              <w:rPr>
                <w:rFonts w:eastAsia="Calibri" w:cs="Times New Roman" w:hint="eastAsia"/>
                <w:color w:val="000000"/>
                <w:w w:val="23"/>
                <w:szCs w:val="20"/>
                <w:shd w:val="solid" w:color="000000" w:fill="000000"/>
                <w:fitText w:val="105" w:id="-1032575741"/>
                <w14:textFill>
                  <w14:solidFill>
                    <w14:srgbClr w14:val="000000">
                      <w14:alpha w14:val="100000"/>
                    </w14:srgbClr>
                  </w14:solidFill>
                </w14:textFill>
              </w:rPr>
              <w:t xml:space="preserve">　</w:t>
            </w:r>
            <w:r w:rsidRPr="007C10F8">
              <w:rPr>
                <w:rFonts w:eastAsia="Calibri" w:cs="Times New Roman"/>
                <w:color w:val="000000"/>
                <w:w w:val="23"/>
                <w:szCs w:val="20"/>
                <w:shd w:val="solid" w:color="000000" w:fill="000000"/>
                <w:fitText w:val="105" w:id="-1032575741"/>
                <w14:textFill>
                  <w14:solidFill>
                    <w14:srgbClr w14:val="000000">
                      <w14:alpha w14:val="100000"/>
                    </w14:srgbClr>
                  </w14:solidFill>
                </w14:textFill>
              </w:rPr>
              <w:t>|</w:t>
            </w:r>
            <w:r w:rsidRPr="007C10F8">
              <w:rPr>
                <w:rFonts w:eastAsia="Calibri" w:cs="Times New Roman" w:hint="eastAsia"/>
                <w:color w:val="000000"/>
                <w:spacing w:val="4"/>
                <w:w w:val="23"/>
                <w:szCs w:val="20"/>
                <w:shd w:val="solid" w:color="000000" w:fill="000000"/>
                <w:fitText w:val="105" w:id="-1032575741"/>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tcBorders>
              <w:top w:val="single" w:sz="4" w:space="0" w:color="auto"/>
              <w:left w:val="nil"/>
              <w:bottom w:val="single" w:sz="4" w:space="0" w:color="auto"/>
              <w:right w:val="single" w:sz="4" w:space="0" w:color="auto"/>
            </w:tcBorders>
            <w:shd w:val="clear" w:color="auto" w:fill="auto"/>
            <w:vAlign w:val="center"/>
          </w:tcPr>
          <w:p w14:paraId="35124A5F" w14:textId="775B8EEB" w:rsidR="00B47197" w:rsidRPr="000A33D2" w:rsidRDefault="007C10F8" w:rsidP="006D6983">
            <w:pPr>
              <w:pStyle w:val="TableText0"/>
              <w:jc w:val="center"/>
              <w:rPr>
                <w:rFonts w:eastAsia="Calibri" w:cs="Times New Roman"/>
                <w:szCs w:val="20"/>
              </w:rPr>
            </w:pPr>
            <w:r w:rsidRPr="007C10F8">
              <w:rPr>
                <w:rFonts w:eastAsia="Calibri" w:cs="Times New Roman" w:hint="eastAsia"/>
                <w:color w:val="000000"/>
                <w:w w:val="23"/>
                <w:szCs w:val="20"/>
                <w:shd w:val="solid" w:color="000000" w:fill="000000"/>
                <w:fitText w:val="105" w:id="-1032575740"/>
                <w14:textFill>
                  <w14:solidFill>
                    <w14:srgbClr w14:val="000000">
                      <w14:alpha w14:val="100000"/>
                    </w14:srgbClr>
                  </w14:solidFill>
                </w14:textFill>
              </w:rPr>
              <w:t xml:space="preserve">　</w:t>
            </w:r>
            <w:r w:rsidRPr="007C10F8">
              <w:rPr>
                <w:rFonts w:eastAsia="Calibri" w:cs="Times New Roman"/>
                <w:color w:val="000000"/>
                <w:w w:val="23"/>
                <w:szCs w:val="20"/>
                <w:shd w:val="solid" w:color="000000" w:fill="000000"/>
                <w:fitText w:val="105" w:id="-1032575740"/>
                <w14:textFill>
                  <w14:solidFill>
                    <w14:srgbClr w14:val="000000">
                      <w14:alpha w14:val="100000"/>
                    </w14:srgbClr>
                  </w14:solidFill>
                </w14:textFill>
              </w:rPr>
              <w:t>|</w:t>
            </w:r>
            <w:r w:rsidRPr="007C10F8">
              <w:rPr>
                <w:rFonts w:eastAsia="Calibri" w:cs="Times New Roman" w:hint="eastAsia"/>
                <w:color w:val="000000"/>
                <w:spacing w:val="4"/>
                <w:w w:val="23"/>
                <w:szCs w:val="20"/>
                <w:shd w:val="solid" w:color="000000" w:fill="000000"/>
                <w:fitText w:val="105" w:id="-1032575740"/>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tcBorders>
              <w:top w:val="single" w:sz="4" w:space="0" w:color="auto"/>
              <w:left w:val="nil"/>
              <w:bottom w:val="single" w:sz="4" w:space="0" w:color="auto"/>
              <w:right w:val="single" w:sz="4" w:space="0" w:color="auto"/>
            </w:tcBorders>
            <w:shd w:val="clear" w:color="auto" w:fill="auto"/>
            <w:vAlign w:val="center"/>
          </w:tcPr>
          <w:p w14:paraId="19BBE240" w14:textId="1DD76490" w:rsidR="00B47197" w:rsidRPr="000A33D2" w:rsidRDefault="007C10F8" w:rsidP="006D6983">
            <w:pPr>
              <w:pStyle w:val="TableText0"/>
              <w:jc w:val="center"/>
              <w:rPr>
                <w:rFonts w:eastAsia="Calibri" w:cs="Times New Roman"/>
                <w:szCs w:val="20"/>
              </w:rPr>
            </w:pPr>
            <w:r w:rsidRPr="007C10F8">
              <w:rPr>
                <w:rFonts w:eastAsia="Calibri" w:cs="Times New Roman" w:hint="eastAsia"/>
                <w:color w:val="000000"/>
                <w:w w:val="23"/>
                <w:szCs w:val="20"/>
                <w:shd w:val="solid" w:color="000000" w:fill="000000"/>
                <w:fitText w:val="105" w:id="-1032575739"/>
                <w14:textFill>
                  <w14:solidFill>
                    <w14:srgbClr w14:val="000000">
                      <w14:alpha w14:val="100000"/>
                    </w14:srgbClr>
                  </w14:solidFill>
                </w14:textFill>
              </w:rPr>
              <w:t xml:space="preserve">　</w:t>
            </w:r>
            <w:r w:rsidRPr="007C10F8">
              <w:rPr>
                <w:rFonts w:eastAsia="Calibri" w:cs="Times New Roman"/>
                <w:color w:val="000000"/>
                <w:w w:val="23"/>
                <w:szCs w:val="20"/>
                <w:shd w:val="solid" w:color="000000" w:fill="000000"/>
                <w:fitText w:val="105" w:id="-1032575739"/>
                <w14:textFill>
                  <w14:solidFill>
                    <w14:srgbClr w14:val="000000">
                      <w14:alpha w14:val="100000"/>
                    </w14:srgbClr>
                  </w14:solidFill>
                </w14:textFill>
              </w:rPr>
              <w:t>|</w:t>
            </w:r>
            <w:r w:rsidRPr="007C10F8">
              <w:rPr>
                <w:rFonts w:eastAsia="Calibri" w:cs="Times New Roman" w:hint="eastAsia"/>
                <w:color w:val="000000"/>
                <w:spacing w:val="4"/>
                <w:w w:val="23"/>
                <w:szCs w:val="20"/>
                <w:shd w:val="solid" w:color="000000" w:fill="000000"/>
                <w:fitText w:val="105" w:id="-1032575739"/>
                <w14:textFill>
                  <w14:solidFill>
                    <w14:srgbClr w14:val="000000">
                      <w14:alpha w14:val="100000"/>
                    </w14:srgbClr>
                  </w14:solidFill>
                </w14:textFill>
              </w:rPr>
              <w:t xml:space="preserve">　</w:t>
            </w:r>
            <w:r w:rsidR="00020D40">
              <w:rPr>
                <w:rFonts w:eastAsia="Calibri" w:cs="Times New Roman"/>
                <w:szCs w:val="20"/>
                <w:vertAlign w:val="superscript"/>
              </w:rPr>
              <w:t>1</w:t>
            </w:r>
          </w:p>
        </w:tc>
      </w:tr>
      <w:tr w:rsidR="005E543D" w:rsidRPr="000A33D2" w14:paraId="403F5E49" w14:textId="77777777" w:rsidTr="006D6983">
        <w:tc>
          <w:tcPr>
            <w:tcW w:w="2830" w:type="dxa"/>
            <w:shd w:val="clear" w:color="auto" w:fill="auto"/>
            <w:vAlign w:val="center"/>
          </w:tcPr>
          <w:p w14:paraId="2B4DD9EB" w14:textId="77777777" w:rsidR="005E543D" w:rsidRPr="000A33D2" w:rsidRDefault="005E543D" w:rsidP="006D6983">
            <w:pPr>
              <w:pStyle w:val="TableText0"/>
            </w:pPr>
            <w:r w:rsidRPr="000A33D2">
              <w:t>Grandfathered patients</w:t>
            </w:r>
          </w:p>
        </w:tc>
        <w:tc>
          <w:tcPr>
            <w:tcW w:w="1157" w:type="dxa"/>
            <w:shd w:val="clear" w:color="auto" w:fill="auto"/>
            <w:vAlign w:val="center"/>
          </w:tcPr>
          <w:p w14:paraId="64ADC77D" w14:textId="6479FD72" w:rsidR="005E543D" w:rsidRPr="000A33D2" w:rsidRDefault="007C10F8" w:rsidP="006D6983">
            <w:pPr>
              <w:pStyle w:val="TableText0"/>
              <w:jc w:val="center"/>
              <w:rPr>
                <w:szCs w:val="20"/>
              </w:rPr>
            </w:pPr>
            <w:r w:rsidRPr="007C10F8">
              <w:rPr>
                <w:rFonts w:hint="eastAsia"/>
                <w:color w:val="000000"/>
                <w:w w:val="15"/>
                <w:szCs w:val="20"/>
                <w:shd w:val="solid" w:color="000000" w:fill="000000"/>
                <w:fitText w:val="30" w:id="-1032575738"/>
                <w14:textFill>
                  <w14:solidFill>
                    <w14:srgbClr w14:val="000000">
                      <w14:alpha w14:val="100000"/>
                    </w14:srgbClr>
                  </w14:solidFill>
                </w14:textFill>
              </w:rPr>
              <w:t xml:space="preserve">　</w:t>
            </w:r>
            <w:r w:rsidRPr="007C10F8">
              <w:rPr>
                <w:color w:val="000000"/>
                <w:w w:val="15"/>
                <w:szCs w:val="20"/>
                <w:shd w:val="solid" w:color="000000" w:fill="000000"/>
                <w:fitText w:val="30" w:id="-1032575738"/>
                <w14:textFill>
                  <w14:solidFill>
                    <w14:srgbClr w14:val="000000">
                      <w14:alpha w14:val="100000"/>
                    </w14:srgbClr>
                  </w14:solidFill>
                </w14:textFill>
              </w:rPr>
              <w:t>|</w:t>
            </w:r>
            <w:r w:rsidRPr="007C10F8">
              <w:rPr>
                <w:rFonts w:hint="eastAsia"/>
                <w:color w:val="000000"/>
                <w:spacing w:val="-35"/>
                <w:w w:val="15"/>
                <w:szCs w:val="20"/>
                <w:shd w:val="solid" w:color="000000" w:fill="000000"/>
                <w:fitText w:val="30" w:id="-1032575738"/>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gridSpan w:val="3"/>
            <w:shd w:val="clear" w:color="auto" w:fill="auto"/>
            <w:vAlign w:val="center"/>
          </w:tcPr>
          <w:p w14:paraId="79CAEC4F" w14:textId="064FBD50" w:rsidR="005E543D"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8"/>
                <w14:textFill>
                  <w14:solidFill>
                    <w14:srgbClr w14:val="000000">
                      <w14:alpha w14:val="100000"/>
                    </w14:srgbClr>
                  </w14:solidFill>
                </w14:textFill>
              </w:rPr>
              <w:t xml:space="preserve">　</w:t>
            </w:r>
            <w:r w:rsidRPr="007C10F8">
              <w:rPr>
                <w:color w:val="000000"/>
                <w:w w:val="23"/>
                <w:szCs w:val="20"/>
                <w:shd w:val="solid" w:color="000000" w:fill="000000"/>
                <w:fitText w:val="105" w:id="-1032575488"/>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8"/>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shd w:val="clear" w:color="auto" w:fill="auto"/>
            <w:vAlign w:val="center"/>
          </w:tcPr>
          <w:p w14:paraId="78D89419" w14:textId="7EF43CF1" w:rsidR="005E543D"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7"/>
                <w14:textFill>
                  <w14:solidFill>
                    <w14:srgbClr w14:val="000000">
                      <w14:alpha w14:val="100000"/>
                    </w14:srgbClr>
                  </w14:solidFill>
                </w14:textFill>
              </w:rPr>
              <w:t xml:space="preserve">　</w:t>
            </w:r>
            <w:r w:rsidRPr="007C10F8">
              <w:rPr>
                <w:color w:val="000000"/>
                <w:w w:val="23"/>
                <w:szCs w:val="20"/>
                <w:shd w:val="solid" w:color="000000" w:fill="000000"/>
                <w:fitText w:val="105" w:id="-1032575487"/>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7"/>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shd w:val="clear" w:color="auto" w:fill="auto"/>
            <w:vAlign w:val="center"/>
          </w:tcPr>
          <w:p w14:paraId="27B67799" w14:textId="0AF2CCC4" w:rsidR="005E543D"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6"/>
                <w14:textFill>
                  <w14:solidFill>
                    <w14:srgbClr w14:val="000000">
                      <w14:alpha w14:val="100000"/>
                    </w14:srgbClr>
                  </w14:solidFill>
                </w14:textFill>
              </w:rPr>
              <w:t xml:space="preserve">　</w:t>
            </w:r>
            <w:r w:rsidRPr="007C10F8">
              <w:rPr>
                <w:color w:val="000000"/>
                <w:w w:val="23"/>
                <w:szCs w:val="20"/>
                <w:shd w:val="solid" w:color="000000" w:fill="000000"/>
                <w:fitText w:val="105" w:id="-1032575486"/>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6"/>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shd w:val="clear" w:color="auto" w:fill="auto"/>
            <w:vAlign w:val="center"/>
          </w:tcPr>
          <w:p w14:paraId="1E16ED72" w14:textId="374EA1A1" w:rsidR="005E543D"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5"/>
                <w14:textFill>
                  <w14:solidFill>
                    <w14:srgbClr w14:val="000000">
                      <w14:alpha w14:val="100000"/>
                    </w14:srgbClr>
                  </w14:solidFill>
                </w14:textFill>
              </w:rPr>
              <w:t xml:space="preserve">　</w:t>
            </w:r>
            <w:r w:rsidRPr="007C10F8">
              <w:rPr>
                <w:color w:val="000000"/>
                <w:w w:val="23"/>
                <w:szCs w:val="20"/>
                <w:shd w:val="solid" w:color="000000" w:fill="000000"/>
                <w:fitText w:val="105" w:id="-1032575485"/>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5"/>
                <w14:textFill>
                  <w14:solidFill>
                    <w14:srgbClr w14:val="000000">
                      <w14:alpha w14:val="100000"/>
                    </w14:srgbClr>
                  </w14:solidFill>
                </w14:textFill>
              </w:rPr>
              <w:t xml:space="preserve">　</w:t>
            </w:r>
            <w:r w:rsidR="00020D40">
              <w:rPr>
                <w:rFonts w:eastAsia="Calibri" w:cs="Times New Roman"/>
                <w:szCs w:val="20"/>
                <w:vertAlign w:val="superscript"/>
              </w:rPr>
              <w:t>1</w:t>
            </w:r>
          </w:p>
        </w:tc>
        <w:tc>
          <w:tcPr>
            <w:tcW w:w="1016" w:type="dxa"/>
            <w:shd w:val="clear" w:color="auto" w:fill="auto"/>
            <w:vAlign w:val="center"/>
          </w:tcPr>
          <w:p w14:paraId="709FDF1D" w14:textId="2678B6FB" w:rsidR="005E543D"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4"/>
                <w14:textFill>
                  <w14:solidFill>
                    <w14:srgbClr w14:val="000000">
                      <w14:alpha w14:val="100000"/>
                    </w14:srgbClr>
                  </w14:solidFill>
                </w14:textFill>
              </w:rPr>
              <w:t xml:space="preserve">　</w:t>
            </w:r>
            <w:r w:rsidRPr="007C10F8">
              <w:rPr>
                <w:color w:val="000000"/>
                <w:w w:val="23"/>
                <w:szCs w:val="20"/>
                <w:shd w:val="solid" w:color="000000" w:fill="000000"/>
                <w:fitText w:val="105" w:id="-1032575484"/>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4"/>
                <w14:textFill>
                  <w14:solidFill>
                    <w14:srgbClr w14:val="000000">
                      <w14:alpha w14:val="100000"/>
                    </w14:srgbClr>
                  </w14:solidFill>
                </w14:textFill>
              </w:rPr>
              <w:t xml:space="preserve">　</w:t>
            </w:r>
            <w:r w:rsidR="00020D40">
              <w:rPr>
                <w:rFonts w:eastAsia="Calibri" w:cs="Times New Roman"/>
                <w:szCs w:val="20"/>
                <w:vertAlign w:val="superscript"/>
              </w:rPr>
              <w:t>1</w:t>
            </w:r>
          </w:p>
        </w:tc>
      </w:tr>
      <w:tr w:rsidR="005E543D" w:rsidRPr="000A33D2" w14:paraId="56AE0D6C" w14:textId="77777777" w:rsidTr="006D6983">
        <w:tc>
          <w:tcPr>
            <w:tcW w:w="9067" w:type="dxa"/>
            <w:gridSpan w:val="9"/>
            <w:shd w:val="clear" w:color="auto" w:fill="auto"/>
            <w:vAlign w:val="center"/>
          </w:tcPr>
          <w:p w14:paraId="5A10EF02" w14:textId="77777777" w:rsidR="005E543D" w:rsidRPr="000A33D2" w:rsidRDefault="005E543D" w:rsidP="006D6983">
            <w:pPr>
              <w:pStyle w:val="TableText0"/>
            </w:pPr>
            <w:r w:rsidRPr="000A33D2">
              <w:t>Number of scripts</w:t>
            </w:r>
          </w:p>
        </w:tc>
      </w:tr>
      <w:tr w:rsidR="00154B60" w:rsidRPr="000A33D2" w14:paraId="71B1B4DD" w14:textId="77777777" w:rsidTr="006D6983">
        <w:tc>
          <w:tcPr>
            <w:tcW w:w="2830" w:type="dxa"/>
            <w:shd w:val="clear" w:color="auto" w:fill="auto"/>
            <w:vAlign w:val="center"/>
          </w:tcPr>
          <w:p w14:paraId="708E3804" w14:textId="10B85F21" w:rsidR="00154B60" w:rsidRPr="000A33D2" w:rsidRDefault="00154B60" w:rsidP="006D6983">
            <w:pPr>
              <w:pStyle w:val="TableText0"/>
            </w:pPr>
            <w:r w:rsidRPr="000A33D2">
              <w:t>Total DOS scripts</w:t>
            </w:r>
          </w:p>
        </w:tc>
        <w:tc>
          <w:tcPr>
            <w:tcW w:w="1157" w:type="dxa"/>
            <w:tcBorders>
              <w:top w:val="single" w:sz="4" w:space="0" w:color="auto"/>
              <w:left w:val="nil"/>
              <w:bottom w:val="single" w:sz="4" w:space="0" w:color="auto"/>
              <w:right w:val="single" w:sz="4" w:space="0" w:color="auto"/>
            </w:tcBorders>
            <w:shd w:val="clear" w:color="auto" w:fill="auto"/>
            <w:vAlign w:val="center"/>
          </w:tcPr>
          <w:p w14:paraId="1B07D9F1" w14:textId="2360C209" w:rsidR="00154B60" w:rsidRPr="000A33D2" w:rsidRDefault="007C10F8" w:rsidP="006D6983">
            <w:pPr>
              <w:pStyle w:val="TableText0"/>
              <w:jc w:val="center"/>
              <w:rPr>
                <w:szCs w:val="20"/>
              </w:rPr>
            </w:pPr>
            <w:r w:rsidRPr="007C10F8">
              <w:rPr>
                <w:rFonts w:hint="eastAsia"/>
                <w:color w:val="000000"/>
                <w:w w:val="15"/>
                <w:szCs w:val="20"/>
                <w:shd w:val="solid" w:color="000000" w:fill="000000"/>
                <w:fitText w:val="30" w:id="-1032575483"/>
                <w14:textFill>
                  <w14:solidFill>
                    <w14:srgbClr w14:val="000000">
                      <w14:alpha w14:val="100000"/>
                    </w14:srgbClr>
                  </w14:solidFill>
                </w14:textFill>
              </w:rPr>
              <w:t xml:space="preserve">　</w:t>
            </w:r>
            <w:r w:rsidRPr="007C10F8">
              <w:rPr>
                <w:color w:val="000000"/>
                <w:w w:val="15"/>
                <w:szCs w:val="20"/>
                <w:shd w:val="solid" w:color="000000" w:fill="000000"/>
                <w:fitText w:val="30" w:id="-1032575483"/>
                <w14:textFill>
                  <w14:solidFill>
                    <w14:srgbClr w14:val="000000">
                      <w14:alpha w14:val="100000"/>
                    </w14:srgbClr>
                  </w14:solidFill>
                </w14:textFill>
              </w:rPr>
              <w:t>|</w:t>
            </w:r>
            <w:r w:rsidRPr="007C10F8">
              <w:rPr>
                <w:rFonts w:hint="eastAsia"/>
                <w:color w:val="000000"/>
                <w:spacing w:val="-35"/>
                <w:w w:val="15"/>
                <w:szCs w:val="20"/>
                <w:shd w:val="solid" w:color="000000" w:fill="000000"/>
                <w:fitText w:val="30" w:id="-1032575483"/>
                <w14:textFill>
                  <w14:solidFill>
                    <w14:srgbClr w14:val="000000">
                      <w14:alpha w14:val="100000"/>
                    </w14:srgbClr>
                  </w14:solidFill>
                </w14:textFill>
              </w:rPr>
              <w:t xml:space="preserve">　</w:t>
            </w:r>
            <w:r w:rsidR="00020D40">
              <w:rPr>
                <w:rFonts w:eastAsia="Calibri" w:cs="Times New Roman"/>
                <w:szCs w:val="20"/>
                <w:vertAlign w:val="superscript"/>
              </w:rPr>
              <w:t>2</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0C4C0" w14:textId="7CFA7E85" w:rsidR="00154B60"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2"/>
                <w14:textFill>
                  <w14:solidFill>
                    <w14:srgbClr w14:val="000000">
                      <w14:alpha w14:val="100000"/>
                    </w14:srgbClr>
                  </w14:solidFill>
                </w14:textFill>
              </w:rPr>
              <w:t xml:space="preserve">　</w:t>
            </w:r>
            <w:r w:rsidRPr="007C10F8">
              <w:rPr>
                <w:color w:val="000000"/>
                <w:w w:val="23"/>
                <w:szCs w:val="20"/>
                <w:shd w:val="solid" w:color="000000" w:fill="000000"/>
                <w:fitText w:val="105" w:id="-1032575482"/>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2"/>
                <w14:textFill>
                  <w14:solidFill>
                    <w14:srgbClr w14:val="000000">
                      <w14:alpha w14:val="100000"/>
                    </w14:srgbClr>
                  </w14:solidFill>
                </w14:textFill>
              </w:rPr>
              <w:t xml:space="preserve">　</w:t>
            </w:r>
            <w:r w:rsidR="00020D40">
              <w:rPr>
                <w:rFonts w:eastAsia="Calibri" w:cs="Times New Roman"/>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AC8B731" w14:textId="608B87E7" w:rsidR="00154B60"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1"/>
                <w14:textFill>
                  <w14:solidFill>
                    <w14:srgbClr w14:val="000000">
                      <w14:alpha w14:val="100000"/>
                    </w14:srgbClr>
                  </w14:solidFill>
                </w14:textFill>
              </w:rPr>
              <w:t xml:space="preserve">　</w:t>
            </w:r>
            <w:r w:rsidRPr="007C10F8">
              <w:rPr>
                <w:color w:val="000000"/>
                <w:w w:val="23"/>
                <w:szCs w:val="20"/>
                <w:shd w:val="solid" w:color="000000" w:fill="000000"/>
                <w:fitText w:val="105" w:id="-1032575481"/>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1"/>
                <w14:textFill>
                  <w14:solidFill>
                    <w14:srgbClr w14:val="000000">
                      <w14:alpha w14:val="100000"/>
                    </w14:srgbClr>
                  </w14:solidFill>
                </w14:textFill>
              </w:rPr>
              <w:t xml:space="preserve">　</w:t>
            </w:r>
            <w:r w:rsidR="00020D40">
              <w:rPr>
                <w:rFonts w:eastAsia="Calibri" w:cs="Times New Roman"/>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128AA8A" w14:textId="01E489B9" w:rsidR="00154B60"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80"/>
                <w14:textFill>
                  <w14:solidFill>
                    <w14:srgbClr w14:val="000000">
                      <w14:alpha w14:val="100000"/>
                    </w14:srgbClr>
                  </w14:solidFill>
                </w14:textFill>
              </w:rPr>
              <w:t xml:space="preserve">　</w:t>
            </w:r>
            <w:r w:rsidRPr="007C10F8">
              <w:rPr>
                <w:color w:val="000000"/>
                <w:w w:val="23"/>
                <w:szCs w:val="20"/>
                <w:shd w:val="solid" w:color="000000" w:fill="000000"/>
                <w:fitText w:val="105" w:id="-1032575480"/>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80"/>
                <w14:textFill>
                  <w14:solidFill>
                    <w14:srgbClr w14:val="000000">
                      <w14:alpha w14:val="100000"/>
                    </w14:srgbClr>
                  </w14:solidFill>
                </w14:textFill>
              </w:rPr>
              <w:t xml:space="preserve">　</w:t>
            </w:r>
            <w:r w:rsidR="00020D40">
              <w:rPr>
                <w:rFonts w:eastAsia="Calibri" w:cs="Times New Roman"/>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2364DF" w14:textId="14884880" w:rsidR="00154B60"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79"/>
                <w14:textFill>
                  <w14:solidFill>
                    <w14:srgbClr w14:val="000000">
                      <w14:alpha w14:val="100000"/>
                    </w14:srgbClr>
                  </w14:solidFill>
                </w14:textFill>
              </w:rPr>
              <w:t xml:space="preserve">　</w:t>
            </w:r>
            <w:r w:rsidRPr="007C10F8">
              <w:rPr>
                <w:color w:val="000000"/>
                <w:w w:val="23"/>
                <w:szCs w:val="20"/>
                <w:shd w:val="solid" w:color="000000" w:fill="000000"/>
                <w:fitText w:val="105" w:id="-1032575479"/>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79"/>
                <w14:textFill>
                  <w14:solidFill>
                    <w14:srgbClr w14:val="000000">
                      <w14:alpha w14:val="100000"/>
                    </w14:srgbClr>
                  </w14:solidFill>
                </w14:textFill>
              </w:rPr>
              <w:t xml:space="preserve">　</w:t>
            </w:r>
            <w:r w:rsidR="00020D40">
              <w:rPr>
                <w:rFonts w:eastAsia="Calibri" w:cs="Times New Roman"/>
                <w:szCs w:val="20"/>
                <w:vertAlign w:val="superscript"/>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8E198DA" w14:textId="1AE42E27" w:rsidR="00154B60" w:rsidRPr="000A33D2" w:rsidRDefault="007C10F8" w:rsidP="006D6983">
            <w:pPr>
              <w:pStyle w:val="TableText0"/>
              <w:jc w:val="center"/>
              <w:rPr>
                <w:szCs w:val="20"/>
              </w:rPr>
            </w:pPr>
            <w:r w:rsidRPr="007C10F8">
              <w:rPr>
                <w:rFonts w:hint="eastAsia"/>
                <w:color w:val="000000"/>
                <w:w w:val="23"/>
                <w:szCs w:val="20"/>
                <w:shd w:val="solid" w:color="000000" w:fill="000000"/>
                <w:fitText w:val="105" w:id="-1032575478"/>
                <w14:textFill>
                  <w14:solidFill>
                    <w14:srgbClr w14:val="000000">
                      <w14:alpha w14:val="100000"/>
                    </w14:srgbClr>
                  </w14:solidFill>
                </w14:textFill>
              </w:rPr>
              <w:t xml:space="preserve">　</w:t>
            </w:r>
            <w:r w:rsidRPr="007C10F8">
              <w:rPr>
                <w:color w:val="000000"/>
                <w:w w:val="23"/>
                <w:szCs w:val="20"/>
                <w:shd w:val="solid" w:color="000000" w:fill="000000"/>
                <w:fitText w:val="105" w:id="-1032575478"/>
                <w14:textFill>
                  <w14:solidFill>
                    <w14:srgbClr w14:val="000000">
                      <w14:alpha w14:val="100000"/>
                    </w14:srgbClr>
                  </w14:solidFill>
                </w14:textFill>
              </w:rPr>
              <w:t>|</w:t>
            </w:r>
            <w:r w:rsidRPr="007C10F8">
              <w:rPr>
                <w:rFonts w:hint="eastAsia"/>
                <w:color w:val="000000"/>
                <w:spacing w:val="4"/>
                <w:w w:val="23"/>
                <w:szCs w:val="20"/>
                <w:shd w:val="solid" w:color="000000" w:fill="000000"/>
                <w:fitText w:val="105" w:id="-1032575478"/>
                <w14:textFill>
                  <w14:solidFill>
                    <w14:srgbClr w14:val="000000">
                      <w14:alpha w14:val="100000"/>
                    </w14:srgbClr>
                  </w14:solidFill>
                </w14:textFill>
              </w:rPr>
              <w:t xml:space="preserve">　</w:t>
            </w:r>
            <w:r w:rsidR="00020D40">
              <w:rPr>
                <w:rFonts w:eastAsia="Calibri" w:cs="Times New Roman"/>
                <w:szCs w:val="20"/>
                <w:vertAlign w:val="superscript"/>
              </w:rPr>
              <w:t>2</w:t>
            </w:r>
          </w:p>
        </w:tc>
      </w:tr>
      <w:tr w:rsidR="005E543D" w:rsidRPr="000A33D2" w14:paraId="6EF990BF" w14:textId="77777777" w:rsidTr="006D6983">
        <w:tc>
          <w:tcPr>
            <w:tcW w:w="9067" w:type="dxa"/>
            <w:gridSpan w:val="9"/>
            <w:shd w:val="clear" w:color="auto" w:fill="auto"/>
            <w:vAlign w:val="center"/>
          </w:tcPr>
          <w:p w14:paraId="7ED5E686" w14:textId="44E97DBC" w:rsidR="005E543D" w:rsidRPr="000A33D2" w:rsidRDefault="005E543D" w:rsidP="006D6983">
            <w:pPr>
              <w:pStyle w:val="TableText0"/>
            </w:pPr>
            <w:r w:rsidRPr="000A33D2">
              <w:t>PBS/RPBS cost less co-pay</w:t>
            </w:r>
          </w:p>
        </w:tc>
      </w:tr>
      <w:tr w:rsidR="00B47197" w:rsidRPr="000A33D2" w14:paraId="412515C7" w14:textId="77777777" w:rsidTr="006D6983">
        <w:tc>
          <w:tcPr>
            <w:tcW w:w="2830" w:type="dxa"/>
            <w:shd w:val="clear" w:color="auto" w:fill="auto"/>
            <w:vAlign w:val="center"/>
          </w:tcPr>
          <w:p w14:paraId="6887B93F" w14:textId="4C896698" w:rsidR="00B47197" w:rsidRPr="000A33D2" w:rsidRDefault="00B47197" w:rsidP="006D6983">
            <w:pPr>
              <w:pStyle w:val="TableText0"/>
            </w:pPr>
            <w:r w:rsidRPr="000A33D2">
              <w:t>DOS total (eff)</w:t>
            </w:r>
          </w:p>
        </w:tc>
        <w:tc>
          <w:tcPr>
            <w:tcW w:w="1157" w:type="dxa"/>
            <w:tcBorders>
              <w:top w:val="single" w:sz="4" w:space="0" w:color="auto"/>
              <w:left w:val="nil"/>
              <w:bottom w:val="single" w:sz="4" w:space="0" w:color="auto"/>
              <w:right w:val="single" w:sz="4" w:space="0" w:color="auto"/>
            </w:tcBorders>
            <w:shd w:val="clear" w:color="auto" w:fill="auto"/>
            <w:vAlign w:val="center"/>
          </w:tcPr>
          <w:p w14:paraId="39DA8F76" w14:textId="6EF68919" w:rsidR="00B47197" w:rsidRPr="000A33D2" w:rsidRDefault="00B47197" w:rsidP="006D6983">
            <w:pPr>
              <w:pStyle w:val="TableText0"/>
              <w:jc w:val="center"/>
              <w:rPr>
                <w:szCs w:val="20"/>
              </w:rPr>
            </w:pPr>
            <w:r w:rsidRPr="000A33D2">
              <w:rPr>
                <w:color w:val="000000"/>
                <w:szCs w:val="20"/>
              </w:rPr>
              <w:t>$</w:t>
            </w:r>
            <w:r w:rsidR="007C10F8" w:rsidRPr="007C10F8">
              <w:rPr>
                <w:rFonts w:hint="eastAsia"/>
                <w:color w:val="000000"/>
                <w:w w:val="16"/>
                <w:szCs w:val="20"/>
                <w:shd w:val="solid" w:color="000000" w:fill="000000"/>
                <w:fitText w:val="75" w:id="-1032575477"/>
                <w14:textFill>
                  <w14:solidFill>
                    <w14:srgbClr w14:val="000000">
                      <w14:alpha w14:val="100000"/>
                    </w14:srgbClr>
                  </w14:solidFill>
                </w14:textFill>
              </w:rPr>
              <w:t xml:space="preserve">　</w:t>
            </w:r>
            <w:r w:rsidR="007C10F8" w:rsidRPr="007C10F8">
              <w:rPr>
                <w:color w:val="000000"/>
                <w:w w:val="16"/>
                <w:szCs w:val="20"/>
                <w:shd w:val="solid" w:color="000000" w:fill="000000"/>
                <w:fitText w:val="75" w:id="-1032575477"/>
                <w14:textFill>
                  <w14:solidFill>
                    <w14:srgbClr w14:val="000000">
                      <w14:alpha w14:val="100000"/>
                    </w14:srgbClr>
                  </w14:solidFill>
                </w14:textFill>
              </w:rPr>
              <w:t>|</w:t>
            </w:r>
            <w:r w:rsidR="007C10F8" w:rsidRPr="007C10F8">
              <w:rPr>
                <w:rFonts w:hint="eastAsia"/>
                <w:color w:val="000000"/>
                <w:spacing w:val="5"/>
                <w:w w:val="16"/>
                <w:szCs w:val="20"/>
                <w:shd w:val="solid" w:color="000000" w:fill="000000"/>
                <w:fitText w:val="75" w:id="-1032575477"/>
                <w14:textFill>
                  <w14:solidFill>
                    <w14:srgbClr w14:val="000000">
                      <w14:alpha w14:val="100000"/>
                    </w14:srgbClr>
                  </w14:solidFill>
                </w14:textFill>
              </w:rPr>
              <w:t xml:space="preserve">　</w:t>
            </w:r>
            <w:r w:rsidR="00020D40">
              <w:rPr>
                <w:rFonts w:eastAsia="Calibri" w:cs="Times New Roman"/>
                <w:szCs w:val="20"/>
                <w:vertAlign w:val="superscript"/>
              </w:rPr>
              <w:t>3</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E7916" w14:textId="0D57F40E" w:rsidR="00B47197" w:rsidRPr="000A33D2" w:rsidRDefault="00B47197" w:rsidP="006D6983">
            <w:pPr>
              <w:pStyle w:val="TableText0"/>
              <w:jc w:val="center"/>
              <w:rPr>
                <w:szCs w:val="20"/>
              </w:rPr>
            </w:pPr>
            <w:r w:rsidRPr="000A33D2">
              <w:rPr>
                <w:color w:val="000000"/>
                <w:szCs w:val="20"/>
              </w:rPr>
              <w:t>$</w:t>
            </w:r>
            <w:r w:rsidR="007C10F8" w:rsidRPr="007C10F8">
              <w:rPr>
                <w:rFonts w:hint="eastAsia"/>
                <w:color w:val="000000"/>
                <w:w w:val="33"/>
                <w:szCs w:val="20"/>
                <w:shd w:val="solid" w:color="000000" w:fill="000000"/>
                <w:fitText w:val="150" w:id="-1032575476"/>
                <w14:textFill>
                  <w14:solidFill>
                    <w14:srgbClr w14:val="000000">
                      <w14:alpha w14:val="100000"/>
                    </w14:srgbClr>
                  </w14:solidFill>
                </w14:textFill>
              </w:rPr>
              <w:t xml:space="preserve">　</w:t>
            </w:r>
            <w:r w:rsidR="007C10F8" w:rsidRPr="007C10F8">
              <w:rPr>
                <w:color w:val="000000"/>
                <w:w w:val="33"/>
                <w:szCs w:val="20"/>
                <w:shd w:val="solid" w:color="000000" w:fill="000000"/>
                <w:fitText w:val="150" w:id="-1032575476"/>
                <w14:textFill>
                  <w14:solidFill>
                    <w14:srgbClr w14:val="000000">
                      <w14:alpha w14:val="100000"/>
                    </w14:srgbClr>
                  </w14:solidFill>
                </w14:textFill>
              </w:rPr>
              <w:t>|</w:t>
            </w:r>
            <w:r w:rsidR="007C10F8" w:rsidRPr="007C10F8">
              <w:rPr>
                <w:rFonts w:hint="eastAsia"/>
                <w:color w:val="000000"/>
                <w:spacing w:val="4"/>
                <w:w w:val="33"/>
                <w:szCs w:val="20"/>
                <w:shd w:val="solid" w:color="000000" w:fill="000000"/>
                <w:fitText w:val="150" w:id="-1032575476"/>
                <w14:textFill>
                  <w14:solidFill>
                    <w14:srgbClr w14:val="000000">
                      <w14:alpha w14:val="100000"/>
                    </w14:srgbClr>
                  </w14:solidFill>
                </w14:textFill>
              </w:rPr>
              <w:t xml:space="preserve">　</w:t>
            </w:r>
            <w:r w:rsidR="00020D40">
              <w:rPr>
                <w:rFonts w:eastAsia="Calibri" w:cs="Times New Roman"/>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63804F3" w14:textId="6860DF4B" w:rsidR="00B47197" w:rsidRPr="000A33D2" w:rsidRDefault="00B47197" w:rsidP="006D6983">
            <w:pPr>
              <w:pStyle w:val="TableText0"/>
              <w:jc w:val="center"/>
              <w:rPr>
                <w:szCs w:val="20"/>
              </w:rPr>
            </w:pPr>
            <w:r w:rsidRPr="000A33D2">
              <w:rPr>
                <w:color w:val="000000"/>
                <w:szCs w:val="20"/>
              </w:rPr>
              <w:t>$</w:t>
            </w:r>
            <w:r w:rsidR="007C10F8" w:rsidRPr="007C10F8">
              <w:rPr>
                <w:rFonts w:hint="eastAsia"/>
                <w:color w:val="000000"/>
                <w:w w:val="33"/>
                <w:szCs w:val="20"/>
                <w:shd w:val="solid" w:color="000000" w:fill="000000"/>
                <w:fitText w:val="150" w:id="-1032575475"/>
                <w14:textFill>
                  <w14:solidFill>
                    <w14:srgbClr w14:val="000000">
                      <w14:alpha w14:val="100000"/>
                    </w14:srgbClr>
                  </w14:solidFill>
                </w14:textFill>
              </w:rPr>
              <w:t xml:space="preserve">　</w:t>
            </w:r>
            <w:r w:rsidR="007C10F8" w:rsidRPr="007C10F8">
              <w:rPr>
                <w:color w:val="000000"/>
                <w:w w:val="33"/>
                <w:szCs w:val="20"/>
                <w:shd w:val="solid" w:color="000000" w:fill="000000"/>
                <w:fitText w:val="150" w:id="-1032575475"/>
                <w14:textFill>
                  <w14:solidFill>
                    <w14:srgbClr w14:val="000000">
                      <w14:alpha w14:val="100000"/>
                    </w14:srgbClr>
                  </w14:solidFill>
                </w14:textFill>
              </w:rPr>
              <w:t>|</w:t>
            </w:r>
            <w:r w:rsidR="007C10F8" w:rsidRPr="007C10F8">
              <w:rPr>
                <w:rFonts w:hint="eastAsia"/>
                <w:color w:val="000000"/>
                <w:spacing w:val="4"/>
                <w:w w:val="33"/>
                <w:szCs w:val="20"/>
                <w:shd w:val="solid" w:color="000000" w:fill="000000"/>
                <w:fitText w:val="150" w:id="-1032575475"/>
                <w14:textFill>
                  <w14:solidFill>
                    <w14:srgbClr w14:val="000000">
                      <w14:alpha w14:val="100000"/>
                    </w14:srgbClr>
                  </w14:solidFill>
                </w14:textFill>
              </w:rPr>
              <w:t xml:space="preserve">　</w:t>
            </w:r>
            <w:r w:rsidR="00020D40">
              <w:rPr>
                <w:rFonts w:eastAsia="Calibri" w:cs="Times New Roman"/>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E22D4D0" w14:textId="53725DAE" w:rsidR="00B47197" w:rsidRPr="000A33D2" w:rsidRDefault="00B47197" w:rsidP="006D6983">
            <w:pPr>
              <w:pStyle w:val="TableText0"/>
              <w:jc w:val="center"/>
              <w:rPr>
                <w:szCs w:val="20"/>
              </w:rPr>
            </w:pPr>
            <w:r w:rsidRPr="000A33D2">
              <w:rPr>
                <w:color w:val="000000"/>
                <w:szCs w:val="20"/>
              </w:rPr>
              <w:t>$</w:t>
            </w:r>
            <w:r w:rsidR="007C10F8" w:rsidRPr="007C10F8">
              <w:rPr>
                <w:rFonts w:hint="eastAsia"/>
                <w:color w:val="000000"/>
                <w:w w:val="33"/>
                <w:szCs w:val="20"/>
                <w:shd w:val="solid" w:color="000000" w:fill="000000"/>
                <w:fitText w:val="150" w:id="-1032575474"/>
                <w14:textFill>
                  <w14:solidFill>
                    <w14:srgbClr w14:val="000000">
                      <w14:alpha w14:val="100000"/>
                    </w14:srgbClr>
                  </w14:solidFill>
                </w14:textFill>
              </w:rPr>
              <w:t xml:space="preserve">　</w:t>
            </w:r>
            <w:r w:rsidR="007C10F8" w:rsidRPr="007C10F8">
              <w:rPr>
                <w:color w:val="000000"/>
                <w:w w:val="33"/>
                <w:szCs w:val="20"/>
                <w:shd w:val="solid" w:color="000000" w:fill="000000"/>
                <w:fitText w:val="150" w:id="-1032575474"/>
                <w14:textFill>
                  <w14:solidFill>
                    <w14:srgbClr w14:val="000000">
                      <w14:alpha w14:val="100000"/>
                    </w14:srgbClr>
                  </w14:solidFill>
                </w14:textFill>
              </w:rPr>
              <w:t>|</w:t>
            </w:r>
            <w:r w:rsidR="007C10F8" w:rsidRPr="007C10F8">
              <w:rPr>
                <w:rFonts w:hint="eastAsia"/>
                <w:color w:val="000000"/>
                <w:spacing w:val="4"/>
                <w:w w:val="33"/>
                <w:szCs w:val="20"/>
                <w:shd w:val="solid" w:color="000000" w:fill="000000"/>
                <w:fitText w:val="150" w:id="-1032575474"/>
                <w14:textFill>
                  <w14:solidFill>
                    <w14:srgbClr w14:val="000000">
                      <w14:alpha w14:val="100000"/>
                    </w14:srgbClr>
                  </w14:solidFill>
                </w14:textFill>
              </w:rPr>
              <w:t xml:space="preserve">　</w:t>
            </w:r>
            <w:r w:rsidR="00020D40">
              <w:rPr>
                <w:rFonts w:eastAsia="Calibri" w:cs="Times New Roman"/>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94B172F" w14:textId="548381FB" w:rsidR="00B47197" w:rsidRPr="000A33D2" w:rsidRDefault="00B47197" w:rsidP="006D6983">
            <w:pPr>
              <w:pStyle w:val="TableText0"/>
              <w:jc w:val="center"/>
              <w:rPr>
                <w:szCs w:val="20"/>
              </w:rPr>
            </w:pPr>
            <w:r w:rsidRPr="000A33D2">
              <w:rPr>
                <w:color w:val="000000"/>
                <w:szCs w:val="20"/>
              </w:rPr>
              <w:t>$</w:t>
            </w:r>
            <w:r w:rsidR="007C10F8" w:rsidRPr="007C10F8">
              <w:rPr>
                <w:rFonts w:hint="eastAsia"/>
                <w:color w:val="000000"/>
                <w:w w:val="33"/>
                <w:szCs w:val="20"/>
                <w:shd w:val="solid" w:color="000000" w:fill="000000"/>
                <w:fitText w:val="150" w:id="-1032575473"/>
                <w14:textFill>
                  <w14:solidFill>
                    <w14:srgbClr w14:val="000000">
                      <w14:alpha w14:val="100000"/>
                    </w14:srgbClr>
                  </w14:solidFill>
                </w14:textFill>
              </w:rPr>
              <w:t xml:space="preserve">　</w:t>
            </w:r>
            <w:r w:rsidR="007C10F8" w:rsidRPr="007C10F8">
              <w:rPr>
                <w:color w:val="000000"/>
                <w:w w:val="33"/>
                <w:szCs w:val="20"/>
                <w:shd w:val="solid" w:color="000000" w:fill="000000"/>
                <w:fitText w:val="150" w:id="-1032575473"/>
                <w14:textFill>
                  <w14:solidFill>
                    <w14:srgbClr w14:val="000000">
                      <w14:alpha w14:val="100000"/>
                    </w14:srgbClr>
                  </w14:solidFill>
                </w14:textFill>
              </w:rPr>
              <w:t>|</w:t>
            </w:r>
            <w:r w:rsidR="007C10F8" w:rsidRPr="007C10F8">
              <w:rPr>
                <w:rFonts w:hint="eastAsia"/>
                <w:color w:val="000000"/>
                <w:spacing w:val="4"/>
                <w:w w:val="33"/>
                <w:szCs w:val="20"/>
                <w:shd w:val="solid" w:color="000000" w:fill="000000"/>
                <w:fitText w:val="150" w:id="-1032575473"/>
                <w14:textFill>
                  <w14:solidFill>
                    <w14:srgbClr w14:val="000000">
                      <w14:alpha w14:val="100000"/>
                    </w14:srgbClr>
                  </w14:solidFill>
                </w14:textFill>
              </w:rPr>
              <w:t xml:space="preserve">　</w:t>
            </w:r>
            <w:r w:rsidR="00020D40">
              <w:rPr>
                <w:rFonts w:eastAsia="Calibri" w:cs="Times New Roman"/>
                <w:szCs w:val="20"/>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C56E4B" w14:textId="74312FB2" w:rsidR="00B47197" w:rsidRPr="000A33D2" w:rsidRDefault="00B47197" w:rsidP="006D6983">
            <w:pPr>
              <w:pStyle w:val="TableText0"/>
              <w:jc w:val="center"/>
              <w:rPr>
                <w:szCs w:val="20"/>
              </w:rPr>
            </w:pPr>
            <w:r w:rsidRPr="000A33D2">
              <w:rPr>
                <w:color w:val="000000"/>
                <w:szCs w:val="20"/>
              </w:rPr>
              <w:t>$</w:t>
            </w:r>
            <w:r w:rsidR="007C10F8" w:rsidRPr="007C10F8">
              <w:rPr>
                <w:rFonts w:hint="eastAsia"/>
                <w:color w:val="000000"/>
                <w:w w:val="33"/>
                <w:szCs w:val="20"/>
                <w:shd w:val="solid" w:color="000000" w:fill="000000"/>
                <w:fitText w:val="150" w:id="-1032575472"/>
                <w14:textFill>
                  <w14:solidFill>
                    <w14:srgbClr w14:val="000000">
                      <w14:alpha w14:val="100000"/>
                    </w14:srgbClr>
                  </w14:solidFill>
                </w14:textFill>
              </w:rPr>
              <w:t xml:space="preserve">　</w:t>
            </w:r>
            <w:r w:rsidR="007C10F8" w:rsidRPr="007C10F8">
              <w:rPr>
                <w:color w:val="000000"/>
                <w:w w:val="33"/>
                <w:szCs w:val="20"/>
                <w:shd w:val="solid" w:color="000000" w:fill="000000"/>
                <w:fitText w:val="150" w:id="-1032575472"/>
                <w14:textFill>
                  <w14:solidFill>
                    <w14:srgbClr w14:val="000000">
                      <w14:alpha w14:val="100000"/>
                    </w14:srgbClr>
                  </w14:solidFill>
                </w14:textFill>
              </w:rPr>
              <w:t>|</w:t>
            </w:r>
            <w:r w:rsidR="007C10F8" w:rsidRPr="007C10F8">
              <w:rPr>
                <w:rFonts w:hint="eastAsia"/>
                <w:color w:val="000000"/>
                <w:spacing w:val="4"/>
                <w:w w:val="33"/>
                <w:szCs w:val="20"/>
                <w:shd w:val="solid" w:color="000000" w:fill="000000"/>
                <w:fitText w:val="150" w:id="-1032575472"/>
                <w14:textFill>
                  <w14:solidFill>
                    <w14:srgbClr w14:val="000000">
                      <w14:alpha w14:val="100000"/>
                    </w14:srgbClr>
                  </w14:solidFill>
                </w14:textFill>
              </w:rPr>
              <w:t xml:space="preserve">　</w:t>
            </w:r>
            <w:r w:rsidR="00020D40">
              <w:rPr>
                <w:rFonts w:eastAsia="Calibri" w:cs="Times New Roman"/>
                <w:szCs w:val="20"/>
                <w:vertAlign w:val="superscript"/>
              </w:rPr>
              <w:t>3</w:t>
            </w:r>
          </w:p>
        </w:tc>
      </w:tr>
      <w:tr w:rsidR="005E543D" w:rsidRPr="000A33D2" w14:paraId="110AEBA0" w14:textId="77777777" w:rsidTr="003411EA">
        <w:tc>
          <w:tcPr>
            <w:tcW w:w="9067" w:type="dxa"/>
            <w:gridSpan w:val="9"/>
            <w:shd w:val="clear" w:color="auto" w:fill="auto"/>
            <w:vAlign w:val="center"/>
          </w:tcPr>
          <w:p w14:paraId="3FB4AAD8" w14:textId="3D1B9463" w:rsidR="005E543D" w:rsidRPr="000A33D2" w:rsidRDefault="005E543D" w:rsidP="005E543D">
            <w:pPr>
              <w:pStyle w:val="TableText0"/>
              <w:keepLines/>
            </w:pPr>
            <w:r w:rsidRPr="000A33D2">
              <w:rPr>
                <w:rStyle w:val="CommentReference"/>
              </w:rPr>
              <w:t>Estimation of changes in use and financial impact of other medicines (PBS and RPBS)</w:t>
            </w:r>
          </w:p>
        </w:tc>
      </w:tr>
      <w:tr w:rsidR="0087662C" w:rsidRPr="000A33D2" w14:paraId="46AB69B5" w14:textId="77777777" w:rsidTr="00020D40">
        <w:tc>
          <w:tcPr>
            <w:tcW w:w="2830" w:type="dxa"/>
            <w:tcBorders>
              <w:bottom w:val="single" w:sz="4" w:space="0" w:color="auto"/>
            </w:tcBorders>
            <w:shd w:val="clear" w:color="auto" w:fill="auto"/>
            <w:vAlign w:val="center"/>
          </w:tcPr>
          <w:p w14:paraId="6B3BEC76" w14:textId="2F80A82E" w:rsidR="0087662C" w:rsidRPr="000A33D2" w:rsidRDefault="0087662C" w:rsidP="00020D40">
            <w:pPr>
              <w:pStyle w:val="Tabletext"/>
            </w:pPr>
            <w:r w:rsidRPr="000A33D2">
              <w:t>PEM+LEN PBS/RPBS cost less co-pay</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74EB51E4" w14:textId="275BFD81" w:rsidR="0087662C" w:rsidRPr="00020D40" w:rsidRDefault="0087662C" w:rsidP="00020D40">
            <w:pPr>
              <w:pStyle w:val="Tabletext"/>
              <w:jc w:val="center"/>
            </w:pPr>
            <w:r w:rsidRPr="00020D40">
              <w:t>-$</w:t>
            </w:r>
            <w:r w:rsidR="007C10F8" w:rsidRPr="007C10F8">
              <w:rPr>
                <w:rFonts w:hint="eastAsia"/>
                <w:color w:val="000000"/>
                <w:w w:val="23"/>
                <w:shd w:val="solid" w:color="000000" w:fill="000000"/>
                <w:fitText w:val="105" w:id="-1032575488"/>
                <w14:textFill>
                  <w14:solidFill>
                    <w14:srgbClr w14:val="000000">
                      <w14:alpha w14:val="100000"/>
                    </w14:srgbClr>
                  </w14:solidFill>
                </w14:textFill>
              </w:rPr>
              <w:t xml:space="preserve">　</w:t>
            </w:r>
            <w:r w:rsidR="007C10F8" w:rsidRPr="007C10F8">
              <w:rPr>
                <w:color w:val="000000"/>
                <w:w w:val="23"/>
                <w:shd w:val="solid" w:color="000000" w:fill="000000"/>
                <w:fitText w:val="105" w:id="-1032575488"/>
                <w14:textFill>
                  <w14:solidFill>
                    <w14:srgbClr w14:val="000000">
                      <w14:alpha w14:val="100000"/>
                    </w14:srgbClr>
                  </w14:solidFill>
                </w14:textFill>
              </w:rPr>
              <w:t>|</w:t>
            </w:r>
            <w:r w:rsidR="007C10F8" w:rsidRPr="007C10F8">
              <w:rPr>
                <w:rFonts w:hint="eastAsia"/>
                <w:color w:val="000000"/>
                <w:spacing w:val="4"/>
                <w:w w:val="23"/>
                <w:shd w:val="solid" w:color="000000" w:fill="000000"/>
                <w:fitText w:val="105" w:id="-1032575488"/>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18EBE" w14:textId="46647FB8"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7"/>
                <w14:textFill>
                  <w14:solidFill>
                    <w14:srgbClr w14:val="000000">
                      <w14:alpha w14:val="100000"/>
                    </w14:srgbClr>
                  </w14:solidFill>
                </w14:textFill>
              </w:rPr>
              <w:t xml:space="preserve">　</w:t>
            </w:r>
            <w:r w:rsidR="007C10F8" w:rsidRPr="007C10F8">
              <w:rPr>
                <w:color w:val="000000"/>
                <w:w w:val="33"/>
                <w:shd w:val="solid" w:color="000000" w:fill="000000"/>
                <w:fitText w:val="150" w:id="-1032575487"/>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7"/>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0BDCCB0" w14:textId="768D1AFD" w:rsidR="0087662C" w:rsidRPr="00020D40" w:rsidRDefault="0087662C" w:rsidP="00020D40">
            <w:pPr>
              <w:pStyle w:val="Tabletext"/>
              <w:jc w:val="center"/>
            </w:pPr>
            <w:r w:rsidRPr="00020D40">
              <w:t>-$</w:t>
            </w:r>
            <w:r w:rsidR="007C10F8" w:rsidRPr="007C10F8">
              <w:rPr>
                <w:rFonts w:hint="eastAsia"/>
                <w:color w:val="000000"/>
                <w:w w:val="27"/>
                <w:shd w:val="solid" w:color="000000" w:fill="000000"/>
                <w:fitText w:val="120" w:id="-1032575486"/>
                <w14:textFill>
                  <w14:solidFill>
                    <w14:srgbClr w14:val="000000">
                      <w14:alpha w14:val="100000"/>
                    </w14:srgbClr>
                  </w14:solidFill>
                </w14:textFill>
              </w:rPr>
              <w:t xml:space="preserve">　</w:t>
            </w:r>
            <w:r w:rsidR="007C10F8" w:rsidRPr="007C10F8">
              <w:rPr>
                <w:color w:val="000000"/>
                <w:w w:val="27"/>
                <w:shd w:val="solid" w:color="000000" w:fill="000000"/>
                <w:fitText w:val="120" w:id="-1032575486"/>
                <w14:textFill>
                  <w14:solidFill>
                    <w14:srgbClr w14:val="000000">
                      <w14:alpha w14:val="100000"/>
                    </w14:srgbClr>
                  </w14:solidFill>
                </w14:textFill>
              </w:rPr>
              <w:t>|</w:t>
            </w:r>
            <w:r w:rsidR="007C10F8" w:rsidRPr="007C10F8">
              <w:rPr>
                <w:rFonts w:hint="eastAsia"/>
                <w:color w:val="000000"/>
                <w:spacing w:val="2"/>
                <w:w w:val="27"/>
                <w:shd w:val="solid" w:color="000000" w:fill="000000"/>
                <w:fitText w:val="120" w:id="-1032575486"/>
                <w14:textFill>
                  <w14:solidFill>
                    <w14:srgbClr w14:val="000000">
                      <w14:alpha w14:val="100000"/>
                    </w14:srgbClr>
                  </w14:solidFill>
                </w14:textFill>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C626896" w14:textId="48941757"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5"/>
                <w14:textFill>
                  <w14:solidFill>
                    <w14:srgbClr w14:val="000000">
                      <w14:alpha w14:val="100000"/>
                    </w14:srgbClr>
                  </w14:solidFill>
                </w14:textFill>
              </w:rPr>
              <w:t xml:space="preserve">　</w:t>
            </w:r>
            <w:r w:rsidR="007C10F8" w:rsidRPr="007C10F8">
              <w:rPr>
                <w:color w:val="000000"/>
                <w:w w:val="33"/>
                <w:shd w:val="solid" w:color="000000" w:fill="000000"/>
                <w:fitText w:val="150" w:id="-1032575485"/>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5"/>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6531B95" w14:textId="6C916A7C"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4"/>
                <w14:textFill>
                  <w14:solidFill>
                    <w14:srgbClr w14:val="000000">
                      <w14:alpha w14:val="100000"/>
                    </w14:srgbClr>
                  </w14:solidFill>
                </w14:textFill>
              </w:rPr>
              <w:t xml:space="preserve">　</w:t>
            </w:r>
            <w:r w:rsidR="007C10F8" w:rsidRPr="007C10F8">
              <w:rPr>
                <w:color w:val="000000"/>
                <w:w w:val="33"/>
                <w:shd w:val="solid" w:color="000000" w:fill="000000"/>
                <w:fitText w:val="150" w:id="-1032575484"/>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4"/>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D55FBD8" w14:textId="20ADC80E"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3"/>
                <w14:textFill>
                  <w14:solidFill>
                    <w14:srgbClr w14:val="000000">
                      <w14:alpha w14:val="100000"/>
                    </w14:srgbClr>
                  </w14:solidFill>
                </w14:textFill>
              </w:rPr>
              <w:t xml:space="preserve">　</w:t>
            </w:r>
            <w:r w:rsidR="007C10F8" w:rsidRPr="007C10F8">
              <w:rPr>
                <w:color w:val="000000"/>
                <w:w w:val="33"/>
                <w:shd w:val="solid" w:color="000000" w:fill="000000"/>
                <w:fitText w:val="150" w:id="-1032575483"/>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3"/>
                <w14:textFill>
                  <w14:solidFill>
                    <w14:srgbClr w14:val="000000">
                      <w14:alpha w14:val="100000"/>
                    </w14:srgbClr>
                  </w14:solidFill>
                </w14:textFill>
              </w:rPr>
              <w:t xml:space="preserve">　</w:t>
            </w:r>
            <w:r w:rsidR="00020D40" w:rsidRPr="00020D40">
              <w:rPr>
                <w:rFonts w:eastAsia="Calibri"/>
                <w:vertAlign w:val="superscript"/>
              </w:rPr>
              <w:t>4</w:t>
            </w:r>
          </w:p>
        </w:tc>
      </w:tr>
      <w:tr w:rsidR="0087662C" w:rsidRPr="000A33D2" w14:paraId="390D4ECB" w14:textId="77777777" w:rsidTr="00020D40">
        <w:tc>
          <w:tcPr>
            <w:tcW w:w="2830" w:type="dxa"/>
            <w:tcBorders>
              <w:top w:val="single" w:sz="4" w:space="0" w:color="auto"/>
              <w:bottom w:val="single" w:sz="4" w:space="0" w:color="auto"/>
              <w:right w:val="single" w:sz="4" w:space="0" w:color="auto"/>
            </w:tcBorders>
            <w:shd w:val="clear" w:color="auto" w:fill="auto"/>
            <w:vAlign w:val="center"/>
          </w:tcPr>
          <w:p w14:paraId="345D8195" w14:textId="75C0AF9E" w:rsidR="0087662C" w:rsidRPr="000A33D2" w:rsidRDefault="0087662C" w:rsidP="00020D40">
            <w:pPr>
              <w:pStyle w:val="Tabletext"/>
            </w:pPr>
            <w:r w:rsidRPr="000A33D2">
              <w:t>Net cost to PBS/RPBS (eff)</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0240EEE0" w14:textId="134D2065" w:rsidR="0087662C" w:rsidRPr="00020D40" w:rsidRDefault="0087662C" w:rsidP="00020D40">
            <w:pPr>
              <w:pStyle w:val="Tabletext"/>
              <w:jc w:val="center"/>
            </w:pPr>
            <w:r w:rsidRPr="00020D40">
              <w:t>$</w:t>
            </w:r>
            <w:r w:rsidR="007C10F8" w:rsidRPr="007C10F8">
              <w:rPr>
                <w:rFonts w:hint="eastAsia"/>
                <w:color w:val="000000"/>
                <w:w w:val="16"/>
                <w:shd w:val="solid" w:color="000000" w:fill="000000"/>
                <w:fitText w:val="75" w:id="-1032575482"/>
                <w14:textFill>
                  <w14:solidFill>
                    <w14:srgbClr w14:val="000000">
                      <w14:alpha w14:val="100000"/>
                    </w14:srgbClr>
                  </w14:solidFill>
                </w14:textFill>
              </w:rPr>
              <w:t xml:space="preserve">　</w:t>
            </w:r>
            <w:r w:rsidR="007C10F8" w:rsidRPr="007C10F8">
              <w:rPr>
                <w:color w:val="000000"/>
                <w:w w:val="16"/>
                <w:shd w:val="solid" w:color="000000" w:fill="000000"/>
                <w:fitText w:val="75" w:id="-1032575482"/>
                <w14:textFill>
                  <w14:solidFill>
                    <w14:srgbClr w14:val="000000">
                      <w14:alpha w14:val="100000"/>
                    </w14:srgbClr>
                  </w14:solidFill>
                </w14:textFill>
              </w:rPr>
              <w:t>|</w:t>
            </w:r>
            <w:r w:rsidR="007C10F8" w:rsidRPr="007C10F8">
              <w:rPr>
                <w:rFonts w:hint="eastAsia"/>
                <w:color w:val="000000"/>
                <w:spacing w:val="5"/>
                <w:w w:val="16"/>
                <w:shd w:val="solid" w:color="000000" w:fill="000000"/>
                <w:fitText w:val="75" w:id="-1032575482"/>
                <w14:textFill>
                  <w14:solidFill>
                    <w14:srgbClr w14:val="000000">
                      <w14:alpha w14:val="100000"/>
                    </w14:srgbClr>
                  </w14:solidFill>
                </w14:textFill>
              </w:rPr>
              <w:t xml:space="preserve">　</w:t>
            </w:r>
            <w:r w:rsidR="00020D40">
              <w:rPr>
                <w:rFonts w:eastAsia="Calibri"/>
                <w:vertAlign w:val="superscript"/>
              </w:rPr>
              <w:t>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8AE44" w14:textId="104BA703"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1"/>
                <w14:textFill>
                  <w14:solidFill>
                    <w14:srgbClr w14:val="000000">
                      <w14:alpha w14:val="100000"/>
                    </w14:srgbClr>
                  </w14:solidFill>
                </w14:textFill>
              </w:rPr>
              <w:t xml:space="preserve">　</w:t>
            </w:r>
            <w:r w:rsidR="007C10F8" w:rsidRPr="007C10F8">
              <w:rPr>
                <w:color w:val="000000"/>
                <w:w w:val="33"/>
                <w:shd w:val="solid" w:color="000000" w:fill="000000"/>
                <w:fitText w:val="150" w:id="-1032575481"/>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1"/>
                <w14:textFill>
                  <w14:solidFill>
                    <w14:srgbClr w14:val="000000">
                      <w14:alpha w14:val="100000"/>
                    </w14:srgbClr>
                  </w14:solidFill>
                </w14:textFill>
              </w:rPr>
              <w:t xml:space="preserve">　</w:t>
            </w:r>
            <w:r w:rsidR="00020D40" w:rsidRPr="00020D40">
              <w:rPr>
                <w:rFonts w:eastAsia="Calibri"/>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DE22499" w14:textId="53696A38"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0"/>
                <w14:textFill>
                  <w14:solidFill>
                    <w14:srgbClr w14:val="000000">
                      <w14:alpha w14:val="100000"/>
                    </w14:srgbClr>
                  </w14:solidFill>
                </w14:textFill>
              </w:rPr>
              <w:t xml:space="preserve">　</w:t>
            </w:r>
            <w:r w:rsidR="007C10F8" w:rsidRPr="007C10F8">
              <w:rPr>
                <w:color w:val="000000"/>
                <w:w w:val="33"/>
                <w:shd w:val="solid" w:color="000000" w:fill="000000"/>
                <w:fitText w:val="150" w:id="-1032575480"/>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0"/>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7A2CD6A" w14:textId="4E14FC66"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9"/>
                <w14:textFill>
                  <w14:solidFill>
                    <w14:srgbClr w14:val="000000">
                      <w14:alpha w14:val="100000"/>
                    </w14:srgbClr>
                  </w14:solidFill>
                </w14:textFill>
              </w:rPr>
              <w:t xml:space="preserve">　</w:t>
            </w:r>
            <w:r w:rsidR="007C10F8" w:rsidRPr="007C10F8">
              <w:rPr>
                <w:color w:val="000000"/>
                <w:w w:val="33"/>
                <w:shd w:val="solid" w:color="000000" w:fill="000000"/>
                <w:fitText w:val="150" w:id="-1032575479"/>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9"/>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BAF0818" w14:textId="34BCCDFE"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8"/>
                <w14:textFill>
                  <w14:solidFill>
                    <w14:srgbClr w14:val="000000">
                      <w14:alpha w14:val="100000"/>
                    </w14:srgbClr>
                  </w14:solidFill>
                </w14:textFill>
              </w:rPr>
              <w:t xml:space="preserve">　</w:t>
            </w:r>
            <w:r w:rsidR="007C10F8" w:rsidRPr="007C10F8">
              <w:rPr>
                <w:color w:val="000000"/>
                <w:w w:val="33"/>
                <w:shd w:val="solid" w:color="000000" w:fill="000000"/>
                <w:fitText w:val="150" w:id="-1032575478"/>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8"/>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4D6371E" w14:textId="13CFC429"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7"/>
                <w14:textFill>
                  <w14:solidFill>
                    <w14:srgbClr w14:val="000000">
                      <w14:alpha w14:val="100000"/>
                    </w14:srgbClr>
                  </w14:solidFill>
                </w14:textFill>
              </w:rPr>
              <w:t xml:space="preserve">　</w:t>
            </w:r>
            <w:r w:rsidR="007C10F8" w:rsidRPr="007C10F8">
              <w:rPr>
                <w:color w:val="000000"/>
                <w:w w:val="33"/>
                <w:shd w:val="solid" w:color="000000" w:fill="000000"/>
                <w:fitText w:val="150" w:id="-1032575477"/>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7"/>
                <w14:textFill>
                  <w14:solidFill>
                    <w14:srgbClr w14:val="000000">
                      <w14:alpha w14:val="100000"/>
                    </w14:srgbClr>
                  </w14:solidFill>
                </w14:textFill>
              </w:rPr>
              <w:t xml:space="preserve">　</w:t>
            </w:r>
            <w:r w:rsidR="00020D40" w:rsidRPr="00020D40">
              <w:rPr>
                <w:rFonts w:eastAsia="Calibri"/>
                <w:vertAlign w:val="superscript"/>
              </w:rPr>
              <w:t>3</w:t>
            </w:r>
          </w:p>
        </w:tc>
      </w:tr>
      <w:tr w:rsidR="0087662C" w:rsidRPr="000A33D2" w14:paraId="5BE9B14F" w14:textId="77777777" w:rsidTr="00020D40">
        <w:tc>
          <w:tcPr>
            <w:tcW w:w="2830" w:type="dxa"/>
            <w:tcBorders>
              <w:top w:val="single" w:sz="4" w:space="0" w:color="auto"/>
              <w:bottom w:val="single" w:sz="4" w:space="0" w:color="auto"/>
              <w:right w:val="single" w:sz="4" w:space="0" w:color="auto"/>
            </w:tcBorders>
            <w:shd w:val="clear" w:color="auto" w:fill="auto"/>
            <w:vAlign w:val="center"/>
          </w:tcPr>
          <w:p w14:paraId="6800153A" w14:textId="7C1E4877" w:rsidR="0087662C" w:rsidRPr="000A33D2" w:rsidRDefault="0087662C" w:rsidP="00020D40">
            <w:pPr>
              <w:pStyle w:val="Tabletext"/>
            </w:pPr>
            <w:r w:rsidRPr="000A33D2">
              <w:t xml:space="preserve">Net MBS costs </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663B5258" w14:textId="24675ACE" w:rsidR="0087662C" w:rsidRPr="00020D40" w:rsidRDefault="0087662C" w:rsidP="00020D40">
            <w:pPr>
              <w:pStyle w:val="Tabletext"/>
              <w:jc w:val="center"/>
            </w:pPr>
            <w:r w:rsidRPr="00020D40">
              <w:t>$</w:t>
            </w:r>
            <w:r w:rsidR="007C10F8" w:rsidRPr="007C10F8">
              <w:rPr>
                <w:rFonts w:hint="eastAsia"/>
                <w:color w:val="000000"/>
                <w:w w:val="16"/>
                <w:shd w:val="solid" w:color="000000" w:fill="000000"/>
                <w:fitText w:val="75" w:id="-1032575476"/>
                <w14:textFill>
                  <w14:solidFill>
                    <w14:srgbClr w14:val="000000">
                      <w14:alpha w14:val="100000"/>
                    </w14:srgbClr>
                  </w14:solidFill>
                </w14:textFill>
              </w:rPr>
              <w:t xml:space="preserve">　</w:t>
            </w:r>
            <w:r w:rsidR="007C10F8" w:rsidRPr="007C10F8">
              <w:rPr>
                <w:color w:val="000000"/>
                <w:w w:val="16"/>
                <w:shd w:val="solid" w:color="000000" w:fill="000000"/>
                <w:fitText w:val="75" w:id="-1032575476"/>
                <w14:textFill>
                  <w14:solidFill>
                    <w14:srgbClr w14:val="000000">
                      <w14:alpha w14:val="100000"/>
                    </w14:srgbClr>
                  </w14:solidFill>
                </w14:textFill>
              </w:rPr>
              <w:t>|</w:t>
            </w:r>
            <w:r w:rsidR="007C10F8" w:rsidRPr="007C10F8">
              <w:rPr>
                <w:rFonts w:hint="eastAsia"/>
                <w:color w:val="000000"/>
                <w:spacing w:val="5"/>
                <w:w w:val="16"/>
                <w:shd w:val="solid" w:color="000000" w:fill="000000"/>
                <w:fitText w:val="75" w:id="-1032575476"/>
                <w14:textFill>
                  <w14:solidFill>
                    <w14:srgbClr w14:val="000000">
                      <w14:alpha w14:val="100000"/>
                    </w14:srgbClr>
                  </w14:solidFill>
                </w14:textFill>
              </w:rPr>
              <w:t xml:space="preserve">　</w:t>
            </w:r>
            <w:r w:rsidR="00020D40">
              <w:rPr>
                <w:rFonts w:eastAsia="Calibri"/>
                <w:vertAlign w:val="superscript"/>
              </w:rPr>
              <w:t>6</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2F8FA" w14:textId="14E80B0D"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5"/>
                <w14:textFill>
                  <w14:solidFill>
                    <w14:srgbClr w14:val="000000">
                      <w14:alpha w14:val="100000"/>
                    </w14:srgbClr>
                  </w14:solidFill>
                </w14:textFill>
              </w:rPr>
              <w:t xml:space="preserve">　</w:t>
            </w:r>
            <w:r w:rsidR="007C10F8" w:rsidRPr="007C10F8">
              <w:rPr>
                <w:color w:val="000000"/>
                <w:w w:val="33"/>
                <w:shd w:val="solid" w:color="000000" w:fill="000000"/>
                <w:fitText w:val="150" w:id="-1032575475"/>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5"/>
                <w14:textFill>
                  <w14:solidFill>
                    <w14:srgbClr w14:val="000000">
                      <w14:alpha w14:val="100000"/>
                    </w14:srgbClr>
                  </w14:solidFill>
                </w14:textFill>
              </w:rPr>
              <w:t xml:space="preserve">　</w:t>
            </w:r>
            <w:r w:rsidR="00020D40">
              <w:rPr>
                <w:rFonts w:eastAsia="Calibri"/>
                <w:vertAlign w:val="superscript"/>
              </w:rPr>
              <w:t>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4A63DBA" w14:textId="0BE60F99"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4"/>
                <w14:textFill>
                  <w14:solidFill>
                    <w14:srgbClr w14:val="000000">
                      <w14:alpha w14:val="100000"/>
                    </w14:srgbClr>
                  </w14:solidFill>
                </w14:textFill>
              </w:rPr>
              <w:t xml:space="preserve">　</w:t>
            </w:r>
            <w:r w:rsidR="007C10F8" w:rsidRPr="007C10F8">
              <w:rPr>
                <w:color w:val="000000"/>
                <w:w w:val="33"/>
                <w:shd w:val="solid" w:color="000000" w:fill="000000"/>
                <w:fitText w:val="150" w:id="-1032575474"/>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4"/>
                <w14:textFill>
                  <w14:solidFill>
                    <w14:srgbClr w14:val="000000">
                      <w14:alpha w14:val="100000"/>
                    </w14:srgbClr>
                  </w14:solidFill>
                </w14:textFill>
              </w:rPr>
              <w:t xml:space="preserve">　</w:t>
            </w:r>
            <w:r w:rsidR="00020D40">
              <w:rPr>
                <w:rFonts w:eastAsia="Calibri"/>
                <w:vertAlign w:val="superscript"/>
              </w:rPr>
              <w:t>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89AD72B" w14:textId="68F2041E"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3"/>
                <w14:textFill>
                  <w14:solidFill>
                    <w14:srgbClr w14:val="000000">
                      <w14:alpha w14:val="100000"/>
                    </w14:srgbClr>
                  </w14:solidFill>
                </w14:textFill>
              </w:rPr>
              <w:t xml:space="preserve">　</w:t>
            </w:r>
            <w:r w:rsidR="007C10F8" w:rsidRPr="007C10F8">
              <w:rPr>
                <w:color w:val="000000"/>
                <w:w w:val="33"/>
                <w:shd w:val="solid" w:color="000000" w:fill="000000"/>
                <w:fitText w:val="150" w:id="-1032575473"/>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3"/>
                <w14:textFill>
                  <w14:solidFill>
                    <w14:srgbClr w14:val="000000">
                      <w14:alpha w14:val="100000"/>
                    </w14:srgbClr>
                  </w14:solidFill>
                </w14:textFill>
              </w:rPr>
              <w:t xml:space="preserve">　</w:t>
            </w:r>
            <w:r w:rsidR="00020D40">
              <w:rPr>
                <w:rFonts w:eastAsia="Calibri"/>
                <w:vertAlign w:val="superscript"/>
              </w:rPr>
              <w:t>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73D7B36" w14:textId="6812FD11"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72"/>
                <w14:textFill>
                  <w14:solidFill>
                    <w14:srgbClr w14:val="000000">
                      <w14:alpha w14:val="100000"/>
                    </w14:srgbClr>
                  </w14:solidFill>
                </w14:textFill>
              </w:rPr>
              <w:t xml:space="preserve">　</w:t>
            </w:r>
            <w:r w:rsidR="007C10F8" w:rsidRPr="007C10F8">
              <w:rPr>
                <w:color w:val="000000"/>
                <w:w w:val="33"/>
                <w:shd w:val="solid" w:color="000000" w:fill="000000"/>
                <w:fitText w:val="150" w:id="-1032575472"/>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2"/>
                <w14:textFill>
                  <w14:solidFill>
                    <w14:srgbClr w14:val="000000">
                      <w14:alpha w14:val="100000"/>
                    </w14:srgbClr>
                  </w14:solidFill>
                </w14:textFill>
              </w:rPr>
              <w:t xml:space="preserve">　</w:t>
            </w:r>
            <w:r w:rsidR="00020D40">
              <w:rPr>
                <w:rFonts w:eastAsia="Calibri"/>
                <w:vertAlign w:val="superscript"/>
              </w:rPr>
              <w:t>6</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CACCAB8" w14:textId="14E3C5F8"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8"/>
                <w14:textFill>
                  <w14:solidFill>
                    <w14:srgbClr w14:val="000000">
                      <w14:alpha w14:val="100000"/>
                    </w14:srgbClr>
                  </w14:solidFill>
                </w14:textFill>
              </w:rPr>
              <w:t xml:space="preserve">　</w:t>
            </w:r>
            <w:r w:rsidR="007C10F8" w:rsidRPr="007C10F8">
              <w:rPr>
                <w:color w:val="000000"/>
                <w:w w:val="33"/>
                <w:shd w:val="solid" w:color="000000" w:fill="000000"/>
                <w:fitText w:val="150" w:id="-1032575488"/>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8"/>
                <w14:textFill>
                  <w14:solidFill>
                    <w14:srgbClr w14:val="000000">
                      <w14:alpha w14:val="100000"/>
                    </w14:srgbClr>
                  </w14:solidFill>
                </w14:textFill>
              </w:rPr>
              <w:t xml:space="preserve">　</w:t>
            </w:r>
            <w:r w:rsidR="00020D40">
              <w:rPr>
                <w:rFonts w:eastAsia="Calibri"/>
                <w:vertAlign w:val="superscript"/>
              </w:rPr>
              <w:t>6</w:t>
            </w:r>
          </w:p>
        </w:tc>
      </w:tr>
      <w:tr w:rsidR="0087662C" w:rsidRPr="000A33D2" w14:paraId="58E1F003" w14:textId="77777777" w:rsidTr="00020D40">
        <w:tc>
          <w:tcPr>
            <w:tcW w:w="2830" w:type="dxa"/>
            <w:tcBorders>
              <w:top w:val="single" w:sz="4" w:space="0" w:color="auto"/>
              <w:bottom w:val="single" w:sz="4" w:space="0" w:color="auto"/>
              <w:right w:val="single" w:sz="4" w:space="0" w:color="auto"/>
            </w:tcBorders>
            <w:shd w:val="clear" w:color="auto" w:fill="auto"/>
            <w:vAlign w:val="center"/>
          </w:tcPr>
          <w:p w14:paraId="4968F6A1" w14:textId="30CEF80A" w:rsidR="0087662C" w:rsidRPr="000A33D2" w:rsidRDefault="0087662C" w:rsidP="00020D40">
            <w:pPr>
              <w:pStyle w:val="Tabletext"/>
            </w:pPr>
            <w:r w:rsidRPr="000A33D2">
              <w:t>Net cost to Govt health budget (eff)</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5ACA5BEC" w14:textId="0360725B" w:rsidR="0087662C" w:rsidRPr="00020D40" w:rsidRDefault="0087662C" w:rsidP="00020D40">
            <w:pPr>
              <w:pStyle w:val="Tabletext"/>
              <w:jc w:val="center"/>
            </w:pPr>
            <w:r w:rsidRPr="00020D40">
              <w:t>$</w:t>
            </w:r>
            <w:r w:rsidR="007C10F8" w:rsidRPr="007C10F8">
              <w:rPr>
                <w:rFonts w:hint="eastAsia"/>
                <w:color w:val="000000"/>
                <w:w w:val="16"/>
                <w:shd w:val="solid" w:color="000000" w:fill="000000"/>
                <w:fitText w:val="75" w:id="-1032575487"/>
                <w14:textFill>
                  <w14:solidFill>
                    <w14:srgbClr w14:val="000000">
                      <w14:alpha w14:val="100000"/>
                    </w14:srgbClr>
                  </w14:solidFill>
                </w14:textFill>
              </w:rPr>
              <w:t xml:space="preserve">　</w:t>
            </w:r>
            <w:r w:rsidR="007C10F8" w:rsidRPr="007C10F8">
              <w:rPr>
                <w:color w:val="000000"/>
                <w:w w:val="16"/>
                <w:shd w:val="solid" w:color="000000" w:fill="000000"/>
                <w:fitText w:val="75" w:id="-1032575487"/>
                <w14:textFill>
                  <w14:solidFill>
                    <w14:srgbClr w14:val="000000">
                      <w14:alpha w14:val="100000"/>
                    </w14:srgbClr>
                  </w14:solidFill>
                </w14:textFill>
              </w:rPr>
              <w:t>|</w:t>
            </w:r>
            <w:r w:rsidR="007C10F8" w:rsidRPr="007C10F8">
              <w:rPr>
                <w:rFonts w:hint="eastAsia"/>
                <w:color w:val="000000"/>
                <w:spacing w:val="5"/>
                <w:w w:val="16"/>
                <w:shd w:val="solid" w:color="000000" w:fill="000000"/>
                <w:fitText w:val="75" w:id="-1032575487"/>
                <w14:textFill>
                  <w14:solidFill>
                    <w14:srgbClr w14:val="000000">
                      <w14:alpha w14:val="100000"/>
                    </w14:srgbClr>
                  </w14:solidFill>
                </w14:textFill>
              </w:rPr>
              <w:t xml:space="preserve">　</w:t>
            </w:r>
            <w:r w:rsidR="00020D40">
              <w:rPr>
                <w:rFonts w:eastAsia="Calibri"/>
                <w:vertAlign w:val="superscript"/>
              </w:rPr>
              <w:t>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559FB" w14:textId="6215797D"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6"/>
                <w14:textFill>
                  <w14:solidFill>
                    <w14:srgbClr w14:val="000000">
                      <w14:alpha w14:val="100000"/>
                    </w14:srgbClr>
                  </w14:solidFill>
                </w14:textFill>
              </w:rPr>
              <w:t xml:space="preserve">　</w:t>
            </w:r>
            <w:r w:rsidR="007C10F8" w:rsidRPr="007C10F8">
              <w:rPr>
                <w:color w:val="000000"/>
                <w:w w:val="33"/>
                <w:shd w:val="solid" w:color="000000" w:fill="000000"/>
                <w:fitText w:val="150" w:id="-1032575486"/>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6"/>
                <w14:textFill>
                  <w14:solidFill>
                    <w14:srgbClr w14:val="000000">
                      <w14:alpha w14:val="100000"/>
                    </w14:srgbClr>
                  </w14:solidFill>
                </w14:textFill>
              </w:rPr>
              <w:t xml:space="preserve">　</w:t>
            </w:r>
            <w:r w:rsidR="00020D40" w:rsidRPr="00020D40">
              <w:rPr>
                <w:rFonts w:eastAsia="Calibri"/>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9C9C594" w14:textId="4A2B2841"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5"/>
                <w14:textFill>
                  <w14:solidFill>
                    <w14:srgbClr w14:val="000000">
                      <w14:alpha w14:val="100000"/>
                    </w14:srgbClr>
                  </w14:solidFill>
                </w14:textFill>
              </w:rPr>
              <w:t xml:space="preserve">　</w:t>
            </w:r>
            <w:r w:rsidR="007C10F8" w:rsidRPr="007C10F8">
              <w:rPr>
                <w:color w:val="000000"/>
                <w:w w:val="33"/>
                <w:shd w:val="solid" w:color="000000" w:fill="000000"/>
                <w:fitText w:val="150" w:id="-1032575485"/>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5"/>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CAD9EFA" w14:textId="4BB859FB"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4"/>
                <w14:textFill>
                  <w14:solidFill>
                    <w14:srgbClr w14:val="000000">
                      <w14:alpha w14:val="100000"/>
                    </w14:srgbClr>
                  </w14:solidFill>
                </w14:textFill>
              </w:rPr>
              <w:t xml:space="preserve">　</w:t>
            </w:r>
            <w:r w:rsidR="007C10F8" w:rsidRPr="007C10F8">
              <w:rPr>
                <w:color w:val="000000"/>
                <w:w w:val="33"/>
                <w:shd w:val="solid" w:color="000000" w:fill="000000"/>
                <w:fitText w:val="150" w:id="-1032575484"/>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4"/>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BB898FC" w14:textId="39E2C3D8"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3"/>
                <w14:textFill>
                  <w14:solidFill>
                    <w14:srgbClr w14:val="000000">
                      <w14:alpha w14:val="100000"/>
                    </w14:srgbClr>
                  </w14:solidFill>
                </w14:textFill>
              </w:rPr>
              <w:t xml:space="preserve">　</w:t>
            </w:r>
            <w:r w:rsidR="007C10F8" w:rsidRPr="007C10F8">
              <w:rPr>
                <w:color w:val="000000"/>
                <w:w w:val="33"/>
                <w:shd w:val="solid" w:color="000000" w:fill="000000"/>
                <w:fitText w:val="150" w:id="-1032575483"/>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3"/>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3D1F647" w14:textId="748864D9" w:rsidR="0087662C" w:rsidRPr="00020D40" w:rsidRDefault="0087662C" w:rsidP="00020D40">
            <w:pPr>
              <w:pStyle w:val="Tabletext"/>
              <w:jc w:val="center"/>
            </w:pPr>
            <w:r w:rsidRPr="00020D40">
              <w:t>$</w:t>
            </w:r>
            <w:r w:rsidR="007C10F8" w:rsidRPr="007C10F8">
              <w:rPr>
                <w:rFonts w:hint="eastAsia"/>
                <w:color w:val="000000"/>
                <w:w w:val="33"/>
                <w:shd w:val="solid" w:color="000000" w:fill="000000"/>
                <w:fitText w:val="150" w:id="-1032575482"/>
                <w14:textFill>
                  <w14:solidFill>
                    <w14:srgbClr w14:val="000000">
                      <w14:alpha w14:val="100000"/>
                    </w14:srgbClr>
                  </w14:solidFill>
                </w14:textFill>
              </w:rPr>
              <w:t xml:space="preserve">　</w:t>
            </w:r>
            <w:r w:rsidR="007C10F8" w:rsidRPr="007C10F8">
              <w:rPr>
                <w:color w:val="000000"/>
                <w:w w:val="33"/>
                <w:shd w:val="solid" w:color="000000" w:fill="000000"/>
                <w:fitText w:val="150" w:id="-1032575482"/>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2"/>
                <w14:textFill>
                  <w14:solidFill>
                    <w14:srgbClr w14:val="000000">
                      <w14:alpha w14:val="100000"/>
                    </w14:srgbClr>
                  </w14:solidFill>
                </w14:textFill>
              </w:rPr>
              <w:t xml:space="preserve">　</w:t>
            </w:r>
            <w:r w:rsidR="00020D40" w:rsidRPr="00020D40">
              <w:rPr>
                <w:rFonts w:eastAsia="Calibri"/>
                <w:vertAlign w:val="superscript"/>
              </w:rPr>
              <w:t>3</w:t>
            </w:r>
          </w:p>
        </w:tc>
      </w:tr>
      <w:tr w:rsidR="0000768D" w:rsidRPr="000A33D2" w14:paraId="69343A52" w14:textId="77777777" w:rsidTr="0000768D">
        <w:tc>
          <w:tcPr>
            <w:tcW w:w="4248" w:type="dxa"/>
            <w:gridSpan w:val="3"/>
            <w:tcBorders>
              <w:top w:val="single" w:sz="4" w:space="0" w:color="auto"/>
              <w:bottom w:val="single" w:sz="4" w:space="0" w:color="auto"/>
              <w:right w:val="nil"/>
            </w:tcBorders>
            <w:shd w:val="clear" w:color="auto" w:fill="auto"/>
            <w:vAlign w:val="center"/>
          </w:tcPr>
          <w:p w14:paraId="43B62C08" w14:textId="434BB0BD" w:rsidR="0000768D" w:rsidRPr="000A33D2" w:rsidRDefault="0000768D" w:rsidP="008C4E61">
            <w:pPr>
              <w:pStyle w:val="TableText0"/>
              <w:keepLines/>
              <w:rPr>
                <w:rFonts w:eastAsia="Calibri" w:cs="Times New Roman"/>
                <w:b/>
                <w:bCs w:val="0"/>
                <w:szCs w:val="20"/>
              </w:rPr>
            </w:pPr>
            <w:r w:rsidRPr="000A33D2">
              <w:rPr>
                <w:rFonts w:eastAsia="Calibri" w:cs="Times New Roman"/>
                <w:b/>
                <w:bCs w:val="0"/>
                <w:szCs w:val="20"/>
              </w:rPr>
              <w:t>Pre-PBAC revised (effective price $</w:t>
            </w:r>
            <w:r w:rsidR="007C10F8" w:rsidRPr="007C10F8">
              <w:rPr>
                <w:rFonts w:eastAsia="Calibri" w:cs="Times New Roman"/>
                <w:b/>
                <w:bCs w:val="0"/>
                <w:color w:val="000000"/>
                <w:spacing w:val="53"/>
                <w:szCs w:val="20"/>
                <w:shd w:val="solid" w:color="000000" w:fill="000000"/>
                <w:fitText w:val="345" w:id="-1032575481"/>
                <w14:textFill>
                  <w14:solidFill>
                    <w14:srgbClr w14:val="000000">
                      <w14:alpha w14:val="100000"/>
                    </w14:srgbClr>
                  </w14:solidFill>
                </w14:textFill>
              </w:rPr>
              <w:t>|||</w:t>
            </w:r>
            <w:r w:rsidR="007C10F8" w:rsidRPr="007C10F8">
              <w:rPr>
                <w:rFonts w:eastAsia="Calibri" w:cs="Times New Roman"/>
                <w:b/>
                <w:bCs w:val="0"/>
                <w:color w:val="000000"/>
                <w:spacing w:val="3"/>
                <w:szCs w:val="20"/>
                <w:shd w:val="solid" w:color="000000" w:fill="000000"/>
                <w:fitText w:val="345" w:id="-1032575481"/>
                <w14:textFill>
                  <w14:solidFill>
                    <w14:srgbClr w14:val="000000">
                      <w14:alpha w14:val="100000"/>
                    </w14:srgbClr>
                  </w14:solidFill>
                </w14:textFill>
              </w:rPr>
              <w:t>|</w:t>
            </w:r>
            <w:r w:rsidRPr="000A33D2">
              <w:rPr>
                <w:rFonts w:eastAsia="Calibri" w:cs="Times New Roman"/>
                <w:b/>
                <w:bCs w:val="0"/>
                <w:szCs w:val="20"/>
              </w:rPr>
              <w:t xml:space="preserve"> per vial)</w:t>
            </w:r>
          </w:p>
        </w:tc>
        <w:tc>
          <w:tcPr>
            <w:tcW w:w="283" w:type="dxa"/>
            <w:tcBorders>
              <w:top w:val="single" w:sz="4" w:space="0" w:color="auto"/>
              <w:left w:val="nil"/>
              <w:bottom w:val="single" w:sz="4" w:space="0" w:color="auto"/>
              <w:right w:val="nil"/>
            </w:tcBorders>
            <w:shd w:val="clear" w:color="auto" w:fill="auto"/>
            <w:vAlign w:val="center"/>
          </w:tcPr>
          <w:p w14:paraId="3EC3F4F7" w14:textId="77777777" w:rsidR="0000768D" w:rsidRPr="000A33D2" w:rsidRDefault="0000768D" w:rsidP="008C4E61">
            <w:pPr>
              <w:keepNext/>
              <w:keepLines/>
              <w:jc w:val="center"/>
              <w:rPr>
                <w:rFonts w:ascii="Arial Narrow" w:hAnsi="Arial Narrow"/>
                <w:b/>
                <w:sz w:val="20"/>
                <w:szCs w:val="20"/>
              </w:rPr>
            </w:pPr>
          </w:p>
        </w:tc>
        <w:tc>
          <w:tcPr>
            <w:tcW w:w="472" w:type="dxa"/>
            <w:tcBorders>
              <w:top w:val="single" w:sz="4" w:space="0" w:color="auto"/>
              <w:left w:val="nil"/>
              <w:bottom w:val="single" w:sz="4" w:space="0" w:color="auto"/>
              <w:right w:val="nil"/>
            </w:tcBorders>
            <w:shd w:val="clear" w:color="auto" w:fill="auto"/>
            <w:vAlign w:val="center"/>
          </w:tcPr>
          <w:p w14:paraId="7E997B32" w14:textId="77777777" w:rsidR="0000768D" w:rsidRPr="000A33D2" w:rsidRDefault="0000768D" w:rsidP="008C4E61">
            <w:pPr>
              <w:keepNext/>
              <w:keepLines/>
              <w:jc w:val="center"/>
              <w:rPr>
                <w:rFonts w:ascii="Arial Narrow" w:hAnsi="Arial Narrow"/>
                <w:b/>
                <w:sz w:val="20"/>
                <w:szCs w:val="20"/>
              </w:rPr>
            </w:pPr>
          </w:p>
        </w:tc>
        <w:tc>
          <w:tcPr>
            <w:tcW w:w="1016" w:type="dxa"/>
            <w:tcBorders>
              <w:top w:val="single" w:sz="4" w:space="0" w:color="auto"/>
              <w:left w:val="nil"/>
              <w:bottom w:val="single" w:sz="4" w:space="0" w:color="auto"/>
              <w:right w:val="nil"/>
            </w:tcBorders>
            <w:shd w:val="clear" w:color="auto" w:fill="auto"/>
            <w:vAlign w:val="center"/>
          </w:tcPr>
          <w:p w14:paraId="61183AB4" w14:textId="77777777" w:rsidR="0000768D" w:rsidRPr="000A33D2" w:rsidRDefault="0000768D" w:rsidP="008C4E61">
            <w:pPr>
              <w:keepNext/>
              <w:keepLines/>
              <w:jc w:val="center"/>
              <w:rPr>
                <w:rFonts w:ascii="Arial Narrow" w:hAnsi="Arial Narrow"/>
                <w:b/>
                <w:sz w:val="20"/>
                <w:szCs w:val="20"/>
              </w:rPr>
            </w:pPr>
          </w:p>
        </w:tc>
        <w:tc>
          <w:tcPr>
            <w:tcW w:w="1016" w:type="dxa"/>
            <w:tcBorders>
              <w:top w:val="single" w:sz="4" w:space="0" w:color="auto"/>
              <w:left w:val="nil"/>
              <w:bottom w:val="single" w:sz="4" w:space="0" w:color="auto"/>
              <w:right w:val="nil"/>
            </w:tcBorders>
            <w:shd w:val="clear" w:color="auto" w:fill="auto"/>
            <w:vAlign w:val="center"/>
          </w:tcPr>
          <w:p w14:paraId="7990E9DF" w14:textId="77777777" w:rsidR="0000768D" w:rsidRPr="000A33D2" w:rsidRDefault="0000768D" w:rsidP="008C4E61">
            <w:pPr>
              <w:keepNext/>
              <w:keepLines/>
              <w:jc w:val="center"/>
              <w:rPr>
                <w:rFonts w:ascii="Arial Narrow" w:hAnsi="Arial Narrow"/>
                <w:b/>
                <w:sz w:val="20"/>
                <w:szCs w:val="20"/>
              </w:rPr>
            </w:pPr>
          </w:p>
        </w:tc>
        <w:tc>
          <w:tcPr>
            <w:tcW w:w="1016" w:type="dxa"/>
            <w:tcBorders>
              <w:top w:val="single" w:sz="4" w:space="0" w:color="auto"/>
              <w:left w:val="nil"/>
              <w:bottom w:val="single" w:sz="4" w:space="0" w:color="auto"/>
              <w:right w:val="nil"/>
            </w:tcBorders>
            <w:shd w:val="clear" w:color="auto" w:fill="auto"/>
            <w:vAlign w:val="center"/>
          </w:tcPr>
          <w:p w14:paraId="47691216" w14:textId="77777777" w:rsidR="0000768D" w:rsidRPr="000A33D2" w:rsidRDefault="0000768D" w:rsidP="008C4E61">
            <w:pPr>
              <w:keepNext/>
              <w:keepLines/>
              <w:jc w:val="center"/>
              <w:rPr>
                <w:rFonts w:ascii="Arial Narrow" w:hAnsi="Arial Narrow"/>
                <w:b/>
                <w:sz w:val="20"/>
                <w:szCs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24E7BC6C" w14:textId="77777777" w:rsidR="0000768D" w:rsidRPr="000A33D2" w:rsidRDefault="0000768D" w:rsidP="008C4E61">
            <w:pPr>
              <w:keepNext/>
              <w:keepLines/>
              <w:jc w:val="center"/>
              <w:rPr>
                <w:rFonts w:ascii="Arial Narrow" w:hAnsi="Arial Narrow"/>
                <w:b/>
                <w:sz w:val="20"/>
                <w:szCs w:val="20"/>
              </w:rPr>
            </w:pPr>
          </w:p>
        </w:tc>
      </w:tr>
      <w:tr w:rsidR="008C4E61" w:rsidRPr="000A33D2" w14:paraId="59B43723" w14:textId="77777777" w:rsidTr="00020D40">
        <w:tc>
          <w:tcPr>
            <w:tcW w:w="2830" w:type="dxa"/>
            <w:tcBorders>
              <w:top w:val="single" w:sz="4" w:space="0" w:color="auto"/>
              <w:bottom w:val="single" w:sz="4" w:space="0" w:color="auto"/>
              <w:right w:val="single" w:sz="4" w:space="0" w:color="auto"/>
            </w:tcBorders>
            <w:shd w:val="clear" w:color="auto" w:fill="auto"/>
            <w:vAlign w:val="center"/>
          </w:tcPr>
          <w:p w14:paraId="2AA61566" w14:textId="4212FC63" w:rsidR="008C4E61" w:rsidRPr="000A33D2" w:rsidRDefault="008C4E61" w:rsidP="00020D40">
            <w:pPr>
              <w:pStyle w:val="TableText0"/>
            </w:pPr>
            <w:r w:rsidRPr="000A33D2">
              <w:t>Dostarlimab cost to PBS/RPBS (effective)</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08FC2B2" w14:textId="6F35E34A" w:rsidR="008C4E61" w:rsidRPr="000A33D2" w:rsidRDefault="008C4E61" w:rsidP="00020D40">
            <w:pPr>
              <w:pStyle w:val="TableText0"/>
              <w:jc w:val="center"/>
            </w:pPr>
            <w:r w:rsidRPr="000A33D2">
              <w:t>$</w:t>
            </w:r>
            <w:r w:rsidR="007C10F8" w:rsidRPr="007C10F8">
              <w:rPr>
                <w:rFonts w:hint="eastAsia"/>
                <w:color w:val="000000"/>
                <w:w w:val="16"/>
                <w:shd w:val="solid" w:color="000000" w:fill="000000"/>
                <w:fitText w:val="75" w:id="-1032575480"/>
                <w14:textFill>
                  <w14:solidFill>
                    <w14:srgbClr w14:val="000000">
                      <w14:alpha w14:val="100000"/>
                    </w14:srgbClr>
                  </w14:solidFill>
                </w14:textFill>
              </w:rPr>
              <w:t xml:space="preserve">　</w:t>
            </w:r>
            <w:r w:rsidR="007C10F8" w:rsidRPr="007C10F8">
              <w:rPr>
                <w:color w:val="000000"/>
                <w:w w:val="16"/>
                <w:shd w:val="solid" w:color="000000" w:fill="000000"/>
                <w:fitText w:val="75" w:id="-1032575480"/>
                <w14:textFill>
                  <w14:solidFill>
                    <w14:srgbClr w14:val="000000">
                      <w14:alpha w14:val="100000"/>
                    </w14:srgbClr>
                  </w14:solidFill>
                </w14:textFill>
              </w:rPr>
              <w:t>|</w:t>
            </w:r>
            <w:r w:rsidR="007C10F8" w:rsidRPr="007C10F8">
              <w:rPr>
                <w:rFonts w:hint="eastAsia"/>
                <w:color w:val="000000"/>
                <w:spacing w:val="5"/>
                <w:w w:val="16"/>
                <w:shd w:val="solid" w:color="000000" w:fill="000000"/>
                <w:fitText w:val="75" w:id="-1032575480"/>
                <w14:textFill>
                  <w14:solidFill>
                    <w14:srgbClr w14:val="000000">
                      <w14:alpha w14:val="100000"/>
                    </w14:srgbClr>
                  </w14:solidFill>
                </w14:textFill>
              </w:rPr>
              <w:t xml:space="preserve">　</w:t>
            </w:r>
            <w:r w:rsidR="00020D40">
              <w:rPr>
                <w:rFonts w:eastAsia="Calibri"/>
                <w:vertAlign w:val="superscript"/>
              </w:rPr>
              <w:t>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CFBEE" w14:textId="130D1C81"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9"/>
                <w14:textFill>
                  <w14:solidFill>
                    <w14:srgbClr w14:val="000000">
                      <w14:alpha w14:val="100000"/>
                    </w14:srgbClr>
                  </w14:solidFill>
                </w14:textFill>
              </w:rPr>
              <w:t xml:space="preserve">　</w:t>
            </w:r>
            <w:r w:rsidR="007C10F8" w:rsidRPr="007C10F8">
              <w:rPr>
                <w:color w:val="000000"/>
                <w:w w:val="33"/>
                <w:shd w:val="solid" w:color="000000" w:fill="000000"/>
                <w:fitText w:val="150" w:id="-1032575479"/>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9"/>
                <w14:textFill>
                  <w14:solidFill>
                    <w14:srgbClr w14:val="000000">
                      <w14:alpha w14:val="100000"/>
                    </w14:srgbClr>
                  </w14:solidFill>
                </w14:textFill>
              </w:rPr>
              <w:t xml:space="preserve">　</w:t>
            </w:r>
            <w:r w:rsidR="00020D40" w:rsidRPr="00020D40">
              <w:rPr>
                <w:rFonts w:eastAsia="Calibri"/>
                <w:vertAlign w:val="superscript"/>
              </w:rPr>
              <w:t>3</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6C9CE6C" w14:textId="7B754585"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8"/>
                <w14:textFill>
                  <w14:solidFill>
                    <w14:srgbClr w14:val="000000">
                      <w14:alpha w14:val="100000"/>
                    </w14:srgbClr>
                  </w14:solidFill>
                </w14:textFill>
              </w:rPr>
              <w:t xml:space="preserve">　</w:t>
            </w:r>
            <w:r w:rsidR="007C10F8" w:rsidRPr="007C10F8">
              <w:rPr>
                <w:color w:val="000000"/>
                <w:w w:val="33"/>
                <w:shd w:val="solid" w:color="000000" w:fill="000000"/>
                <w:fitText w:val="150" w:id="-1032575478"/>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8"/>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6700F3D4" w14:textId="4C0D4F92"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7"/>
                <w14:textFill>
                  <w14:solidFill>
                    <w14:srgbClr w14:val="000000">
                      <w14:alpha w14:val="100000"/>
                    </w14:srgbClr>
                  </w14:solidFill>
                </w14:textFill>
              </w:rPr>
              <w:t xml:space="preserve">　</w:t>
            </w:r>
            <w:r w:rsidR="007C10F8" w:rsidRPr="007C10F8">
              <w:rPr>
                <w:color w:val="000000"/>
                <w:w w:val="33"/>
                <w:shd w:val="solid" w:color="000000" w:fill="000000"/>
                <w:fitText w:val="150" w:id="-1032575477"/>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7"/>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A96E9C1" w14:textId="1BA2912B"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6"/>
                <w14:textFill>
                  <w14:solidFill>
                    <w14:srgbClr w14:val="000000">
                      <w14:alpha w14:val="100000"/>
                    </w14:srgbClr>
                  </w14:solidFill>
                </w14:textFill>
              </w:rPr>
              <w:t xml:space="preserve">　</w:t>
            </w:r>
            <w:r w:rsidR="007C10F8" w:rsidRPr="007C10F8">
              <w:rPr>
                <w:color w:val="000000"/>
                <w:w w:val="33"/>
                <w:shd w:val="solid" w:color="000000" w:fill="000000"/>
                <w:fitText w:val="150" w:id="-1032575476"/>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6"/>
                <w14:textFill>
                  <w14:solidFill>
                    <w14:srgbClr w14:val="000000">
                      <w14:alpha w14:val="100000"/>
                    </w14:srgbClr>
                  </w14:solidFill>
                </w14:textFill>
              </w:rPr>
              <w:t xml:space="preserve">　</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A924D81" w14:textId="39EE4C5B"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5"/>
                <w14:textFill>
                  <w14:solidFill>
                    <w14:srgbClr w14:val="000000">
                      <w14:alpha w14:val="100000"/>
                    </w14:srgbClr>
                  </w14:solidFill>
                </w14:textFill>
              </w:rPr>
              <w:t xml:space="preserve">　</w:t>
            </w:r>
            <w:r w:rsidR="007C10F8" w:rsidRPr="007C10F8">
              <w:rPr>
                <w:color w:val="000000"/>
                <w:w w:val="33"/>
                <w:shd w:val="solid" w:color="000000" w:fill="000000"/>
                <w:fitText w:val="150" w:id="-1032575475"/>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5"/>
                <w14:textFill>
                  <w14:solidFill>
                    <w14:srgbClr w14:val="000000">
                      <w14:alpha w14:val="100000"/>
                    </w14:srgbClr>
                  </w14:solidFill>
                </w14:textFill>
              </w:rPr>
              <w:t xml:space="preserve">　</w:t>
            </w:r>
            <w:r w:rsidR="00020D40">
              <w:rPr>
                <w:rFonts w:eastAsia="Calibri"/>
                <w:vertAlign w:val="superscript"/>
              </w:rPr>
              <w:t>5</w:t>
            </w:r>
          </w:p>
        </w:tc>
      </w:tr>
      <w:tr w:rsidR="008C4E61" w:rsidRPr="000A33D2" w14:paraId="37557DE6" w14:textId="77777777" w:rsidTr="00020D40">
        <w:tc>
          <w:tcPr>
            <w:tcW w:w="2830" w:type="dxa"/>
            <w:tcBorders>
              <w:top w:val="single" w:sz="4" w:space="0" w:color="auto"/>
              <w:bottom w:val="single" w:sz="4" w:space="0" w:color="auto"/>
              <w:right w:val="single" w:sz="4" w:space="0" w:color="auto"/>
            </w:tcBorders>
            <w:shd w:val="clear" w:color="auto" w:fill="auto"/>
            <w:vAlign w:val="center"/>
          </w:tcPr>
          <w:p w14:paraId="21E9EFC0" w14:textId="4CC5C5AC" w:rsidR="008C4E61" w:rsidRPr="000A33D2" w:rsidRDefault="008C4E61" w:rsidP="00020D40">
            <w:pPr>
              <w:pStyle w:val="TableText0"/>
            </w:pPr>
            <w:r w:rsidRPr="000A33D2">
              <w:t>Cost offsets (PEM+LEN) to PBS/</w:t>
            </w:r>
            <w:proofErr w:type="spellStart"/>
            <w:r w:rsidRPr="000A33D2">
              <w:t>RPBS</w:t>
            </w:r>
            <w:r w:rsidRPr="000A33D2">
              <w:rPr>
                <w:vertAlign w:val="superscript"/>
              </w:rPr>
              <w:t>a</w:t>
            </w:r>
            <w:proofErr w:type="spellEnd"/>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269F5DB0" w14:textId="5482E753" w:rsidR="008C4E61" w:rsidRPr="000A33D2" w:rsidRDefault="008C4E61" w:rsidP="00020D40">
            <w:pPr>
              <w:pStyle w:val="TableText0"/>
              <w:jc w:val="center"/>
            </w:pPr>
            <w:r w:rsidRPr="000A33D2">
              <w:t>-$</w:t>
            </w:r>
            <w:r w:rsidR="007C10F8" w:rsidRPr="007C10F8">
              <w:rPr>
                <w:rFonts w:hint="eastAsia"/>
                <w:color w:val="000000"/>
                <w:w w:val="23"/>
                <w:shd w:val="solid" w:color="000000" w:fill="000000"/>
                <w:fitText w:val="105" w:id="-1032575474"/>
                <w14:textFill>
                  <w14:solidFill>
                    <w14:srgbClr w14:val="000000">
                      <w14:alpha w14:val="100000"/>
                    </w14:srgbClr>
                  </w14:solidFill>
                </w14:textFill>
              </w:rPr>
              <w:t xml:space="preserve">　</w:t>
            </w:r>
            <w:r w:rsidR="007C10F8" w:rsidRPr="007C10F8">
              <w:rPr>
                <w:color w:val="000000"/>
                <w:w w:val="23"/>
                <w:shd w:val="solid" w:color="000000" w:fill="000000"/>
                <w:fitText w:val="105" w:id="-1032575474"/>
                <w14:textFill>
                  <w14:solidFill>
                    <w14:srgbClr w14:val="000000">
                      <w14:alpha w14:val="100000"/>
                    </w14:srgbClr>
                  </w14:solidFill>
                </w14:textFill>
              </w:rPr>
              <w:t>|</w:t>
            </w:r>
            <w:r w:rsidR="007C10F8" w:rsidRPr="007C10F8">
              <w:rPr>
                <w:rFonts w:hint="eastAsia"/>
                <w:color w:val="000000"/>
                <w:spacing w:val="4"/>
                <w:w w:val="23"/>
                <w:shd w:val="solid" w:color="000000" w:fill="000000"/>
                <w:fitText w:val="105" w:id="-1032575474"/>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9E09C" w14:textId="50330FA0"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3"/>
                <w14:textFill>
                  <w14:solidFill>
                    <w14:srgbClr w14:val="000000">
                      <w14:alpha w14:val="100000"/>
                    </w14:srgbClr>
                  </w14:solidFill>
                </w14:textFill>
              </w:rPr>
              <w:t xml:space="preserve">　</w:t>
            </w:r>
            <w:r w:rsidR="007C10F8" w:rsidRPr="007C10F8">
              <w:rPr>
                <w:color w:val="000000"/>
                <w:w w:val="33"/>
                <w:shd w:val="solid" w:color="000000" w:fill="000000"/>
                <w:fitText w:val="150" w:id="-1032575473"/>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3"/>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38A98F1" w14:textId="26548C6F"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72"/>
                <w14:textFill>
                  <w14:solidFill>
                    <w14:srgbClr w14:val="000000">
                      <w14:alpha w14:val="100000"/>
                    </w14:srgbClr>
                  </w14:solidFill>
                </w14:textFill>
              </w:rPr>
              <w:t xml:space="preserve">　</w:t>
            </w:r>
            <w:r w:rsidR="007C10F8" w:rsidRPr="007C10F8">
              <w:rPr>
                <w:color w:val="000000"/>
                <w:w w:val="33"/>
                <w:shd w:val="solid" w:color="000000" w:fill="000000"/>
                <w:fitText w:val="150" w:id="-1032575472"/>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72"/>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171A07FB" w14:textId="1C50714E"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88"/>
                <w14:textFill>
                  <w14:solidFill>
                    <w14:srgbClr w14:val="000000">
                      <w14:alpha w14:val="100000"/>
                    </w14:srgbClr>
                  </w14:solidFill>
                </w14:textFill>
              </w:rPr>
              <w:t xml:space="preserve">　</w:t>
            </w:r>
            <w:r w:rsidR="007C10F8" w:rsidRPr="007C10F8">
              <w:rPr>
                <w:color w:val="000000"/>
                <w:w w:val="33"/>
                <w:shd w:val="solid" w:color="000000" w:fill="000000"/>
                <w:fitText w:val="150" w:id="-1032575488"/>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8"/>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CB0E506" w14:textId="4382E59E"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87"/>
                <w14:textFill>
                  <w14:solidFill>
                    <w14:srgbClr w14:val="000000">
                      <w14:alpha w14:val="100000"/>
                    </w14:srgbClr>
                  </w14:solidFill>
                </w14:textFill>
              </w:rPr>
              <w:t xml:space="preserve">　</w:t>
            </w:r>
            <w:r w:rsidR="007C10F8" w:rsidRPr="007C10F8">
              <w:rPr>
                <w:color w:val="000000"/>
                <w:w w:val="33"/>
                <w:shd w:val="solid" w:color="000000" w:fill="000000"/>
                <w:fitText w:val="150" w:id="-1032575487"/>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7"/>
                <w14:textFill>
                  <w14:solidFill>
                    <w14:srgbClr w14:val="000000">
                      <w14:alpha w14:val="100000"/>
                    </w14:srgbClr>
                  </w14:solidFill>
                </w14:textFill>
              </w:rPr>
              <w:t xml:space="preserve">　</w:t>
            </w:r>
            <w:r w:rsidR="00020D40" w:rsidRPr="00020D40">
              <w:rPr>
                <w:rFonts w:eastAsia="Calibri"/>
                <w:vertAlign w:val="superscript"/>
              </w:rPr>
              <w:t>4</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94F03E8" w14:textId="4C8117E0" w:rsidR="008C4E61" w:rsidRPr="000A33D2" w:rsidRDefault="008C4E61" w:rsidP="00020D40">
            <w:pPr>
              <w:pStyle w:val="TableText0"/>
              <w:jc w:val="center"/>
            </w:pPr>
            <w:r w:rsidRPr="000A33D2">
              <w:t>-$</w:t>
            </w:r>
            <w:r w:rsidR="007C10F8" w:rsidRPr="007C10F8">
              <w:rPr>
                <w:rFonts w:hint="eastAsia"/>
                <w:color w:val="000000"/>
                <w:w w:val="33"/>
                <w:shd w:val="solid" w:color="000000" w:fill="000000"/>
                <w:fitText w:val="150" w:id="-1032575486"/>
                <w14:textFill>
                  <w14:solidFill>
                    <w14:srgbClr w14:val="000000">
                      <w14:alpha w14:val="100000"/>
                    </w14:srgbClr>
                  </w14:solidFill>
                </w14:textFill>
              </w:rPr>
              <w:t xml:space="preserve">　</w:t>
            </w:r>
            <w:r w:rsidR="007C10F8" w:rsidRPr="007C10F8">
              <w:rPr>
                <w:color w:val="000000"/>
                <w:w w:val="33"/>
                <w:shd w:val="solid" w:color="000000" w:fill="000000"/>
                <w:fitText w:val="150" w:id="-1032575486"/>
                <w14:textFill>
                  <w14:solidFill>
                    <w14:srgbClr w14:val="000000">
                      <w14:alpha w14:val="100000"/>
                    </w14:srgbClr>
                  </w14:solidFill>
                </w14:textFill>
              </w:rPr>
              <w:t>|</w:t>
            </w:r>
            <w:r w:rsidR="007C10F8" w:rsidRPr="007C10F8">
              <w:rPr>
                <w:rFonts w:hint="eastAsia"/>
                <w:color w:val="000000"/>
                <w:spacing w:val="4"/>
                <w:w w:val="33"/>
                <w:shd w:val="solid" w:color="000000" w:fill="000000"/>
                <w:fitText w:val="150" w:id="-1032575486"/>
                <w14:textFill>
                  <w14:solidFill>
                    <w14:srgbClr w14:val="000000">
                      <w14:alpha w14:val="100000"/>
                    </w14:srgbClr>
                  </w14:solidFill>
                </w14:textFill>
              </w:rPr>
              <w:t xml:space="preserve">　</w:t>
            </w:r>
            <w:r w:rsidR="00020D40" w:rsidRPr="00020D40">
              <w:rPr>
                <w:rFonts w:eastAsia="Calibri"/>
                <w:vertAlign w:val="superscript"/>
              </w:rPr>
              <w:t>4</w:t>
            </w:r>
          </w:p>
        </w:tc>
      </w:tr>
      <w:tr w:rsidR="008C4E61" w:rsidRPr="000A33D2" w14:paraId="6C119918" w14:textId="77777777" w:rsidTr="00020D40">
        <w:tc>
          <w:tcPr>
            <w:tcW w:w="2830" w:type="dxa"/>
            <w:tcBorders>
              <w:top w:val="single" w:sz="4" w:space="0" w:color="auto"/>
              <w:bottom w:val="single" w:sz="4" w:space="0" w:color="auto"/>
              <w:right w:val="single" w:sz="4" w:space="0" w:color="auto"/>
            </w:tcBorders>
            <w:shd w:val="clear" w:color="auto" w:fill="auto"/>
            <w:vAlign w:val="center"/>
          </w:tcPr>
          <w:p w14:paraId="5CEB1350" w14:textId="04EB1138" w:rsidR="008C4E61" w:rsidRPr="000A33D2" w:rsidRDefault="008C4E61" w:rsidP="00020D40">
            <w:pPr>
              <w:pStyle w:val="TableText0"/>
            </w:pPr>
            <w:r w:rsidRPr="000A33D2">
              <w:t>Net costs to PBS/RPBS</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14:paraId="4150D2F5" w14:textId="6D0B4FC5" w:rsidR="008C4E61" w:rsidRPr="000A33D2" w:rsidRDefault="008C4E61" w:rsidP="00020D40">
            <w:pPr>
              <w:pStyle w:val="TableText0"/>
              <w:jc w:val="center"/>
            </w:pPr>
            <w:r w:rsidRPr="000A33D2">
              <w:rPr>
                <w:b/>
              </w:rPr>
              <w:t>$</w:t>
            </w:r>
            <w:r w:rsidR="007C10F8" w:rsidRPr="007C10F8">
              <w:rPr>
                <w:rFonts w:hint="eastAsia"/>
                <w:b/>
                <w:color w:val="000000"/>
                <w:w w:val="26"/>
                <w:shd w:val="solid" w:color="000000" w:fill="000000"/>
                <w:fitText w:val="120" w:id="-1032575232"/>
                <w14:textFill>
                  <w14:solidFill>
                    <w14:srgbClr w14:val="000000">
                      <w14:alpha w14:val="100000"/>
                    </w14:srgbClr>
                  </w14:solidFill>
                </w14:textFill>
              </w:rPr>
              <w:t xml:space="preserve">　</w:t>
            </w:r>
            <w:r w:rsidR="007C10F8" w:rsidRPr="007C10F8">
              <w:rPr>
                <w:b/>
                <w:color w:val="000000"/>
                <w:w w:val="26"/>
                <w:shd w:val="solid" w:color="000000" w:fill="000000"/>
                <w:fitText w:val="120" w:id="-1032575232"/>
                <w14:textFill>
                  <w14:solidFill>
                    <w14:srgbClr w14:val="000000">
                      <w14:alpha w14:val="100000"/>
                    </w14:srgbClr>
                  </w14:solidFill>
                </w14:textFill>
              </w:rPr>
              <w:t>|</w:t>
            </w:r>
            <w:r w:rsidR="007C10F8" w:rsidRPr="007C10F8">
              <w:rPr>
                <w:rFonts w:hint="eastAsia"/>
                <w:b/>
                <w:color w:val="000000"/>
                <w:spacing w:val="4"/>
                <w:w w:val="26"/>
                <w:shd w:val="solid" w:color="000000" w:fill="000000"/>
                <w:fitText w:val="120" w:id="-1032575232"/>
                <w14:textFill>
                  <w14:solidFill>
                    <w14:srgbClr w14:val="000000">
                      <w14:alpha w14:val="100000"/>
                    </w14:srgbClr>
                  </w14:solidFill>
                </w14:textFill>
              </w:rPr>
              <w:t xml:space="preserve">　</w:t>
            </w:r>
            <w:r w:rsidR="00020D40">
              <w:rPr>
                <w:rFonts w:eastAsia="Calibri"/>
                <w:vertAlign w:val="superscript"/>
              </w:rPr>
              <w:t>5</w:t>
            </w:r>
          </w:p>
        </w:tc>
        <w:tc>
          <w:tcPr>
            <w:tcW w:w="1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9D440" w14:textId="022ECF89" w:rsidR="008C4E61" w:rsidRPr="000A33D2" w:rsidRDefault="008C4E61" w:rsidP="00020D40">
            <w:pPr>
              <w:pStyle w:val="TableText0"/>
              <w:jc w:val="center"/>
            </w:pPr>
            <w:r w:rsidRPr="000A33D2">
              <w:rPr>
                <w:b/>
              </w:rPr>
              <w:t>$</w:t>
            </w:r>
            <w:r w:rsidR="007C10F8" w:rsidRPr="007C10F8">
              <w:rPr>
                <w:b/>
                <w:color w:val="000000"/>
                <w:spacing w:val="103"/>
                <w:shd w:val="solid" w:color="000000" w:fill="000000"/>
                <w:fitText w:val="195" w:id="-1032575231"/>
                <w14:textFill>
                  <w14:solidFill>
                    <w14:srgbClr w14:val="000000">
                      <w14:alpha w14:val="100000"/>
                    </w14:srgbClr>
                  </w14:solidFill>
                </w14:textFill>
              </w:rPr>
              <w:t>|</w:t>
            </w:r>
            <w:r w:rsidR="007C10F8" w:rsidRPr="007C10F8">
              <w:rPr>
                <w:b/>
                <w:color w:val="000000"/>
                <w:spacing w:val="1"/>
                <w:shd w:val="solid" w:color="000000" w:fill="000000"/>
                <w:fitText w:val="195" w:id="-1032575231"/>
                <w14:textFill>
                  <w14:solidFill>
                    <w14:srgbClr w14:val="000000">
                      <w14:alpha w14:val="100000"/>
                    </w14:srgbClr>
                  </w14:solidFill>
                </w14:textFill>
              </w:rPr>
              <w:t>|</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8106D85" w14:textId="36114CA0" w:rsidR="008C4E61" w:rsidRPr="000A33D2" w:rsidRDefault="008C4E61" w:rsidP="00020D40">
            <w:pPr>
              <w:pStyle w:val="TableText0"/>
              <w:jc w:val="center"/>
            </w:pPr>
            <w:r w:rsidRPr="000A33D2">
              <w:rPr>
                <w:b/>
              </w:rPr>
              <w:t>$</w:t>
            </w:r>
            <w:r w:rsidR="007C10F8" w:rsidRPr="007C10F8">
              <w:rPr>
                <w:b/>
                <w:color w:val="000000"/>
                <w:spacing w:val="103"/>
                <w:shd w:val="solid" w:color="000000" w:fill="000000"/>
                <w:fitText w:val="195" w:id="-1032575230"/>
                <w14:textFill>
                  <w14:solidFill>
                    <w14:srgbClr w14:val="000000">
                      <w14:alpha w14:val="100000"/>
                    </w14:srgbClr>
                  </w14:solidFill>
                </w14:textFill>
              </w:rPr>
              <w:t>|</w:t>
            </w:r>
            <w:r w:rsidR="007C10F8" w:rsidRPr="007C10F8">
              <w:rPr>
                <w:b/>
                <w:color w:val="000000"/>
                <w:spacing w:val="1"/>
                <w:shd w:val="solid" w:color="000000" w:fill="000000"/>
                <w:fitText w:val="195" w:id="-1032575230"/>
                <w14:textFill>
                  <w14:solidFill>
                    <w14:srgbClr w14:val="000000">
                      <w14:alpha w14:val="100000"/>
                    </w14:srgbClr>
                  </w14:solidFill>
                </w14:textFill>
              </w:rPr>
              <w:t>|</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29467217" w14:textId="7496D2DE" w:rsidR="008C4E61" w:rsidRPr="000A33D2" w:rsidRDefault="008C4E61" w:rsidP="00020D40">
            <w:pPr>
              <w:pStyle w:val="TableText0"/>
              <w:jc w:val="center"/>
            </w:pPr>
            <w:r w:rsidRPr="000A33D2">
              <w:rPr>
                <w:b/>
              </w:rPr>
              <w:t>$</w:t>
            </w:r>
            <w:r w:rsidR="007C10F8" w:rsidRPr="007C10F8">
              <w:rPr>
                <w:b/>
                <w:color w:val="000000"/>
                <w:spacing w:val="103"/>
                <w:shd w:val="solid" w:color="000000" w:fill="000000"/>
                <w:fitText w:val="195" w:id="-1032575229"/>
                <w14:textFill>
                  <w14:solidFill>
                    <w14:srgbClr w14:val="000000">
                      <w14:alpha w14:val="100000"/>
                    </w14:srgbClr>
                  </w14:solidFill>
                </w14:textFill>
              </w:rPr>
              <w:t>|</w:t>
            </w:r>
            <w:r w:rsidR="007C10F8" w:rsidRPr="007C10F8">
              <w:rPr>
                <w:b/>
                <w:color w:val="000000"/>
                <w:spacing w:val="1"/>
                <w:shd w:val="solid" w:color="000000" w:fill="000000"/>
                <w:fitText w:val="195" w:id="-1032575229"/>
                <w14:textFill>
                  <w14:solidFill>
                    <w14:srgbClr w14:val="000000">
                      <w14:alpha w14:val="100000"/>
                    </w14:srgbClr>
                  </w14:solidFill>
                </w14:textFill>
              </w:rPr>
              <w:t>|</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E93B00E" w14:textId="020EAD75" w:rsidR="008C4E61" w:rsidRPr="000A33D2" w:rsidRDefault="008C4E61" w:rsidP="00020D40">
            <w:pPr>
              <w:pStyle w:val="TableText0"/>
              <w:jc w:val="center"/>
            </w:pPr>
            <w:r w:rsidRPr="000A33D2">
              <w:rPr>
                <w:b/>
              </w:rPr>
              <w:t>$</w:t>
            </w:r>
            <w:r w:rsidR="007C10F8" w:rsidRPr="007C10F8">
              <w:rPr>
                <w:b/>
                <w:color w:val="000000"/>
                <w:spacing w:val="103"/>
                <w:shd w:val="solid" w:color="000000" w:fill="000000"/>
                <w:fitText w:val="195" w:id="-1032575228"/>
                <w14:textFill>
                  <w14:solidFill>
                    <w14:srgbClr w14:val="000000">
                      <w14:alpha w14:val="100000"/>
                    </w14:srgbClr>
                  </w14:solidFill>
                </w14:textFill>
              </w:rPr>
              <w:t>|</w:t>
            </w:r>
            <w:r w:rsidR="007C10F8" w:rsidRPr="007C10F8">
              <w:rPr>
                <w:b/>
                <w:color w:val="000000"/>
                <w:spacing w:val="1"/>
                <w:shd w:val="solid" w:color="000000" w:fill="000000"/>
                <w:fitText w:val="195" w:id="-1032575228"/>
                <w14:textFill>
                  <w14:solidFill>
                    <w14:srgbClr w14:val="000000">
                      <w14:alpha w14:val="100000"/>
                    </w14:srgbClr>
                  </w14:solidFill>
                </w14:textFill>
              </w:rPr>
              <w:t>|</w:t>
            </w:r>
            <w:r w:rsidR="00020D40">
              <w:rPr>
                <w:rFonts w:eastAsia="Calibri"/>
                <w:vertAlign w:val="superscript"/>
              </w:rPr>
              <w:t>5</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2D5B871" w14:textId="183713A4" w:rsidR="008C4E61" w:rsidRPr="000A33D2" w:rsidRDefault="008C4E61" w:rsidP="00020D40">
            <w:pPr>
              <w:pStyle w:val="TableText0"/>
              <w:jc w:val="center"/>
            </w:pPr>
            <w:r w:rsidRPr="000A33D2">
              <w:rPr>
                <w:b/>
              </w:rPr>
              <w:t>$</w:t>
            </w:r>
            <w:r w:rsidR="007C10F8" w:rsidRPr="007C10F8">
              <w:rPr>
                <w:b/>
                <w:color w:val="000000"/>
                <w:spacing w:val="103"/>
                <w:shd w:val="solid" w:color="000000" w:fill="000000"/>
                <w:fitText w:val="195" w:id="-1032575227"/>
                <w14:textFill>
                  <w14:solidFill>
                    <w14:srgbClr w14:val="000000">
                      <w14:alpha w14:val="100000"/>
                    </w14:srgbClr>
                  </w14:solidFill>
                </w14:textFill>
              </w:rPr>
              <w:t>|</w:t>
            </w:r>
            <w:r w:rsidR="007C10F8" w:rsidRPr="007C10F8">
              <w:rPr>
                <w:b/>
                <w:color w:val="000000"/>
                <w:spacing w:val="1"/>
                <w:shd w:val="solid" w:color="000000" w:fill="000000"/>
                <w:fitText w:val="195" w:id="-1032575227"/>
                <w14:textFill>
                  <w14:solidFill>
                    <w14:srgbClr w14:val="000000">
                      <w14:alpha w14:val="100000"/>
                    </w14:srgbClr>
                  </w14:solidFill>
                </w14:textFill>
              </w:rPr>
              <w:t>|</w:t>
            </w:r>
            <w:r w:rsidR="00020D40">
              <w:rPr>
                <w:rFonts w:eastAsia="Calibri"/>
                <w:vertAlign w:val="superscript"/>
              </w:rPr>
              <w:t>5</w:t>
            </w:r>
          </w:p>
        </w:tc>
      </w:tr>
    </w:tbl>
    <w:p w14:paraId="3706C605" w14:textId="16DDE4D2" w:rsidR="00661C84" w:rsidRPr="000A33D2" w:rsidRDefault="00661C84" w:rsidP="009B63B1">
      <w:pPr>
        <w:pStyle w:val="FooterTableFigure"/>
        <w:keepNext/>
        <w:keepLines/>
        <w:rPr>
          <w:szCs w:val="18"/>
        </w:rPr>
      </w:pPr>
      <w:r w:rsidRPr="000A33D2">
        <w:rPr>
          <w:szCs w:val="18"/>
        </w:rPr>
        <w:t>Source: Tables 125, 128, 130, 133, 135, 137, 139, 145&amp;147, pp189-194, 196-199</w:t>
      </w:r>
      <w:r w:rsidR="00D851E0" w:rsidRPr="000A33D2">
        <w:rPr>
          <w:szCs w:val="18"/>
        </w:rPr>
        <w:t>, 203</w:t>
      </w:r>
      <w:r w:rsidRPr="000A33D2">
        <w:rPr>
          <w:szCs w:val="18"/>
        </w:rPr>
        <w:t xml:space="preserve"> &amp; 204 of the submission.</w:t>
      </w:r>
    </w:p>
    <w:p w14:paraId="43C1649E" w14:textId="77777777" w:rsidR="00661C84" w:rsidRPr="000A33D2" w:rsidRDefault="00661C84" w:rsidP="009B63B1">
      <w:pPr>
        <w:pStyle w:val="FooterTableFigure"/>
        <w:keepNext/>
        <w:keepLines/>
        <w:spacing w:after="0"/>
        <w:rPr>
          <w:szCs w:val="18"/>
        </w:rPr>
      </w:pPr>
      <w:r w:rsidRPr="000A33D2">
        <w:rPr>
          <w:szCs w:val="18"/>
        </w:rPr>
        <w:t>Footnotes shaded in grey indicate values which differed to all-comers population.</w:t>
      </w:r>
    </w:p>
    <w:p w14:paraId="6D3DE2A7" w14:textId="0F52580F" w:rsidR="00661C84" w:rsidRPr="000A33D2" w:rsidRDefault="00661C84" w:rsidP="009B63B1">
      <w:pPr>
        <w:pStyle w:val="FooterTableFigure"/>
        <w:keepNext/>
        <w:keepLines/>
      </w:pPr>
      <w:r w:rsidRPr="000A33D2">
        <w:t>2L = second-line; CP = carboplatin-paclitaxel; dMMR = mismatch repair deficient; DOS = dostarlimab; eff = effective; Govt = government; MBS = Medicare Benefits Schedule; PBS = Pharmaceutical Benefits Scheme; PEM+LEN = pembrolizumab + lenvatinib; pts = patients; RPBS = Repatriation Pharmaceutical Benefits Scheme.</w:t>
      </w:r>
    </w:p>
    <w:p w14:paraId="03D1BE3A" w14:textId="03DFC9AB" w:rsidR="001C2714" w:rsidRDefault="00661C84" w:rsidP="006D6983">
      <w:pPr>
        <w:pStyle w:val="FooterTableFigure"/>
        <w:keepNext/>
        <w:keepLines/>
        <w:spacing w:after="0"/>
        <w:ind w:left="142" w:hanging="142"/>
        <w:rPr>
          <w:szCs w:val="18"/>
        </w:rPr>
      </w:pPr>
      <w:r w:rsidRPr="000A33D2">
        <w:rPr>
          <w:szCs w:val="18"/>
        </w:rPr>
        <w:t xml:space="preserve">a Including </w:t>
      </w:r>
      <w:r w:rsidR="003B0611">
        <w:rPr>
          <w:szCs w:val="18"/>
        </w:rPr>
        <w:t>&lt; 500</w:t>
      </w:r>
      <w:r w:rsidRPr="000A33D2">
        <w:rPr>
          <w:i/>
          <w:iCs/>
          <w:szCs w:val="18"/>
        </w:rPr>
        <w:t xml:space="preserve"> </w:t>
      </w:r>
      <w:r w:rsidRPr="000A33D2">
        <w:rPr>
          <w:szCs w:val="18"/>
        </w:rPr>
        <w:t>prevalent patients</w:t>
      </w:r>
      <w:r w:rsidR="00031CE3" w:rsidRPr="000A33D2">
        <w:rPr>
          <w:szCs w:val="18"/>
        </w:rPr>
        <w:t xml:space="preserve"> (</w:t>
      </w:r>
      <w:r w:rsidR="003B0611">
        <w:rPr>
          <w:szCs w:val="18"/>
        </w:rPr>
        <w:t>&lt; 500</w:t>
      </w:r>
      <w:r w:rsidR="003B0611" w:rsidRPr="000A33D2">
        <w:rPr>
          <w:szCs w:val="18"/>
        </w:rPr>
        <w:t xml:space="preserve"> </w:t>
      </w:r>
      <w:r w:rsidR="00031CE3" w:rsidRPr="000A33D2">
        <w:rPr>
          <w:szCs w:val="18"/>
        </w:rPr>
        <w:t>prevalent patients in revised estimates)</w:t>
      </w:r>
      <w:r w:rsidRPr="000A33D2">
        <w:rPr>
          <w:szCs w:val="18"/>
        </w:rPr>
        <w:t>. An adjustment involving a deduction of the first recurrent Stage I, II and Stage III curative grandfather patients (n=</w:t>
      </w:r>
      <w:r w:rsidR="00332E2F">
        <w:rPr>
          <w:szCs w:val="18"/>
        </w:rPr>
        <w:t>&lt; 500</w:t>
      </w:r>
      <w:r w:rsidRPr="000A33D2">
        <w:rPr>
          <w:szCs w:val="18"/>
        </w:rPr>
        <w:t>) was made by the submission to avoid double counting.</w:t>
      </w:r>
      <w:bookmarkStart w:id="93" w:name="_Ref144475934"/>
    </w:p>
    <w:p w14:paraId="5EB1B729" w14:textId="77777777" w:rsidR="006D6983" w:rsidRPr="009A6D58" w:rsidRDefault="006D6983" w:rsidP="006D6983">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2CC8053" w14:textId="26570D1A" w:rsidR="006D6983" w:rsidRPr="009A6D58" w:rsidRDefault="006D6983" w:rsidP="006D6983">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AB1374" w:rsidRPr="00AB1374">
        <w:rPr>
          <w:rFonts w:ascii="Arial Narrow" w:hAnsi="Arial Narrow"/>
          <w:i/>
          <w:sz w:val="18"/>
          <w:szCs w:val="18"/>
        </w:rPr>
        <w:t>&lt; 500</w:t>
      </w:r>
    </w:p>
    <w:p w14:paraId="5A63E796" w14:textId="3C937318" w:rsidR="006D6983" w:rsidRPr="009A6D58" w:rsidRDefault="006D6983" w:rsidP="006D6983">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AB1374" w:rsidRPr="00AB1374">
        <w:rPr>
          <w:rFonts w:ascii="Arial Narrow" w:hAnsi="Arial Narrow"/>
          <w:i/>
          <w:sz w:val="18"/>
          <w:szCs w:val="18"/>
        </w:rPr>
        <w:t>500 to &lt; 5,000</w:t>
      </w:r>
    </w:p>
    <w:p w14:paraId="45B853DD" w14:textId="25FD6338" w:rsidR="006D6983" w:rsidRDefault="006D6983" w:rsidP="006D6983">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AB1374" w:rsidRPr="00AB1374">
        <w:rPr>
          <w:rFonts w:ascii="Arial Narrow" w:hAnsi="Arial Narrow"/>
          <w:i/>
          <w:sz w:val="18"/>
          <w:szCs w:val="18"/>
        </w:rPr>
        <w:t>$20 million to &lt; $30 million</w:t>
      </w:r>
    </w:p>
    <w:p w14:paraId="4319B700" w14:textId="3B48651C" w:rsidR="00AB1374" w:rsidRDefault="006D6983" w:rsidP="006D6983">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AB1374" w:rsidRPr="00AB1374">
        <w:rPr>
          <w:rFonts w:ascii="Arial Narrow" w:hAnsi="Arial Narrow"/>
          <w:i/>
          <w:sz w:val="18"/>
          <w:szCs w:val="18"/>
        </w:rPr>
        <w:t>net cost saving</w:t>
      </w:r>
    </w:p>
    <w:p w14:paraId="0B085DA8" w14:textId="5447A338" w:rsidR="006D6983" w:rsidRDefault="006D6983" w:rsidP="006D6983">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AB1374" w:rsidRPr="00AB1374">
        <w:rPr>
          <w:rFonts w:ascii="Arial Narrow" w:hAnsi="Arial Narrow"/>
          <w:i/>
          <w:sz w:val="18"/>
          <w:szCs w:val="18"/>
        </w:rPr>
        <w:t>$10 million to &lt; $20 million</w:t>
      </w:r>
    </w:p>
    <w:p w14:paraId="5AFDB7D1" w14:textId="03B84FB8" w:rsidR="006D6983" w:rsidRDefault="006D6983" w:rsidP="00AB1374">
      <w:pPr>
        <w:spacing w:after="120"/>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AB1374" w:rsidRPr="00AB1374">
        <w:rPr>
          <w:rFonts w:ascii="Arial Narrow" w:hAnsi="Arial Narrow"/>
          <w:i/>
          <w:sz w:val="18"/>
          <w:szCs w:val="18"/>
        </w:rPr>
        <w:t>$0 to &lt; $10 million</w:t>
      </w:r>
    </w:p>
    <w:bookmarkEnd w:id="93"/>
    <w:p w14:paraId="43EC7FA1" w14:textId="71EBAB5F" w:rsidR="00387F33" w:rsidRPr="000A33D2" w:rsidRDefault="000663D2" w:rsidP="00387F33">
      <w:pPr>
        <w:pStyle w:val="3-BodyText"/>
      </w:pPr>
      <w:r w:rsidRPr="000A33D2">
        <w:t xml:space="preserve">With the </w:t>
      </w:r>
      <w:r w:rsidR="0000768D" w:rsidRPr="000A33D2">
        <w:t xml:space="preserve">Pre-PBAC </w:t>
      </w:r>
      <w:r w:rsidRPr="000A33D2">
        <w:t>revised financial estimates t</w:t>
      </w:r>
      <w:r w:rsidR="00387F33" w:rsidRPr="000A33D2">
        <w:t xml:space="preserve">he estimated net cost to the </w:t>
      </w:r>
      <w:r w:rsidR="000A33D2">
        <w:t xml:space="preserve">PBS/RPBS </w:t>
      </w:r>
      <w:r w:rsidR="00387F33" w:rsidRPr="000A33D2">
        <w:t xml:space="preserve">of listing DOS at the proposed effective price </w:t>
      </w:r>
      <w:r w:rsidR="00D435CD" w:rsidRPr="000A33D2">
        <w:t>($</w:t>
      </w:r>
      <w:r w:rsidR="007C10F8" w:rsidRPr="00D03BA6">
        <w:rPr>
          <w:color w:val="000000"/>
          <w:w w:val="15"/>
          <w:shd w:val="solid" w:color="000000" w:fill="000000"/>
          <w:fitText w:val="-20" w:id="-1032575226"/>
          <w14:textFill>
            <w14:solidFill>
              <w14:srgbClr w14:val="000000">
                <w14:alpha w14:val="100000"/>
              </w14:srgbClr>
            </w14:solidFill>
          </w14:textFill>
        </w:rPr>
        <w:t xml:space="preserve">|  </w:t>
      </w:r>
      <w:r w:rsidR="007C10F8" w:rsidRPr="00D03BA6">
        <w:rPr>
          <w:color w:val="000000"/>
          <w:spacing w:val="-69"/>
          <w:w w:val="15"/>
          <w:shd w:val="solid" w:color="000000" w:fill="000000"/>
          <w:fitText w:val="-20" w:id="-1032575226"/>
          <w14:textFill>
            <w14:solidFill>
              <w14:srgbClr w14:val="000000">
                <w14:alpha w14:val="100000"/>
              </w14:srgbClr>
            </w14:solidFill>
          </w14:textFill>
        </w:rPr>
        <w:t>|</w:t>
      </w:r>
      <w:r w:rsidR="00D435CD" w:rsidRPr="000A33D2">
        <w:t xml:space="preserve"> AEMP per vial) </w:t>
      </w:r>
      <w:r w:rsidR="00387F33" w:rsidRPr="000A33D2">
        <w:t>was:</w:t>
      </w:r>
    </w:p>
    <w:p w14:paraId="62E91442" w14:textId="26A36CE4" w:rsidR="00387F33" w:rsidRPr="000A33D2" w:rsidRDefault="00AB1374" w:rsidP="003C2ACB">
      <w:pPr>
        <w:pStyle w:val="3-BodyText"/>
        <w:numPr>
          <w:ilvl w:val="0"/>
          <w:numId w:val="13"/>
        </w:numPr>
        <w:ind w:left="1134"/>
      </w:pPr>
      <w:r w:rsidRPr="00AB1374">
        <w:lastRenderedPageBreak/>
        <w:t>$10 million to &lt; $20 million</w:t>
      </w:r>
      <w:r w:rsidRPr="00AB1374" w:rsidDel="00AB1374">
        <w:t xml:space="preserve"> </w:t>
      </w:r>
      <w:r w:rsidR="00387F33" w:rsidRPr="000A33D2">
        <w:t xml:space="preserve">in Year 1, increasing to </w:t>
      </w:r>
      <w:r w:rsidRPr="00AB1374">
        <w:t>$10 million to &lt; $20 million</w:t>
      </w:r>
      <w:r w:rsidRPr="00AB1374" w:rsidDel="00AB1374">
        <w:t xml:space="preserve"> </w:t>
      </w:r>
      <w:r w:rsidR="00387F33" w:rsidRPr="000A33D2">
        <w:t xml:space="preserve">in Year 6 for dMMR patients. The total cost over the first six years of listing was </w:t>
      </w:r>
      <w:r w:rsidRPr="00AB1374">
        <w:t>$80 million to &lt; $90 million</w:t>
      </w:r>
      <w:r w:rsidR="00387F33" w:rsidRPr="000A33D2">
        <w:t xml:space="preserve">. </w:t>
      </w:r>
    </w:p>
    <w:p w14:paraId="22BB20D7" w14:textId="5E9EA833" w:rsidR="00387F33" w:rsidRPr="000A33D2" w:rsidRDefault="00AB1374" w:rsidP="003C2ACB">
      <w:pPr>
        <w:pStyle w:val="3-BodyText"/>
        <w:numPr>
          <w:ilvl w:val="0"/>
          <w:numId w:val="13"/>
        </w:numPr>
        <w:ind w:left="1134"/>
      </w:pPr>
      <w:r w:rsidRPr="00AB1374">
        <w:t>$30 million to &lt; $40 million</w:t>
      </w:r>
      <w:r w:rsidRPr="00AB1374" w:rsidDel="00AB1374">
        <w:t xml:space="preserve"> </w:t>
      </w:r>
      <w:r w:rsidR="00387F33" w:rsidRPr="000A33D2">
        <w:t xml:space="preserve">in Year 1 to </w:t>
      </w:r>
      <w:r w:rsidRPr="00AB1374">
        <w:t>$30 million to &lt; $40 million</w:t>
      </w:r>
      <w:r w:rsidRPr="00AB1374" w:rsidDel="00AB1374">
        <w:t xml:space="preserve"> </w:t>
      </w:r>
      <w:r w:rsidR="00387F33" w:rsidRPr="000A33D2">
        <w:t xml:space="preserve">in </w:t>
      </w:r>
      <w:r w:rsidRPr="000A33D2">
        <w:t>Year</w:t>
      </w:r>
      <w:r>
        <w:t> </w:t>
      </w:r>
      <w:r w:rsidR="00387F33" w:rsidRPr="000A33D2">
        <w:t xml:space="preserve">6 for all-comers. The total cost over the first six years of listing was </w:t>
      </w:r>
      <w:r w:rsidRPr="00AB1374">
        <w:t>$200 million to &lt; $300 million</w:t>
      </w:r>
      <w:r w:rsidRPr="00AB1374" w:rsidDel="00AB1374">
        <w:t xml:space="preserve"> </w:t>
      </w:r>
      <w:r w:rsidR="00387F33" w:rsidRPr="000A33D2">
        <w:t>.</w:t>
      </w:r>
      <w:r w:rsidR="00CA7052" w:rsidRPr="000A33D2">
        <w:t xml:space="preserve"> </w:t>
      </w:r>
    </w:p>
    <w:p w14:paraId="3E26CE71" w14:textId="1C3DD4FB" w:rsidR="00784824" w:rsidRPr="000A33D2" w:rsidRDefault="00784824" w:rsidP="00D435CD">
      <w:pPr>
        <w:pStyle w:val="3-BodyText"/>
      </w:pPr>
      <w:r w:rsidRPr="000A33D2">
        <w:t xml:space="preserve">The </w:t>
      </w:r>
      <w:r w:rsidR="00D435CD" w:rsidRPr="000A33D2">
        <w:t xml:space="preserve">evaluation noted the </w:t>
      </w:r>
      <w:r w:rsidRPr="000A33D2">
        <w:t>recurrence rate (36%) used for Stage III may be overestimated given this was based on high-risk EC patients. These patients were also treated with specific interventions, and it was unclear whether these would be reflective of the PBS population</w:t>
      </w:r>
      <w:r w:rsidR="00A27281" w:rsidRPr="000A33D2">
        <w:t xml:space="preserve">. </w:t>
      </w:r>
      <w:r w:rsidR="00D435CD" w:rsidRPr="000A33D2">
        <w:t xml:space="preserve">The PBAC considered this should be revised to 30% based on the </w:t>
      </w:r>
      <w:r w:rsidR="000A33D2" w:rsidRPr="000A33D2">
        <w:t>5-year</w:t>
      </w:r>
      <w:r w:rsidR="00D435CD" w:rsidRPr="000A33D2">
        <w:t xml:space="preserve"> failure-free survival in PORTEC3 (De Boer 2019) of 70.9%</w:t>
      </w:r>
      <w:r w:rsidR="00CE14D3" w:rsidRPr="000A33D2">
        <w:t>.</w:t>
      </w:r>
      <w:r w:rsidRPr="000A33D2">
        <w:t xml:space="preserve"> </w:t>
      </w:r>
    </w:p>
    <w:p w14:paraId="55A4C870" w14:textId="20F8ED44" w:rsidR="00784824" w:rsidRPr="000A33D2" w:rsidRDefault="00784824" w:rsidP="00D10614">
      <w:pPr>
        <w:pStyle w:val="3-BodyText"/>
      </w:pPr>
      <w:r w:rsidRPr="000A33D2">
        <w:t>The</w:t>
      </w:r>
      <w:r w:rsidR="00FD1CD2" w:rsidRPr="000A33D2">
        <w:t xml:space="preserve"> </w:t>
      </w:r>
      <w:r w:rsidR="00D10614" w:rsidRPr="000A33D2">
        <w:t xml:space="preserve">PBAC noted the </w:t>
      </w:r>
      <w:r w:rsidR="00FD1CD2" w:rsidRPr="000A33D2">
        <w:t xml:space="preserve">duration of treatment was amended in the PSCR </w:t>
      </w:r>
      <w:r w:rsidR="000D7A59" w:rsidRPr="000A33D2">
        <w:t xml:space="preserve">and pre-PBAC </w:t>
      </w:r>
      <w:r w:rsidR="00FD1CD2" w:rsidRPr="000A33D2">
        <w:t>revised estimates to align with the corrected economic model</w:t>
      </w:r>
      <w:r w:rsidR="00D10614" w:rsidRPr="000A33D2">
        <w:t>, which was reasonable.</w:t>
      </w:r>
    </w:p>
    <w:p w14:paraId="78DA6723" w14:textId="69A9980A" w:rsidR="00784824" w:rsidRPr="000A33D2" w:rsidRDefault="00784824" w:rsidP="00D10614">
      <w:pPr>
        <w:pStyle w:val="3-BodyText"/>
      </w:pPr>
      <w:r w:rsidRPr="000A33D2">
        <w:t xml:space="preserve">The </w:t>
      </w:r>
      <w:r w:rsidR="003E6419">
        <w:t xml:space="preserve">evaluation noted the </w:t>
      </w:r>
      <w:r w:rsidRPr="000A33D2">
        <w:t>costs of AEs were not considered by the submission, which may underestimate the financial impact of DOS. This was inconsistent with the clinical evidence and the economic model presented by the submission, which claimed that DOS+CP had an inferior safety profile compared to CP alone.</w:t>
      </w:r>
      <w:r w:rsidR="00D10614" w:rsidRPr="000A33D2">
        <w:t xml:space="preserve"> The PBAC noted this </w:t>
      </w:r>
      <w:r w:rsidR="003E6419">
        <w:t>would not</w:t>
      </w:r>
      <w:r w:rsidR="00D10614" w:rsidRPr="000A33D2">
        <w:t xml:space="preserve"> have a substantial impact on the financial estimates</w:t>
      </w:r>
      <w:r w:rsidR="003E6419">
        <w:t xml:space="preserve"> as AE costs in the economic model were minimal</w:t>
      </w:r>
      <w:r w:rsidR="00D10614" w:rsidRPr="000A33D2">
        <w:t>.</w:t>
      </w:r>
    </w:p>
    <w:p w14:paraId="65384BBF" w14:textId="7F04B6B7" w:rsidR="00D94E0F" w:rsidRPr="000A33D2" w:rsidRDefault="001C3EF7" w:rsidP="00D244B6">
      <w:pPr>
        <w:pStyle w:val="3-BodyText"/>
        <w:rPr>
          <w:iCs/>
        </w:rPr>
      </w:pPr>
      <w:r w:rsidRPr="000A33D2">
        <w:rPr>
          <w:iCs/>
        </w:rPr>
        <w:t>O</w:t>
      </w:r>
      <w:r w:rsidR="00784824" w:rsidRPr="000A33D2">
        <w:rPr>
          <w:iCs/>
        </w:rPr>
        <w:t xml:space="preserve">verall, </w:t>
      </w:r>
      <w:r w:rsidR="00FD1CD2" w:rsidRPr="000A33D2">
        <w:rPr>
          <w:iCs/>
        </w:rPr>
        <w:t xml:space="preserve">the evaluation considered </w:t>
      </w:r>
      <w:r w:rsidR="00784824" w:rsidRPr="000A33D2">
        <w:rPr>
          <w:iCs/>
        </w:rPr>
        <w:t xml:space="preserve">it was likely that the financial impact may be underestimated </w:t>
      </w:r>
      <w:r w:rsidR="00FD1CD2" w:rsidRPr="000A33D2">
        <w:rPr>
          <w:iCs/>
        </w:rPr>
        <w:t xml:space="preserve">in the submission estimates </w:t>
      </w:r>
      <w:r w:rsidR="00784824" w:rsidRPr="000A33D2">
        <w:rPr>
          <w:iCs/>
        </w:rPr>
        <w:t xml:space="preserve">as the number of eligible patients </w:t>
      </w:r>
      <w:r w:rsidR="000D7A59" w:rsidRPr="000A33D2">
        <w:rPr>
          <w:iCs/>
        </w:rPr>
        <w:t xml:space="preserve">was </w:t>
      </w:r>
      <w:r w:rsidR="00784824" w:rsidRPr="000A33D2">
        <w:rPr>
          <w:iCs/>
        </w:rPr>
        <w:t>underestimated</w:t>
      </w:r>
      <w:r w:rsidR="00811C36" w:rsidRPr="000A33D2">
        <w:rPr>
          <w:iCs/>
        </w:rPr>
        <w:t xml:space="preserve"> (e.g. from inaccurate and inappropriate application of half cycle corrections)</w:t>
      </w:r>
      <w:r w:rsidRPr="000A33D2">
        <w:rPr>
          <w:iCs/>
        </w:rPr>
        <w:t>, the duration of treatment</w:t>
      </w:r>
      <w:r w:rsidR="00C3452B" w:rsidRPr="000A33D2">
        <w:rPr>
          <w:iCs/>
        </w:rPr>
        <w:t xml:space="preserve"> with DOS</w:t>
      </w:r>
      <w:r w:rsidRPr="000A33D2">
        <w:rPr>
          <w:iCs/>
        </w:rPr>
        <w:t xml:space="preserve"> may have been underestimated and the offset from 2L PEM + LEN may have been overestimated</w:t>
      </w:r>
      <w:r w:rsidR="00784824" w:rsidRPr="000A33D2">
        <w:rPr>
          <w:iCs/>
        </w:rPr>
        <w:t xml:space="preserve">. </w:t>
      </w:r>
      <w:r w:rsidR="00FD1CD2" w:rsidRPr="000A33D2">
        <w:rPr>
          <w:iCs/>
        </w:rPr>
        <w:t>The ESC noted that these factors were revised in the PSCR and considered that the revisions appeared to be methodologically reasonable</w:t>
      </w:r>
      <w:r w:rsidR="00263AF8" w:rsidRPr="000A33D2">
        <w:rPr>
          <w:iCs/>
        </w:rPr>
        <w:t>, whilst also noting they resulted in substantial increases in patient numbers</w:t>
      </w:r>
      <w:r w:rsidR="00FD1CD2" w:rsidRPr="000A33D2">
        <w:rPr>
          <w:iCs/>
        </w:rPr>
        <w:t xml:space="preserve">. </w:t>
      </w:r>
    </w:p>
    <w:p w14:paraId="41F02D90" w14:textId="1574BC76" w:rsidR="001671A0" w:rsidRPr="000A33D2" w:rsidRDefault="00FD1CD2" w:rsidP="001671A0">
      <w:pPr>
        <w:pStyle w:val="3-BodyText"/>
      </w:pPr>
      <w:r w:rsidRPr="000A33D2">
        <w:t xml:space="preserve">The financial estimates included </w:t>
      </w:r>
      <w:r w:rsidR="00AB1374" w:rsidRPr="00AB1374">
        <w:t>&lt; 500</w:t>
      </w:r>
      <w:r w:rsidR="00784824" w:rsidRPr="000A33D2">
        <w:t xml:space="preserve"> grandfathered patients. The submission noted that a patient access program was anticipated to commence in 2023 for the treatment of patients with 1L A/R dMMR EC. </w:t>
      </w:r>
      <w:r w:rsidR="001F12C1" w:rsidRPr="000A33D2">
        <w:t xml:space="preserve">The submission </w:t>
      </w:r>
      <w:r w:rsidR="005A23DA" w:rsidRPr="000A33D2">
        <w:t xml:space="preserve">subtracted </w:t>
      </w:r>
      <w:r w:rsidR="00AB1374" w:rsidRPr="00AB1374">
        <w:t>&lt; 500</w:t>
      </w:r>
      <w:r w:rsidR="00662123">
        <w:t xml:space="preserve"> </w:t>
      </w:r>
      <w:r w:rsidR="007E3CC4" w:rsidRPr="000A33D2">
        <w:t xml:space="preserve">patients from the prevalent patients as it was </w:t>
      </w:r>
      <w:r w:rsidR="001F12C1" w:rsidRPr="000A33D2">
        <w:t xml:space="preserve">assumed that </w:t>
      </w:r>
      <w:r w:rsidR="00AB1374" w:rsidRPr="00AB1374">
        <w:t>&lt; 500</w:t>
      </w:r>
      <w:r w:rsidR="00AB1374">
        <w:t xml:space="preserve"> </w:t>
      </w:r>
      <w:r w:rsidR="00784824" w:rsidRPr="000A33D2">
        <w:t xml:space="preserve">out of the </w:t>
      </w:r>
      <w:r w:rsidR="00AB1374" w:rsidRPr="00AB1374">
        <w:t>&lt; 500</w:t>
      </w:r>
      <w:r w:rsidR="00AB1374">
        <w:t xml:space="preserve"> </w:t>
      </w:r>
      <w:r w:rsidR="00784824" w:rsidRPr="000A33D2">
        <w:t xml:space="preserve">patients </w:t>
      </w:r>
      <w:r w:rsidR="007E3CC4" w:rsidRPr="000A33D2">
        <w:t xml:space="preserve">would </w:t>
      </w:r>
      <w:r w:rsidR="00784824" w:rsidRPr="000A33D2">
        <w:t>be first recurrent Stage I/II and Stage III curative patients who will contribute towards the prevalent pool</w:t>
      </w:r>
      <w:r w:rsidR="00EC6262">
        <w:t xml:space="preserve">. The PBAC considered this was reasonable. </w:t>
      </w:r>
      <w:r w:rsidR="00CF4A48" w:rsidRPr="000A33D2">
        <w:t>Grandfathered patients were assumed to only use maintenance doses</w:t>
      </w:r>
      <w:r w:rsidR="00E247C3" w:rsidRPr="000A33D2">
        <w:t xml:space="preserve"> (reflected as continuing scripts) in the financial estimates</w:t>
      </w:r>
      <w:r w:rsidR="000A33D2">
        <w:t xml:space="preserve">. </w:t>
      </w:r>
    </w:p>
    <w:p w14:paraId="2238DEE9" w14:textId="3E6A228B" w:rsidR="00576972" w:rsidRPr="000A33D2" w:rsidRDefault="00576972" w:rsidP="00606FBA">
      <w:pPr>
        <w:pStyle w:val="4-SubsectionHeading"/>
      </w:pPr>
      <w:bookmarkStart w:id="94" w:name="_Toc22897648"/>
      <w:bookmarkStart w:id="95" w:name="_Toc145426904"/>
      <w:r w:rsidRPr="000A33D2">
        <w:t>Quality Use of Medicines</w:t>
      </w:r>
      <w:bookmarkEnd w:id="94"/>
      <w:bookmarkEnd w:id="95"/>
    </w:p>
    <w:p w14:paraId="73C9A650" w14:textId="7A83393D" w:rsidR="008E4A03" w:rsidRPr="000A33D2" w:rsidRDefault="008E4A03" w:rsidP="008E4A03">
      <w:pPr>
        <w:pStyle w:val="3-BodyText"/>
      </w:pPr>
      <w:r w:rsidRPr="000A33D2">
        <w:t xml:space="preserve">The submission stated that in addition to routine pharmacovigilance and risk minimisation activities, the Sponsor intended to implement medical education activities and a Patient Card (additional TGA risk minimisation measure) to promote safe and effective use of DOS in clinical practice. The purpose of the Patient Card was </w:t>
      </w:r>
      <w:r w:rsidRPr="000A33D2">
        <w:lastRenderedPageBreak/>
        <w:t>to inform patients about signs and symptoms of the most common immune-related events with DOS, and the main required actions to be taken if they experience any signs or symptoms of immune-related adverse reactions.</w:t>
      </w:r>
    </w:p>
    <w:p w14:paraId="6015A395" w14:textId="2EDB6A4E" w:rsidR="00576972" w:rsidRPr="000A33D2" w:rsidRDefault="00576972" w:rsidP="00606FBA">
      <w:pPr>
        <w:pStyle w:val="4-SubsectionHeading"/>
      </w:pPr>
      <w:bookmarkStart w:id="96" w:name="_Toc22897649"/>
      <w:bookmarkStart w:id="97" w:name="_Toc145426905"/>
      <w:r w:rsidRPr="000A33D2">
        <w:t>Financial Management – Risk Sharing Arrangements</w:t>
      </w:r>
      <w:bookmarkEnd w:id="96"/>
      <w:bookmarkEnd w:id="97"/>
    </w:p>
    <w:p w14:paraId="13560467" w14:textId="3A6EC100" w:rsidR="009874D2" w:rsidRPr="000A33D2" w:rsidRDefault="009874D2" w:rsidP="009874D2">
      <w:pPr>
        <w:pStyle w:val="3-BodyText"/>
      </w:pPr>
      <w:r w:rsidRPr="000A33D2">
        <w:t xml:space="preserve">The Sponsor </w:t>
      </w:r>
      <w:r w:rsidR="0082167F" w:rsidRPr="000A33D2">
        <w:t xml:space="preserve">indicated it </w:t>
      </w:r>
      <w:r w:rsidRPr="000A33D2">
        <w:t xml:space="preserve">was willing to enter into </w:t>
      </w:r>
      <w:r w:rsidR="000B4AAF" w:rsidRPr="000A33D2">
        <w:t>a</w:t>
      </w:r>
      <w:r w:rsidRPr="000A33D2">
        <w:t xml:space="preserve"> RSA to facilitate listing of DOS plus platinum-containing chemotherapy for the treatment of 1L A/R EC.</w:t>
      </w:r>
      <w:r w:rsidR="00D94E0F" w:rsidRPr="000A33D2">
        <w:t xml:space="preserve"> The ESC noted that a combined cap with 2L PEM</w:t>
      </w:r>
      <w:r w:rsidR="00D10614" w:rsidRPr="000A33D2">
        <w:t>+</w:t>
      </w:r>
      <w:r w:rsidR="00D94E0F" w:rsidRPr="000A33D2">
        <w:t>LEN may be appropriate given the cost-effectiveness of DOS relies on a reduction in use of 2L PEM+LEN.</w:t>
      </w:r>
      <w:r w:rsidR="00D10614" w:rsidRPr="000A33D2">
        <w:t xml:space="preserve"> The Pre-PBAC response requested a separate RSA for 1L dostarlimab given the different patient population (</w:t>
      </w:r>
      <w:r w:rsidR="00424496" w:rsidRPr="000A33D2">
        <w:t xml:space="preserve">1L, </w:t>
      </w:r>
      <w:r w:rsidR="00D10614" w:rsidRPr="000A33D2">
        <w:t>dMMR</w:t>
      </w:r>
      <w:r w:rsidR="00424496" w:rsidRPr="000A33D2">
        <w:t xml:space="preserve"> vs 2L, all-comers). The PBAC considered that a shared cap would be appropriate, given the substantial overlap in patient populations and because the cost-effectiveness for </w:t>
      </w:r>
      <w:r w:rsidR="00D97924">
        <w:t>DOS</w:t>
      </w:r>
      <w:r w:rsidR="00D97924" w:rsidRPr="000A33D2">
        <w:t xml:space="preserve"> </w:t>
      </w:r>
      <w:r w:rsidR="00424496" w:rsidRPr="000A33D2">
        <w:t xml:space="preserve">relies on cost offsets for 2L PEM+LEN. The PBAC considered that the caps should be increased to account for additional patients treated 1L </w:t>
      </w:r>
      <w:r w:rsidR="00D97924">
        <w:t>DOS</w:t>
      </w:r>
      <w:r w:rsidR="00424496" w:rsidRPr="000A33D2">
        <w:t>, with offsets for 2L PEM+LEN and considered that the financial estimates, with minor changes as described in paragraph</w:t>
      </w:r>
      <w:r w:rsidR="00445DC5" w:rsidRPr="000A33D2">
        <w:t xml:space="preserve"> </w:t>
      </w:r>
      <w:r w:rsidR="00445DC5" w:rsidRPr="000A33D2">
        <w:fldChar w:fldCharType="begin" w:fldLock="1"/>
      </w:r>
      <w:r w:rsidR="00445DC5" w:rsidRPr="000A33D2">
        <w:instrText xml:space="preserve"> REF _Ref150515800 \r \h </w:instrText>
      </w:r>
      <w:r w:rsidR="00445DC5" w:rsidRPr="000A33D2">
        <w:fldChar w:fldCharType="separate"/>
      </w:r>
      <w:r w:rsidR="00B62E71">
        <w:t>7.10</w:t>
      </w:r>
      <w:r w:rsidR="00445DC5" w:rsidRPr="000A33D2">
        <w:fldChar w:fldCharType="end"/>
      </w:r>
      <w:r w:rsidR="00445DC5" w:rsidRPr="000A33D2">
        <w:t>,</w:t>
      </w:r>
      <w:r w:rsidR="00424496" w:rsidRPr="000A33D2">
        <w:t xml:space="preserve"> provided a reasonable basis for the increase.</w:t>
      </w:r>
    </w:p>
    <w:p w14:paraId="2B44B21D" w14:textId="45EEF770" w:rsidR="002158C0" w:rsidRPr="000A33D2" w:rsidRDefault="002158C0" w:rsidP="00AB1374">
      <w:pPr>
        <w:ind w:firstLine="720"/>
      </w:pPr>
      <w:r w:rsidRPr="000A33D2">
        <w:rPr>
          <w:i/>
          <w:iCs/>
        </w:rPr>
        <w:t>For more detail on PBAC’s view, see section 7 PBAC outcome.</w:t>
      </w:r>
    </w:p>
    <w:p w14:paraId="33B7ADF5" w14:textId="77777777" w:rsidR="00325C70" w:rsidRPr="000A33D2" w:rsidRDefault="00325C70" w:rsidP="00325C70">
      <w:pPr>
        <w:pStyle w:val="2-SectionHeading"/>
        <w:numPr>
          <w:ilvl w:val="0"/>
          <w:numId w:val="1"/>
        </w:numPr>
      </w:pPr>
      <w:bookmarkStart w:id="98" w:name="_Hlk76381249"/>
      <w:bookmarkStart w:id="99" w:name="_Hlk76377955"/>
      <w:r w:rsidRPr="000A33D2">
        <w:t>PBAC Outcome</w:t>
      </w:r>
    </w:p>
    <w:p w14:paraId="5DBB5510" w14:textId="77777777" w:rsidR="00362129" w:rsidRPr="00D97924" w:rsidRDefault="00362129" w:rsidP="00C809D4">
      <w:pPr>
        <w:spacing w:after="120"/>
        <w:rPr>
          <w:b/>
          <w:bCs/>
          <w:i/>
          <w:iCs/>
          <w:snapToGrid w:val="0"/>
        </w:rPr>
      </w:pPr>
      <w:bookmarkStart w:id="100" w:name="_Hlk111543188"/>
      <w:r w:rsidRPr="00D97924">
        <w:rPr>
          <w:b/>
          <w:bCs/>
          <w:i/>
          <w:iCs/>
          <w:snapToGrid w:val="0"/>
        </w:rPr>
        <w:t>dMMR population</w:t>
      </w:r>
    </w:p>
    <w:p w14:paraId="6CBF67CF" w14:textId="600CD93A" w:rsidR="007D0479" w:rsidRPr="000A33D2" w:rsidRDefault="00971FFD" w:rsidP="00362129">
      <w:pPr>
        <w:widowControl w:val="0"/>
        <w:numPr>
          <w:ilvl w:val="1"/>
          <w:numId w:val="1"/>
        </w:numPr>
        <w:spacing w:after="120"/>
        <w:rPr>
          <w:rFonts w:asciiTheme="minorHAnsi" w:hAnsiTheme="minorHAnsi"/>
          <w:snapToGrid w:val="0"/>
        </w:rPr>
      </w:pPr>
      <w:r w:rsidRPr="000A33D2">
        <w:rPr>
          <w:rFonts w:asciiTheme="minorHAnsi" w:hAnsiTheme="minorHAnsi"/>
          <w:snapToGrid w:val="0"/>
        </w:rPr>
        <w:t>The PBAC recommended the listing of dostarlimab in combination with platinum-containing chemotherapy</w:t>
      </w:r>
      <w:r w:rsidR="00BB5457" w:rsidRPr="000A33D2">
        <w:rPr>
          <w:rFonts w:asciiTheme="minorHAnsi" w:hAnsiTheme="minorHAnsi"/>
          <w:snapToGrid w:val="0"/>
        </w:rPr>
        <w:t xml:space="preserve"> (DOS+CP)</w:t>
      </w:r>
      <w:r w:rsidRPr="000A33D2">
        <w:rPr>
          <w:rFonts w:asciiTheme="minorHAnsi" w:hAnsiTheme="minorHAnsi"/>
          <w:snapToGrid w:val="0"/>
        </w:rPr>
        <w:t>, for the treatment of primary advanced or first recurrent endometrial cancer that is mismatch repair deficient (dMMR)</w:t>
      </w:r>
      <w:r w:rsidR="00362129" w:rsidRPr="000A33D2">
        <w:rPr>
          <w:rFonts w:asciiTheme="minorHAnsi" w:hAnsiTheme="minorHAnsi"/>
          <w:snapToGrid w:val="0"/>
        </w:rPr>
        <w:t>,</w:t>
      </w:r>
      <w:r w:rsidRPr="000A33D2">
        <w:rPr>
          <w:rFonts w:asciiTheme="minorHAnsi" w:hAnsiTheme="minorHAnsi"/>
          <w:snapToGrid w:val="0"/>
        </w:rPr>
        <w:t xml:space="preserve"> on the basis that it should be available only under special arrangements under Section 100</w:t>
      </w:r>
      <w:r w:rsidR="00362129" w:rsidRPr="000A33D2">
        <w:rPr>
          <w:rFonts w:asciiTheme="minorHAnsi" w:hAnsiTheme="minorHAnsi"/>
          <w:snapToGrid w:val="0"/>
        </w:rPr>
        <w:t xml:space="preserve"> (Efficient Funding of Chemotherapy)</w:t>
      </w:r>
      <w:r w:rsidRPr="000A33D2">
        <w:rPr>
          <w:rFonts w:asciiTheme="minorHAnsi" w:hAnsiTheme="minorHAnsi"/>
          <w:snapToGrid w:val="0"/>
        </w:rPr>
        <w:t xml:space="preserve">. </w:t>
      </w:r>
      <w:r w:rsidR="00362129" w:rsidRPr="000A33D2">
        <w:rPr>
          <w:rFonts w:asciiTheme="minorHAnsi" w:hAnsiTheme="minorHAnsi"/>
          <w:snapToGrid w:val="0"/>
        </w:rPr>
        <w:t>The PBAC is satisfied that dostarlimab provides, for some patients, a significant improvement in efficacy over platinum-</w:t>
      </w:r>
      <w:r w:rsidR="000A5F81">
        <w:rPr>
          <w:rFonts w:asciiTheme="minorHAnsi" w:hAnsiTheme="minorHAnsi"/>
          <w:snapToGrid w:val="0"/>
        </w:rPr>
        <w:t>containing</w:t>
      </w:r>
      <w:r w:rsidR="000A5F81" w:rsidRPr="000A33D2">
        <w:rPr>
          <w:rFonts w:asciiTheme="minorHAnsi" w:hAnsiTheme="minorHAnsi"/>
          <w:snapToGrid w:val="0"/>
        </w:rPr>
        <w:t xml:space="preserve"> </w:t>
      </w:r>
      <w:r w:rsidR="00362129" w:rsidRPr="000A33D2">
        <w:rPr>
          <w:rFonts w:asciiTheme="minorHAnsi" w:hAnsiTheme="minorHAnsi"/>
          <w:snapToGrid w:val="0"/>
        </w:rPr>
        <w:t>chemotherapy alone</w:t>
      </w:r>
      <w:r w:rsidR="007D0479" w:rsidRPr="000A33D2">
        <w:rPr>
          <w:rFonts w:asciiTheme="minorHAnsi" w:hAnsiTheme="minorHAnsi"/>
          <w:snapToGrid w:val="0"/>
        </w:rPr>
        <w:t>, noting a clinical benefit from first line treatment for this population</w:t>
      </w:r>
      <w:r w:rsidR="00362129" w:rsidRPr="000A33D2">
        <w:rPr>
          <w:rFonts w:asciiTheme="minorHAnsi" w:hAnsiTheme="minorHAnsi"/>
          <w:snapToGrid w:val="0"/>
        </w:rPr>
        <w:t xml:space="preserve">. </w:t>
      </w:r>
      <w:r w:rsidR="006570A5" w:rsidRPr="000A33D2">
        <w:rPr>
          <w:rFonts w:asciiTheme="minorHAnsi" w:hAnsiTheme="minorHAnsi"/>
          <w:snapToGrid w:val="0"/>
        </w:rPr>
        <w:t>The PBAC considered that, for the dMMR population, dostarlimab would be acceptably cost effective with a price reduction to account for the uncertain longer</w:t>
      </w:r>
      <w:r w:rsidR="003C0E24" w:rsidRPr="000A33D2">
        <w:rPr>
          <w:rFonts w:asciiTheme="minorHAnsi" w:hAnsiTheme="minorHAnsi"/>
          <w:snapToGrid w:val="0"/>
        </w:rPr>
        <w:t>-</w:t>
      </w:r>
      <w:r w:rsidR="006570A5" w:rsidRPr="000A33D2">
        <w:rPr>
          <w:rFonts w:asciiTheme="minorHAnsi" w:hAnsiTheme="minorHAnsi"/>
          <w:snapToGrid w:val="0"/>
        </w:rPr>
        <w:t>term outcomes,</w:t>
      </w:r>
      <w:r w:rsidR="00864A6C" w:rsidRPr="000A33D2">
        <w:rPr>
          <w:rFonts w:asciiTheme="minorHAnsi" w:hAnsiTheme="minorHAnsi"/>
          <w:snapToGrid w:val="0"/>
        </w:rPr>
        <w:t xml:space="preserve"> </w:t>
      </w:r>
      <w:r w:rsidR="00CC14AA" w:rsidRPr="000A33D2">
        <w:rPr>
          <w:rFonts w:asciiTheme="minorHAnsi" w:hAnsiTheme="minorHAnsi"/>
          <w:snapToGrid w:val="0"/>
        </w:rPr>
        <w:t xml:space="preserve">including the </w:t>
      </w:r>
      <w:r w:rsidR="00864A6C" w:rsidRPr="000A33D2">
        <w:rPr>
          <w:rFonts w:asciiTheme="minorHAnsi" w:hAnsiTheme="minorHAnsi"/>
          <w:snapToGrid w:val="0"/>
        </w:rPr>
        <w:t xml:space="preserve">uncertain </w:t>
      </w:r>
      <w:r w:rsidR="00CC14AA" w:rsidRPr="000A33D2">
        <w:rPr>
          <w:rFonts w:asciiTheme="minorHAnsi" w:hAnsiTheme="minorHAnsi"/>
          <w:snapToGrid w:val="0"/>
        </w:rPr>
        <w:t>gain in</w:t>
      </w:r>
      <w:r w:rsidR="00864A6C" w:rsidRPr="000A33D2">
        <w:rPr>
          <w:rFonts w:asciiTheme="minorHAnsi" w:hAnsiTheme="minorHAnsi"/>
          <w:snapToGrid w:val="0"/>
        </w:rPr>
        <w:t xml:space="preserve"> overall survival</w:t>
      </w:r>
      <w:r w:rsidR="006570A5" w:rsidRPr="000A33D2">
        <w:rPr>
          <w:rFonts w:asciiTheme="minorHAnsi" w:hAnsiTheme="minorHAnsi"/>
          <w:snapToGrid w:val="0"/>
        </w:rPr>
        <w:t>.</w:t>
      </w:r>
      <w:r w:rsidR="007D0479" w:rsidRPr="000A33D2">
        <w:rPr>
          <w:rFonts w:asciiTheme="minorHAnsi" w:hAnsiTheme="minorHAnsi"/>
          <w:snapToGrid w:val="0"/>
        </w:rPr>
        <w:t xml:space="preserve"> </w:t>
      </w:r>
    </w:p>
    <w:p w14:paraId="7AC08695" w14:textId="34CAE1AB" w:rsidR="00362129" w:rsidRPr="000A33D2" w:rsidRDefault="007D0479" w:rsidP="00362129">
      <w:pPr>
        <w:widowControl w:val="0"/>
        <w:numPr>
          <w:ilvl w:val="1"/>
          <w:numId w:val="1"/>
        </w:numPr>
        <w:spacing w:after="120"/>
        <w:rPr>
          <w:rFonts w:asciiTheme="minorHAnsi" w:hAnsiTheme="minorHAnsi"/>
          <w:snapToGrid w:val="0"/>
        </w:rPr>
      </w:pPr>
      <w:r w:rsidRPr="000A33D2">
        <w:rPr>
          <w:rFonts w:asciiTheme="minorHAnsi" w:hAnsiTheme="minorHAnsi"/>
          <w:snapToGrid w:val="0"/>
        </w:rPr>
        <w:t>The PBAC noted that there is a high clinical need for effective treatment of endometrial cancer and considered that there was a clear clinical benefit for first line treatment with dostarlimab in the dMMR population.</w:t>
      </w:r>
    </w:p>
    <w:p w14:paraId="5272DA2C" w14:textId="7B9766BD" w:rsidR="007E52D3" w:rsidRPr="000A33D2" w:rsidRDefault="007E52D3" w:rsidP="000C344C">
      <w:pPr>
        <w:pStyle w:val="3-BodyText"/>
      </w:pPr>
      <w:r w:rsidRPr="000A33D2">
        <w:t>The PBAC considered that</w:t>
      </w:r>
      <w:r w:rsidR="008754D1" w:rsidRPr="000A33D2">
        <w:t xml:space="preserve"> the </w:t>
      </w:r>
      <w:r w:rsidR="00CC14AA" w:rsidRPr="000A33D2">
        <w:t>PBS listing</w:t>
      </w:r>
      <w:r w:rsidR="008754D1" w:rsidRPr="000A33D2">
        <w:t xml:space="preserve"> should be aligned to the proposed indication and the conditions of use in the RUBY trial</w:t>
      </w:r>
      <w:r w:rsidR="00BD7DC0" w:rsidRPr="000A33D2">
        <w:t>,</w:t>
      </w:r>
      <w:r w:rsidR="008754D1" w:rsidRPr="000A33D2">
        <w:t xml:space="preserve"> and </w:t>
      </w:r>
      <w:r w:rsidR="0072550F" w:rsidRPr="000A33D2">
        <w:t xml:space="preserve">therefore </w:t>
      </w:r>
      <w:r w:rsidR="00CC14AA" w:rsidRPr="000A33D2">
        <w:t xml:space="preserve">should </w:t>
      </w:r>
      <w:r w:rsidR="008754D1" w:rsidRPr="000A33D2">
        <w:t xml:space="preserve">specify initiation of dostarlimab must be in combination with </w:t>
      </w:r>
      <w:r w:rsidR="000A5F81">
        <w:t>platinum-containing chemotherapy</w:t>
      </w:r>
      <w:r w:rsidR="008754D1" w:rsidRPr="000A33D2">
        <w:t xml:space="preserve">, </w:t>
      </w:r>
      <w:r w:rsidR="00BD7DC0" w:rsidRPr="000A33D2">
        <w:t xml:space="preserve">and the clinical criteria which removed the requirement for combination treatment in cases </w:t>
      </w:r>
      <w:r w:rsidR="008754D1" w:rsidRPr="000A33D2">
        <w:t xml:space="preserve">of intolerance or </w:t>
      </w:r>
      <w:r w:rsidR="00BD7DC0" w:rsidRPr="000A33D2">
        <w:t xml:space="preserve">a </w:t>
      </w:r>
      <w:r w:rsidR="008754D1" w:rsidRPr="000A33D2">
        <w:t xml:space="preserve">contraindication </w:t>
      </w:r>
      <w:r w:rsidR="00BD7DC0" w:rsidRPr="000A33D2">
        <w:t>should be removed</w:t>
      </w:r>
      <w:r w:rsidR="008754D1" w:rsidRPr="000A33D2">
        <w:t xml:space="preserve">. </w:t>
      </w:r>
      <w:r w:rsidR="000C344C" w:rsidRPr="000A33D2">
        <w:t>T</w:t>
      </w:r>
      <w:r w:rsidRPr="000A33D2">
        <w:t>he proposed criteria were otherwise consistent with the patient population and treatment interventions in the RUBY trial and the PBAC considered they were appropriate.</w:t>
      </w:r>
    </w:p>
    <w:p w14:paraId="2C2D474C" w14:textId="17E285C6" w:rsidR="00C87092" w:rsidRPr="000A33D2" w:rsidRDefault="00C87092" w:rsidP="000C344C">
      <w:pPr>
        <w:pStyle w:val="3-BodyText"/>
      </w:pPr>
      <w:r w:rsidRPr="000A33D2">
        <w:lastRenderedPageBreak/>
        <w:t xml:space="preserve">The PBAC considered that carboplatin and paclitaxel was the appropriate comparator for the dMMR population. The PBAC also noted that 2L PEM+LEN was a relevant comparator for a proportion of the population, as treatment with 1L </w:t>
      </w:r>
      <w:r w:rsidR="00BB5457" w:rsidRPr="000A33D2">
        <w:t>DOS</w:t>
      </w:r>
      <w:r w:rsidRPr="000A33D2">
        <w:t xml:space="preserve"> would exclude PBS-subsidised use of 2L PEM+LEN. </w:t>
      </w:r>
    </w:p>
    <w:p w14:paraId="5B3A82D2" w14:textId="4BE9D3B3" w:rsidR="007A30A6" w:rsidRPr="000A33D2" w:rsidRDefault="005127A8" w:rsidP="006E56EB">
      <w:pPr>
        <w:pStyle w:val="3-BodyText"/>
      </w:pPr>
      <w:r w:rsidRPr="000A33D2">
        <w:t xml:space="preserve">The </w:t>
      </w:r>
      <w:r w:rsidR="0072550F" w:rsidRPr="000A33D2">
        <w:t xml:space="preserve">PBAC noted that the </w:t>
      </w:r>
      <w:r w:rsidRPr="000A33D2">
        <w:t>submission was based on one head-to-head trial comparing DOS+CP to CP alone</w:t>
      </w:r>
      <w:r w:rsidR="005A72F5" w:rsidRPr="000A33D2">
        <w:t xml:space="preserve"> (</w:t>
      </w:r>
      <w:r w:rsidRPr="000A33D2">
        <w:t>RUBY).</w:t>
      </w:r>
      <w:r w:rsidR="0072550F" w:rsidRPr="000A33D2">
        <w:t xml:space="preserve"> </w:t>
      </w:r>
      <w:r w:rsidR="007A30A6" w:rsidRPr="000A33D2">
        <w:t xml:space="preserve">The PBAC noted that the dMMR population was a relatively small proportion </w:t>
      </w:r>
      <w:r w:rsidR="005A72F5" w:rsidRPr="000A33D2">
        <w:t xml:space="preserve">of </w:t>
      </w:r>
      <w:r w:rsidR="00581F0B" w:rsidRPr="000A33D2">
        <w:t xml:space="preserve">the </w:t>
      </w:r>
      <w:r w:rsidR="007A30A6" w:rsidRPr="000A33D2">
        <w:t xml:space="preserve">patients included in </w:t>
      </w:r>
      <w:r w:rsidR="00BB5457" w:rsidRPr="000A33D2">
        <w:t>RUBY</w:t>
      </w:r>
      <w:r w:rsidR="007A30A6" w:rsidRPr="000A33D2">
        <w:t xml:space="preserve"> (</w:t>
      </w:r>
      <w:r w:rsidR="000358C7" w:rsidRPr="000A33D2">
        <w:t xml:space="preserve">118/494, </w:t>
      </w:r>
      <w:r w:rsidR="007A30A6" w:rsidRPr="000A33D2">
        <w:t>23.9</w:t>
      </w:r>
      <w:r w:rsidR="000358C7" w:rsidRPr="000A33D2">
        <w:t>%</w:t>
      </w:r>
      <w:r w:rsidR="007A30A6" w:rsidRPr="000A33D2">
        <w:t xml:space="preserve">). The PBAC considered the submission’s claim of superior efficacy for </w:t>
      </w:r>
      <w:r w:rsidR="00BB5457" w:rsidRPr="000A33D2">
        <w:t>DOS+</w:t>
      </w:r>
      <w:r w:rsidR="007A30A6" w:rsidRPr="000A33D2">
        <w:t>CP compared to CP alone in the dMMR cohort was reasonably supported by the PFS results in the RUBY trial (HR = 0.28, 95% CI 0.16, 0.50). However</w:t>
      </w:r>
      <w:r w:rsidR="006E56EB" w:rsidRPr="000A33D2">
        <w:t>,</w:t>
      </w:r>
      <w:r w:rsidR="007A30A6" w:rsidRPr="000A33D2">
        <w:t xml:space="preserve"> </w:t>
      </w:r>
      <w:r w:rsidR="006E56EB" w:rsidRPr="000A33D2">
        <w:t xml:space="preserve">although there was separation in the </w:t>
      </w:r>
      <w:r w:rsidR="005A72F5" w:rsidRPr="000A33D2">
        <w:t xml:space="preserve">OS </w:t>
      </w:r>
      <w:r w:rsidR="006E56EB" w:rsidRPr="000A33D2">
        <w:t>KM curves</w:t>
      </w:r>
      <w:r w:rsidR="00BB5457" w:rsidRPr="000A33D2">
        <w:t xml:space="preserve"> (HR = 0.30, 95% CI 0.13, 0.70)</w:t>
      </w:r>
      <w:r w:rsidR="006E56EB" w:rsidRPr="000A33D2">
        <w:t xml:space="preserve">, </w:t>
      </w:r>
      <w:r w:rsidR="006E56EB" w:rsidRPr="000A33D2">
        <w:rPr>
          <w:szCs w:val="20"/>
        </w:rPr>
        <w:t xml:space="preserve">OS was not </w:t>
      </w:r>
      <w:r w:rsidR="005A72F5" w:rsidRPr="000A33D2">
        <w:rPr>
          <w:szCs w:val="20"/>
        </w:rPr>
        <w:t xml:space="preserve">formally </w:t>
      </w:r>
      <w:r w:rsidR="006E56EB" w:rsidRPr="000A33D2">
        <w:rPr>
          <w:szCs w:val="20"/>
        </w:rPr>
        <w:t>tested for statistical significance and was based on a small number of events</w:t>
      </w:r>
      <w:r w:rsidR="006E56EB" w:rsidRPr="000A33D2">
        <w:t xml:space="preserve">. </w:t>
      </w:r>
      <w:r w:rsidR="00D97924" w:rsidRPr="000A33D2">
        <w:t>Therefore,</w:t>
      </w:r>
      <w:r w:rsidR="005A72F5" w:rsidRPr="000A33D2">
        <w:t xml:space="preserve"> the PBAC considered that the magnitude of </w:t>
      </w:r>
      <w:r w:rsidR="009B1C20" w:rsidRPr="000A33D2">
        <w:t xml:space="preserve">the </w:t>
      </w:r>
      <w:r w:rsidR="005A72F5" w:rsidRPr="000A33D2">
        <w:t>OS benefit</w:t>
      </w:r>
      <w:r w:rsidR="009B1C20" w:rsidRPr="000A33D2">
        <w:t xml:space="preserve"> was uncertain</w:t>
      </w:r>
      <w:r w:rsidR="005A72F5" w:rsidRPr="000A33D2">
        <w:t>.</w:t>
      </w:r>
    </w:p>
    <w:p w14:paraId="643C7ADC" w14:textId="7A4D65CE" w:rsidR="00117B57" w:rsidRPr="000A33D2" w:rsidRDefault="000D1A64" w:rsidP="003D2C80">
      <w:pPr>
        <w:pStyle w:val="3-BodyText"/>
      </w:pPr>
      <w:bookmarkStart w:id="101" w:name="_Ref150508962"/>
      <w:r w:rsidRPr="000A33D2">
        <w:t xml:space="preserve">The PBAC noted that the submission presented a cost-utility analysis based on outcomes of the RUBY trial. As the data from the </w:t>
      </w:r>
      <w:r w:rsidR="009B1C20" w:rsidRPr="000A33D2">
        <w:t xml:space="preserve">RUBY </w:t>
      </w:r>
      <w:r w:rsidRPr="000A33D2">
        <w:t xml:space="preserve">trial were immature, extrapolation of the outcomes </w:t>
      </w:r>
      <w:r w:rsidR="009C5843" w:rsidRPr="000A33D2">
        <w:t xml:space="preserve">beyond the trial median </w:t>
      </w:r>
      <w:r w:rsidR="00D97924" w:rsidRPr="000A33D2">
        <w:t>follow</w:t>
      </w:r>
      <w:r w:rsidR="00D97924">
        <w:t>-</w:t>
      </w:r>
      <w:r w:rsidR="009C5843" w:rsidRPr="000A33D2">
        <w:t xml:space="preserve">up </w:t>
      </w:r>
      <w:r w:rsidRPr="000A33D2">
        <w:t xml:space="preserve">for the CP arm was based on long-term data from Miller (2020), </w:t>
      </w:r>
      <w:r w:rsidRPr="000A33D2" w:rsidDel="00800852">
        <w:t>a phase III, randomised, open-label study of CP versus paclitaxel-doxorubicin-cisplatin in 1L A/R EC</w:t>
      </w:r>
      <w:r w:rsidRPr="000A33D2">
        <w:t xml:space="preserve">. </w:t>
      </w:r>
      <w:r w:rsidR="00581F0B" w:rsidRPr="000A33D2">
        <w:t>After the median follow up of RUBY, OS and PF</w:t>
      </w:r>
      <w:r w:rsidR="00BC6710">
        <w:t>S</w:t>
      </w:r>
      <w:r w:rsidR="00581F0B" w:rsidRPr="000A33D2">
        <w:t xml:space="preserve"> HRs from RUBY were applied to the CP arm to generate results for DOS+CP. </w:t>
      </w:r>
      <w:r w:rsidR="009C5843" w:rsidRPr="000A33D2">
        <w:t xml:space="preserve">The PBAC considered there was a high level of uncertainty for the extrapolated outcomes in the economic model due to the immature OS data and the modelled outcomes were likely to be optimistic for patients with advanced/recurrent EC. </w:t>
      </w:r>
      <w:r w:rsidR="00F04C04" w:rsidRPr="000A33D2">
        <w:t>T</w:t>
      </w:r>
      <w:r w:rsidR="009C5843" w:rsidRPr="000A33D2">
        <w:t xml:space="preserve">he PBAC noted that the small number of patients in the dMMR cohort also increased uncertainty in the outcomes informing the model. </w:t>
      </w:r>
      <w:r w:rsidR="00F04C04" w:rsidRPr="000A33D2">
        <w:t>The PBAC considered it would be appropriate to use 22 months of KM data before extrapolating OS for the CP arm, given the sharp drop in OS between 22 and 24 months, based on a small number of events.</w:t>
      </w:r>
      <w:bookmarkEnd w:id="101"/>
    </w:p>
    <w:p w14:paraId="05FE9335" w14:textId="220AE1EA" w:rsidR="00445DC5" w:rsidRPr="000A33D2" w:rsidRDefault="00445DC5" w:rsidP="00445DC5">
      <w:pPr>
        <w:pStyle w:val="3-BodyText"/>
      </w:pPr>
      <w:bookmarkStart w:id="102" w:name="_Ref150508964"/>
      <w:r w:rsidRPr="000A33D2">
        <w:t xml:space="preserve">The PBAC noted that 2L PEM+LEN was represented, to some extent, in the RUBY trial, where 53% of patients in the CP arm who received subsequent treatment were treated with immunotherapy (38.5% overall). </w:t>
      </w:r>
      <w:r w:rsidR="00D97924" w:rsidRPr="000A33D2">
        <w:t>However,</w:t>
      </w:r>
      <w:r w:rsidRPr="000A33D2">
        <w:t xml:space="preserve"> it was unclear whether the extent of 2L immunotherapy in the RUBY trial would reflect Australian clinical practice and it is unlikely the benefit from 2L immunotherapy would have been fully captured in the outcomes of RUBY due to the immaturity of the OS data. The PBAC noted that 2L immunotherapy was not represented in the long-term survival data from Miller (2020) used in the economic evaluation for extrapolation of the trial data.</w:t>
      </w:r>
    </w:p>
    <w:p w14:paraId="57E812BA" w14:textId="5185B69D" w:rsidR="000A5F81" w:rsidRPr="000A5F81" w:rsidRDefault="00581F0B" w:rsidP="00B80D1E">
      <w:pPr>
        <w:pStyle w:val="3-BodyText"/>
      </w:pPr>
      <w:bookmarkStart w:id="103" w:name="_Ref150767070"/>
      <w:r w:rsidRPr="000A33D2">
        <w:t>Between three years and the modelled 10-year time horizon, linear convergence of DOS+CP survival curves to CP survival curves</w:t>
      </w:r>
      <w:r w:rsidR="006F169B" w:rsidRPr="000A33D2">
        <w:t xml:space="preserve"> was applied</w:t>
      </w:r>
      <w:r w:rsidR="003C0E24" w:rsidRPr="000A33D2">
        <w:t>, with complete convergence at</w:t>
      </w:r>
      <w:r w:rsidRPr="000A33D2">
        <w:t xml:space="preserve"> 10 years</w:t>
      </w:r>
      <w:r w:rsidR="003C0E24" w:rsidRPr="000A33D2">
        <w:t xml:space="preserve">. The submission noted that convergence was applied to compensate for subsequent immunotherapy in Australian clinical practice. The PBAC considered that the convergence applied </w:t>
      </w:r>
      <w:r w:rsidR="000E5497" w:rsidRPr="000A33D2">
        <w:t xml:space="preserve">in the model base case </w:t>
      </w:r>
      <w:r w:rsidR="003C0E24" w:rsidRPr="000A33D2">
        <w:t xml:space="preserve">was unlikely to sufficiently reflect the combined issues of: (1) uncertainty associated with long term incremental benefit with DOS+CP relative to CP, (2) the underestimated OS in the CP arm due to omission </w:t>
      </w:r>
      <w:r w:rsidR="003C0E24" w:rsidRPr="000A33D2">
        <w:lastRenderedPageBreak/>
        <w:t xml:space="preserve">of 2L immunotherapy in the long-term follow-up data, and (3) the potential overestimate of DOS+CP OS due to 2L immunotherapy use in the DOS+CP arm in RUBY. The PBAC considered that applying convergence between 3 and 7.5 years, with a time horizon of 7.5 </w:t>
      </w:r>
      <w:r w:rsidR="00472009" w:rsidRPr="000A33D2">
        <w:t>years</w:t>
      </w:r>
      <w:r w:rsidR="00F04C04" w:rsidRPr="000A33D2">
        <w:t>, as proposed in the pre-PBAC response,</w:t>
      </w:r>
      <w:r w:rsidR="00472009" w:rsidRPr="000A33D2">
        <w:t xml:space="preserve"> </w:t>
      </w:r>
      <w:r w:rsidR="003C0E24" w:rsidRPr="000A33D2">
        <w:t>was appropriate given uncertainty in the modelled outcomes and their applicability to Australian clinical practice.</w:t>
      </w:r>
      <w:r w:rsidR="00472009" w:rsidRPr="000A33D2">
        <w:t xml:space="preserve"> </w:t>
      </w:r>
      <w:r w:rsidR="000A5F81" w:rsidRPr="000A5F81">
        <w:t xml:space="preserve">The PBAC </w:t>
      </w:r>
      <w:r w:rsidR="000A5F81">
        <w:t xml:space="preserve">also </w:t>
      </w:r>
      <w:r w:rsidR="000A5F81" w:rsidRPr="000A5F81">
        <w:t>noted that the terminal care costs included in the model were high and favoured dostarlimab. The PBAC considered that the terminal care costs should be reduced to $51,413 to align with those used for 2L PEM+LEN.</w:t>
      </w:r>
    </w:p>
    <w:bookmarkEnd w:id="102"/>
    <w:bookmarkEnd w:id="103"/>
    <w:p w14:paraId="23B1DA61" w14:textId="6BEA2C8E" w:rsidR="00472009" w:rsidRPr="000A33D2" w:rsidRDefault="00472009" w:rsidP="00581F0B">
      <w:pPr>
        <w:pStyle w:val="3-BodyText"/>
      </w:pPr>
      <w:r w:rsidRPr="000A33D2">
        <w:t xml:space="preserve">The PBAC </w:t>
      </w:r>
      <w:r w:rsidR="001A64C3" w:rsidRPr="000A33D2">
        <w:t xml:space="preserve">considered that with application of </w:t>
      </w:r>
      <w:r w:rsidR="00602D30" w:rsidRPr="000A33D2">
        <w:t xml:space="preserve">the approach and inputs described in paragraphs </w:t>
      </w:r>
      <w:r w:rsidR="00602D30" w:rsidRPr="000A33D2">
        <w:fldChar w:fldCharType="begin" w:fldLock="1"/>
      </w:r>
      <w:r w:rsidR="00602D30" w:rsidRPr="000A33D2">
        <w:instrText xml:space="preserve"> REF _Ref150508962 \r \h </w:instrText>
      </w:r>
      <w:r w:rsidR="00602D30" w:rsidRPr="000A33D2">
        <w:fldChar w:fldCharType="separate"/>
      </w:r>
      <w:r w:rsidR="00B62E71">
        <w:t>7.6</w:t>
      </w:r>
      <w:r w:rsidR="00602D30" w:rsidRPr="000A33D2">
        <w:fldChar w:fldCharType="end"/>
      </w:r>
      <w:r w:rsidR="00602D30" w:rsidRPr="000A33D2">
        <w:t xml:space="preserve"> and </w:t>
      </w:r>
      <w:r w:rsidR="00602D30" w:rsidRPr="000A33D2">
        <w:fldChar w:fldCharType="begin" w:fldLock="1"/>
      </w:r>
      <w:r w:rsidR="00602D30" w:rsidRPr="000A33D2">
        <w:instrText xml:space="preserve"> REF _Ref150508964 \r \h </w:instrText>
      </w:r>
      <w:r w:rsidR="00602D30" w:rsidRPr="000A33D2">
        <w:fldChar w:fldCharType="separate"/>
      </w:r>
      <w:r w:rsidR="00B62E71">
        <w:t>7.7</w:t>
      </w:r>
      <w:r w:rsidR="00602D30" w:rsidRPr="000A33D2">
        <w:fldChar w:fldCharType="end"/>
      </w:r>
      <w:r w:rsidR="00602D30" w:rsidRPr="000A33D2">
        <w:t xml:space="preserve">, </w:t>
      </w:r>
      <w:proofErr w:type="spellStart"/>
      <w:r w:rsidR="001A64C3" w:rsidRPr="000A33D2">
        <w:t>dostarlimab</w:t>
      </w:r>
      <w:proofErr w:type="spellEnd"/>
      <w:r w:rsidR="001A64C3" w:rsidRPr="000A33D2">
        <w:t xml:space="preserve"> would be</w:t>
      </w:r>
      <w:r w:rsidR="006C5F39" w:rsidRPr="000A33D2">
        <w:t xml:space="preserve"> acceptably</w:t>
      </w:r>
      <w:r w:rsidR="001A64C3" w:rsidRPr="000A33D2">
        <w:t xml:space="preserve"> cost effective with a reduction in price resulting</w:t>
      </w:r>
      <w:r w:rsidR="006C5F39" w:rsidRPr="000A33D2">
        <w:t xml:space="preserve"> </w:t>
      </w:r>
      <w:r w:rsidR="000E5497" w:rsidRPr="000A33D2">
        <w:t>in an</w:t>
      </w:r>
      <w:r w:rsidR="006C5F39" w:rsidRPr="000A33D2">
        <w:t xml:space="preserve"> ICER of </w:t>
      </w:r>
      <w:r w:rsidR="003C2ACB" w:rsidRPr="003C2ACB">
        <w:t>$55,000 to &lt; $75,000</w:t>
      </w:r>
      <w:r w:rsidR="006C5F39" w:rsidRPr="000A33D2">
        <w:t xml:space="preserve">/QALY. The PBAC considered that an ICER of </w:t>
      </w:r>
      <w:r w:rsidR="003C2ACB" w:rsidRPr="003C2ACB">
        <w:t>$55,000 to &lt; $75,000</w:t>
      </w:r>
      <w:r w:rsidR="006C5F39" w:rsidRPr="000A33D2">
        <w:t xml:space="preserve">/QALY </w:t>
      </w:r>
      <w:r w:rsidR="00E8287E" w:rsidRPr="000A33D2">
        <w:t>would reflect the high clinical need</w:t>
      </w:r>
      <w:r w:rsidR="000E5497" w:rsidRPr="000A33D2">
        <w:t xml:space="preserve"> and clear PFS benefit demonstrated for dostarlimab, </w:t>
      </w:r>
      <w:r w:rsidR="006F169B" w:rsidRPr="000A33D2">
        <w:t>but</w:t>
      </w:r>
      <w:r w:rsidR="000E5497" w:rsidRPr="000A33D2">
        <w:t xml:space="preserve"> uncertain </w:t>
      </w:r>
      <w:r w:rsidR="00DD2B3E" w:rsidRPr="000A33D2">
        <w:t xml:space="preserve">magnitude </w:t>
      </w:r>
      <w:r w:rsidR="000E5497" w:rsidRPr="000A33D2">
        <w:t xml:space="preserve">of OS benefit. The PBAC </w:t>
      </w:r>
      <w:r w:rsidR="001A64C3" w:rsidRPr="000A33D2">
        <w:t xml:space="preserve">noted </w:t>
      </w:r>
      <w:r w:rsidR="001A64C3" w:rsidRPr="00E15D52">
        <w:t>that the</w:t>
      </w:r>
      <w:r w:rsidR="00DD2B3E" w:rsidRPr="00E15D52">
        <w:t xml:space="preserve"> ICERs presented in the submission used an assumed</w:t>
      </w:r>
      <w:r w:rsidR="001A64C3" w:rsidRPr="00E15D52">
        <w:t xml:space="preserve"> cost </w:t>
      </w:r>
      <w:r w:rsidR="00DD2B3E" w:rsidRPr="00E15D52">
        <w:t>for</w:t>
      </w:r>
      <w:r w:rsidR="005270AC" w:rsidRPr="00E15D52">
        <w:t xml:space="preserve"> </w:t>
      </w:r>
      <w:r w:rsidR="001A64C3" w:rsidRPr="00E15D52">
        <w:t xml:space="preserve">2L PEM+LEN </w:t>
      </w:r>
      <w:r w:rsidR="005270AC" w:rsidRPr="00E15D52">
        <w:t>of $60,000 p</w:t>
      </w:r>
      <w:r w:rsidR="005270AC" w:rsidRPr="000A33D2">
        <w:t xml:space="preserve">er patient </w:t>
      </w:r>
      <w:r w:rsidR="00DD2B3E" w:rsidRPr="000A33D2">
        <w:t>as the effective price</w:t>
      </w:r>
      <w:r w:rsidR="005270AC" w:rsidRPr="000A33D2">
        <w:t>s</w:t>
      </w:r>
      <w:r w:rsidR="00DD2B3E" w:rsidRPr="000A33D2">
        <w:t xml:space="preserve"> w</w:t>
      </w:r>
      <w:r w:rsidR="005270AC" w:rsidRPr="000A33D2">
        <w:t>ere</w:t>
      </w:r>
      <w:r w:rsidR="00DD2B3E" w:rsidRPr="000A33D2">
        <w:t xml:space="preserve"> unknown to the sponsor</w:t>
      </w:r>
      <w:r w:rsidR="000E5497" w:rsidRPr="000A33D2">
        <w:t xml:space="preserve">. </w:t>
      </w:r>
      <w:r w:rsidR="005270AC" w:rsidRPr="000A33D2">
        <w:t xml:space="preserve">The PBAC considered that model, resulting in an ICER of </w:t>
      </w:r>
      <w:r w:rsidR="003C2ACB" w:rsidRPr="003C2ACB">
        <w:t>$55,000 to &lt; $75,000</w:t>
      </w:r>
      <w:r w:rsidR="005270AC" w:rsidRPr="000A33D2">
        <w:t xml:space="preserve">/QALY, should </w:t>
      </w:r>
      <w:r w:rsidR="00837C7A" w:rsidRPr="000A33D2">
        <w:t>incorporate</w:t>
      </w:r>
      <w:r w:rsidR="005270AC" w:rsidRPr="000A33D2">
        <w:t xml:space="preserve"> the effective price for 2L PEM+LEN to accurately reflect the cost-offset for reduced 2L treatment</w:t>
      </w:r>
      <w:r w:rsidR="000A33D2">
        <w:t>.</w:t>
      </w:r>
    </w:p>
    <w:p w14:paraId="708EA8D0" w14:textId="70148BB8" w:rsidR="00CE14D3" w:rsidRPr="000A33D2" w:rsidRDefault="00CE14D3" w:rsidP="00CE14D3">
      <w:pPr>
        <w:pStyle w:val="3-BodyText"/>
      </w:pPr>
      <w:bookmarkStart w:id="104" w:name="_Ref150515800"/>
      <w:r w:rsidRPr="000A33D2">
        <w:t xml:space="preserve">The PBAC noted that the financial estimates used an epidemiological approach that was largely consistent with the </w:t>
      </w:r>
      <w:r w:rsidR="00DD2B3E" w:rsidRPr="000A33D2">
        <w:t>approach</w:t>
      </w:r>
      <w:r w:rsidRPr="000A33D2">
        <w:t xml:space="preserve"> accepted for PEM+</w:t>
      </w:r>
      <w:r w:rsidR="00D97924" w:rsidRPr="000A33D2">
        <w:t>LEN and</w:t>
      </w:r>
      <w:r w:rsidR="00DD2B3E" w:rsidRPr="000A33D2">
        <w:t xml:space="preserve"> considered this</w:t>
      </w:r>
      <w:r w:rsidRPr="000A33D2">
        <w:t xml:space="preserve"> was appropriate. The PBAC considered that the changes applied in the PSCR were appropriate and </w:t>
      </w:r>
      <w:r w:rsidR="006F169B" w:rsidRPr="000A33D2">
        <w:t xml:space="preserve">had </w:t>
      </w:r>
      <w:r w:rsidRPr="000A33D2">
        <w:t xml:space="preserve">corrected errors identified in the evaluation. The PBAC noted that the recurrence rate (36%) used for Stage III may be overestimated and considered this should be revised to 30% based on the </w:t>
      </w:r>
      <w:r w:rsidR="00D84754">
        <w:t xml:space="preserve">Stage III </w:t>
      </w:r>
      <w:r w:rsidR="00D97924" w:rsidRPr="000A33D2">
        <w:t>5-year</w:t>
      </w:r>
      <w:r w:rsidRPr="000A33D2">
        <w:t xml:space="preserve"> failure-free survival in PORTEC3 (De Boer 2019). </w:t>
      </w:r>
      <w:r w:rsidR="000A5F81">
        <w:t>The PBAC also considered that the p</w:t>
      </w:r>
      <w:r w:rsidR="000A5F81" w:rsidRPr="000A33D2">
        <w:t>roportion of patients treated with 1L PBC who are eligible for 2L PEM+LEN</w:t>
      </w:r>
      <w:r w:rsidR="000A5F81">
        <w:t xml:space="preserve"> (49%) would already incorporate ECOG status and uptake therefore should not be reduced further</w:t>
      </w:r>
      <w:r w:rsidR="00156C9B">
        <w:t xml:space="preserve"> to account for these factors</w:t>
      </w:r>
      <w:r w:rsidR="000A5F81">
        <w:t xml:space="preserve">. </w:t>
      </w:r>
      <w:r w:rsidRPr="000A33D2">
        <w:t>The PBAC noted that application of the revised cost-effective price for dostarlimab would reduce the total financial impact of 1L dostarlimab, and the effective price for PEM+LEN would need to be included in the financial estimates to accurately reflect the cost-offset for reduced 2L treatment. The PBAC considered that with application of these changes the financial estimates were acceptable.</w:t>
      </w:r>
      <w:bookmarkEnd w:id="104"/>
    </w:p>
    <w:p w14:paraId="7D78334F" w14:textId="2779BF10" w:rsidR="00424496" w:rsidRPr="000A33D2" w:rsidRDefault="00424496" w:rsidP="00424496">
      <w:pPr>
        <w:pStyle w:val="3-BodyText"/>
      </w:pPr>
      <w:r w:rsidRPr="000A33D2">
        <w:t>The PBAC considered that shared financial caps with 2L PEM+LEN would be appropriate, given the substantial overlap in patient populations and because the cost-effectiveness for dostarlimab relies on cost offsets for 2L PEM+LEN. The PBAC considered that the caps should be increased to account for additional patients treated 1L dostarlimab, with offsets for 2L PEM+LEN</w:t>
      </w:r>
      <w:r w:rsidR="006F169B" w:rsidRPr="000A33D2">
        <w:t>. and the PBAC</w:t>
      </w:r>
      <w:r w:rsidRPr="000A33D2">
        <w:t xml:space="preserve"> considered that the financial estimates, with minor changes as described in paragraph </w:t>
      </w:r>
      <w:r w:rsidR="00CE14D3" w:rsidRPr="000A33D2">
        <w:fldChar w:fldCharType="begin" w:fldLock="1"/>
      </w:r>
      <w:r w:rsidR="00CE14D3" w:rsidRPr="000A33D2">
        <w:instrText xml:space="preserve"> REF _Ref150515800 \r \h </w:instrText>
      </w:r>
      <w:r w:rsidR="00CE14D3" w:rsidRPr="000A33D2">
        <w:fldChar w:fldCharType="separate"/>
      </w:r>
      <w:r w:rsidR="00B62E71">
        <w:t>7.10</w:t>
      </w:r>
      <w:r w:rsidR="00CE14D3" w:rsidRPr="000A33D2">
        <w:fldChar w:fldCharType="end"/>
      </w:r>
      <w:r w:rsidR="00CE14D3" w:rsidRPr="000A33D2">
        <w:t xml:space="preserve"> </w:t>
      </w:r>
      <w:r w:rsidR="006F169B" w:rsidRPr="000A33D2">
        <w:t xml:space="preserve">would </w:t>
      </w:r>
      <w:r w:rsidRPr="000A33D2">
        <w:t>provide a reasonable basis for the increase</w:t>
      </w:r>
      <w:r w:rsidR="00CE14D3" w:rsidRPr="000A33D2">
        <w:t>s</w:t>
      </w:r>
      <w:r w:rsidRPr="000A33D2">
        <w:t>.</w:t>
      </w:r>
    </w:p>
    <w:p w14:paraId="20729585" w14:textId="067285DF" w:rsidR="00DE7D64" w:rsidRPr="000A33D2" w:rsidRDefault="00DE7D64" w:rsidP="006F169B">
      <w:pPr>
        <w:pStyle w:val="3-BodyText"/>
      </w:pPr>
      <w:r w:rsidRPr="000A33D2">
        <w:t xml:space="preserve">The PBAC recommended that </w:t>
      </w:r>
      <w:r w:rsidR="006F169B" w:rsidRPr="000A33D2">
        <w:t>dostarlimab</w:t>
      </w:r>
      <w:r w:rsidRPr="000A33D2">
        <w:t xml:space="preserve"> should not be treated as interchangeable with any other drugs</w:t>
      </w:r>
      <w:r w:rsidR="006F169B" w:rsidRPr="000A33D2">
        <w:t>.</w:t>
      </w:r>
    </w:p>
    <w:p w14:paraId="4223425F" w14:textId="076AAE91" w:rsidR="00DE7D64" w:rsidRPr="000A33D2" w:rsidRDefault="00DE7D64" w:rsidP="00DE7D64">
      <w:pPr>
        <w:widowControl w:val="0"/>
        <w:numPr>
          <w:ilvl w:val="1"/>
          <w:numId w:val="1"/>
        </w:numPr>
        <w:spacing w:after="120"/>
        <w:rPr>
          <w:rFonts w:asciiTheme="minorHAnsi" w:hAnsiTheme="minorHAnsi"/>
          <w:bCs/>
          <w:snapToGrid w:val="0"/>
        </w:rPr>
      </w:pPr>
      <w:r w:rsidRPr="000A33D2">
        <w:rPr>
          <w:rFonts w:asciiTheme="minorHAnsi" w:hAnsiTheme="minorHAnsi"/>
          <w:bCs/>
          <w:snapToGrid w:val="0"/>
        </w:rPr>
        <w:lastRenderedPageBreak/>
        <w:t>The PBAC advised that dostarlimab is not suitable for prescribing by nurse practitioners.</w:t>
      </w:r>
    </w:p>
    <w:p w14:paraId="5DB6045C" w14:textId="66439342" w:rsidR="00DE7D64" w:rsidRPr="000A33D2" w:rsidRDefault="00DE7D64" w:rsidP="00DE7D64">
      <w:pPr>
        <w:widowControl w:val="0"/>
        <w:numPr>
          <w:ilvl w:val="1"/>
          <w:numId w:val="1"/>
        </w:numPr>
        <w:spacing w:after="120"/>
        <w:rPr>
          <w:rFonts w:asciiTheme="minorHAnsi" w:hAnsiTheme="minorHAnsi"/>
          <w:bCs/>
          <w:snapToGrid w:val="0"/>
        </w:rPr>
      </w:pPr>
      <w:r w:rsidRPr="000A33D2">
        <w:rPr>
          <w:rFonts w:asciiTheme="minorHAnsi" w:hAnsiTheme="minorHAnsi"/>
          <w:bCs/>
          <w:snapToGrid w:val="0"/>
        </w:rPr>
        <w:t xml:space="preserve">The PBAC recommended that the Early Supply Rule should not apply. </w:t>
      </w:r>
    </w:p>
    <w:p w14:paraId="51AB2692" w14:textId="7A17890F" w:rsidR="00424496" w:rsidRPr="000A33D2" w:rsidRDefault="006F169B" w:rsidP="00581F0B">
      <w:pPr>
        <w:pStyle w:val="3-BodyText"/>
      </w:pPr>
      <w:r w:rsidRPr="000A33D2">
        <w:t>The PBAC noted that no flow-on changes to existing listing were identified as the listing for 2L PEM+LEN currently excludes use of prior PD-L1/PD-1 inhibitors.</w:t>
      </w:r>
    </w:p>
    <w:p w14:paraId="4B98199D" w14:textId="7683A755" w:rsidR="00DE7D64" w:rsidRPr="000A33D2" w:rsidRDefault="00DE7D64" w:rsidP="006F169B">
      <w:pPr>
        <w:pStyle w:val="3-BodyText"/>
        <w:rPr>
          <w:b/>
        </w:rPr>
      </w:pPr>
      <w:r w:rsidRPr="000A33D2">
        <w:t xml:space="preserve">The PBAC found that the criteria prescribed by the </w:t>
      </w:r>
      <w:r w:rsidRPr="000A33D2">
        <w:rPr>
          <w:i/>
        </w:rPr>
        <w:t>National Health (Pharmaceuticals and Vaccines – Cost Recovery) Regulations 2022</w:t>
      </w:r>
      <w:r w:rsidRPr="000A33D2">
        <w:t xml:space="preserve"> for Pricing Pathway A were not met. </w:t>
      </w:r>
      <w:r w:rsidR="00D97924" w:rsidRPr="000A33D2">
        <w:t>Specifically,</w:t>
      </w:r>
      <w:r w:rsidRPr="000A33D2">
        <w:t xml:space="preserve"> the PBAC found that in the circumstances of its recommendation </w:t>
      </w:r>
      <w:r w:rsidR="006F169B" w:rsidRPr="000A33D2">
        <w:t>dostarlimab</w:t>
      </w:r>
      <w:r w:rsidRPr="000A33D2">
        <w:t>:</w:t>
      </w:r>
    </w:p>
    <w:p w14:paraId="251B895C" w14:textId="330F908A" w:rsidR="00DE7D64" w:rsidRPr="000A33D2" w:rsidRDefault="00DE7D64" w:rsidP="003C2ACB">
      <w:pPr>
        <w:widowControl w:val="0"/>
        <w:numPr>
          <w:ilvl w:val="1"/>
          <w:numId w:val="22"/>
        </w:numPr>
        <w:spacing w:after="120"/>
        <w:ind w:left="1134"/>
        <w:rPr>
          <w:rFonts w:asciiTheme="minorHAnsi" w:hAnsiTheme="minorHAnsi" w:cstheme="minorHAnsi"/>
        </w:rPr>
      </w:pPr>
      <w:r w:rsidRPr="000A33D2">
        <w:rPr>
          <w:rFonts w:asciiTheme="minorHAnsi" w:hAnsiTheme="minorHAnsi" w:cstheme="minorHAnsi"/>
        </w:rPr>
        <w:t>The treatment is</w:t>
      </w:r>
      <w:r w:rsidR="0077027D" w:rsidRPr="000A33D2">
        <w:rPr>
          <w:rFonts w:asciiTheme="minorHAnsi" w:hAnsiTheme="minorHAnsi" w:cstheme="minorHAnsi"/>
        </w:rPr>
        <w:t xml:space="preserve"> not</w:t>
      </w:r>
      <w:r w:rsidRPr="000A33D2">
        <w:rPr>
          <w:rFonts w:asciiTheme="minorHAnsi" w:hAnsiTheme="minorHAnsi" w:cstheme="minorHAnsi"/>
        </w:rPr>
        <w:t xml:space="preserve"> expected to provide a substantial and clinically relevant improvement in efficacy, over alternative therapies</w:t>
      </w:r>
      <w:r w:rsidR="0077027D" w:rsidRPr="000A33D2">
        <w:rPr>
          <w:rFonts w:asciiTheme="minorHAnsi" w:hAnsiTheme="minorHAnsi" w:cstheme="minorHAnsi"/>
        </w:rPr>
        <w:t xml:space="preserve"> as </w:t>
      </w:r>
      <w:r w:rsidR="0077027D" w:rsidRPr="000A33D2">
        <w:t>the magnitude of the OS benefit was uncertain</w:t>
      </w:r>
      <w:r w:rsidRPr="000A33D2">
        <w:rPr>
          <w:rFonts w:asciiTheme="minorHAnsi" w:hAnsiTheme="minorHAnsi" w:cstheme="minorHAnsi"/>
        </w:rPr>
        <w:t xml:space="preserve">; </w:t>
      </w:r>
    </w:p>
    <w:p w14:paraId="2C71426C" w14:textId="52CC7353" w:rsidR="00DE7D64" w:rsidRPr="000A33D2" w:rsidRDefault="00DE7D64" w:rsidP="003C2ACB">
      <w:pPr>
        <w:widowControl w:val="0"/>
        <w:numPr>
          <w:ilvl w:val="1"/>
          <w:numId w:val="22"/>
        </w:numPr>
        <w:spacing w:after="120"/>
        <w:ind w:left="1134"/>
        <w:rPr>
          <w:rFonts w:asciiTheme="minorHAnsi" w:hAnsiTheme="minorHAnsi" w:cstheme="minorHAnsi"/>
        </w:rPr>
      </w:pPr>
      <w:r w:rsidRPr="000A33D2">
        <w:rPr>
          <w:rFonts w:asciiTheme="minorHAnsi" w:hAnsiTheme="minorHAnsi" w:cstheme="minorHAnsi"/>
        </w:rPr>
        <w:t xml:space="preserve">The treatment is not expected to address a high and urgent unmet clinical need </w:t>
      </w:r>
      <w:r w:rsidR="00D60BA0" w:rsidRPr="000A33D2">
        <w:rPr>
          <w:rFonts w:asciiTheme="minorHAnsi" w:hAnsiTheme="minorHAnsi" w:cstheme="minorHAnsi"/>
        </w:rPr>
        <w:t>because 2L PEM+LEN is also available for this population</w:t>
      </w:r>
      <w:r w:rsidRPr="000A33D2">
        <w:rPr>
          <w:rFonts w:asciiTheme="minorHAnsi" w:hAnsiTheme="minorHAnsi" w:cstheme="minorHAnsi"/>
        </w:rPr>
        <w:t>;</w:t>
      </w:r>
    </w:p>
    <w:p w14:paraId="3F708507" w14:textId="39491489" w:rsidR="00DE7D64" w:rsidRPr="000A33D2" w:rsidRDefault="00DE7D64" w:rsidP="003C2ACB">
      <w:pPr>
        <w:widowControl w:val="0"/>
        <w:numPr>
          <w:ilvl w:val="1"/>
          <w:numId w:val="22"/>
        </w:numPr>
        <w:spacing w:after="120"/>
        <w:ind w:left="1134"/>
      </w:pPr>
      <w:r w:rsidRPr="000A33D2">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r w:rsidR="00D60BA0" w:rsidRPr="000A33D2">
        <w:rPr>
          <w:rFonts w:asciiTheme="minorHAnsi" w:hAnsiTheme="minorHAnsi" w:cstheme="minorHAnsi"/>
        </w:rPr>
        <w:t>.</w:t>
      </w:r>
    </w:p>
    <w:p w14:paraId="73F80064" w14:textId="477C7C30" w:rsidR="00472009" w:rsidRPr="00D97924" w:rsidRDefault="00472009" w:rsidP="002C4399">
      <w:pPr>
        <w:pStyle w:val="3-BodyText"/>
        <w:keepNext/>
        <w:numPr>
          <w:ilvl w:val="0"/>
          <w:numId w:val="0"/>
        </w:numPr>
        <w:rPr>
          <w:b/>
          <w:bCs/>
          <w:i/>
          <w:iCs/>
        </w:rPr>
      </w:pPr>
      <w:r w:rsidRPr="00D97924">
        <w:rPr>
          <w:b/>
          <w:bCs/>
          <w:i/>
          <w:iCs/>
        </w:rPr>
        <w:t>All-comers population</w:t>
      </w:r>
    </w:p>
    <w:p w14:paraId="67AF3848" w14:textId="7880337D" w:rsidR="00B1524F" w:rsidRPr="000A33D2" w:rsidRDefault="00971FFD" w:rsidP="00971FFD">
      <w:pPr>
        <w:widowControl w:val="0"/>
        <w:numPr>
          <w:ilvl w:val="1"/>
          <w:numId w:val="1"/>
        </w:numPr>
        <w:spacing w:after="120"/>
        <w:rPr>
          <w:rFonts w:asciiTheme="minorHAnsi" w:hAnsiTheme="minorHAnsi"/>
          <w:snapToGrid w:val="0"/>
        </w:rPr>
      </w:pPr>
      <w:r w:rsidRPr="000A33D2">
        <w:rPr>
          <w:rFonts w:asciiTheme="minorHAnsi" w:hAnsiTheme="minorHAnsi"/>
          <w:snapToGrid w:val="0"/>
        </w:rPr>
        <w:t xml:space="preserve">The PBAC did not recommend listing of dostarlimab </w:t>
      </w:r>
      <w:r w:rsidR="007D0479" w:rsidRPr="000A33D2">
        <w:rPr>
          <w:rFonts w:asciiTheme="minorHAnsi" w:hAnsiTheme="minorHAnsi"/>
          <w:snapToGrid w:val="0"/>
        </w:rPr>
        <w:t xml:space="preserve">for the treatment of primary advanced or first recurrent endometrial cancer </w:t>
      </w:r>
      <w:r w:rsidRPr="000A33D2">
        <w:rPr>
          <w:rFonts w:asciiTheme="minorHAnsi" w:hAnsiTheme="minorHAnsi"/>
          <w:snapToGrid w:val="0"/>
        </w:rPr>
        <w:t xml:space="preserve">in the broader all-comers population, </w:t>
      </w:r>
      <w:r w:rsidR="007D0479" w:rsidRPr="000A33D2">
        <w:rPr>
          <w:rFonts w:asciiTheme="minorHAnsi" w:hAnsiTheme="minorHAnsi"/>
          <w:snapToGrid w:val="0"/>
        </w:rPr>
        <w:t>which includes</w:t>
      </w:r>
      <w:r w:rsidRPr="000A33D2">
        <w:rPr>
          <w:rFonts w:asciiTheme="minorHAnsi" w:hAnsiTheme="minorHAnsi"/>
          <w:snapToGrid w:val="0"/>
        </w:rPr>
        <w:t xml:space="preserve"> mismatch repair proficient (pMMR) endometrial cancer. </w:t>
      </w:r>
      <w:r w:rsidR="007D0479" w:rsidRPr="000A33D2">
        <w:rPr>
          <w:rFonts w:asciiTheme="minorHAnsi" w:hAnsiTheme="minorHAnsi"/>
          <w:snapToGrid w:val="0"/>
        </w:rPr>
        <w:t xml:space="preserve">The PBAC noted that there is a high clinical need for </w:t>
      </w:r>
      <w:r w:rsidR="0077027D" w:rsidRPr="000A33D2">
        <w:rPr>
          <w:rFonts w:asciiTheme="minorHAnsi" w:hAnsiTheme="minorHAnsi"/>
          <w:snapToGrid w:val="0"/>
        </w:rPr>
        <w:t>1L</w:t>
      </w:r>
      <w:r w:rsidR="007D0479" w:rsidRPr="000A33D2">
        <w:rPr>
          <w:rFonts w:asciiTheme="minorHAnsi" w:hAnsiTheme="minorHAnsi"/>
          <w:snapToGrid w:val="0"/>
        </w:rPr>
        <w:t xml:space="preserve"> treatment</w:t>
      </w:r>
      <w:r w:rsidR="0077027D" w:rsidRPr="000A33D2">
        <w:rPr>
          <w:rFonts w:asciiTheme="minorHAnsi" w:hAnsiTheme="minorHAnsi"/>
          <w:snapToGrid w:val="0"/>
        </w:rPr>
        <w:t>s</w:t>
      </w:r>
      <w:r w:rsidR="007D0479" w:rsidRPr="000A33D2">
        <w:rPr>
          <w:rFonts w:asciiTheme="minorHAnsi" w:hAnsiTheme="minorHAnsi"/>
          <w:snapToGrid w:val="0"/>
        </w:rPr>
        <w:t xml:space="preserve"> </w:t>
      </w:r>
      <w:r w:rsidR="0077027D" w:rsidRPr="000A33D2">
        <w:rPr>
          <w:rFonts w:asciiTheme="minorHAnsi" w:hAnsiTheme="minorHAnsi"/>
          <w:snapToGrid w:val="0"/>
        </w:rPr>
        <w:t>for</w:t>
      </w:r>
      <w:r w:rsidR="007D0479" w:rsidRPr="000A33D2">
        <w:rPr>
          <w:rFonts w:asciiTheme="minorHAnsi" w:hAnsiTheme="minorHAnsi"/>
          <w:snapToGrid w:val="0"/>
        </w:rPr>
        <w:t xml:space="preserve"> endometrial cancer but</w:t>
      </w:r>
      <w:r w:rsidRPr="000A33D2">
        <w:rPr>
          <w:rFonts w:asciiTheme="minorHAnsi" w:hAnsiTheme="minorHAnsi"/>
          <w:snapToGrid w:val="0"/>
        </w:rPr>
        <w:t xml:space="preserve"> considered that the clinical benefit in the pMMR population was unclear, noting that it was possible that these patients may benefit more from </w:t>
      </w:r>
      <w:r w:rsidR="004E0ADF" w:rsidRPr="000A33D2">
        <w:rPr>
          <w:rFonts w:asciiTheme="minorHAnsi" w:hAnsiTheme="minorHAnsi"/>
          <w:snapToGrid w:val="0"/>
        </w:rPr>
        <w:t>2L</w:t>
      </w:r>
      <w:r w:rsidR="006433EF" w:rsidRPr="000A33D2">
        <w:rPr>
          <w:rFonts w:asciiTheme="minorHAnsi" w:hAnsiTheme="minorHAnsi"/>
          <w:snapToGrid w:val="0"/>
        </w:rPr>
        <w:t xml:space="preserve"> PEM+LEN</w:t>
      </w:r>
      <w:r w:rsidRPr="000A33D2">
        <w:rPr>
          <w:rFonts w:asciiTheme="minorHAnsi" w:hAnsiTheme="minorHAnsi"/>
          <w:snapToGrid w:val="0"/>
        </w:rPr>
        <w:t xml:space="preserve">. </w:t>
      </w:r>
    </w:p>
    <w:p w14:paraId="0C1E217D" w14:textId="73FA62DA" w:rsidR="00971FFD" w:rsidRPr="000A33D2" w:rsidRDefault="00272256" w:rsidP="00971FFD">
      <w:pPr>
        <w:widowControl w:val="0"/>
        <w:numPr>
          <w:ilvl w:val="1"/>
          <w:numId w:val="1"/>
        </w:numPr>
        <w:spacing w:after="120"/>
        <w:rPr>
          <w:rFonts w:asciiTheme="minorHAnsi" w:hAnsiTheme="minorHAnsi"/>
          <w:snapToGrid w:val="0"/>
        </w:rPr>
      </w:pPr>
      <w:r w:rsidRPr="000A33D2">
        <w:rPr>
          <w:rFonts w:asciiTheme="minorHAnsi" w:hAnsiTheme="minorHAnsi"/>
          <w:snapToGrid w:val="0"/>
        </w:rPr>
        <w:t>The PBAC considered that the primary reason for this outcome was due to the comparative clinical evidence provided.</w:t>
      </w:r>
    </w:p>
    <w:bookmarkEnd w:id="100"/>
    <w:p w14:paraId="39C010C2" w14:textId="77777777" w:rsidR="000529D2" w:rsidRPr="000A33D2" w:rsidRDefault="00176CB0" w:rsidP="00325C70">
      <w:pPr>
        <w:widowControl w:val="0"/>
        <w:numPr>
          <w:ilvl w:val="1"/>
          <w:numId w:val="1"/>
        </w:numPr>
        <w:spacing w:after="120"/>
        <w:rPr>
          <w:rFonts w:asciiTheme="minorHAnsi" w:hAnsiTheme="minorHAnsi"/>
          <w:snapToGrid w:val="0"/>
        </w:rPr>
      </w:pPr>
      <w:r w:rsidRPr="000A33D2">
        <w:rPr>
          <w:rFonts w:asciiTheme="minorHAnsi" w:hAnsiTheme="minorHAnsi"/>
          <w:snapToGrid w:val="0"/>
        </w:rPr>
        <w:t xml:space="preserve">The PBAC considered that, as for the dMMR population, </w:t>
      </w:r>
      <w:r w:rsidRPr="000A33D2">
        <w:t>carboplatin and paclitaxel was the appropriate comparator for the all-comers population, but</w:t>
      </w:r>
      <w:r w:rsidR="006433EF" w:rsidRPr="000A33D2">
        <w:t xml:space="preserve"> 1L carboplatin and paclitaxel followed by</w:t>
      </w:r>
      <w:r w:rsidRPr="000A33D2">
        <w:t xml:space="preserve"> 2L PEM+LEN is </w:t>
      </w:r>
      <w:r w:rsidR="006433EF" w:rsidRPr="000A33D2">
        <w:t xml:space="preserve">also </w:t>
      </w:r>
      <w:r w:rsidRPr="000A33D2">
        <w:t>a relevant comparator for a proportion of the population. In addition, there are several near market comparators for 1L treatment of advanced or first recurrent EC</w:t>
      </w:r>
      <w:r w:rsidR="0072550F" w:rsidRPr="000A33D2">
        <w:t xml:space="preserve"> and the outcomes of the trials are likely to be particularly relevant for patients with pMMR.</w:t>
      </w:r>
      <w:r w:rsidR="006433EF" w:rsidRPr="000A33D2">
        <w:t xml:space="preserve"> </w:t>
      </w:r>
    </w:p>
    <w:p w14:paraId="30AED822" w14:textId="28A73C42" w:rsidR="00325C70" w:rsidRPr="000A33D2" w:rsidRDefault="00D97924" w:rsidP="00325C70">
      <w:pPr>
        <w:widowControl w:val="0"/>
        <w:numPr>
          <w:ilvl w:val="1"/>
          <w:numId w:val="1"/>
        </w:numPr>
        <w:spacing w:after="120"/>
        <w:rPr>
          <w:rFonts w:asciiTheme="minorHAnsi" w:hAnsiTheme="minorHAnsi"/>
          <w:snapToGrid w:val="0"/>
        </w:rPr>
      </w:pPr>
      <w:r w:rsidRPr="000A33D2">
        <w:t>Therefore,</w:t>
      </w:r>
      <w:r w:rsidR="006433EF" w:rsidRPr="000A33D2">
        <w:t xml:space="preserve"> the PBAC considered that in the context of the much smaller demonstrated PFS benefit in the pMMR population compared with the dMMR population</w:t>
      </w:r>
      <w:r w:rsidR="004E0ADF" w:rsidRPr="000A33D2">
        <w:t>,</w:t>
      </w:r>
      <w:r w:rsidR="006433EF" w:rsidRPr="000A33D2">
        <w:t xml:space="preserve"> and</w:t>
      </w:r>
      <w:r w:rsidR="004E0ADF" w:rsidRPr="000A33D2">
        <w:t xml:space="preserve"> the</w:t>
      </w:r>
      <w:r w:rsidR="006433EF" w:rsidRPr="000A33D2">
        <w:t xml:space="preserve"> uncertain OS benefit, the clinical place for dostarlimab as 1L treatment for pMMR EC was unclear. Further, the PBAC noted that the sponsor had not yet submitted an application to the TGA for </w:t>
      </w:r>
      <w:r w:rsidR="00642468" w:rsidRPr="000A33D2">
        <w:t>dostarlimab in the broader all-comers population.</w:t>
      </w:r>
    </w:p>
    <w:p w14:paraId="218B03B8" w14:textId="0B762A5C" w:rsidR="000529D2" w:rsidRPr="000A33D2" w:rsidRDefault="005A72F5" w:rsidP="000529D2">
      <w:pPr>
        <w:pStyle w:val="3-BodyText"/>
        <w:rPr>
          <w:rFonts w:eastAsia="Calibri"/>
        </w:rPr>
      </w:pPr>
      <w:r w:rsidRPr="000A33D2">
        <w:lastRenderedPageBreak/>
        <w:t>The PBAC noted that the clinical evidence for the all-comers population was based on all patients included in the RUBY trial</w:t>
      </w:r>
      <w:r w:rsidR="00BB5457" w:rsidRPr="000A33D2">
        <w:t xml:space="preserve"> (N=494), including both dMMR and pMMR EC. </w:t>
      </w:r>
      <w:r w:rsidRPr="000A33D2">
        <w:t xml:space="preserve">Although a statistically significant PFS benefit in favour of DOS+CP was observed in the </w:t>
      </w:r>
      <w:r w:rsidR="00BB5457" w:rsidRPr="000A33D2">
        <w:t>all-comers population</w:t>
      </w:r>
      <w:r w:rsidRPr="000A33D2">
        <w:t xml:space="preserve"> (HR=0.64; 95%CI 0.51, 0.80)</w:t>
      </w:r>
      <w:r w:rsidR="00BB5457" w:rsidRPr="000A33D2">
        <w:t>,</w:t>
      </w:r>
      <w:r w:rsidRPr="000A33D2">
        <w:t xml:space="preserve"> </w:t>
      </w:r>
      <w:r w:rsidR="0063060A" w:rsidRPr="000A33D2">
        <w:t xml:space="preserve">the </w:t>
      </w:r>
      <w:r w:rsidRPr="000A33D2">
        <w:t>OS benefit did not achieve statistical significance</w:t>
      </w:r>
      <w:r w:rsidR="0063060A" w:rsidRPr="000A33D2">
        <w:t xml:space="preserve"> (HR=0.64; 95%CI 0.46, 0.87)</w:t>
      </w:r>
      <w:r w:rsidRPr="000A33D2">
        <w:t xml:space="preserve">. </w:t>
      </w:r>
      <w:r w:rsidR="000529D2" w:rsidRPr="000A33D2">
        <w:rPr>
          <w:iCs/>
        </w:rPr>
        <w:t>The</w:t>
      </w:r>
      <w:r w:rsidR="000529D2" w:rsidRPr="000A33D2">
        <w:rPr>
          <w:szCs w:val="20"/>
        </w:rPr>
        <w:t xml:space="preserve"> PBAC considered that the claim of superior comparative effectiveness was not sufficiently supported for the all-comers population. Although there was a statistically significant PFS benefit, this appeared to be largely driven by the dMMR cohort and as the data are immature, it is unclear whether patients with pMMR EC would have the same benefit from first line dostarlimab as for first line chemotherapy followed by second line combination treatment with PEM+LEN (where an OS benefit was demonstrated). </w:t>
      </w:r>
    </w:p>
    <w:p w14:paraId="4A247206" w14:textId="784977AE" w:rsidR="00325C70" w:rsidRPr="000A33D2" w:rsidRDefault="00642468" w:rsidP="00DE7D64">
      <w:pPr>
        <w:pStyle w:val="3-BodyText"/>
      </w:pPr>
      <w:r w:rsidRPr="000A33D2">
        <w:rPr>
          <w:szCs w:val="20"/>
        </w:rPr>
        <w:t xml:space="preserve">The PBAC </w:t>
      </w:r>
      <w:r w:rsidR="0077027D" w:rsidRPr="000A33D2">
        <w:rPr>
          <w:szCs w:val="20"/>
        </w:rPr>
        <w:t>considered that the model and financial estimates for all-comers were not relevant as the clinical claim was not accepted</w:t>
      </w:r>
      <w:r w:rsidRPr="000A33D2">
        <w:rPr>
          <w:szCs w:val="20"/>
        </w:rPr>
        <w:t xml:space="preserve">. </w:t>
      </w:r>
      <w:r w:rsidR="00CE14D3" w:rsidRPr="000A33D2">
        <w:t xml:space="preserve">The </w:t>
      </w:r>
      <w:r w:rsidR="00325C70" w:rsidRPr="000A33D2">
        <w:t>PBAC considered a</w:t>
      </w:r>
      <w:r w:rsidR="009E1F3C" w:rsidRPr="000A33D2">
        <w:t>ny</w:t>
      </w:r>
      <w:r w:rsidR="00325C70" w:rsidRPr="000A33D2">
        <w:t xml:space="preserve"> resubmission for </w:t>
      </w:r>
      <w:r w:rsidR="00796295" w:rsidRPr="000A33D2">
        <w:t>dostarlimab</w:t>
      </w:r>
      <w:r w:rsidR="00325C70" w:rsidRPr="000A33D2">
        <w:t xml:space="preserve"> </w:t>
      </w:r>
      <w:r w:rsidR="00CE14D3" w:rsidRPr="000A33D2">
        <w:t xml:space="preserve">for the pMMR population (the remainder of the all-comers population) </w:t>
      </w:r>
      <w:r w:rsidR="00325C70" w:rsidRPr="000A33D2">
        <w:t xml:space="preserve">should address the </w:t>
      </w:r>
      <w:r w:rsidR="00DE7D64" w:rsidRPr="000A33D2">
        <w:t xml:space="preserve">key issue of comparative clinical evidence by presenting more mature </w:t>
      </w:r>
      <w:r w:rsidR="00EF3643" w:rsidRPr="000A33D2">
        <w:t xml:space="preserve">trial </w:t>
      </w:r>
      <w:r w:rsidR="00DE7D64" w:rsidRPr="000A33D2">
        <w:t xml:space="preserve">data, demonstrating an overall survival benefit that is equivalent or superior to 2L PEM+LEN. The PBAC also considered that </w:t>
      </w:r>
      <w:r w:rsidR="009E1F3C" w:rsidRPr="000A33D2">
        <w:t xml:space="preserve">there should be </w:t>
      </w:r>
      <w:r w:rsidR="00DE7D64" w:rsidRPr="000A33D2">
        <w:t xml:space="preserve">consideration of the near market comparators </w:t>
      </w:r>
      <w:r w:rsidR="00EF3643" w:rsidRPr="000A33D2">
        <w:t>to</w:t>
      </w:r>
      <w:r w:rsidR="00DE7D64" w:rsidRPr="000A33D2">
        <w:t xml:space="preserve"> help inform the clinical place of DOS+CP as 1L treatment of EC. </w:t>
      </w:r>
      <w:r w:rsidR="00EF3643" w:rsidRPr="000A33D2">
        <w:t xml:space="preserve">The PBAC considered that for any resubmission the economic evaluation and financial estimates should be revised to be consistent with those accepted for the dMMR population. </w:t>
      </w:r>
      <w:r w:rsidR="00325C70" w:rsidRPr="000A33D2">
        <w:t>The resubmission may be lodged at any future standard due date for PBAC submissions using the standard re-entry pathway.</w:t>
      </w:r>
    </w:p>
    <w:p w14:paraId="67D9E0D9" w14:textId="0D27E55D" w:rsidR="00DE7D64" w:rsidRPr="00D97924" w:rsidRDefault="00DE7D64" w:rsidP="00DE7D64">
      <w:pPr>
        <w:widowControl w:val="0"/>
        <w:spacing w:after="120"/>
        <w:rPr>
          <w:rFonts w:asciiTheme="minorHAnsi" w:hAnsiTheme="minorHAnsi"/>
          <w:b/>
          <w:i/>
          <w:iCs/>
          <w:snapToGrid w:val="0"/>
        </w:rPr>
      </w:pPr>
      <w:r w:rsidRPr="00D97924">
        <w:rPr>
          <w:rFonts w:asciiTheme="minorHAnsi" w:hAnsiTheme="minorHAnsi"/>
          <w:b/>
          <w:i/>
          <w:iCs/>
          <w:snapToGrid w:val="0"/>
        </w:rPr>
        <w:t>General</w:t>
      </w:r>
    </w:p>
    <w:p w14:paraId="5B8F6D2C" w14:textId="04A38E93" w:rsidR="00325C70" w:rsidRPr="00C809D4" w:rsidRDefault="00325C70" w:rsidP="00325C70">
      <w:pPr>
        <w:widowControl w:val="0"/>
        <w:numPr>
          <w:ilvl w:val="1"/>
          <w:numId w:val="1"/>
        </w:numPr>
        <w:spacing w:after="120"/>
        <w:rPr>
          <w:rFonts w:asciiTheme="minorHAnsi" w:hAnsiTheme="minorHAnsi"/>
          <w:bCs/>
          <w:snapToGrid w:val="0"/>
        </w:rPr>
      </w:pPr>
      <w:r w:rsidRPr="000A33D2">
        <w:rPr>
          <w:rFonts w:asciiTheme="minorHAnsi" w:hAnsiTheme="minorHAnsi"/>
          <w:bCs/>
          <w:snapToGrid w:val="0"/>
        </w:rPr>
        <w:t>The PBAC noted that this submission is not eligible for an Independent Review</w:t>
      </w:r>
      <w:r w:rsidR="00DE7D64" w:rsidRPr="000A33D2">
        <w:rPr>
          <w:rFonts w:asciiTheme="minorHAnsi" w:hAnsiTheme="minorHAnsi"/>
          <w:bCs/>
          <w:snapToGrid w:val="0"/>
        </w:rPr>
        <w:t xml:space="preserve"> as it is a positive recommendation</w:t>
      </w:r>
      <w:r w:rsidRPr="000A33D2">
        <w:rPr>
          <w:rFonts w:asciiTheme="minorHAnsi" w:hAnsiTheme="minorHAnsi"/>
          <w:bCs/>
          <w:snapToGrid w:val="0"/>
        </w:rPr>
        <w:t xml:space="preserve">. </w:t>
      </w:r>
    </w:p>
    <w:p w14:paraId="285C280C" w14:textId="77777777" w:rsidR="00325C70" w:rsidRPr="000A33D2" w:rsidRDefault="00325C70" w:rsidP="00C809D4">
      <w:pPr>
        <w:spacing w:before="120"/>
        <w:rPr>
          <w:rFonts w:asciiTheme="minorHAnsi" w:hAnsiTheme="minorHAnsi"/>
          <w:b/>
          <w:bCs/>
          <w:snapToGrid w:val="0"/>
        </w:rPr>
      </w:pPr>
      <w:r w:rsidRPr="000A33D2">
        <w:rPr>
          <w:rFonts w:asciiTheme="minorHAnsi" w:hAnsiTheme="minorHAnsi"/>
          <w:b/>
          <w:bCs/>
          <w:snapToGrid w:val="0"/>
        </w:rPr>
        <w:t>Outcome:</w:t>
      </w:r>
    </w:p>
    <w:p w14:paraId="12A94F3E" w14:textId="11A16081" w:rsidR="00DE7D64" w:rsidRPr="000A33D2" w:rsidRDefault="00325C70" w:rsidP="00C809D4">
      <w:pPr>
        <w:rPr>
          <w:rFonts w:asciiTheme="minorHAnsi" w:hAnsiTheme="minorHAnsi"/>
          <w:b/>
          <w:bCs/>
          <w:snapToGrid w:val="0"/>
        </w:rPr>
      </w:pPr>
      <w:r w:rsidRPr="000A33D2">
        <w:rPr>
          <w:rFonts w:asciiTheme="minorHAnsi" w:hAnsiTheme="minorHAnsi"/>
          <w:bCs/>
          <w:snapToGrid w:val="0"/>
        </w:rPr>
        <w:t>Recommended</w:t>
      </w:r>
    </w:p>
    <w:bookmarkEnd w:id="98"/>
    <w:p w14:paraId="27595711" w14:textId="77777777" w:rsidR="00325C70" w:rsidRPr="000A33D2" w:rsidRDefault="00325C70" w:rsidP="00325C70">
      <w:pPr>
        <w:pStyle w:val="2-SectionHeading"/>
        <w:numPr>
          <w:ilvl w:val="0"/>
          <w:numId w:val="1"/>
        </w:numPr>
        <w:rPr>
          <w:b w:val="0"/>
          <w:bCs/>
          <w:iCs/>
        </w:rPr>
      </w:pPr>
      <w:r w:rsidRPr="000A33D2">
        <w:rPr>
          <w:bCs/>
        </w:rPr>
        <w:t>Recommended listing</w:t>
      </w:r>
    </w:p>
    <w:p w14:paraId="04CEBE04" w14:textId="76FFEE71" w:rsidR="00067C94" w:rsidRPr="00C809D4" w:rsidRDefault="00325C70" w:rsidP="00811EC3">
      <w:pPr>
        <w:pStyle w:val="3-BodyText"/>
        <w:rPr>
          <w:b/>
        </w:rPr>
      </w:pPr>
      <w:r w:rsidRPr="003B2FCA">
        <w:t>Add new item:</w:t>
      </w:r>
      <w:bookmarkEnd w:id="99"/>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20"/>
        <w:gridCol w:w="695"/>
        <w:gridCol w:w="1787"/>
        <w:gridCol w:w="109"/>
        <w:gridCol w:w="1837"/>
        <w:gridCol w:w="187"/>
        <w:gridCol w:w="1765"/>
        <w:gridCol w:w="259"/>
        <w:gridCol w:w="1854"/>
      </w:tblGrid>
      <w:tr w:rsidR="00811EC3" w:rsidRPr="000A33D2" w14:paraId="5157E0B2" w14:textId="77777777" w:rsidTr="00D932C8">
        <w:trPr>
          <w:cantSplit/>
          <w:trHeight w:val="20"/>
        </w:trPr>
        <w:tc>
          <w:tcPr>
            <w:tcW w:w="1686" w:type="pct"/>
            <w:gridSpan w:val="4"/>
            <w:vAlign w:val="center"/>
          </w:tcPr>
          <w:p w14:paraId="2F50C1A3"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MEDICINAL PRODUCT</w:t>
            </w:r>
          </w:p>
          <w:p w14:paraId="48215B70"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Form</w:t>
            </w:r>
          </w:p>
        </w:tc>
        <w:tc>
          <w:tcPr>
            <w:tcW w:w="1073" w:type="pct"/>
            <w:gridSpan w:val="2"/>
            <w:vAlign w:val="center"/>
          </w:tcPr>
          <w:p w14:paraId="42BDADA1"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PBS item code</w:t>
            </w:r>
          </w:p>
        </w:tc>
        <w:tc>
          <w:tcPr>
            <w:tcW w:w="1076" w:type="pct"/>
            <w:gridSpan w:val="2"/>
            <w:vAlign w:val="center"/>
          </w:tcPr>
          <w:p w14:paraId="01BAE072"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Max. Amount</w:t>
            </w:r>
          </w:p>
        </w:tc>
        <w:tc>
          <w:tcPr>
            <w:tcW w:w="1165" w:type="pct"/>
            <w:gridSpan w:val="2"/>
            <w:vAlign w:val="center"/>
          </w:tcPr>
          <w:p w14:paraId="7941188D"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№.of Rpts</w:t>
            </w:r>
          </w:p>
        </w:tc>
      </w:tr>
      <w:tr w:rsidR="00811EC3" w:rsidRPr="000A33D2" w14:paraId="0D962222" w14:textId="77777777" w:rsidTr="00D932C8">
        <w:trPr>
          <w:cantSplit/>
          <w:trHeight w:val="20"/>
        </w:trPr>
        <w:tc>
          <w:tcPr>
            <w:tcW w:w="1686" w:type="pct"/>
            <w:gridSpan w:val="4"/>
            <w:vAlign w:val="center"/>
          </w:tcPr>
          <w:p w14:paraId="3353E6CE"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DOSTARLIMAB</w:t>
            </w:r>
          </w:p>
          <w:p w14:paraId="34CA3405"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Injection</w:t>
            </w:r>
          </w:p>
        </w:tc>
        <w:tc>
          <w:tcPr>
            <w:tcW w:w="1073" w:type="pct"/>
            <w:gridSpan w:val="2"/>
            <w:vAlign w:val="center"/>
          </w:tcPr>
          <w:p w14:paraId="4C3A6CB9" w14:textId="683C6C50" w:rsidR="00811EC3" w:rsidRPr="000A33D2" w:rsidRDefault="00811EC3" w:rsidP="00C809D4">
            <w:pPr>
              <w:spacing w:before="100" w:beforeAutospacing="1"/>
              <w:contextualSpacing/>
              <w:jc w:val="left"/>
              <w:rPr>
                <w:rFonts w:ascii="Arial Narrow" w:hAnsi="Arial Narrow"/>
                <w:sz w:val="20"/>
                <w:szCs w:val="20"/>
              </w:rPr>
            </w:pPr>
            <w:r w:rsidRPr="000A33D2">
              <w:rPr>
                <w:rFonts w:ascii="Arial Narrow" w:hAnsi="Arial Narrow"/>
                <w:sz w:val="20"/>
                <w:szCs w:val="20"/>
              </w:rPr>
              <w:t>NEW</w:t>
            </w:r>
            <w:r w:rsidR="00067C94" w:rsidRPr="000A33D2">
              <w:rPr>
                <w:rFonts w:ascii="Arial Narrow" w:hAnsi="Arial Narrow"/>
                <w:sz w:val="20"/>
                <w:szCs w:val="20"/>
              </w:rPr>
              <w:t xml:space="preserve"> </w:t>
            </w:r>
            <w:r w:rsidRPr="000A33D2">
              <w:rPr>
                <w:rFonts w:ascii="Arial Narrow" w:hAnsi="Arial Narrow"/>
                <w:sz w:val="20"/>
                <w:szCs w:val="20"/>
              </w:rPr>
              <w:t>(Public)</w:t>
            </w:r>
            <w:r w:rsidRPr="000A33D2">
              <w:rPr>
                <w:rFonts w:ascii="Arial Narrow" w:hAnsi="Arial Narrow"/>
                <w:sz w:val="20"/>
                <w:szCs w:val="20"/>
              </w:rPr>
              <w:br/>
              <w:t>NEW (Private)</w:t>
            </w:r>
          </w:p>
        </w:tc>
        <w:tc>
          <w:tcPr>
            <w:tcW w:w="1076" w:type="pct"/>
            <w:gridSpan w:val="2"/>
            <w:vAlign w:val="center"/>
          </w:tcPr>
          <w:p w14:paraId="7869C4ED"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500 mg</w:t>
            </w:r>
          </w:p>
        </w:tc>
        <w:tc>
          <w:tcPr>
            <w:tcW w:w="1165" w:type="pct"/>
            <w:gridSpan w:val="2"/>
            <w:vAlign w:val="center"/>
          </w:tcPr>
          <w:p w14:paraId="0CB4C27E"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5</w:t>
            </w:r>
          </w:p>
        </w:tc>
      </w:tr>
      <w:tr w:rsidR="00811EC3" w:rsidRPr="000A33D2" w14:paraId="77F90291" w14:textId="77777777" w:rsidTr="00D932C8">
        <w:trPr>
          <w:cantSplit/>
          <w:trHeight w:val="20"/>
        </w:trPr>
        <w:tc>
          <w:tcPr>
            <w:tcW w:w="5000" w:type="pct"/>
            <w:gridSpan w:val="10"/>
            <w:vAlign w:val="center"/>
          </w:tcPr>
          <w:p w14:paraId="53A83B55"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 xml:space="preserve">Available brands </w:t>
            </w:r>
          </w:p>
        </w:tc>
      </w:tr>
      <w:tr w:rsidR="00811EC3" w:rsidRPr="000A33D2" w14:paraId="264D82F0" w14:textId="77777777" w:rsidTr="00D932C8">
        <w:trPr>
          <w:cantSplit/>
          <w:trHeight w:val="20"/>
        </w:trPr>
        <w:tc>
          <w:tcPr>
            <w:tcW w:w="5000" w:type="pct"/>
            <w:gridSpan w:val="10"/>
            <w:vAlign w:val="center"/>
          </w:tcPr>
          <w:p w14:paraId="26E47AF3"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Jemperli</w:t>
            </w:r>
            <w:r w:rsidRPr="000A33D2">
              <w:rPr>
                <w:rFonts w:ascii="Arial Narrow" w:hAnsi="Arial Narrow"/>
                <w:sz w:val="20"/>
                <w:szCs w:val="20"/>
              </w:rPr>
              <w:br/>
              <w:t>dostarlimab 500 mg/10 mL injection, 10 mL vial</w:t>
            </w:r>
          </w:p>
        </w:tc>
      </w:tr>
      <w:tr w:rsidR="00811EC3" w:rsidRPr="000A33D2" w14:paraId="008BAC6C" w14:textId="77777777" w:rsidTr="00D932C8">
        <w:trPr>
          <w:cantSplit/>
          <w:trHeight w:val="20"/>
        </w:trPr>
        <w:tc>
          <w:tcPr>
            <w:tcW w:w="5000" w:type="pct"/>
            <w:gridSpan w:val="10"/>
            <w:vAlign w:val="center"/>
          </w:tcPr>
          <w:p w14:paraId="06A4EFAE" w14:textId="77777777" w:rsidR="00811EC3" w:rsidRPr="000A33D2" w:rsidRDefault="00811EC3" w:rsidP="00C809D4">
            <w:pPr>
              <w:spacing w:before="100" w:beforeAutospacing="1"/>
              <w:rPr>
                <w:rFonts w:ascii="Arial Narrow" w:hAnsi="Arial Narrow"/>
                <w:sz w:val="20"/>
                <w:szCs w:val="20"/>
              </w:rPr>
            </w:pPr>
          </w:p>
        </w:tc>
      </w:tr>
      <w:tr w:rsidR="00811EC3" w:rsidRPr="000A33D2" w14:paraId="1EFA90BB" w14:textId="77777777" w:rsidTr="00D932C8">
        <w:trPr>
          <w:cantSplit/>
          <w:trHeight w:val="20"/>
        </w:trPr>
        <w:tc>
          <w:tcPr>
            <w:tcW w:w="5000" w:type="pct"/>
            <w:gridSpan w:val="10"/>
            <w:vAlign w:val="center"/>
          </w:tcPr>
          <w:p w14:paraId="09626648"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Restriction Summary [new]</w:t>
            </w:r>
          </w:p>
        </w:tc>
      </w:tr>
      <w:tr w:rsidR="00811EC3" w:rsidRPr="000A33D2" w14:paraId="5C2C51C5"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val="restart"/>
          </w:tcPr>
          <w:p w14:paraId="0D8F1A3C" w14:textId="536B68BD" w:rsidR="00811EC3" w:rsidRPr="000A33D2" w:rsidRDefault="00811EC3" w:rsidP="00C809D4">
            <w:pPr>
              <w:spacing w:before="100" w:beforeAutospacing="1"/>
              <w:rPr>
                <w:rFonts w:ascii="Arial Narrow" w:hAnsi="Arial Narrow"/>
                <w:sz w:val="20"/>
                <w:szCs w:val="20"/>
              </w:rPr>
            </w:pPr>
          </w:p>
        </w:tc>
        <w:tc>
          <w:tcPr>
            <w:tcW w:w="4299" w:type="pct"/>
            <w:gridSpan w:val="7"/>
          </w:tcPr>
          <w:p w14:paraId="45EE25C8"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Category / Program:</w:t>
            </w:r>
            <w:r w:rsidRPr="000A33D2">
              <w:rPr>
                <w:rFonts w:ascii="Arial Narrow" w:hAnsi="Arial Narrow"/>
                <w:sz w:val="20"/>
                <w:szCs w:val="20"/>
              </w:rPr>
              <w:t xml:space="preserve"> Section 100 – Efficient Funding of Chemotherapy Public/Private hospitals</w:t>
            </w:r>
          </w:p>
        </w:tc>
      </w:tr>
      <w:tr w:rsidR="00811EC3" w:rsidRPr="000A33D2" w14:paraId="4A993EC3"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tcPr>
          <w:p w14:paraId="2B49C823" w14:textId="77777777" w:rsidR="00811EC3" w:rsidRPr="000A33D2" w:rsidRDefault="00811EC3" w:rsidP="00C809D4">
            <w:pPr>
              <w:spacing w:before="100" w:beforeAutospacing="1"/>
              <w:rPr>
                <w:rFonts w:ascii="Arial Narrow" w:hAnsi="Arial Narrow"/>
                <w:sz w:val="20"/>
                <w:szCs w:val="20"/>
              </w:rPr>
            </w:pPr>
          </w:p>
        </w:tc>
        <w:tc>
          <w:tcPr>
            <w:tcW w:w="4299" w:type="pct"/>
            <w:gridSpan w:val="7"/>
          </w:tcPr>
          <w:p w14:paraId="488FAAD3"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Prescriber type</w:t>
            </w:r>
            <w:r w:rsidRPr="000A33D2">
              <w:rPr>
                <w:rFonts w:ascii="Arial Narrow" w:hAnsi="Arial Narrow"/>
                <w:sz w:val="20"/>
                <w:szCs w:val="20"/>
              </w:rPr>
              <w:t xml:space="preserve">: </w:t>
            </w:r>
            <w:r w:rsidRPr="000A33D2">
              <w:rPr>
                <w:rFonts w:ascii="Arial Narrow" w:hAnsi="Arial Narrow"/>
                <w:sz w:val="20"/>
                <w:szCs w:val="20"/>
              </w:rPr>
              <w:fldChar w:fldCharType="begin" w:fldLock="1">
                <w:ffData>
                  <w:name w:val=""/>
                  <w:enabled/>
                  <w:calcOnExit w:val="0"/>
                  <w:checkBox>
                    <w:sizeAuto/>
                    <w:default w:val="1"/>
                  </w:checkBox>
                </w:ffData>
              </w:fldChar>
            </w:r>
            <w:r w:rsidRPr="000A33D2">
              <w:rPr>
                <w:rFonts w:ascii="Arial Narrow" w:hAnsi="Arial Narrow"/>
                <w:sz w:val="20"/>
                <w:szCs w:val="20"/>
              </w:rPr>
              <w:instrText xml:space="preserve"> FORMCHECKBOX </w:instrText>
            </w:r>
            <w:r w:rsidR="00D03BA6">
              <w:rPr>
                <w:rFonts w:ascii="Arial Narrow" w:hAnsi="Arial Narrow"/>
                <w:sz w:val="20"/>
                <w:szCs w:val="20"/>
              </w:rPr>
            </w:r>
            <w:r w:rsidR="00D03BA6">
              <w:rPr>
                <w:rFonts w:ascii="Arial Narrow" w:hAnsi="Arial Narrow"/>
                <w:sz w:val="20"/>
                <w:szCs w:val="20"/>
              </w:rPr>
              <w:fldChar w:fldCharType="separate"/>
            </w:r>
            <w:r w:rsidRPr="000A33D2">
              <w:rPr>
                <w:rFonts w:ascii="Arial Narrow" w:hAnsi="Arial Narrow"/>
                <w:sz w:val="20"/>
                <w:szCs w:val="20"/>
              </w:rPr>
              <w:fldChar w:fldCharType="end"/>
            </w:r>
            <w:r w:rsidRPr="000A33D2">
              <w:rPr>
                <w:rFonts w:ascii="Arial Narrow" w:hAnsi="Arial Narrow"/>
                <w:sz w:val="20"/>
                <w:szCs w:val="20"/>
              </w:rPr>
              <w:t>Medical Practitioners</w:t>
            </w:r>
          </w:p>
        </w:tc>
      </w:tr>
      <w:tr w:rsidR="00811EC3" w:rsidRPr="000A33D2" w14:paraId="5AB5ABC4"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tcPr>
          <w:p w14:paraId="74099E12" w14:textId="77777777" w:rsidR="00811EC3" w:rsidRPr="000A33D2" w:rsidRDefault="00811EC3" w:rsidP="00C809D4">
            <w:pPr>
              <w:spacing w:before="100" w:beforeAutospacing="1"/>
              <w:rPr>
                <w:rFonts w:ascii="Arial Narrow" w:hAnsi="Arial Narrow"/>
                <w:sz w:val="20"/>
                <w:szCs w:val="20"/>
              </w:rPr>
            </w:pPr>
          </w:p>
        </w:tc>
        <w:tc>
          <w:tcPr>
            <w:tcW w:w="4299" w:type="pct"/>
            <w:gridSpan w:val="7"/>
          </w:tcPr>
          <w:p w14:paraId="30021393"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Restriction type</w:t>
            </w:r>
            <w:r w:rsidRPr="000A33D2">
              <w:rPr>
                <w:rFonts w:ascii="Arial Narrow" w:hAnsi="Arial Narrow"/>
                <w:sz w:val="20"/>
                <w:szCs w:val="20"/>
              </w:rPr>
              <w:t xml:space="preserve">: </w:t>
            </w:r>
            <w:r w:rsidRPr="000A33D2">
              <w:rPr>
                <w:rFonts w:ascii="Arial Narrow" w:hAnsi="Arial Narrow"/>
                <w:sz w:val="20"/>
                <w:szCs w:val="20"/>
              </w:rPr>
              <w:fldChar w:fldCharType="begin" w:fldLock="1">
                <w:ffData>
                  <w:name w:val=""/>
                  <w:enabled/>
                  <w:calcOnExit w:val="0"/>
                  <w:checkBox>
                    <w:sizeAuto/>
                    <w:default w:val="1"/>
                  </w:checkBox>
                </w:ffData>
              </w:fldChar>
            </w:r>
            <w:r w:rsidRPr="000A33D2">
              <w:rPr>
                <w:rFonts w:ascii="Arial Narrow" w:hAnsi="Arial Narrow"/>
                <w:sz w:val="20"/>
                <w:szCs w:val="20"/>
              </w:rPr>
              <w:instrText xml:space="preserve"> FORMCHECKBOX </w:instrText>
            </w:r>
            <w:r w:rsidR="00D03BA6">
              <w:rPr>
                <w:rFonts w:ascii="Arial Narrow" w:hAnsi="Arial Narrow"/>
                <w:sz w:val="20"/>
                <w:szCs w:val="20"/>
              </w:rPr>
            </w:r>
            <w:r w:rsidR="00D03BA6">
              <w:rPr>
                <w:rFonts w:ascii="Arial Narrow" w:hAnsi="Arial Narrow"/>
                <w:sz w:val="20"/>
                <w:szCs w:val="20"/>
              </w:rPr>
              <w:fldChar w:fldCharType="separate"/>
            </w:r>
            <w:r w:rsidRPr="000A33D2">
              <w:rPr>
                <w:rFonts w:ascii="Arial Narrow" w:hAnsi="Arial Narrow"/>
                <w:sz w:val="20"/>
                <w:szCs w:val="20"/>
              </w:rPr>
              <w:fldChar w:fldCharType="end"/>
            </w:r>
            <w:r w:rsidRPr="000A33D2">
              <w:rPr>
                <w:rFonts w:ascii="Arial Narrow" w:hAnsi="Arial Narrow"/>
                <w:sz w:val="20"/>
                <w:szCs w:val="20"/>
              </w:rPr>
              <w:t xml:space="preserve">Authority Required (STREAMLINED) [new/existing code] </w:t>
            </w:r>
          </w:p>
        </w:tc>
      </w:tr>
      <w:tr w:rsidR="00811EC3" w:rsidRPr="000A33D2" w14:paraId="724E0B18" w14:textId="77777777" w:rsidTr="00D932C8">
        <w:tblPrEx>
          <w:tblCellMar>
            <w:top w:w="15" w:type="dxa"/>
            <w:bottom w:w="15" w:type="dxa"/>
          </w:tblCellMar>
          <w:tblLook w:val="04A0" w:firstRow="1" w:lastRow="0" w:firstColumn="1" w:lastColumn="0" w:noHBand="0" w:noVBand="1"/>
        </w:tblPrEx>
        <w:trPr>
          <w:trHeight w:val="393"/>
        </w:trPr>
        <w:tc>
          <w:tcPr>
            <w:tcW w:w="307" w:type="pct"/>
            <w:vMerge w:val="restart"/>
            <w:textDirection w:val="btLr"/>
            <w:vAlign w:val="center"/>
          </w:tcPr>
          <w:p w14:paraId="068B7558" w14:textId="5A9DEA4F" w:rsidR="00811EC3" w:rsidRPr="000A33D2" w:rsidRDefault="00811EC3" w:rsidP="00C809D4">
            <w:pPr>
              <w:spacing w:before="100" w:beforeAutospacing="1"/>
              <w:rPr>
                <w:rFonts w:ascii="Arial Narrow" w:hAnsi="Arial Narrow"/>
                <w:b/>
                <w:bCs/>
                <w:sz w:val="20"/>
                <w:szCs w:val="20"/>
              </w:rPr>
            </w:pPr>
          </w:p>
        </w:tc>
        <w:tc>
          <w:tcPr>
            <w:tcW w:w="394" w:type="pct"/>
            <w:gridSpan w:val="2"/>
            <w:vAlign w:val="center"/>
          </w:tcPr>
          <w:p w14:paraId="2F215D1A" w14:textId="180A183A"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2DFD87C3"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Administrative Advice</w:t>
            </w:r>
            <w:r w:rsidRPr="000A33D2">
              <w:rPr>
                <w:rFonts w:ascii="Arial Narrow" w:hAnsi="Arial Narrow"/>
                <w:sz w:val="20"/>
                <w:szCs w:val="20"/>
              </w:rPr>
              <w:t>: No increase in the maximum number of repeats may be authorised.</w:t>
            </w:r>
          </w:p>
        </w:tc>
      </w:tr>
      <w:tr w:rsidR="00811EC3" w:rsidRPr="000A33D2" w14:paraId="2D87BC2D" w14:textId="77777777" w:rsidTr="00D932C8">
        <w:tblPrEx>
          <w:tblCellMar>
            <w:top w:w="15" w:type="dxa"/>
            <w:bottom w:w="15" w:type="dxa"/>
          </w:tblCellMar>
          <w:tblLook w:val="04A0" w:firstRow="1" w:lastRow="0" w:firstColumn="1" w:lastColumn="0" w:noHBand="0" w:noVBand="1"/>
        </w:tblPrEx>
        <w:trPr>
          <w:trHeight w:val="393"/>
        </w:trPr>
        <w:tc>
          <w:tcPr>
            <w:tcW w:w="307" w:type="pct"/>
            <w:vMerge/>
            <w:textDirection w:val="btLr"/>
            <w:vAlign w:val="center"/>
          </w:tcPr>
          <w:p w14:paraId="370C8DF5" w14:textId="77777777" w:rsidR="00811EC3" w:rsidRPr="000A33D2" w:rsidRDefault="00811EC3" w:rsidP="00C809D4">
            <w:pPr>
              <w:spacing w:before="100" w:beforeAutospacing="1"/>
              <w:rPr>
                <w:rFonts w:ascii="Arial Narrow" w:hAnsi="Arial Narrow"/>
                <w:b/>
                <w:bCs/>
                <w:sz w:val="20"/>
                <w:szCs w:val="20"/>
              </w:rPr>
            </w:pPr>
          </w:p>
        </w:tc>
        <w:tc>
          <w:tcPr>
            <w:tcW w:w="394" w:type="pct"/>
            <w:gridSpan w:val="2"/>
            <w:vAlign w:val="center"/>
          </w:tcPr>
          <w:p w14:paraId="77AEBBC1" w14:textId="565018A6"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0565CD75"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Administrative Advice</w:t>
            </w:r>
            <w:r w:rsidRPr="000A33D2">
              <w:rPr>
                <w:rFonts w:ascii="Arial Narrow" w:hAnsi="Arial Narrow"/>
                <w:sz w:val="20"/>
                <w:szCs w:val="20"/>
              </w:rPr>
              <w:t>: No increase in the maximum quantity or number of units may be authorised.</w:t>
            </w:r>
          </w:p>
        </w:tc>
      </w:tr>
      <w:tr w:rsidR="00811EC3" w:rsidRPr="000A33D2" w14:paraId="0720D00B" w14:textId="77777777" w:rsidTr="00D932C8">
        <w:tblPrEx>
          <w:tblCellMar>
            <w:top w:w="15" w:type="dxa"/>
            <w:bottom w:w="15" w:type="dxa"/>
          </w:tblCellMar>
          <w:tblLook w:val="04A0" w:firstRow="1" w:lastRow="0" w:firstColumn="1" w:lastColumn="0" w:noHBand="0" w:noVBand="1"/>
        </w:tblPrEx>
        <w:trPr>
          <w:trHeight w:val="332"/>
        </w:trPr>
        <w:tc>
          <w:tcPr>
            <w:tcW w:w="307" w:type="pct"/>
            <w:vMerge/>
            <w:vAlign w:val="center"/>
          </w:tcPr>
          <w:p w14:paraId="4B4AC671" w14:textId="77777777" w:rsidR="00811EC3" w:rsidRPr="000A33D2" w:rsidRDefault="00811EC3" w:rsidP="00C809D4">
            <w:pPr>
              <w:spacing w:before="100" w:beforeAutospacing="1"/>
              <w:rPr>
                <w:rFonts w:ascii="Arial Narrow" w:hAnsi="Arial Narrow"/>
                <w:sz w:val="20"/>
                <w:szCs w:val="20"/>
              </w:rPr>
            </w:pPr>
          </w:p>
        </w:tc>
        <w:tc>
          <w:tcPr>
            <w:tcW w:w="394" w:type="pct"/>
            <w:gridSpan w:val="2"/>
            <w:vAlign w:val="center"/>
          </w:tcPr>
          <w:p w14:paraId="0EABAA74" w14:textId="502A8B9F"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6AB6EFF7"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Administrative Advice</w:t>
            </w:r>
            <w:r w:rsidRPr="000A33D2">
              <w:rPr>
                <w:rFonts w:ascii="Arial Narrow" w:hAnsi="Arial Narrow"/>
                <w:sz w:val="20"/>
                <w:szCs w:val="20"/>
              </w:rPr>
              <w:t>: Special Pricing Arrangements apply.</w:t>
            </w:r>
          </w:p>
        </w:tc>
      </w:tr>
      <w:tr w:rsidR="00811EC3" w:rsidRPr="000A33D2" w14:paraId="4D4C539D"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val="restart"/>
            <w:vAlign w:val="center"/>
          </w:tcPr>
          <w:p w14:paraId="10D9EC66" w14:textId="77777777"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134EB397"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Severity</w:t>
            </w:r>
            <w:r w:rsidRPr="000A33D2">
              <w:rPr>
                <w:rFonts w:ascii="Arial Narrow" w:hAnsi="Arial Narrow"/>
                <w:sz w:val="20"/>
                <w:szCs w:val="20"/>
              </w:rPr>
              <w:t>: Primary advanced or first recurrent</w:t>
            </w:r>
          </w:p>
        </w:tc>
      </w:tr>
      <w:tr w:rsidR="00811EC3" w:rsidRPr="000A33D2" w14:paraId="6F60275F"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vAlign w:val="center"/>
          </w:tcPr>
          <w:p w14:paraId="04308AE0" w14:textId="77777777"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554C68DF"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Condition</w:t>
            </w:r>
            <w:r w:rsidRPr="000A33D2">
              <w:rPr>
                <w:rFonts w:ascii="Arial Narrow" w:hAnsi="Arial Narrow"/>
                <w:sz w:val="20"/>
                <w:szCs w:val="20"/>
              </w:rPr>
              <w:t>: Endometrial cancer</w:t>
            </w:r>
          </w:p>
        </w:tc>
      </w:tr>
      <w:tr w:rsidR="00811EC3" w:rsidRPr="000A33D2" w14:paraId="6C4CB3A3"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56D36B16" w14:textId="0B3B3D03"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07C00356" w14:textId="31A7CB4B"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Indication</w:t>
            </w:r>
            <w:r w:rsidRPr="000A33D2">
              <w:rPr>
                <w:rFonts w:ascii="Arial Narrow" w:hAnsi="Arial Narrow"/>
                <w:sz w:val="20"/>
                <w:szCs w:val="20"/>
              </w:rPr>
              <w:t xml:space="preserve">: </w:t>
            </w:r>
            <w:r w:rsidR="00156C9B">
              <w:rPr>
                <w:rFonts w:ascii="Arial Narrow" w:hAnsi="Arial Narrow"/>
                <w:sz w:val="20"/>
                <w:szCs w:val="20"/>
              </w:rPr>
              <w:t>Advanced, metastatic or recurrent endometrial carcinoma</w:t>
            </w:r>
          </w:p>
        </w:tc>
      </w:tr>
      <w:tr w:rsidR="00811EC3" w:rsidRPr="000A33D2" w14:paraId="2E9C0016"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5594534C" w14:textId="77777777"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364C77C8"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Treatment</w:t>
            </w:r>
            <w:r w:rsidRPr="000A33D2">
              <w:rPr>
                <w:rFonts w:ascii="Arial Narrow" w:hAnsi="Arial Narrow"/>
                <w:sz w:val="20"/>
                <w:szCs w:val="20"/>
              </w:rPr>
              <w:t xml:space="preserve"> </w:t>
            </w:r>
            <w:r w:rsidRPr="000A33D2">
              <w:rPr>
                <w:rFonts w:ascii="Arial Narrow" w:hAnsi="Arial Narrow"/>
                <w:b/>
                <w:bCs/>
                <w:sz w:val="20"/>
                <w:szCs w:val="20"/>
              </w:rPr>
              <w:t>Phase</w:t>
            </w:r>
            <w:r w:rsidRPr="000A33D2">
              <w:rPr>
                <w:rFonts w:ascii="Arial Narrow" w:hAnsi="Arial Narrow"/>
                <w:sz w:val="20"/>
                <w:szCs w:val="20"/>
              </w:rPr>
              <w:t>: Initial treatment covering the first 6 treatment cycles</w:t>
            </w:r>
          </w:p>
        </w:tc>
      </w:tr>
      <w:tr w:rsidR="009D10A4" w:rsidRPr="000A33D2" w14:paraId="6A07FAE7"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tcBorders>
              <w:bottom w:val="single" w:sz="4" w:space="0" w:color="auto"/>
            </w:tcBorders>
            <w:vAlign w:val="center"/>
          </w:tcPr>
          <w:p w14:paraId="619C3EAA" w14:textId="7AA0654B" w:rsidR="009D10A4" w:rsidRPr="000A33D2" w:rsidRDefault="009D10A4" w:rsidP="00C809D4">
            <w:pPr>
              <w:spacing w:before="100" w:beforeAutospacing="1"/>
              <w:rPr>
                <w:rFonts w:ascii="Arial Narrow" w:hAnsi="Arial Narrow"/>
                <w:sz w:val="20"/>
                <w:szCs w:val="20"/>
              </w:rPr>
            </w:pPr>
          </w:p>
        </w:tc>
        <w:tc>
          <w:tcPr>
            <w:tcW w:w="4299" w:type="pct"/>
            <w:gridSpan w:val="7"/>
            <w:tcBorders>
              <w:bottom w:val="single" w:sz="4" w:space="0" w:color="auto"/>
            </w:tcBorders>
            <w:vAlign w:val="center"/>
            <w:hideMark/>
          </w:tcPr>
          <w:p w14:paraId="421CE848" w14:textId="77777777" w:rsidR="009D10A4" w:rsidRPr="000A33D2" w:rsidRDefault="009D10A4"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9D10A4" w:rsidRPr="000A33D2" w14:paraId="203367EF"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tcBorders>
              <w:bottom w:val="single" w:sz="4" w:space="0" w:color="auto"/>
            </w:tcBorders>
            <w:shd w:val="clear" w:color="auto" w:fill="auto"/>
            <w:vAlign w:val="center"/>
          </w:tcPr>
          <w:p w14:paraId="4F316D92" w14:textId="765AD9D7" w:rsidR="009D10A4" w:rsidRPr="000A33D2" w:rsidRDefault="009D10A4" w:rsidP="00C809D4">
            <w:pPr>
              <w:spacing w:before="100" w:beforeAutospacing="1"/>
              <w:rPr>
                <w:rFonts w:ascii="Arial Narrow" w:hAnsi="Arial Narrow"/>
                <w:sz w:val="20"/>
                <w:szCs w:val="20"/>
              </w:rPr>
            </w:pPr>
          </w:p>
        </w:tc>
        <w:tc>
          <w:tcPr>
            <w:tcW w:w="4299" w:type="pct"/>
            <w:gridSpan w:val="7"/>
            <w:tcBorders>
              <w:bottom w:val="single" w:sz="4" w:space="0" w:color="auto"/>
            </w:tcBorders>
            <w:shd w:val="clear" w:color="auto" w:fill="auto"/>
            <w:vAlign w:val="center"/>
            <w:hideMark/>
          </w:tcPr>
          <w:p w14:paraId="36456B55" w14:textId="77777777" w:rsidR="009D10A4" w:rsidRPr="000A33D2" w:rsidRDefault="009D10A4" w:rsidP="00C809D4">
            <w:pPr>
              <w:spacing w:before="100" w:beforeAutospacing="1"/>
              <w:rPr>
                <w:rFonts w:ascii="Arial Narrow" w:hAnsi="Arial Narrow"/>
                <w:sz w:val="20"/>
                <w:szCs w:val="20"/>
              </w:rPr>
            </w:pPr>
            <w:r w:rsidRPr="000A33D2">
              <w:rPr>
                <w:rFonts w:ascii="Arial Narrow" w:hAnsi="Arial Narrow"/>
                <w:sz w:val="20"/>
                <w:szCs w:val="20"/>
              </w:rPr>
              <w:t>Patient must have deficient mismatch repair (dMMR) endometrial cancer, as determined by immunohistochemistry test.</w:t>
            </w:r>
          </w:p>
        </w:tc>
      </w:tr>
      <w:tr w:rsidR="009D10A4" w:rsidRPr="000A33D2" w14:paraId="5C44F098"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4DD7A0C1" w14:textId="77777777" w:rsidR="009D10A4" w:rsidRPr="000A33D2" w:rsidRDefault="009D10A4" w:rsidP="00C809D4">
            <w:pPr>
              <w:spacing w:before="100" w:beforeAutospacing="1"/>
              <w:rPr>
                <w:rFonts w:ascii="Arial Narrow" w:hAnsi="Arial Narrow"/>
                <w:b/>
                <w:bCs/>
                <w:sz w:val="20"/>
                <w:szCs w:val="20"/>
              </w:rPr>
            </w:pPr>
          </w:p>
        </w:tc>
        <w:tc>
          <w:tcPr>
            <w:tcW w:w="4299" w:type="pct"/>
            <w:gridSpan w:val="7"/>
            <w:vAlign w:val="center"/>
            <w:hideMark/>
          </w:tcPr>
          <w:p w14:paraId="643EE786" w14:textId="77777777" w:rsidR="009D10A4" w:rsidRPr="000A33D2" w:rsidRDefault="009D10A4" w:rsidP="00C809D4">
            <w:pPr>
              <w:spacing w:before="100" w:beforeAutospacing="1"/>
              <w:rPr>
                <w:rFonts w:ascii="Arial Narrow" w:hAnsi="Arial Narrow"/>
                <w:b/>
                <w:bCs/>
                <w:sz w:val="20"/>
                <w:szCs w:val="20"/>
              </w:rPr>
            </w:pPr>
            <w:r w:rsidRPr="000A33D2">
              <w:rPr>
                <w:rFonts w:ascii="Arial Narrow" w:hAnsi="Arial Narrow"/>
                <w:b/>
                <w:bCs/>
                <w:sz w:val="20"/>
                <w:szCs w:val="20"/>
              </w:rPr>
              <w:t>AND</w:t>
            </w:r>
          </w:p>
        </w:tc>
      </w:tr>
      <w:tr w:rsidR="009D10A4" w:rsidRPr="000A33D2" w14:paraId="6F15A2C8" w14:textId="77777777" w:rsidTr="009D10A4">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31BC09F6" w14:textId="16640704" w:rsidR="009D10A4" w:rsidRPr="000A33D2" w:rsidRDefault="009D10A4" w:rsidP="00C809D4">
            <w:pPr>
              <w:spacing w:before="100" w:beforeAutospacing="1"/>
              <w:rPr>
                <w:rFonts w:ascii="Arial Narrow" w:hAnsi="Arial Narrow"/>
                <w:sz w:val="20"/>
                <w:szCs w:val="20"/>
              </w:rPr>
            </w:pPr>
            <w:bookmarkStart w:id="105" w:name="_Hlk142307530"/>
          </w:p>
        </w:tc>
        <w:tc>
          <w:tcPr>
            <w:tcW w:w="4299" w:type="pct"/>
            <w:gridSpan w:val="7"/>
            <w:vAlign w:val="center"/>
            <w:hideMark/>
          </w:tcPr>
          <w:p w14:paraId="15D6DE2A" w14:textId="77777777" w:rsidR="009D10A4" w:rsidRPr="000A33D2" w:rsidRDefault="009D10A4" w:rsidP="00C809D4">
            <w:pPr>
              <w:spacing w:before="100" w:beforeAutospacing="1"/>
              <w:rPr>
                <w:rFonts w:ascii="Arial Narrow" w:hAnsi="Arial Narrow"/>
                <w:b/>
                <w:bCs/>
                <w:sz w:val="20"/>
                <w:szCs w:val="20"/>
              </w:rPr>
            </w:pPr>
            <w:r w:rsidRPr="000A33D2">
              <w:rPr>
                <w:rFonts w:ascii="Arial Narrow" w:hAnsi="Arial Narrow"/>
                <w:b/>
                <w:bCs/>
                <w:sz w:val="20"/>
                <w:szCs w:val="20"/>
              </w:rPr>
              <w:t xml:space="preserve">Clinical criteria: </w:t>
            </w:r>
          </w:p>
        </w:tc>
      </w:tr>
      <w:tr w:rsidR="009D10A4" w:rsidRPr="000A33D2" w14:paraId="2B802E00"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2C12D555" w14:textId="166DEC50" w:rsidR="009D10A4" w:rsidRPr="000A33D2" w:rsidRDefault="009D10A4" w:rsidP="00C809D4">
            <w:pPr>
              <w:spacing w:before="100" w:beforeAutospacing="1"/>
              <w:rPr>
                <w:rFonts w:ascii="Arial Narrow" w:hAnsi="Arial Narrow"/>
                <w:sz w:val="20"/>
                <w:szCs w:val="20"/>
              </w:rPr>
            </w:pPr>
          </w:p>
        </w:tc>
        <w:tc>
          <w:tcPr>
            <w:tcW w:w="4299" w:type="pct"/>
            <w:gridSpan w:val="7"/>
            <w:vAlign w:val="center"/>
            <w:hideMark/>
          </w:tcPr>
          <w:p w14:paraId="698EEF53" w14:textId="39C624BD" w:rsidR="009D10A4" w:rsidRPr="000A33D2" w:rsidRDefault="009D10A4" w:rsidP="00C809D4">
            <w:pPr>
              <w:rPr>
                <w:rFonts w:ascii="Arial Narrow" w:hAnsi="Arial Narrow"/>
                <w:strike/>
                <w:sz w:val="20"/>
                <w:szCs w:val="20"/>
              </w:rPr>
            </w:pPr>
            <w:r w:rsidRPr="000A33D2">
              <w:rPr>
                <w:rStyle w:val="cf01"/>
                <w:rFonts w:ascii="Arial Narrow" w:hAnsi="Arial Narrow"/>
                <w:sz w:val="20"/>
                <w:szCs w:val="20"/>
              </w:rPr>
              <w:t>The condition must be unsuitable for at least one of the following: (i) curative surgical resection, (ii) curative radiotherapy</w:t>
            </w:r>
          </w:p>
        </w:tc>
      </w:tr>
      <w:tr w:rsidR="009D10A4" w:rsidRPr="000A33D2" w14:paraId="54C37F1F"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0735B7E6" w14:textId="77777777" w:rsidR="009D10A4" w:rsidRPr="000A33D2" w:rsidRDefault="009D10A4" w:rsidP="00C809D4">
            <w:pPr>
              <w:spacing w:before="100" w:beforeAutospacing="1"/>
              <w:rPr>
                <w:rFonts w:ascii="Arial Narrow" w:hAnsi="Arial Narrow"/>
                <w:sz w:val="20"/>
                <w:szCs w:val="20"/>
              </w:rPr>
            </w:pPr>
          </w:p>
        </w:tc>
        <w:tc>
          <w:tcPr>
            <w:tcW w:w="4299" w:type="pct"/>
            <w:gridSpan w:val="7"/>
            <w:vAlign w:val="center"/>
          </w:tcPr>
          <w:p w14:paraId="32DC9EC3" w14:textId="4A5D851A" w:rsidR="009D10A4" w:rsidRPr="009D10A4" w:rsidRDefault="009D10A4" w:rsidP="00C809D4">
            <w:pPr>
              <w:rPr>
                <w:rStyle w:val="cf01"/>
                <w:rFonts w:ascii="Arial Narrow" w:hAnsi="Arial Narrow"/>
                <w:b/>
                <w:bCs/>
                <w:sz w:val="20"/>
                <w:szCs w:val="20"/>
              </w:rPr>
            </w:pPr>
            <w:r w:rsidRPr="009D10A4">
              <w:rPr>
                <w:rStyle w:val="cf01"/>
                <w:rFonts w:ascii="Arial Narrow" w:hAnsi="Arial Narrow"/>
                <w:b/>
                <w:bCs/>
                <w:sz w:val="20"/>
                <w:szCs w:val="20"/>
              </w:rPr>
              <w:t>A</w:t>
            </w:r>
            <w:r w:rsidRPr="009D10A4">
              <w:rPr>
                <w:rStyle w:val="cf01"/>
                <w:b/>
                <w:bCs/>
              </w:rPr>
              <w:t>ND</w:t>
            </w:r>
          </w:p>
        </w:tc>
      </w:tr>
      <w:tr w:rsidR="009D10A4" w:rsidRPr="000A33D2" w14:paraId="5E719718"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36FE6DBB" w14:textId="120F73F6" w:rsidR="009D10A4" w:rsidRPr="000A33D2" w:rsidRDefault="009D10A4" w:rsidP="00C809D4">
            <w:pPr>
              <w:spacing w:before="100" w:beforeAutospacing="1"/>
              <w:rPr>
                <w:rFonts w:ascii="Arial Narrow" w:hAnsi="Arial Narrow"/>
                <w:sz w:val="20"/>
                <w:szCs w:val="20"/>
              </w:rPr>
            </w:pPr>
          </w:p>
        </w:tc>
        <w:tc>
          <w:tcPr>
            <w:tcW w:w="4299" w:type="pct"/>
            <w:gridSpan w:val="7"/>
            <w:vAlign w:val="center"/>
            <w:hideMark/>
          </w:tcPr>
          <w:p w14:paraId="59C4655D" w14:textId="77777777" w:rsidR="009D10A4" w:rsidRPr="000A33D2" w:rsidRDefault="009D10A4"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9D10A4" w:rsidRPr="000A33D2" w14:paraId="4D58ADC7"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46BE6CA7" w14:textId="75E04F00" w:rsidR="009D10A4" w:rsidRPr="000A33D2" w:rsidRDefault="009D10A4" w:rsidP="00C809D4">
            <w:pPr>
              <w:spacing w:before="100" w:beforeAutospacing="1"/>
              <w:rPr>
                <w:rFonts w:ascii="Arial Narrow" w:hAnsi="Arial Narrow"/>
                <w:sz w:val="20"/>
                <w:szCs w:val="20"/>
              </w:rPr>
            </w:pPr>
          </w:p>
        </w:tc>
        <w:tc>
          <w:tcPr>
            <w:tcW w:w="4299" w:type="pct"/>
            <w:gridSpan w:val="7"/>
            <w:vAlign w:val="center"/>
            <w:hideMark/>
          </w:tcPr>
          <w:p w14:paraId="125B22F4" w14:textId="77777777" w:rsidR="009D10A4" w:rsidRPr="000A33D2" w:rsidRDefault="009D10A4" w:rsidP="00C809D4">
            <w:pPr>
              <w:spacing w:before="100" w:beforeAutospacing="1"/>
              <w:rPr>
                <w:rFonts w:ascii="Arial Narrow" w:hAnsi="Arial Narrow"/>
                <w:sz w:val="20"/>
                <w:szCs w:val="20"/>
              </w:rPr>
            </w:pPr>
            <w:r w:rsidRPr="000A33D2">
              <w:rPr>
                <w:rFonts w:ascii="Arial Narrow" w:hAnsi="Arial Narrow"/>
                <w:sz w:val="20"/>
                <w:szCs w:val="20"/>
              </w:rPr>
              <w:t>The treatment must be initiated in combination with platinum-containing chemotherapy</w:t>
            </w:r>
          </w:p>
        </w:tc>
      </w:tr>
      <w:tr w:rsidR="00811EC3" w:rsidRPr="000A33D2" w14:paraId="00595A98"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6F719096" w14:textId="77777777" w:rsidR="00811EC3" w:rsidRPr="000A33D2" w:rsidRDefault="00811EC3" w:rsidP="00C809D4">
            <w:pPr>
              <w:spacing w:before="100" w:beforeAutospacing="1"/>
              <w:rPr>
                <w:rFonts w:ascii="Arial Narrow" w:hAnsi="Arial Narrow"/>
                <w:b/>
                <w:bCs/>
                <w:sz w:val="20"/>
                <w:szCs w:val="20"/>
              </w:rPr>
            </w:pPr>
          </w:p>
        </w:tc>
        <w:tc>
          <w:tcPr>
            <w:tcW w:w="4299" w:type="pct"/>
            <w:gridSpan w:val="7"/>
            <w:vAlign w:val="center"/>
            <w:hideMark/>
          </w:tcPr>
          <w:p w14:paraId="72C4BB7B"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AND</w:t>
            </w:r>
          </w:p>
        </w:tc>
      </w:tr>
      <w:tr w:rsidR="009D10A4" w:rsidRPr="000A33D2" w14:paraId="0C871864"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7EF524E6" w14:textId="39439A67" w:rsidR="009D10A4" w:rsidRPr="000A33D2" w:rsidRDefault="009D10A4" w:rsidP="00C809D4">
            <w:pPr>
              <w:spacing w:before="100" w:beforeAutospacing="1"/>
              <w:rPr>
                <w:rFonts w:ascii="Arial Narrow" w:hAnsi="Arial Narrow"/>
                <w:sz w:val="20"/>
                <w:szCs w:val="20"/>
              </w:rPr>
            </w:pPr>
          </w:p>
        </w:tc>
        <w:tc>
          <w:tcPr>
            <w:tcW w:w="4299" w:type="pct"/>
            <w:gridSpan w:val="7"/>
            <w:vAlign w:val="center"/>
            <w:hideMark/>
          </w:tcPr>
          <w:p w14:paraId="1D9587CA" w14:textId="77777777" w:rsidR="009D10A4" w:rsidRPr="000A33D2" w:rsidRDefault="009D10A4"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9D10A4" w:rsidRPr="000A33D2" w14:paraId="15D60675"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35BF7D29" w14:textId="71872E5E" w:rsidR="009D10A4" w:rsidRPr="000A33D2" w:rsidRDefault="009D10A4" w:rsidP="00C809D4">
            <w:pPr>
              <w:spacing w:before="100" w:beforeAutospacing="1"/>
              <w:rPr>
                <w:rFonts w:ascii="Arial Narrow" w:hAnsi="Arial Narrow"/>
                <w:sz w:val="20"/>
                <w:szCs w:val="20"/>
              </w:rPr>
            </w:pPr>
          </w:p>
        </w:tc>
        <w:tc>
          <w:tcPr>
            <w:tcW w:w="4299" w:type="pct"/>
            <w:gridSpan w:val="7"/>
            <w:vAlign w:val="center"/>
            <w:hideMark/>
          </w:tcPr>
          <w:p w14:paraId="0E3156A7" w14:textId="524AD570" w:rsidR="009D10A4" w:rsidRPr="000A33D2" w:rsidRDefault="009D10A4" w:rsidP="00C809D4">
            <w:pPr>
              <w:spacing w:before="100" w:beforeAutospacing="1"/>
              <w:rPr>
                <w:rFonts w:ascii="Arial Narrow" w:hAnsi="Arial Narrow"/>
                <w:sz w:val="20"/>
                <w:szCs w:val="20"/>
              </w:rPr>
            </w:pPr>
            <w:r w:rsidRPr="000A33D2">
              <w:rPr>
                <w:rFonts w:ascii="Arial Narrow" w:hAnsi="Arial Narrow"/>
                <w:sz w:val="20"/>
                <w:szCs w:val="20"/>
              </w:rPr>
              <w:t>The condition must be, at treatment initiation with this drug, either: (i) untreated with systemic therapy, or (ii) treated with neoadjuvant/adjuvant systemic therapy, but the cancer has recurred or progressed after more than 6 months from the last dose of systemic therapy</w:t>
            </w:r>
          </w:p>
        </w:tc>
      </w:tr>
      <w:tr w:rsidR="00811EC3" w:rsidRPr="000A33D2" w14:paraId="25A6D30E"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4EC27C69" w14:textId="77777777" w:rsidR="00811EC3" w:rsidRPr="000A33D2" w:rsidRDefault="00811EC3" w:rsidP="00C809D4">
            <w:pPr>
              <w:spacing w:before="100" w:beforeAutospacing="1"/>
              <w:rPr>
                <w:rFonts w:ascii="Arial Narrow" w:hAnsi="Arial Narrow"/>
                <w:b/>
                <w:bCs/>
                <w:sz w:val="20"/>
                <w:szCs w:val="20"/>
              </w:rPr>
            </w:pPr>
          </w:p>
        </w:tc>
        <w:tc>
          <w:tcPr>
            <w:tcW w:w="4299" w:type="pct"/>
            <w:gridSpan w:val="7"/>
            <w:vAlign w:val="center"/>
            <w:hideMark/>
          </w:tcPr>
          <w:p w14:paraId="162BB40B"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AND</w:t>
            </w:r>
          </w:p>
        </w:tc>
      </w:tr>
      <w:tr w:rsidR="00811EC3" w:rsidRPr="000A33D2" w14:paraId="630AB15C"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0BFB7763" w14:textId="6A0ABAE4"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491FC663"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811EC3" w:rsidRPr="000A33D2" w14:paraId="2643058C"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2C42F7C1" w14:textId="38B0A8A7"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20277F15" w14:textId="6F773EDF"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Patient must not have received prior treatment with a programmed cell death-1 (PD-1) or a programmed cell death ligand-1 (PD-L1) inhibitor for this condition</w:t>
            </w:r>
          </w:p>
        </w:tc>
      </w:tr>
      <w:bookmarkEnd w:id="105"/>
      <w:tr w:rsidR="00811EC3" w:rsidRPr="000A33D2" w14:paraId="1841B9C1"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7438992F" w14:textId="77777777" w:rsidR="00811EC3" w:rsidRPr="000A33D2" w:rsidRDefault="00811EC3" w:rsidP="00C809D4">
            <w:pPr>
              <w:spacing w:before="100" w:beforeAutospacing="1"/>
              <w:rPr>
                <w:rFonts w:ascii="Arial Narrow" w:hAnsi="Arial Narrow"/>
                <w:b/>
                <w:bCs/>
                <w:sz w:val="20"/>
                <w:szCs w:val="20"/>
              </w:rPr>
            </w:pPr>
          </w:p>
        </w:tc>
        <w:tc>
          <w:tcPr>
            <w:tcW w:w="4299" w:type="pct"/>
            <w:gridSpan w:val="7"/>
            <w:vAlign w:val="center"/>
            <w:hideMark/>
          </w:tcPr>
          <w:p w14:paraId="3A598B4C"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AND</w:t>
            </w:r>
          </w:p>
        </w:tc>
      </w:tr>
      <w:tr w:rsidR="00811EC3" w:rsidRPr="000A33D2" w14:paraId="6ABD7A8B"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2C7FDE1B" w14:textId="5ECAE5BB"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4078861A"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811EC3" w:rsidRPr="000A33D2" w14:paraId="302FD9EB"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0213244E" w14:textId="28DC28C0"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336476D7" w14:textId="62BD0836"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Patient must have, at the time of initiating treatment with this drug, a WHO performance status no higher than 1</w:t>
            </w:r>
          </w:p>
        </w:tc>
      </w:tr>
      <w:tr w:rsidR="00067C94" w:rsidRPr="000A33D2" w14:paraId="0848F000"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tcBorders>
              <w:right w:val="nil"/>
            </w:tcBorders>
            <w:shd w:val="clear" w:color="auto" w:fill="auto"/>
            <w:vAlign w:val="center"/>
          </w:tcPr>
          <w:p w14:paraId="546D0FA4" w14:textId="77777777" w:rsidR="00067C94" w:rsidRPr="000A33D2" w:rsidRDefault="00067C94" w:rsidP="00C809D4">
            <w:pPr>
              <w:spacing w:before="100" w:beforeAutospacing="1"/>
              <w:rPr>
                <w:rFonts w:ascii="Arial Narrow" w:hAnsi="Arial Narrow"/>
                <w:sz w:val="20"/>
                <w:szCs w:val="20"/>
              </w:rPr>
            </w:pPr>
          </w:p>
        </w:tc>
        <w:tc>
          <w:tcPr>
            <w:tcW w:w="4299" w:type="pct"/>
            <w:gridSpan w:val="7"/>
            <w:tcBorders>
              <w:left w:val="nil"/>
            </w:tcBorders>
            <w:shd w:val="clear" w:color="auto" w:fill="auto"/>
            <w:vAlign w:val="center"/>
          </w:tcPr>
          <w:p w14:paraId="76FDF911" w14:textId="77777777" w:rsidR="00067C94" w:rsidRPr="000A33D2" w:rsidRDefault="00067C94" w:rsidP="00C809D4">
            <w:pPr>
              <w:spacing w:before="100" w:beforeAutospacing="1"/>
              <w:rPr>
                <w:rFonts w:ascii="Arial Narrow" w:hAnsi="Arial Narrow"/>
                <w:sz w:val="20"/>
                <w:szCs w:val="20"/>
              </w:rPr>
            </w:pPr>
          </w:p>
        </w:tc>
      </w:tr>
      <w:tr w:rsidR="00811EC3" w:rsidRPr="000A33D2" w14:paraId="7CD6A1CD" w14:textId="77777777" w:rsidTr="00D932C8">
        <w:trPr>
          <w:cantSplit/>
          <w:trHeight w:val="20"/>
        </w:trPr>
        <w:tc>
          <w:tcPr>
            <w:tcW w:w="1746" w:type="pct"/>
            <w:gridSpan w:val="5"/>
            <w:vAlign w:val="center"/>
          </w:tcPr>
          <w:p w14:paraId="2172B575" w14:textId="77777777" w:rsidR="00811EC3" w:rsidRPr="000A33D2" w:rsidRDefault="00811EC3" w:rsidP="00C809D4">
            <w:pPr>
              <w:spacing w:before="100" w:beforeAutospacing="1"/>
              <w:contextualSpacing/>
              <w:rPr>
                <w:rFonts w:ascii="Arial Narrow" w:hAnsi="Arial Narrow"/>
                <w:b/>
                <w:bCs/>
                <w:sz w:val="20"/>
                <w:szCs w:val="20"/>
              </w:rPr>
            </w:pPr>
            <w:bookmarkStart w:id="106" w:name="_Hlk142307948"/>
            <w:r w:rsidRPr="000A33D2">
              <w:rPr>
                <w:rFonts w:ascii="Arial Narrow" w:hAnsi="Arial Narrow"/>
                <w:b/>
                <w:bCs/>
                <w:sz w:val="20"/>
                <w:szCs w:val="20"/>
              </w:rPr>
              <w:t>MEDICINAL PRODUCT</w:t>
            </w:r>
          </w:p>
          <w:p w14:paraId="48A81508"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Form</w:t>
            </w:r>
          </w:p>
        </w:tc>
        <w:tc>
          <w:tcPr>
            <w:tcW w:w="1116" w:type="pct"/>
            <w:gridSpan w:val="2"/>
            <w:vAlign w:val="center"/>
          </w:tcPr>
          <w:p w14:paraId="733BB157"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PBS item code</w:t>
            </w:r>
          </w:p>
        </w:tc>
        <w:tc>
          <w:tcPr>
            <w:tcW w:w="1116" w:type="pct"/>
            <w:gridSpan w:val="2"/>
            <w:vAlign w:val="center"/>
          </w:tcPr>
          <w:p w14:paraId="540F43DA"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Max. Amount</w:t>
            </w:r>
          </w:p>
        </w:tc>
        <w:tc>
          <w:tcPr>
            <w:tcW w:w="1022" w:type="pct"/>
            <w:vAlign w:val="center"/>
          </w:tcPr>
          <w:p w14:paraId="68AAD5BD"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№.of Rpts</w:t>
            </w:r>
          </w:p>
        </w:tc>
      </w:tr>
      <w:tr w:rsidR="00811EC3" w:rsidRPr="000A33D2" w14:paraId="04D731FB" w14:textId="77777777" w:rsidTr="00D932C8">
        <w:trPr>
          <w:cantSplit/>
          <w:trHeight w:val="20"/>
        </w:trPr>
        <w:tc>
          <w:tcPr>
            <w:tcW w:w="1746" w:type="pct"/>
            <w:gridSpan w:val="5"/>
            <w:vAlign w:val="center"/>
          </w:tcPr>
          <w:p w14:paraId="510A3620"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DOSTARLIMAB</w:t>
            </w:r>
          </w:p>
          <w:p w14:paraId="0FCB3ED2"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injection</w:t>
            </w:r>
          </w:p>
        </w:tc>
        <w:tc>
          <w:tcPr>
            <w:tcW w:w="1116" w:type="pct"/>
            <w:gridSpan w:val="2"/>
            <w:vAlign w:val="center"/>
          </w:tcPr>
          <w:p w14:paraId="0335C5ED" w14:textId="77777777" w:rsidR="00811EC3" w:rsidRPr="000A33D2" w:rsidRDefault="00811EC3" w:rsidP="00C809D4">
            <w:pPr>
              <w:spacing w:before="100" w:beforeAutospacing="1"/>
              <w:contextualSpacing/>
              <w:jc w:val="left"/>
              <w:rPr>
                <w:rFonts w:ascii="Arial Narrow" w:hAnsi="Arial Narrow"/>
                <w:sz w:val="20"/>
                <w:szCs w:val="20"/>
              </w:rPr>
            </w:pPr>
            <w:r w:rsidRPr="000A33D2">
              <w:rPr>
                <w:rFonts w:ascii="Arial Narrow" w:hAnsi="Arial Narrow"/>
                <w:sz w:val="20"/>
                <w:szCs w:val="20"/>
              </w:rPr>
              <w:t>NEW (Public)</w:t>
            </w:r>
            <w:r w:rsidRPr="000A33D2">
              <w:rPr>
                <w:rFonts w:ascii="Arial Narrow" w:hAnsi="Arial Narrow"/>
                <w:sz w:val="20"/>
                <w:szCs w:val="20"/>
              </w:rPr>
              <w:br/>
              <w:t>NEW (Private)</w:t>
            </w:r>
          </w:p>
        </w:tc>
        <w:tc>
          <w:tcPr>
            <w:tcW w:w="1116" w:type="pct"/>
            <w:gridSpan w:val="2"/>
            <w:vAlign w:val="center"/>
          </w:tcPr>
          <w:p w14:paraId="40F6BB16"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1,000 mg</w:t>
            </w:r>
          </w:p>
        </w:tc>
        <w:tc>
          <w:tcPr>
            <w:tcW w:w="1022" w:type="pct"/>
            <w:vAlign w:val="center"/>
          </w:tcPr>
          <w:p w14:paraId="5474185B"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3</w:t>
            </w:r>
          </w:p>
        </w:tc>
      </w:tr>
      <w:tr w:rsidR="00811EC3" w:rsidRPr="000A33D2" w14:paraId="2DBAC1BA" w14:textId="77777777" w:rsidTr="00D932C8">
        <w:trPr>
          <w:cantSplit/>
          <w:trHeight w:val="20"/>
        </w:trPr>
        <w:tc>
          <w:tcPr>
            <w:tcW w:w="5000" w:type="pct"/>
            <w:gridSpan w:val="10"/>
            <w:vAlign w:val="center"/>
          </w:tcPr>
          <w:p w14:paraId="4EA51245"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 xml:space="preserve">Available brands </w:t>
            </w:r>
          </w:p>
        </w:tc>
      </w:tr>
      <w:tr w:rsidR="00811EC3" w:rsidRPr="000A33D2" w14:paraId="478E3915" w14:textId="77777777" w:rsidTr="00D932C8">
        <w:trPr>
          <w:cantSplit/>
          <w:trHeight w:val="20"/>
        </w:trPr>
        <w:tc>
          <w:tcPr>
            <w:tcW w:w="5000" w:type="pct"/>
            <w:gridSpan w:val="10"/>
            <w:vAlign w:val="center"/>
          </w:tcPr>
          <w:p w14:paraId="70A6BC2F" w14:textId="7732B5C2"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Jemperli</w:t>
            </w:r>
            <w:r w:rsidRPr="000A33D2">
              <w:rPr>
                <w:rFonts w:ascii="Arial Narrow" w:hAnsi="Arial Narrow"/>
                <w:sz w:val="20"/>
                <w:szCs w:val="20"/>
              </w:rPr>
              <w:br/>
            </w:r>
            <w:r w:rsidR="00EF741E" w:rsidRPr="000A33D2">
              <w:rPr>
                <w:rFonts w:ascii="Arial Narrow" w:hAnsi="Arial Narrow"/>
                <w:sz w:val="20"/>
                <w:szCs w:val="20"/>
              </w:rPr>
              <w:t>d</w:t>
            </w:r>
            <w:r w:rsidRPr="000A33D2">
              <w:rPr>
                <w:rFonts w:ascii="Arial Narrow" w:hAnsi="Arial Narrow"/>
                <w:sz w:val="20"/>
                <w:szCs w:val="20"/>
              </w:rPr>
              <w:t>ostarlimab 500 mg/10 mL injection, 10 mL vial</w:t>
            </w:r>
          </w:p>
        </w:tc>
      </w:tr>
      <w:tr w:rsidR="00811EC3" w:rsidRPr="000A33D2" w14:paraId="0326CCB0" w14:textId="77777777" w:rsidTr="00D932C8">
        <w:trPr>
          <w:cantSplit/>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630A496"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Restriction Summary [new]</w:t>
            </w:r>
          </w:p>
        </w:tc>
      </w:tr>
      <w:tr w:rsidR="00811EC3" w:rsidRPr="000A33D2" w14:paraId="0481A971"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val="restart"/>
          </w:tcPr>
          <w:p w14:paraId="02872647" w14:textId="473C6699" w:rsidR="00811EC3" w:rsidRPr="000A33D2" w:rsidRDefault="00811EC3" w:rsidP="00C809D4">
            <w:pPr>
              <w:spacing w:before="100" w:beforeAutospacing="1"/>
              <w:rPr>
                <w:rFonts w:ascii="Arial Narrow" w:hAnsi="Arial Narrow"/>
                <w:sz w:val="20"/>
                <w:szCs w:val="20"/>
              </w:rPr>
            </w:pPr>
          </w:p>
        </w:tc>
        <w:tc>
          <w:tcPr>
            <w:tcW w:w="4299" w:type="pct"/>
            <w:gridSpan w:val="7"/>
          </w:tcPr>
          <w:p w14:paraId="15D416F6"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Category</w:t>
            </w:r>
            <w:r w:rsidRPr="000A33D2">
              <w:rPr>
                <w:rFonts w:ascii="Arial Narrow" w:hAnsi="Arial Narrow"/>
                <w:sz w:val="20"/>
                <w:szCs w:val="20"/>
              </w:rPr>
              <w:t xml:space="preserve"> / </w:t>
            </w:r>
            <w:r w:rsidRPr="000A33D2">
              <w:rPr>
                <w:rFonts w:ascii="Arial Narrow" w:hAnsi="Arial Narrow"/>
                <w:b/>
                <w:bCs/>
                <w:sz w:val="20"/>
                <w:szCs w:val="20"/>
              </w:rPr>
              <w:t>Program</w:t>
            </w:r>
            <w:r w:rsidRPr="000A33D2">
              <w:rPr>
                <w:rFonts w:ascii="Arial Narrow" w:hAnsi="Arial Narrow"/>
                <w:sz w:val="20"/>
                <w:szCs w:val="20"/>
              </w:rPr>
              <w:t>: Section 100 – Efficient Funding of Chemotherapy Public/Private hospitals</w:t>
            </w:r>
          </w:p>
        </w:tc>
      </w:tr>
      <w:tr w:rsidR="00811EC3" w:rsidRPr="000A33D2" w14:paraId="31D89F8A"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tcPr>
          <w:p w14:paraId="7D4E0A3D" w14:textId="77777777" w:rsidR="00811EC3" w:rsidRPr="000A33D2" w:rsidRDefault="00811EC3" w:rsidP="00C809D4">
            <w:pPr>
              <w:spacing w:before="100" w:beforeAutospacing="1"/>
              <w:rPr>
                <w:rFonts w:ascii="Arial Narrow" w:hAnsi="Arial Narrow"/>
                <w:sz w:val="20"/>
                <w:szCs w:val="20"/>
              </w:rPr>
            </w:pPr>
          </w:p>
        </w:tc>
        <w:tc>
          <w:tcPr>
            <w:tcW w:w="4299" w:type="pct"/>
            <w:gridSpan w:val="7"/>
          </w:tcPr>
          <w:p w14:paraId="35EBCB07"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Prescriber</w:t>
            </w:r>
            <w:r w:rsidRPr="000A33D2">
              <w:rPr>
                <w:rFonts w:ascii="Arial Narrow" w:hAnsi="Arial Narrow"/>
                <w:sz w:val="20"/>
                <w:szCs w:val="20"/>
              </w:rPr>
              <w:t xml:space="preserve"> </w:t>
            </w:r>
            <w:r w:rsidRPr="000A33D2">
              <w:rPr>
                <w:rFonts w:ascii="Arial Narrow" w:hAnsi="Arial Narrow"/>
                <w:b/>
                <w:bCs/>
                <w:sz w:val="20"/>
                <w:szCs w:val="20"/>
              </w:rPr>
              <w:t>type</w:t>
            </w:r>
            <w:r w:rsidRPr="000A33D2">
              <w:rPr>
                <w:rFonts w:ascii="Arial Narrow" w:hAnsi="Arial Narrow"/>
                <w:sz w:val="20"/>
                <w:szCs w:val="20"/>
              </w:rPr>
              <w:t xml:space="preserve">: </w:t>
            </w:r>
            <w:r w:rsidRPr="000A33D2">
              <w:rPr>
                <w:rFonts w:ascii="Arial Narrow" w:hAnsi="Arial Narrow"/>
                <w:sz w:val="20"/>
                <w:szCs w:val="20"/>
              </w:rPr>
              <w:fldChar w:fldCharType="begin" w:fldLock="1">
                <w:ffData>
                  <w:name w:val=""/>
                  <w:enabled/>
                  <w:calcOnExit w:val="0"/>
                  <w:checkBox>
                    <w:sizeAuto/>
                    <w:default w:val="1"/>
                  </w:checkBox>
                </w:ffData>
              </w:fldChar>
            </w:r>
            <w:r w:rsidRPr="000A33D2">
              <w:rPr>
                <w:rFonts w:ascii="Arial Narrow" w:hAnsi="Arial Narrow"/>
                <w:sz w:val="20"/>
                <w:szCs w:val="20"/>
              </w:rPr>
              <w:instrText xml:space="preserve"> FORMCHECKBOX </w:instrText>
            </w:r>
            <w:r w:rsidR="00D03BA6">
              <w:rPr>
                <w:rFonts w:ascii="Arial Narrow" w:hAnsi="Arial Narrow"/>
                <w:sz w:val="20"/>
                <w:szCs w:val="20"/>
              </w:rPr>
            </w:r>
            <w:r w:rsidR="00D03BA6">
              <w:rPr>
                <w:rFonts w:ascii="Arial Narrow" w:hAnsi="Arial Narrow"/>
                <w:sz w:val="20"/>
                <w:szCs w:val="20"/>
              </w:rPr>
              <w:fldChar w:fldCharType="separate"/>
            </w:r>
            <w:r w:rsidRPr="000A33D2">
              <w:rPr>
                <w:rFonts w:ascii="Arial Narrow" w:hAnsi="Arial Narrow"/>
                <w:sz w:val="20"/>
                <w:szCs w:val="20"/>
              </w:rPr>
              <w:fldChar w:fldCharType="end"/>
            </w:r>
            <w:r w:rsidRPr="000A33D2">
              <w:rPr>
                <w:rFonts w:ascii="Arial Narrow" w:hAnsi="Arial Narrow"/>
                <w:sz w:val="20"/>
                <w:szCs w:val="20"/>
              </w:rPr>
              <w:t>Medical Practitioners</w:t>
            </w:r>
          </w:p>
        </w:tc>
      </w:tr>
      <w:tr w:rsidR="00811EC3" w:rsidRPr="000A33D2" w14:paraId="772296B2"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tcPr>
          <w:p w14:paraId="5E6D3C5C" w14:textId="77777777" w:rsidR="00811EC3" w:rsidRPr="000A33D2" w:rsidRDefault="00811EC3" w:rsidP="00C809D4">
            <w:pPr>
              <w:spacing w:before="100" w:beforeAutospacing="1"/>
              <w:rPr>
                <w:rFonts w:ascii="Arial Narrow" w:hAnsi="Arial Narrow"/>
                <w:sz w:val="20"/>
                <w:szCs w:val="20"/>
              </w:rPr>
            </w:pPr>
          </w:p>
        </w:tc>
        <w:tc>
          <w:tcPr>
            <w:tcW w:w="4299" w:type="pct"/>
            <w:gridSpan w:val="7"/>
          </w:tcPr>
          <w:p w14:paraId="1FB17D5A"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Restriction</w:t>
            </w:r>
            <w:r w:rsidRPr="000A33D2">
              <w:rPr>
                <w:rFonts w:ascii="Arial Narrow" w:hAnsi="Arial Narrow"/>
                <w:sz w:val="20"/>
                <w:szCs w:val="20"/>
              </w:rPr>
              <w:t xml:space="preserve"> </w:t>
            </w:r>
            <w:r w:rsidRPr="000A33D2">
              <w:rPr>
                <w:rFonts w:ascii="Arial Narrow" w:hAnsi="Arial Narrow"/>
                <w:b/>
                <w:bCs/>
                <w:sz w:val="20"/>
                <w:szCs w:val="20"/>
              </w:rPr>
              <w:t>type</w:t>
            </w:r>
            <w:r w:rsidRPr="000A33D2">
              <w:rPr>
                <w:rFonts w:ascii="Arial Narrow" w:hAnsi="Arial Narrow"/>
                <w:sz w:val="20"/>
                <w:szCs w:val="20"/>
              </w:rPr>
              <w:t xml:space="preserve">: </w:t>
            </w:r>
            <w:r w:rsidRPr="000A33D2">
              <w:rPr>
                <w:rFonts w:ascii="Arial Narrow" w:hAnsi="Arial Narrow"/>
                <w:sz w:val="20"/>
                <w:szCs w:val="20"/>
              </w:rPr>
              <w:fldChar w:fldCharType="begin" w:fldLock="1">
                <w:ffData>
                  <w:name w:val=""/>
                  <w:enabled/>
                  <w:calcOnExit w:val="0"/>
                  <w:checkBox>
                    <w:sizeAuto/>
                    <w:default w:val="1"/>
                  </w:checkBox>
                </w:ffData>
              </w:fldChar>
            </w:r>
            <w:r w:rsidRPr="000A33D2">
              <w:rPr>
                <w:rFonts w:ascii="Arial Narrow" w:hAnsi="Arial Narrow"/>
                <w:sz w:val="20"/>
                <w:szCs w:val="20"/>
              </w:rPr>
              <w:instrText xml:space="preserve"> FORMCHECKBOX </w:instrText>
            </w:r>
            <w:r w:rsidR="00D03BA6">
              <w:rPr>
                <w:rFonts w:ascii="Arial Narrow" w:hAnsi="Arial Narrow"/>
                <w:sz w:val="20"/>
                <w:szCs w:val="20"/>
              </w:rPr>
            </w:r>
            <w:r w:rsidR="00D03BA6">
              <w:rPr>
                <w:rFonts w:ascii="Arial Narrow" w:hAnsi="Arial Narrow"/>
                <w:sz w:val="20"/>
                <w:szCs w:val="20"/>
              </w:rPr>
              <w:fldChar w:fldCharType="separate"/>
            </w:r>
            <w:r w:rsidRPr="000A33D2">
              <w:rPr>
                <w:rFonts w:ascii="Arial Narrow" w:hAnsi="Arial Narrow"/>
                <w:sz w:val="20"/>
                <w:szCs w:val="20"/>
              </w:rPr>
              <w:fldChar w:fldCharType="end"/>
            </w:r>
            <w:r w:rsidRPr="000A33D2">
              <w:rPr>
                <w:rFonts w:ascii="Arial Narrow" w:hAnsi="Arial Narrow"/>
                <w:sz w:val="20"/>
                <w:szCs w:val="20"/>
              </w:rPr>
              <w:t xml:space="preserve">Authority Required (STREAMLINED) [new/existing code] </w:t>
            </w:r>
          </w:p>
        </w:tc>
      </w:tr>
      <w:tr w:rsidR="00811EC3" w:rsidRPr="000A33D2" w14:paraId="3E3EB655" w14:textId="77777777" w:rsidTr="00D932C8">
        <w:tblPrEx>
          <w:tblCellMar>
            <w:top w:w="15" w:type="dxa"/>
            <w:bottom w:w="15" w:type="dxa"/>
          </w:tblCellMar>
          <w:tblLook w:val="04A0" w:firstRow="1" w:lastRow="0" w:firstColumn="1" w:lastColumn="0" w:noHBand="0" w:noVBand="1"/>
        </w:tblPrEx>
        <w:trPr>
          <w:trHeight w:val="364"/>
        </w:trPr>
        <w:tc>
          <w:tcPr>
            <w:tcW w:w="307" w:type="pct"/>
            <w:vMerge w:val="restart"/>
            <w:textDirection w:val="btLr"/>
            <w:vAlign w:val="center"/>
          </w:tcPr>
          <w:p w14:paraId="04FC22EE" w14:textId="7338E0F5" w:rsidR="00811EC3" w:rsidRPr="000A33D2" w:rsidRDefault="00811EC3" w:rsidP="00C809D4">
            <w:pPr>
              <w:spacing w:before="100" w:beforeAutospacing="1"/>
              <w:rPr>
                <w:rFonts w:ascii="Arial Narrow" w:hAnsi="Arial Narrow"/>
                <w:b/>
                <w:bCs/>
                <w:sz w:val="20"/>
                <w:szCs w:val="20"/>
              </w:rPr>
            </w:pPr>
          </w:p>
        </w:tc>
        <w:tc>
          <w:tcPr>
            <w:tcW w:w="394" w:type="pct"/>
            <w:gridSpan w:val="2"/>
            <w:vAlign w:val="center"/>
          </w:tcPr>
          <w:p w14:paraId="57D4A61A" w14:textId="1258FB7F"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13F522A4"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Administrative Advice</w:t>
            </w:r>
            <w:r w:rsidRPr="000A33D2">
              <w:rPr>
                <w:rFonts w:ascii="Arial Narrow" w:hAnsi="Arial Narrow"/>
                <w:sz w:val="20"/>
                <w:szCs w:val="20"/>
              </w:rPr>
              <w:t>: No increase in the maximum number of repeats may be authorised.</w:t>
            </w:r>
          </w:p>
        </w:tc>
      </w:tr>
      <w:tr w:rsidR="00811EC3" w:rsidRPr="000A33D2" w14:paraId="777159EB" w14:textId="77777777" w:rsidTr="00D932C8">
        <w:tblPrEx>
          <w:tblCellMar>
            <w:top w:w="15" w:type="dxa"/>
            <w:bottom w:w="15" w:type="dxa"/>
          </w:tblCellMar>
          <w:tblLook w:val="04A0" w:firstRow="1" w:lastRow="0" w:firstColumn="1" w:lastColumn="0" w:noHBand="0" w:noVBand="1"/>
        </w:tblPrEx>
        <w:trPr>
          <w:trHeight w:val="384"/>
        </w:trPr>
        <w:tc>
          <w:tcPr>
            <w:tcW w:w="307" w:type="pct"/>
            <w:vMerge/>
            <w:textDirection w:val="btLr"/>
            <w:vAlign w:val="center"/>
          </w:tcPr>
          <w:p w14:paraId="06E5C308" w14:textId="77777777" w:rsidR="00811EC3" w:rsidRPr="000A33D2" w:rsidRDefault="00811EC3" w:rsidP="00C809D4">
            <w:pPr>
              <w:spacing w:before="100" w:beforeAutospacing="1"/>
              <w:rPr>
                <w:rFonts w:ascii="Arial Narrow" w:hAnsi="Arial Narrow"/>
                <w:b/>
                <w:bCs/>
                <w:sz w:val="20"/>
                <w:szCs w:val="20"/>
              </w:rPr>
            </w:pPr>
          </w:p>
        </w:tc>
        <w:tc>
          <w:tcPr>
            <w:tcW w:w="394" w:type="pct"/>
            <w:gridSpan w:val="2"/>
            <w:vAlign w:val="center"/>
          </w:tcPr>
          <w:p w14:paraId="3777CFD1" w14:textId="7AB4ED9B"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0A6C4A76"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Administrative Advice</w:t>
            </w:r>
            <w:r w:rsidRPr="000A33D2">
              <w:rPr>
                <w:rFonts w:ascii="Arial Narrow" w:hAnsi="Arial Narrow"/>
                <w:sz w:val="20"/>
                <w:szCs w:val="20"/>
              </w:rPr>
              <w:t>: No increase in the maximum quantity or number of units may be authorised.</w:t>
            </w:r>
          </w:p>
        </w:tc>
      </w:tr>
      <w:tr w:rsidR="00811EC3" w:rsidRPr="000A33D2" w14:paraId="7ECBA098" w14:textId="77777777" w:rsidTr="00D932C8">
        <w:tblPrEx>
          <w:tblCellMar>
            <w:top w:w="15" w:type="dxa"/>
            <w:bottom w:w="15" w:type="dxa"/>
          </w:tblCellMar>
          <w:tblLook w:val="04A0" w:firstRow="1" w:lastRow="0" w:firstColumn="1" w:lastColumn="0" w:noHBand="0" w:noVBand="1"/>
        </w:tblPrEx>
        <w:trPr>
          <w:trHeight w:val="360"/>
        </w:trPr>
        <w:tc>
          <w:tcPr>
            <w:tcW w:w="307" w:type="pct"/>
            <w:vMerge/>
            <w:vAlign w:val="center"/>
          </w:tcPr>
          <w:p w14:paraId="52939065" w14:textId="77777777" w:rsidR="00811EC3" w:rsidRPr="000A33D2" w:rsidRDefault="00811EC3" w:rsidP="00C809D4">
            <w:pPr>
              <w:spacing w:before="100" w:beforeAutospacing="1"/>
              <w:rPr>
                <w:rFonts w:ascii="Arial Narrow" w:hAnsi="Arial Narrow"/>
                <w:sz w:val="20"/>
                <w:szCs w:val="20"/>
              </w:rPr>
            </w:pPr>
          </w:p>
        </w:tc>
        <w:tc>
          <w:tcPr>
            <w:tcW w:w="394" w:type="pct"/>
            <w:gridSpan w:val="2"/>
            <w:vAlign w:val="center"/>
          </w:tcPr>
          <w:p w14:paraId="02174EA2" w14:textId="0A0C558A"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53304B75"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Administrative Advice</w:t>
            </w:r>
            <w:r w:rsidRPr="000A33D2">
              <w:rPr>
                <w:rFonts w:ascii="Arial Narrow" w:hAnsi="Arial Narrow"/>
                <w:sz w:val="20"/>
                <w:szCs w:val="20"/>
              </w:rPr>
              <w:t>: Special Pricing Arrangements apply.</w:t>
            </w:r>
          </w:p>
        </w:tc>
      </w:tr>
      <w:tr w:rsidR="00811EC3" w:rsidRPr="000A33D2" w14:paraId="1F34DC99"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hideMark/>
          </w:tcPr>
          <w:p w14:paraId="64DCD6EF" w14:textId="77777777"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072E8870"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Treatment</w:t>
            </w:r>
            <w:r w:rsidRPr="000A33D2">
              <w:rPr>
                <w:rFonts w:ascii="Arial Narrow" w:hAnsi="Arial Narrow"/>
                <w:sz w:val="20"/>
                <w:szCs w:val="20"/>
              </w:rPr>
              <w:t xml:space="preserve"> </w:t>
            </w:r>
            <w:r w:rsidRPr="000A33D2">
              <w:rPr>
                <w:rFonts w:ascii="Arial Narrow" w:hAnsi="Arial Narrow"/>
                <w:b/>
                <w:bCs/>
                <w:sz w:val="20"/>
                <w:szCs w:val="20"/>
              </w:rPr>
              <w:t>Phase</w:t>
            </w:r>
            <w:r w:rsidRPr="000A33D2">
              <w:rPr>
                <w:rFonts w:ascii="Arial Narrow" w:hAnsi="Arial Narrow"/>
                <w:sz w:val="20"/>
                <w:szCs w:val="20"/>
              </w:rPr>
              <w:t>: Continuing treatment</w:t>
            </w:r>
          </w:p>
        </w:tc>
      </w:tr>
      <w:tr w:rsidR="00811EC3" w:rsidRPr="000A33D2" w14:paraId="7DF8DBF0"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49FF9DFE" w14:textId="6E5ED53B"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6E5CECE4"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Clinical</w:t>
            </w:r>
            <w:r w:rsidRPr="000A33D2">
              <w:rPr>
                <w:rFonts w:ascii="Arial Narrow" w:hAnsi="Arial Narrow"/>
                <w:sz w:val="20"/>
                <w:szCs w:val="20"/>
              </w:rPr>
              <w:t xml:space="preserve"> </w:t>
            </w:r>
            <w:r w:rsidRPr="000A33D2">
              <w:rPr>
                <w:rFonts w:ascii="Arial Narrow" w:hAnsi="Arial Narrow"/>
                <w:b/>
                <w:bCs/>
                <w:sz w:val="20"/>
                <w:szCs w:val="20"/>
              </w:rPr>
              <w:t>criteria</w:t>
            </w:r>
            <w:r w:rsidRPr="000A33D2">
              <w:rPr>
                <w:rFonts w:ascii="Arial Narrow" w:hAnsi="Arial Narrow"/>
                <w:sz w:val="20"/>
                <w:szCs w:val="20"/>
              </w:rPr>
              <w:t xml:space="preserve">: </w:t>
            </w:r>
          </w:p>
        </w:tc>
      </w:tr>
      <w:tr w:rsidR="00811EC3" w:rsidRPr="000A33D2" w14:paraId="124AEA83"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4F1A82CB" w14:textId="472727A1"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tcPr>
          <w:p w14:paraId="47188248" w14:textId="5260173D"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 xml:space="preserve">Patient must have previously received PBS-subsidised treatment with this drug for this condition </w:t>
            </w:r>
          </w:p>
        </w:tc>
      </w:tr>
      <w:tr w:rsidR="00811EC3" w:rsidRPr="000A33D2" w14:paraId="43081B71"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5F135BB6"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04B230D5"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1D863FF2"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2911A381" w14:textId="44281FC8"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24BA6375"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Clinical</w:t>
            </w:r>
            <w:r w:rsidRPr="000A33D2">
              <w:rPr>
                <w:rFonts w:ascii="Arial Narrow" w:hAnsi="Arial Narrow"/>
                <w:sz w:val="20"/>
                <w:szCs w:val="20"/>
              </w:rPr>
              <w:t xml:space="preserve"> </w:t>
            </w:r>
            <w:r w:rsidRPr="000A33D2">
              <w:rPr>
                <w:rFonts w:ascii="Arial Narrow" w:hAnsi="Arial Narrow"/>
                <w:b/>
                <w:bCs/>
                <w:sz w:val="20"/>
                <w:szCs w:val="20"/>
              </w:rPr>
              <w:t>criteria</w:t>
            </w:r>
            <w:r w:rsidRPr="000A33D2">
              <w:rPr>
                <w:rFonts w:ascii="Arial Narrow" w:hAnsi="Arial Narrow"/>
                <w:sz w:val="20"/>
                <w:szCs w:val="20"/>
              </w:rPr>
              <w:t>:</w:t>
            </w:r>
          </w:p>
        </w:tc>
      </w:tr>
      <w:tr w:rsidR="00811EC3" w:rsidRPr="000A33D2" w14:paraId="45138595"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424FE27B" w14:textId="525822C2"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tcPr>
          <w:p w14:paraId="0DB07209"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Patient must not have developed disease progression while receiving PBS-subsidised treatment with this drug for this condition,</w:t>
            </w:r>
          </w:p>
        </w:tc>
      </w:tr>
      <w:tr w:rsidR="00811EC3" w:rsidRPr="000A33D2" w14:paraId="44C6CD7A"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18F87574"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0EBEB231"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527C6F7B"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19C5ACB2" w14:textId="1A3A43EC"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4F7EE74E" w14:textId="6E815FE7" w:rsidR="00811EC3" w:rsidRPr="000A33D2" w:rsidRDefault="00811EC3" w:rsidP="00C809D4">
            <w:pPr>
              <w:spacing w:before="100" w:beforeAutospacing="1"/>
              <w:rPr>
                <w:rFonts w:ascii="Arial Narrow" w:hAnsi="Arial Narrow"/>
                <w:b/>
                <w:bCs/>
                <w:sz w:val="20"/>
                <w:szCs w:val="20"/>
              </w:rPr>
            </w:pPr>
            <w:r w:rsidRPr="009D10A4">
              <w:rPr>
                <w:rFonts w:ascii="Arial Narrow" w:hAnsi="Arial Narrow"/>
                <w:b/>
                <w:bCs/>
                <w:sz w:val="20"/>
                <w:szCs w:val="20"/>
              </w:rPr>
              <w:t>Treatment</w:t>
            </w:r>
            <w:r w:rsidRPr="000A33D2">
              <w:rPr>
                <w:rFonts w:ascii="Arial Narrow" w:hAnsi="Arial Narrow"/>
                <w:b/>
                <w:bCs/>
                <w:sz w:val="20"/>
                <w:szCs w:val="20"/>
              </w:rPr>
              <w:t xml:space="preserve"> criteria:</w:t>
            </w:r>
          </w:p>
        </w:tc>
      </w:tr>
      <w:tr w:rsidR="00811EC3" w:rsidRPr="000A33D2" w14:paraId="07752365"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0ACD9ADA" w14:textId="484C673C"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tcPr>
          <w:p w14:paraId="6395DE11" w14:textId="77777777" w:rsidR="00811EC3" w:rsidRPr="000A33D2" w:rsidRDefault="00811EC3" w:rsidP="00C809D4">
            <w:pPr>
              <w:rPr>
                <w:rFonts w:ascii="Arial Narrow" w:hAnsi="Arial Narrow"/>
                <w:sz w:val="20"/>
                <w:szCs w:val="20"/>
              </w:rPr>
            </w:pPr>
            <w:r w:rsidRPr="000A33D2">
              <w:rPr>
                <w:rFonts w:ascii="Arial Narrow" w:hAnsi="Arial Narrow" w:cs="Segoe UI"/>
                <w:color w:val="333333"/>
                <w:sz w:val="20"/>
                <w:szCs w:val="20"/>
                <w:shd w:val="clear" w:color="auto" w:fill="FFFFFF"/>
              </w:rPr>
              <w:t>Patient must not be undergoing continuing PBS-subsidised treatment where this benefit is extending treatment beyond 36 cumulative months from the first administered dose, once in a lifetime</w:t>
            </w:r>
            <w:r w:rsidRPr="000A33D2">
              <w:rPr>
                <w:rFonts w:ascii="Arial Narrow" w:hAnsi="Arial Narrow" w:cs="Segoe UI"/>
                <w:sz w:val="20"/>
                <w:szCs w:val="20"/>
              </w:rPr>
              <w:t>.</w:t>
            </w:r>
          </w:p>
        </w:tc>
      </w:tr>
      <w:tr w:rsidR="00811EC3" w:rsidRPr="000A33D2" w14:paraId="453F3517"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nil"/>
            </w:tcBorders>
            <w:vAlign w:val="center"/>
          </w:tcPr>
          <w:p w14:paraId="33DB9EC7"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nil"/>
              <w:bottom w:val="single" w:sz="4" w:space="0" w:color="auto"/>
              <w:right w:val="single" w:sz="4" w:space="0" w:color="auto"/>
            </w:tcBorders>
            <w:vAlign w:val="center"/>
          </w:tcPr>
          <w:p w14:paraId="0B66FDE8" w14:textId="77777777" w:rsidR="00811EC3" w:rsidRPr="000A33D2" w:rsidRDefault="00811EC3" w:rsidP="00C809D4">
            <w:pPr>
              <w:rPr>
                <w:rFonts w:ascii="Arial Narrow" w:hAnsi="Arial Narrow"/>
                <w:strike/>
                <w:sz w:val="20"/>
                <w:szCs w:val="20"/>
              </w:rPr>
            </w:pPr>
          </w:p>
          <w:p w14:paraId="092756F2" w14:textId="77777777" w:rsidR="00811EC3" w:rsidRPr="000A33D2" w:rsidRDefault="00811EC3" w:rsidP="00C809D4">
            <w:pPr>
              <w:rPr>
                <w:rFonts w:ascii="Arial Narrow" w:hAnsi="Arial Narrow"/>
                <w:strike/>
                <w:sz w:val="20"/>
                <w:szCs w:val="20"/>
              </w:rPr>
            </w:pPr>
          </w:p>
        </w:tc>
      </w:tr>
      <w:tr w:rsidR="00811EC3" w:rsidRPr="000A33D2" w14:paraId="4B017E65" w14:textId="77777777" w:rsidTr="00D932C8">
        <w:trPr>
          <w:cantSplit/>
          <w:trHeight w:val="20"/>
        </w:trPr>
        <w:tc>
          <w:tcPr>
            <w:tcW w:w="1686" w:type="pct"/>
            <w:gridSpan w:val="4"/>
            <w:vAlign w:val="center"/>
          </w:tcPr>
          <w:p w14:paraId="24E48F85"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MEDICINAL PRODUCT</w:t>
            </w:r>
          </w:p>
          <w:p w14:paraId="6F62A4D3"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Form</w:t>
            </w:r>
          </w:p>
        </w:tc>
        <w:tc>
          <w:tcPr>
            <w:tcW w:w="1073" w:type="pct"/>
            <w:gridSpan w:val="2"/>
            <w:vAlign w:val="center"/>
          </w:tcPr>
          <w:p w14:paraId="365A25BE"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PBS item code</w:t>
            </w:r>
          </w:p>
        </w:tc>
        <w:tc>
          <w:tcPr>
            <w:tcW w:w="1076" w:type="pct"/>
            <w:gridSpan w:val="2"/>
            <w:vAlign w:val="center"/>
          </w:tcPr>
          <w:p w14:paraId="3B66C3DD"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Max. Amount</w:t>
            </w:r>
          </w:p>
        </w:tc>
        <w:tc>
          <w:tcPr>
            <w:tcW w:w="1165" w:type="pct"/>
            <w:gridSpan w:val="2"/>
            <w:vAlign w:val="center"/>
          </w:tcPr>
          <w:p w14:paraId="7074C6F4" w14:textId="77777777" w:rsidR="00811EC3" w:rsidRPr="000A33D2" w:rsidRDefault="00811EC3" w:rsidP="00C809D4">
            <w:pPr>
              <w:spacing w:before="100" w:beforeAutospacing="1"/>
              <w:contextualSpacing/>
              <w:rPr>
                <w:rFonts w:ascii="Arial Narrow" w:hAnsi="Arial Narrow"/>
                <w:b/>
                <w:bCs/>
                <w:sz w:val="20"/>
                <w:szCs w:val="20"/>
              </w:rPr>
            </w:pPr>
            <w:r w:rsidRPr="000A33D2">
              <w:rPr>
                <w:rFonts w:ascii="Arial Narrow" w:hAnsi="Arial Narrow"/>
                <w:b/>
                <w:bCs/>
                <w:sz w:val="20"/>
                <w:szCs w:val="20"/>
              </w:rPr>
              <w:t>№.of Rpts</w:t>
            </w:r>
          </w:p>
        </w:tc>
      </w:tr>
      <w:tr w:rsidR="00811EC3" w:rsidRPr="000A33D2" w14:paraId="222F6D10" w14:textId="77777777" w:rsidTr="00D932C8">
        <w:trPr>
          <w:cantSplit/>
          <w:trHeight w:val="20"/>
        </w:trPr>
        <w:tc>
          <w:tcPr>
            <w:tcW w:w="1686" w:type="pct"/>
            <w:gridSpan w:val="4"/>
            <w:vAlign w:val="center"/>
          </w:tcPr>
          <w:p w14:paraId="135AB6FF"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DOSTARLIMAB</w:t>
            </w:r>
          </w:p>
          <w:p w14:paraId="1A2B00FF"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Injection</w:t>
            </w:r>
          </w:p>
        </w:tc>
        <w:tc>
          <w:tcPr>
            <w:tcW w:w="1073" w:type="pct"/>
            <w:gridSpan w:val="2"/>
            <w:vAlign w:val="center"/>
          </w:tcPr>
          <w:p w14:paraId="7ED1FE7D" w14:textId="77777777" w:rsidR="00811EC3" w:rsidRPr="000A33D2" w:rsidRDefault="00811EC3" w:rsidP="00C809D4">
            <w:pPr>
              <w:spacing w:before="100" w:beforeAutospacing="1"/>
              <w:contextualSpacing/>
              <w:jc w:val="left"/>
              <w:rPr>
                <w:rFonts w:ascii="Arial Narrow" w:hAnsi="Arial Narrow"/>
                <w:sz w:val="20"/>
                <w:szCs w:val="20"/>
              </w:rPr>
            </w:pPr>
            <w:r w:rsidRPr="000A33D2">
              <w:rPr>
                <w:rFonts w:ascii="Arial Narrow" w:hAnsi="Arial Narrow"/>
                <w:sz w:val="20"/>
                <w:szCs w:val="20"/>
              </w:rPr>
              <w:t>NEW (Public)</w:t>
            </w:r>
            <w:r w:rsidRPr="000A33D2">
              <w:rPr>
                <w:rFonts w:ascii="Arial Narrow" w:hAnsi="Arial Narrow"/>
                <w:sz w:val="20"/>
                <w:szCs w:val="20"/>
              </w:rPr>
              <w:br/>
              <w:t>NEW (Private)</w:t>
            </w:r>
          </w:p>
        </w:tc>
        <w:tc>
          <w:tcPr>
            <w:tcW w:w="1076" w:type="pct"/>
            <w:gridSpan w:val="2"/>
            <w:vAlign w:val="center"/>
          </w:tcPr>
          <w:p w14:paraId="591D0907" w14:textId="7279ECCD" w:rsidR="00811EC3" w:rsidRPr="000A33D2" w:rsidRDefault="00DD716D" w:rsidP="00C809D4">
            <w:pPr>
              <w:spacing w:before="100" w:beforeAutospacing="1"/>
              <w:contextualSpacing/>
              <w:rPr>
                <w:rFonts w:ascii="Arial Narrow" w:hAnsi="Arial Narrow"/>
                <w:sz w:val="20"/>
                <w:szCs w:val="20"/>
              </w:rPr>
            </w:pPr>
            <w:r>
              <w:rPr>
                <w:rFonts w:ascii="Arial Narrow" w:hAnsi="Arial Narrow"/>
                <w:sz w:val="20"/>
                <w:szCs w:val="20"/>
              </w:rPr>
              <w:t>1,0</w:t>
            </w:r>
            <w:r w:rsidR="00811EC3" w:rsidRPr="000A33D2">
              <w:rPr>
                <w:rFonts w:ascii="Arial Narrow" w:hAnsi="Arial Narrow"/>
                <w:sz w:val="20"/>
                <w:szCs w:val="20"/>
              </w:rPr>
              <w:t>00 mg</w:t>
            </w:r>
          </w:p>
        </w:tc>
        <w:tc>
          <w:tcPr>
            <w:tcW w:w="1165" w:type="pct"/>
            <w:gridSpan w:val="2"/>
            <w:vAlign w:val="center"/>
          </w:tcPr>
          <w:p w14:paraId="49F0490E" w14:textId="77777777" w:rsidR="00811EC3" w:rsidRPr="000A33D2" w:rsidRDefault="00811EC3" w:rsidP="00C809D4">
            <w:pPr>
              <w:spacing w:before="100" w:beforeAutospacing="1"/>
              <w:contextualSpacing/>
              <w:rPr>
                <w:rFonts w:ascii="Arial Narrow" w:hAnsi="Arial Narrow"/>
                <w:sz w:val="20"/>
                <w:szCs w:val="20"/>
              </w:rPr>
            </w:pPr>
            <w:r w:rsidRPr="000A33D2">
              <w:rPr>
                <w:rFonts w:ascii="Arial Narrow" w:hAnsi="Arial Narrow"/>
                <w:sz w:val="20"/>
                <w:szCs w:val="20"/>
              </w:rPr>
              <w:t>3</w:t>
            </w:r>
          </w:p>
        </w:tc>
      </w:tr>
      <w:tr w:rsidR="00811EC3" w:rsidRPr="000A33D2" w14:paraId="5D94B4CF" w14:textId="77777777" w:rsidTr="00D932C8">
        <w:trPr>
          <w:cantSplit/>
          <w:trHeight w:val="20"/>
        </w:trPr>
        <w:tc>
          <w:tcPr>
            <w:tcW w:w="5000" w:type="pct"/>
            <w:gridSpan w:val="10"/>
            <w:vAlign w:val="center"/>
          </w:tcPr>
          <w:p w14:paraId="1077C386"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 xml:space="preserve">Available brands </w:t>
            </w:r>
          </w:p>
        </w:tc>
      </w:tr>
      <w:tr w:rsidR="00811EC3" w:rsidRPr="000A33D2" w14:paraId="0D5B95AF" w14:textId="77777777" w:rsidTr="00D932C8">
        <w:trPr>
          <w:cantSplit/>
          <w:trHeight w:val="20"/>
        </w:trPr>
        <w:tc>
          <w:tcPr>
            <w:tcW w:w="5000" w:type="pct"/>
            <w:gridSpan w:val="10"/>
            <w:vAlign w:val="center"/>
          </w:tcPr>
          <w:p w14:paraId="2CE94DD4"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Jemperli</w:t>
            </w:r>
            <w:r w:rsidRPr="000A33D2">
              <w:rPr>
                <w:rFonts w:ascii="Arial Narrow" w:hAnsi="Arial Narrow"/>
                <w:sz w:val="20"/>
                <w:szCs w:val="20"/>
              </w:rPr>
              <w:br/>
              <w:t>dostarlimab 500 mg/10 mL injection, 10 mL vial</w:t>
            </w:r>
          </w:p>
        </w:tc>
      </w:tr>
      <w:tr w:rsidR="00811EC3" w:rsidRPr="000A33D2" w14:paraId="074677FF" w14:textId="77777777" w:rsidTr="00D932C8">
        <w:trPr>
          <w:cantSplit/>
          <w:trHeight w:val="20"/>
        </w:trPr>
        <w:tc>
          <w:tcPr>
            <w:tcW w:w="5000" w:type="pct"/>
            <w:gridSpan w:val="10"/>
            <w:vAlign w:val="center"/>
          </w:tcPr>
          <w:p w14:paraId="0D8A21FC"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Restriction Summary [new]</w:t>
            </w:r>
          </w:p>
        </w:tc>
      </w:tr>
      <w:tr w:rsidR="00811EC3" w:rsidRPr="000A33D2" w14:paraId="1CF0CA77"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val="restart"/>
          </w:tcPr>
          <w:p w14:paraId="35763500" w14:textId="681B0DFD" w:rsidR="00811EC3" w:rsidRPr="000A33D2" w:rsidRDefault="00811EC3" w:rsidP="00C809D4">
            <w:pPr>
              <w:spacing w:before="100" w:beforeAutospacing="1"/>
              <w:rPr>
                <w:rFonts w:ascii="Arial Narrow" w:hAnsi="Arial Narrow"/>
                <w:sz w:val="20"/>
                <w:szCs w:val="20"/>
              </w:rPr>
            </w:pPr>
          </w:p>
        </w:tc>
        <w:tc>
          <w:tcPr>
            <w:tcW w:w="4299" w:type="pct"/>
            <w:gridSpan w:val="7"/>
          </w:tcPr>
          <w:p w14:paraId="12DBFFCB"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Category / Program: Section 100 – Efficient Funding of Chemotherapy Public/Private hospitals</w:t>
            </w:r>
          </w:p>
        </w:tc>
      </w:tr>
      <w:tr w:rsidR="00811EC3" w:rsidRPr="000A33D2" w14:paraId="2A630505"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tcPr>
          <w:p w14:paraId="5C940827" w14:textId="77777777" w:rsidR="00811EC3" w:rsidRPr="000A33D2" w:rsidRDefault="00811EC3" w:rsidP="00C809D4">
            <w:pPr>
              <w:spacing w:before="100" w:beforeAutospacing="1"/>
              <w:rPr>
                <w:rFonts w:ascii="Arial Narrow" w:hAnsi="Arial Narrow"/>
                <w:sz w:val="20"/>
                <w:szCs w:val="20"/>
              </w:rPr>
            </w:pPr>
          </w:p>
        </w:tc>
        <w:tc>
          <w:tcPr>
            <w:tcW w:w="4299" w:type="pct"/>
            <w:gridSpan w:val="7"/>
          </w:tcPr>
          <w:p w14:paraId="3609A09A"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Prescriber</w:t>
            </w:r>
            <w:r w:rsidRPr="000A33D2">
              <w:rPr>
                <w:rFonts w:ascii="Arial Narrow" w:hAnsi="Arial Narrow"/>
                <w:sz w:val="20"/>
                <w:szCs w:val="20"/>
              </w:rPr>
              <w:t xml:space="preserve"> </w:t>
            </w:r>
            <w:r w:rsidRPr="000A33D2">
              <w:rPr>
                <w:rFonts w:ascii="Arial Narrow" w:hAnsi="Arial Narrow"/>
                <w:b/>
                <w:bCs/>
                <w:sz w:val="20"/>
                <w:szCs w:val="20"/>
              </w:rPr>
              <w:t>type</w:t>
            </w:r>
            <w:r w:rsidRPr="000A33D2">
              <w:rPr>
                <w:rFonts w:ascii="Arial Narrow" w:hAnsi="Arial Narrow"/>
                <w:sz w:val="20"/>
                <w:szCs w:val="20"/>
              </w:rPr>
              <w:t xml:space="preserve">: </w:t>
            </w:r>
            <w:r w:rsidRPr="000A33D2">
              <w:rPr>
                <w:rFonts w:ascii="Arial Narrow" w:hAnsi="Arial Narrow"/>
                <w:sz w:val="20"/>
                <w:szCs w:val="20"/>
              </w:rPr>
              <w:fldChar w:fldCharType="begin" w:fldLock="1">
                <w:ffData>
                  <w:name w:val=""/>
                  <w:enabled/>
                  <w:calcOnExit w:val="0"/>
                  <w:checkBox>
                    <w:sizeAuto/>
                    <w:default w:val="1"/>
                  </w:checkBox>
                </w:ffData>
              </w:fldChar>
            </w:r>
            <w:r w:rsidRPr="000A33D2">
              <w:rPr>
                <w:rFonts w:ascii="Arial Narrow" w:hAnsi="Arial Narrow"/>
                <w:sz w:val="20"/>
                <w:szCs w:val="20"/>
              </w:rPr>
              <w:instrText xml:space="preserve"> FORMCHECKBOX </w:instrText>
            </w:r>
            <w:r w:rsidR="00D03BA6">
              <w:rPr>
                <w:rFonts w:ascii="Arial Narrow" w:hAnsi="Arial Narrow"/>
                <w:sz w:val="20"/>
                <w:szCs w:val="20"/>
              </w:rPr>
            </w:r>
            <w:r w:rsidR="00D03BA6">
              <w:rPr>
                <w:rFonts w:ascii="Arial Narrow" w:hAnsi="Arial Narrow"/>
                <w:sz w:val="20"/>
                <w:szCs w:val="20"/>
              </w:rPr>
              <w:fldChar w:fldCharType="separate"/>
            </w:r>
            <w:r w:rsidRPr="000A33D2">
              <w:rPr>
                <w:rFonts w:ascii="Arial Narrow" w:hAnsi="Arial Narrow"/>
                <w:sz w:val="20"/>
                <w:szCs w:val="20"/>
              </w:rPr>
              <w:fldChar w:fldCharType="end"/>
            </w:r>
            <w:r w:rsidRPr="000A33D2">
              <w:rPr>
                <w:rFonts w:ascii="Arial Narrow" w:hAnsi="Arial Narrow"/>
                <w:sz w:val="20"/>
                <w:szCs w:val="20"/>
              </w:rPr>
              <w:t>Medical Practitioners</w:t>
            </w:r>
          </w:p>
        </w:tc>
      </w:tr>
      <w:tr w:rsidR="00811EC3" w:rsidRPr="000A33D2" w14:paraId="53ABE0CD"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Merge/>
          </w:tcPr>
          <w:p w14:paraId="33C458D3" w14:textId="77777777" w:rsidR="00811EC3" w:rsidRPr="000A33D2" w:rsidRDefault="00811EC3" w:rsidP="00C809D4">
            <w:pPr>
              <w:spacing w:before="100" w:beforeAutospacing="1"/>
              <w:rPr>
                <w:rFonts w:ascii="Arial Narrow" w:hAnsi="Arial Narrow"/>
                <w:sz w:val="20"/>
                <w:szCs w:val="20"/>
              </w:rPr>
            </w:pPr>
          </w:p>
        </w:tc>
        <w:tc>
          <w:tcPr>
            <w:tcW w:w="4299" w:type="pct"/>
            <w:gridSpan w:val="7"/>
          </w:tcPr>
          <w:p w14:paraId="0E905F7C"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Restriction</w:t>
            </w:r>
            <w:r w:rsidRPr="000A33D2">
              <w:rPr>
                <w:rFonts w:ascii="Arial Narrow" w:hAnsi="Arial Narrow"/>
                <w:sz w:val="20"/>
                <w:szCs w:val="20"/>
              </w:rPr>
              <w:t xml:space="preserve"> </w:t>
            </w:r>
            <w:r w:rsidRPr="000A33D2">
              <w:rPr>
                <w:rFonts w:ascii="Arial Narrow" w:hAnsi="Arial Narrow"/>
                <w:b/>
                <w:bCs/>
                <w:sz w:val="20"/>
                <w:szCs w:val="20"/>
              </w:rPr>
              <w:t>type</w:t>
            </w:r>
            <w:r w:rsidRPr="000A33D2">
              <w:rPr>
                <w:rFonts w:ascii="Arial Narrow" w:hAnsi="Arial Narrow"/>
                <w:sz w:val="20"/>
                <w:szCs w:val="20"/>
              </w:rPr>
              <w:t xml:space="preserve">: </w:t>
            </w:r>
            <w:r w:rsidRPr="000A33D2">
              <w:rPr>
                <w:rFonts w:ascii="Arial Narrow" w:hAnsi="Arial Narrow"/>
                <w:sz w:val="20"/>
                <w:szCs w:val="20"/>
              </w:rPr>
              <w:fldChar w:fldCharType="begin" w:fldLock="1">
                <w:ffData>
                  <w:name w:val=""/>
                  <w:enabled/>
                  <w:calcOnExit w:val="0"/>
                  <w:checkBox>
                    <w:sizeAuto/>
                    <w:default w:val="1"/>
                  </w:checkBox>
                </w:ffData>
              </w:fldChar>
            </w:r>
            <w:r w:rsidRPr="000A33D2">
              <w:rPr>
                <w:rFonts w:ascii="Arial Narrow" w:hAnsi="Arial Narrow"/>
                <w:sz w:val="20"/>
                <w:szCs w:val="20"/>
              </w:rPr>
              <w:instrText xml:space="preserve"> FORMCHECKBOX </w:instrText>
            </w:r>
            <w:r w:rsidR="00D03BA6">
              <w:rPr>
                <w:rFonts w:ascii="Arial Narrow" w:hAnsi="Arial Narrow"/>
                <w:sz w:val="20"/>
                <w:szCs w:val="20"/>
              </w:rPr>
            </w:r>
            <w:r w:rsidR="00D03BA6">
              <w:rPr>
                <w:rFonts w:ascii="Arial Narrow" w:hAnsi="Arial Narrow"/>
                <w:sz w:val="20"/>
                <w:szCs w:val="20"/>
              </w:rPr>
              <w:fldChar w:fldCharType="separate"/>
            </w:r>
            <w:r w:rsidRPr="000A33D2">
              <w:rPr>
                <w:rFonts w:ascii="Arial Narrow" w:hAnsi="Arial Narrow"/>
                <w:sz w:val="20"/>
                <w:szCs w:val="20"/>
              </w:rPr>
              <w:fldChar w:fldCharType="end"/>
            </w:r>
            <w:r w:rsidRPr="000A33D2">
              <w:rPr>
                <w:rFonts w:ascii="Arial Narrow" w:hAnsi="Arial Narrow"/>
                <w:sz w:val="20"/>
                <w:szCs w:val="20"/>
              </w:rPr>
              <w:t xml:space="preserve">Authority Required (STREAMLINED) [new/existing code] </w:t>
            </w:r>
          </w:p>
        </w:tc>
      </w:tr>
      <w:tr w:rsidR="00D932C8" w:rsidRPr="000A33D2" w14:paraId="21C9A46D" w14:textId="77777777" w:rsidTr="00D932C8">
        <w:tblPrEx>
          <w:tblCellMar>
            <w:top w:w="15" w:type="dxa"/>
            <w:bottom w:w="15" w:type="dxa"/>
          </w:tblCellMar>
          <w:tblLook w:val="04A0" w:firstRow="1" w:lastRow="0" w:firstColumn="1" w:lastColumn="0" w:noHBand="0" w:noVBand="1"/>
        </w:tblPrEx>
        <w:trPr>
          <w:trHeight w:val="364"/>
        </w:trPr>
        <w:tc>
          <w:tcPr>
            <w:tcW w:w="318" w:type="pct"/>
            <w:gridSpan w:val="2"/>
            <w:vMerge w:val="restart"/>
            <w:textDirection w:val="btLr"/>
            <w:vAlign w:val="center"/>
          </w:tcPr>
          <w:p w14:paraId="3A98D112" w14:textId="70F48DD5" w:rsidR="00D932C8" w:rsidRPr="000A33D2" w:rsidRDefault="00D932C8" w:rsidP="00C809D4">
            <w:pPr>
              <w:spacing w:before="100" w:beforeAutospacing="1"/>
              <w:rPr>
                <w:rFonts w:ascii="Arial Narrow" w:hAnsi="Arial Narrow"/>
                <w:b/>
                <w:bCs/>
                <w:sz w:val="20"/>
                <w:szCs w:val="20"/>
              </w:rPr>
            </w:pPr>
          </w:p>
        </w:tc>
        <w:tc>
          <w:tcPr>
            <w:tcW w:w="383" w:type="pct"/>
            <w:vAlign w:val="center"/>
          </w:tcPr>
          <w:p w14:paraId="1399770F" w14:textId="3A47F3A4" w:rsidR="00D932C8" w:rsidRPr="000A33D2" w:rsidRDefault="00D932C8" w:rsidP="00C809D4">
            <w:pPr>
              <w:spacing w:before="100" w:beforeAutospacing="1"/>
              <w:rPr>
                <w:rFonts w:ascii="Arial Narrow" w:hAnsi="Arial Narrow"/>
                <w:sz w:val="20"/>
                <w:szCs w:val="20"/>
              </w:rPr>
            </w:pPr>
          </w:p>
        </w:tc>
        <w:tc>
          <w:tcPr>
            <w:tcW w:w="4299" w:type="pct"/>
            <w:gridSpan w:val="7"/>
            <w:vAlign w:val="center"/>
          </w:tcPr>
          <w:p w14:paraId="017933EC" w14:textId="77777777" w:rsidR="00D932C8" w:rsidRPr="000A33D2" w:rsidRDefault="00D932C8" w:rsidP="00C809D4">
            <w:pPr>
              <w:spacing w:before="100" w:beforeAutospacing="1"/>
              <w:rPr>
                <w:rFonts w:ascii="Arial Narrow" w:hAnsi="Arial Narrow"/>
                <w:sz w:val="20"/>
                <w:szCs w:val="20"/>
              </w:rPr>
            </w:pPr>
            <w:r w:rsidRPr="000A33D2">
              <w:rPr>
                <w:rFonts w:ascii="Arial Narrow" w:hAnsi="Arial Narrow"/>
                <w:b/>
                <w:bCs/>
                <w:sz w:val="20"/>
                <w:szCs w:val="20"/>
              </w:rPr>
              <w:t>Administrative Advice</w:t>
            </w:r>
            <w:r w:rsidRPr="000A33D2">
              <w:rPr>
                <w:rFonts w:ascii="Arial Narrow" w:hAnsi="Arial Narrow"/>
                <w:sz w:val="20"/>
                <w:szCs w:val="20"/>
              </w:rPr>
              <w:t>: No increase in the maximum number of repeats may be authorised.</w:t>
            </w:r>
          </w:p>
        </w:tc>
      </w:tr>
      <w:tr w:rsidR="00D932C8" w:rsidRPr="000A33D2" w14:paraId="5B877C36" w14:textId="77777777" w:rsidTr="00D932C8">
        <w:tblPrEx>
          <w:tblCellMar>
            <w:top w:w="15" w:type="dxa"/>
            <w:bottom w:w="15" w:type="dxa"/>
          </w:tblCellMar>
          <w:tblLook w:val="04A0" w:firstRow="1" w:lastRow="0" w:firstColumn="1" w:lastColumn="0" w:noHBand="0" w:noVBand="1"/>
        </w:tblPrEx>
        <w:trPr>
          <w:trHeight w:val="384"/>
        </w:trPr>
        <w:tc>
          <w:tcPr>
            <w:tcW w:w="318" w:type="pct"/>
            <w:gridSpan w:val="2"/>
            <w:vMerge/>
            <w:textDirection w:val="btLr"/>
            <w:vAlign w:val="center"/>
          </w:tcPr>
          <w:p w14:paraId="4FB5AC36" w14:textId="77777777" w:rsidR="00D932C8" w:rsidRPr="000A33D2" w:rsidRDefault="00D932C8" w:rsidP="00C809D4">
            <w:pPr>
              <w:spacing w:before="100" w:beforeAutospacing="1"/>
              <w:rPr>
                <w:rFonts w:ascii="Arial Narrow" w:hAnsi="Arial Narrow"/>
                <w:b/>
                <w:bCs/>
                <w:sz w:val="20"/>
                <w:szCs w:val="20"/>
              </w:rPr>
            </w:pPr>
          </w:p>
        </w:tc>
        <w:tc>
          <w:tcPr>
            <w:tcW w:w="383" w:type="pct"/>
            <w:vAlign w:val="center"/>
          </w:tcPr>
          <w:p w14:paraId="079C64F5" w14:textId="755AA055" w:rsidR="00D932C8" w:rsidRPr="000A33D2" w:rsidRDefault="00D932C8" w:rsidP="00C809D4">
            <w:pPr>
              <w:spacing w:before="100" w:beforeAutospacing="1"/>
              <w:rPr>
                <w:rFonts w:ascii="Arial Narrow" w:hAnsi="Arial Narrow"/>
                <w:sz w:val="20"/>
                <w:szCs w:val="20"/>
              </w:rPr>
            </w:pPr>
          </w:p>
        </w:tc>
        <w:tc>
          <w:tcPr>
            <w:tcW w:w="4299" w:type="pct"/>
            <w:gridSpan w:val="7"/>
            <w:vAlign w:val="center"/>
          </w:tcPr>
          <w:p w14:paraId="15D9B1D2" w14:textId="77777777" w:rsidR="00D932C8" w:rsidRPr="000A33D2" w:rsidRDefault="00D932C8" w:rsidP="00C809D4">
            <w:pPr>
              <w:spacing w:before="100" w:beforeAutospacing="1"/>
              <w:rPr>
                <w:rFonts w:ascii="Arial Narrow" w:hAnsi="Arial Narrow"/>
                <w:b/>
                <w:bCs/>
                <w:sz w:val="20"/>
                <w:szCs w:val="20"/>
              </w:rPr>
            </w:pPr>
            <w:r w:rsidRPr="000A33D2">
              <w:rPr>
                <w:rFonts w:ascii="Arial Narrow" w:hAnsi="Arial Narrow"/>
                <w:b/>
                <w:bCs/>
                <w:sz w:val="20"/>
                <w:szCs w:val="20"/>
              </w:rPr>
              <w:t>Administrative Advice</w:t>
            </w:r>
            <w:r w:rsidRPr="000A33D2">
              <w:rPr>
                <w:rFonts w:ascii="Arial Narrow" w:hAnsi="Arial Narrow"/>
                <w:sz w:val="20"/>
                <w:szCs w:val="20"/>
              </w:rPr>
              <w:t>: No increase in the maximum quantity or number of units may be authorised.</w:t>
            </w:r>
          </w:p>
        </w:tc>
      </w:tr>
      <w:tr w:rsidR="00D932C8" w:rsidRPr="000A33D2" w14:paraId="66EE55A1" w14:textId="77777777" w:rsidTr="00D932C8">
        <w:tblPrEx>
          <w:tblCellMar>
            <w:top w:w="15" w:type="dxa"/>
            <w:bottom w:w="15" w:type="dxa"/>
          </w:tblCellMar>
          <w:tblLook w:val="04A0" w:firstRow="1" w:lastRow="0" w:firstColumn="1" w:lastColumn="0" w:noHBand="0" w:noVBand="1"/>
        </w:tblPrEx>
        <w:trPr>
          <w:trHeight w:val="360"/>
        </w:trPr>
        <w:tc>
          <w:tcPr>
            <w:tcW w:w="318" w:type="pct"/>
            <w:gridSpan w:val="2"/>
            <w:vMerge/>
            <w:vAlign w:val="center"/>
          </w:tcPr>
          <w:p w14:paraId="77B502EC" w14:textId="77777777" w:rsidR="00D932C8" w:rsidRPr="000A33D2" w:rsidRDefault="00D932C8" w:rsidP="00C809D4">
            <w:pPr>
              <w:spacing w:before="100" w:beforeAutospacing="1"/>
              <w:rPr>
                <w:rFonts w:ascii="Arial Narrow" w:hAnsi="Arial Narrow"/>
                <w:sz w:val="20"/>
                <w:szCs w:val="20"/>
              </w:rPr>
            </w:pPr>
          </w:p>
        </w:tc>
        <w:tc>
          <w:tcPr>
            <w:tcW w:w="383" w:type="pct"/>
            <w:vAlign w:val="center"/>
          </w:tcPr>
          <w:p w14:paraId="763E19BB" w14:textId="30C5E134" w:rsidR="00D932C8" w:rsidRPr="000A33D2" w:rsidRDefault="00D932C8" w:rsidP="00C809D4">
            <w:pPr>
              <w:spacing w:before="100" w:beforeAutospacing="1"/>
              <w:rPr>
                <w:rFonts w:ascii="Arial Narrow" w:hAnsi="Arial Narrow"/>
                <w:sz w:val="20"/>
                <w:szCs w:val="20"/>
              </w:rPr>
            </w:pPr>
          </w:p>
        </w:tc>
        <w:tc>
          <w:tcPr>
            <w:tcW w:w="4299" w:type="pct"/>
            <w:gridSpan w:val="7"/>
            <w:vAlign w:val="center"/>
          </w:tcPr>
          <w:p w14:paraId="476E20D5" w14:textId="77777777" w:rsidR="00D932C8" w:rsidRPr="000A33D2" w:rsidRDefault="00D932C8" w:rsidP="00C809D4">
            <w:pPr>
              <w:spacing w:before="100" w:beforeAutospacing="1"/>
              <w:rPr>
                <w:rFonts w:ascii="Arial Narrow" w:hAnsi="Arial Narrow"/>
                <w:sz w:val="20"/>
                <w:szCs w:val="20"/>
              </w:rPr>
            </w:pPr>
            <w:r w:rsidRPr="000A33D2">
              <w:rPr>
                <w:rFonts w:ascii="Arial Narrow" w:hAnsi="Arial Narrow"/>
                <w:b/>
                <w:bCs/>
                <w:sz w:val="20"/>
                <w:szCs w:val="20"/>
              </w:rPr>
              <w:t>Administrative Advice</w:t>
            </w:r>
            <w:r w:rsidRPr="000A33D2">
              <w:rPr>
                <w:rFonts w:ascii="Arial Narrow" w:hAnsi="Arial Narrow"/>
                <w:sz w:val="20"/>
                <w:szCs w:val="20"/>
              </w:rPr>
              <w:t>: Special Pricing Arrangements apply.</w:t>
            </w:r>
          </w:p>
        </w:tc>
      </w:tr>
      <w:bookmarkEnd w:id="106"/>
      <w:tr w:rsidR="00811EC3" w:rsidRPr="000A33D2" w14:paraId="5FA3DECD"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hideMark/>
          </w:tcPr>
          <w:p w14:paraId="03DC00A1" w14:textId="77777777"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2A10C009"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Treatment</w:t>
            </w:r>
            <w:r w:rsidRPr="000A33D2">
              <w:rPr>
                <w:rFonts w:ascii="Arial Narrow" w:hAnsi="Arial Narrow"/>
                <w:sz w:val="20"/>
                <w:szCs w:val="20"/>
              </w:rPr>
              <w:t xml:space="preserve"> </w:t>
            </w:r>
            <w:r w:rsidRPr="000A33D2">
              <w:rPr>
                <w:rFonts w:ascii="Arial Narrow" w:hAnsi="Arial Narrow"/>
                <w:b/>
                <w:bCs/>
                <w:sz w:val="20"/>
                <w:szCs w:val="20"/>
              </w:rPr>
              <w:t>Phase</w:t>
            </w:r>
            <w:r w:rsidRPr="000A33D2">
              <w:rPr>
                <w:rFonts w:ascii="Arial Narrow" w:hAnsi="Arial Narrow"/>
                <w:sz w:val="20"/>
                <w:szCs w:val="20"/>
              </w:rPr>
              <w:t>: Transitioning from non-PBS to PBS subsidised treatment – ‘Grandfather’ treatment</w:t>
            </w:r>
          </w:p>
        </w:tc>
      </w:tr>
      <w:tr w:rsidR="00187A19" w:rsidRPr="000A33D2" w14:paraId="0FB9ACBA"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70DD7967" w14:textId="46DF3F09" w:rsidR="00187A19" w:rsidRPr="000A33D2" w:rsidRDefault="00187A19"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7B8746F2" w14:textId="77777777" w:rsidR="00187A19" w:rsidRPr="000A33D2" w:rsidRDefault="00187A19"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187A19" w:rsidRPr="000A33D2" w14:paraId="6F7F017A"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403F4" w14:textId="7D820819" w:rsidR="00187A19" w:rsidRPr="000A33D2" w:rsidRDefault="00187A19"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B8A42C" w14:textId="77777777" w:rsidR="00187A19" w:rsidRPr="000A33D2" w:rsidRDefault="00187A19" w:rsidP="00C809D4">
            <w:pPr>
              <w:spacing w:before="100" w:beforeAutospacing="1"/>
              <w:rPr>
                <w:rFonts w:ascii="Arial Narrow" w:hAnsi="Arial Narrow"/>
                <w:sz w:val="20"/>
                <w:szCs w:val="20"/>
              </w:rPr>
            </w:pPr>
            <w:r w:rsidRPr="000A33D2">
              <w:rPr>
                <w:rFonts w:ascii="Arial Narrow" w:hAnsi="Arial Narrow"/>
                <w:sz w:val="20"/>
                <w:szCs w:val="20"/>
              </w:rPr>
              <w:t>Patient must have deficient mismatch repair (dMMR) endometrial cancer, as determined by immunohistochemistry test,</w:t>
            </w:r>
          </w:p>
        </w:tc>
      </w:tr>
      <w:tr w:rsidR="00187A19" w:rsidRPr="000A33D2" w14:paraId="31D40509"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766888D2" w14:textId="77777777" w:rsidR="00187A19" w:rsidRPr="000A33D2" w:rsidRDefault="00187A19" w:rsidP="00C809D4">
            <w:pPr>
              <w:spacing w:before="100" w:beforeAutospacing="1"/>
              <w:rPr>
                <w:rFonts w:ascii="Arial Narrow" w:hAnsi="Arial Narrow"/>
                <w:sz w:val="20"/>
                <w:szCs w:val="20"/>
              </w:rPr>
            </w:pPr>
          </w:p>
        </w:tc>
        <w:tc>
          <w:tcPr>
            <w:tcW w:w="4299" w:type="pct"/>
            <w:gridSpan w:val="7"/>
            <w:vAlign w:val="center"/>
          </w:tcPr>
          <w:p w14:paraId="2355E8E3" w14:textId="77777777" w:rsidR="00187A19" w:rsidRPr="000A33D2" w:rsidRDefault="00187A19"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187A19" w:rsidRPr="000A33D2" w14:paraId="226ABCCB"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4A6AD789" w14:textId="007D9109" w:rsidR="00187A19" w:rsidRPr="000A33D2" w:rsidRDefault="00187A19"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7FDB7D81" w14:textId="77777777" w:rsidR="00187A19" w:rsidRPr="000A33D2" w:rsidRDefault="00187A19" w:rsidP="00C809D4">
            <w:pPr>
              <w:spacing w:before="100" w:beforeAutospacing="1"/>
              <w:rPr>
                <w:rFonts w:ascii="Arial Narrow" w:hAnsi="Arial Narrow"/>
                <w:sz w:val="20"/>
                <w:szCs w:val="20"/>
              </w:rPr>
            </w:pPr>
            <w:r w:rsidRPr="000A33D2">
              <w:rPr>
                <w:rFonts w:ascii="Arial Narrow" w:hAnsi="Arial Narrow"/>
                <w:b/>
                <w:bCs/>
                <w:sz w:val="20"/>
                <w:szCs w:val="20"/>
              </w:rPr>
              <w:t>Clinical</w:t>
            </w:r>
            <w:r w:rsidRPr="000A33D2">
              <w:rPr>
                <w:rFonts w:ascii="Arial Narrow" w:hAnsi="Arial Narrow"/>
                <w:sz w:val="20"/>
                <w:szCs w:val="20"/>
              </w:rPr>
              <w:t xml:space="preserve"> </w:t>
            </w:r>
            <w:r w:rsidRPr="000A33D2">
              <w:rPr>
                <w:rFonts w:ascii="Arial Narrow" w:hAnsi="Arial Narrow"/>
                <w:b/>
                <w:bCs/>
                <w:sz w:val="20"/>
                <w:szCs w:val="20"/>
              </w:rPr>
              <w:t>criteria</w:t>
            </w:r>
            <w:r w:rsidRPr="000A33D2">
              <w:rPr>
                <w:rFonts w:ascii="Arial Narrow" w:hAnsi="Arial Narrow"/>
                <w:sz w:val="20"/>
                <w:szCs w:val="20"/>
              </w:rPr>
              <w:t xml:space="preserve">: </w:t>
            </w:r>
          </w:p>
        </w:tc>
      </w:tr>
      <w:tr w:rsidR="00811EC3" w:rsidRPr="000A33D2" w14:paraId="0AF11C20"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393A0F8F" w14:textId="6C31B3C0"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0373C249"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 xml:space="preserve">Patient must have received non-PBS subsidised treatment with this drug for this condition prior to [PBS listing date], </w:t>
            </w:r>
          </w:p>
        </w:tc>
      </w:tr>
      <w:tr w:rsidR="00811EC3" w:rsidRPr="000A33D2" w14:paraId="470B3483"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5ED0B48A"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07AB05D3"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6A326249"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13EA5CA9" w14:textId="49C9B068"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20F1756C"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9D10A4" w:rsidRPr="000A33D2" w14:paraId="22D7AEFC" w14:textId="77777777" w:rsidTr="00826D9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47E15AEE" w14:textId="59815B20" w:rsidR="009D10A4" w:rsidRPr="000A33D2" w:rsidRDefault="009D10A4" w:rsidP="00C809D4">
            <w:pPr>
              <w:spacing w:before="100" w:beforeAutospacing="1"/>
              <w:rPr>
                <w:rFonts w:ascii="Arial Narrow" w:hAnsi="Arial Narrow"/>
                <w:sz w:val="20"/>
                <w:szCs w:val="20"/>
              </w:rPr>
            </w:pPr>
          </w:p>
        </w:tc>
        <w:tc>
          <w:tcPr>
            <w:tcW w:w="4299" w:type="pct"/>
            <w:gridSpan w:val="7"/>
            <w:vAlign w:val="center"/>
            <w:hideMark/>
          </w:tcPr>
          <w:p w14:paraId="2B6A29F0" w14:textId="7857C779" w:rsidR="009D10A4" w:rsidRPr="000A33D2" w:rsidRDefault="009D10A4" w:rsidP="00C809D4">
            <w:pPr>
              <w:rPr>
                <w:rFonts w:ascii="Arial Narrow" w:hAnsi="Arial Narrow"/>
                <w:strike/>
                <w:sz w:val="20"/>
                <w:szCs w:val="20"/>
              </w:rPr>
            </w:pPr>
            <w:r w:rsidRPr="000A33D2">
              <w:rPr>
                <w:rStyle w:val="cf01"/>
                <w:rFonts w:ascii="Arial Narrow" w:hAnsi="Arial Narrow"/>
                <w:sz w:val="20"/>
                <w:szCs w:val="20"/>
              </w:rPr>
              <w:t>The condition must be</w:t>
            </w:r>
            <w:r>
              <w:rPr>
                <w:rStyle w:val="cf01"/>
                <w:rFonts w:ascii="Arial Narrow" w:hAnsi="Arial Narrow"/>
                <w:sz w:val="20"/>
                <w:szCs w:val="20"/>
              </w:rPr>
              <w:t>,</w:t>
            </w:r>
            <w:r>
              <w:rPr>
                <w:rStyle w:val="cf01"/>
              </w:rPr>
              <w:t xml:space="preserve"> </w:t>
            </w:r>
            <w:r w:rsidRPr="000A33D2">
              <w:rPr>
                <w:rFonts w:ascii="Arial Narrow" w:hAnsi="Arial Narrow"/>
                <w:sz w:val="20"/>
                <w:szCs w:val="20"/>
              </w:rPr>
              <w:t>prior to initiation of non-PBS-subsidised treatment with this drug,</w:t>
            </w:r>
            <w:r w:rsidRPr="000A33D2">
              <w:rPr>
                <w:rStyle w:val="cf01"/>
                <w:rFonts w:ascii="Arial Narrow" w:hAnsi="Arial Narrow"/>
                <w:sz w:val="20"/>
                <w:szCs w:val="20"/>
              </w:rPr>
              <w:t xml:space="preserve"> unsuitable for at least one of the following: (i) curative surgical resection, (ii) curative radiotherapy</w:t>
            </w:r>
          </w:p>
        </w:tc>
      </w:tr>
      <w:tr w:rsidR="00811EC3" w:rsidRPr="000A33D2" w14:paraId="2EC66229"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7D65F445"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4B58F546"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653B37B6"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0BB08FAC" w14:textId="5291B031"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0F84659F"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811EC3" w:rsidRPr="000A33D2" w14:paraId="3375CB60"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2BD52EBD" w14:textId="3A213246"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2C6ED889"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The condition must be, prior to initiation of non-PBS-subsidised treatment with this drug, either: (i) untreated with systemic therapy, or (ii) treated with neoadjuvant/adjuvant systemic therapy, but the cancer has recurred or progressed after more than 6 months from the last dose of systemic therapy,</w:t>
            </w:r>
          </w:p>
        </w:tc>
      </w:tr>
      <w:tr w:rsidR="00811EC3" w:rsidRPr="000A33D2" w14:paraId="226CD520"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4907DFEA"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4E25FD22"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77C96B21"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4438E2F3" w14:textId="2692858B"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55675234"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811EC3" w:rsidRPr="000A33D2" w14:paraId="75763342"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051FD3D1" w14:textId="5E19DE5D"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310DB219" w14:textId="30C844A3"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Patient must have, at the time of initiating treatment with this drug, a WHO performance status no higher than 1</w:t>
            </w:r>
          </w:p>
        </w:tc>
      </w:tr>
      <w:tr w:rsidR="00811EC3" w:rsidRPr="000A33D2" w14:paraId="0CFE4FB5"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5299646F"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61AEE118"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1A0B4862"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13447B25" w14:textId="217490D2"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4534EA3F"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811EC3" w:rsidRPr="000A33D2" w14:paraId="625ADF79"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3DE494BE" w14:textId="0FE48582"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052B1F42" w14:textId="555215F2"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 xml:space="preserve">The treatment must be, at initiation of non-PBS-subsidised treatment with this drug, used in combination with platinum-containing chemotherapy </w:t>
            </w:r>
          </w:p>
        </w:tc>
      </w:tr>
      <w:tr w:rsidR="00811EC3" w:rsidRPr="000A33D2" w14:paraId="17331D74"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533BFD26" w14:textId="77777777"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3F6B6CA0"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4AA1CF8D"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747EE13F" w14:textId="4CE28F10" w:rsidR="00811EC3" w:rsidRPr="000A33D2" w:rsidRDefault="00811EC3" w:rsidP="00C809D4">
            <w:pPr>
              <w:spacing w:before="100" w:beforeAutospacing="1"/>
              <w:rPr>
                <w:rFonts w:ascii="Arial Narrow" w:hAnsi="Arial Narrow"/>
                <w:sz w:val="20"/>
                <w:szCs w:val="20"/>
              </w:rPr>
            </w:pPr>
          </w:p>
        </w:tc>
        <w:tc>
          <w:tcPr>
            <w:tcW w:w="4299" w:type="pct"/>
            <w:gridSpan w:val="7"/>
            <w:vAlign w:val="center"/>
            <w:hideMark/>
          </w:tcPr>
          <w:p w14:paraId="42943429" w14:textId="77777777" w:rsidR="00811EC3" w:rsidRPr="000A33D2" w:rsidRDefault="00811EC3" w:rsidP="00C809D4">
            <w:pPr>
              <w:spacing w:before="100" w:beforeAutospacing="1"/>
              <w:rPr>
                <w:rFonts w:ascii="Arial Narrow" w:hAnsi="Arial Narrow"/>
                <w:b/>
                <w:bCs/>
                <w:sz w:val="20"/>
                <w:szCs w:val="20"/>
              </w:rPr>
            </w:pPr>
            <w:r w:rsidRPr="000A33D2">
              <w:rPr>
                <w:rFonts w:ascii="Arial Narrow" w:hAnsi="Arial Narrow"/>
                <w:b/>
                <w:bCs/>
                <w:sz w:val="20"/>
                <w:szCs w:val="20"/>
              </w:rPr>
              <w:t>Clinical criteria:</w:t>
            </w:r>
          </w:p>
        </w:tc>
      </w:tr>
      <w:tr w:rsidR="00811EC3" w:rsidRPr="000A33D2" w14:paraId="291D555E"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3CA43914" w14:textId="2A97338D"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032E7A7A"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sz w:val="20"/>
                <w:szCs w:val="20"/>
              </w:rPr>
              <w:t>Patient must not have developed disease progression while receiving non-PBS-subsidised treatment with this drug for this condition,</w:t>
            </w:r>
          </w:p>
        </w:tc>
      </w:tr>
      <w:tr w:rsidR="00811EC3" w:rsidRPr="000A33D2" w14:paraId="08393D5D"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6560AFB8" w14:textId="77777777" w:rsidR="00811EC3" w:rsidRPr="000A33D2" w:rsidRDefault="00811EC3" w:rsidP="00C809D4">
            <w:pPr>
              <w:spacing w:before="100" w:beforeAutospacing="1"/>
              <w:rPr>
                <w:rFonts w:ascii="Arial Narrow" w:hAnsi="Arial Narrow"/>
                <w:sz w:val="20"/>
                <w:szCs w:val="20"/>
              </w:rPr>
            </w:pPr>
          </w:p>
        </w:tc>
        <w:tc>
          <w:tcPr>
            <w:tcW w:w="4299" w:type="pct"/>
            <w:gridSpan w:val="7"/>
            <w:vAlign w:val="center"/>
          </w:tcPr>
          <w:p w14:paraId="49421C01"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AND</w:t>
            </w:r>
          </w:p>
        </w:tc>
      </w:tr>
      <w:tr w:rsidR="00811EC3" w:rsidRPr="000A33D2" w14:paraId="7BF3770C" w14:textId="77777777" w:rsidTr="00D74B19">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16F3DAF3" w14:textId="05A180CB"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hideMark/>
          </w:tcPr>
          <w:p w14:paraId="24235EAA" w14:textId="324D51C4" w:rsidR="00811EC3" w:rsidRPr="000A33D2" w:rsidRDefault="00811EC3" w:rsidP="00C809D4">
            <w:pPr>
              <w:spacing w:before="100" w:beforeAutospacing="1"/>
              <w:rPr>
                <w:rFonts w:ascii="Arial Narrow" w:hAnsi="Arial Narrow"/>
                <w:b/>
                <w:bCs/>
                <w:sz w:val="20"/>
                <w:szCs w:val="20"/>
              </w:rPr>
            </w:pPr>
            <w:r w:rsidRPr="00187A19">
              <w:rPr>
                <w:rFonts w:ascii="Arial Narrow" w:hAnsi="Arial Narrow"/>
                <w:b/>
                <w:bCs/>
                <w:sz w:val="20"/>
                <w:szCs w:val="20"/>
              </w:rPr>
              <w:t>Treatment</w:t>
            </w:r>
            <w:r w:rsidRPr="000A33D2">
              <w:rPr>
                <w:rFonts w:ascii="Arial Narrow" w:hAnsi="Arial Narrow"/>
                <w:b/>
                <w:bCs/>
                <w:sz w:val="20"/>
                <w:szCs w:val="20"/>
              </w:rPr>
              <w:t xml:space="preserve"> criteria:</w:t>
            </w:r>
          </w:p>
        </w:tc>
      </w:tr>
      <w:tr w:rsidR="00811EC3" w:rsidRPr="000A33D2" w14:paraId="3E4A8936"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tcBorders>
              <w:top w:val="single" w:sz="4" w:space="0" w:color="auto"/>
              <w:left w:val="single" w:sz="4" w:space="0" w:color="auto"/>
              <w:bottom w:val="single" w:sz="4" w:space="0" w:color="auto"/>
              <w:right w:val="single" w:sz="4" w:space="0" w:color="auto"/>
            </w:tcBorders>
            <w:vAlign w:val="center"/>
          </w:tcPr>
          <w:p w14:paraId="462AF8A7" w14:textId="1FD693AF" w:rsidR="00811EC3" w:rsidRPr="000A33D2" w:rsidRDefault="00811EC3" w:rsidP="00C809D4">
            <w:pPr>
              <w:spacing w:before="100" w:beforeAutospacing="1"/>
              <w:rPr>
                <w:rFonts w:ascii="Arial Narrow" w:hAnsi="Arial Narrow"/>
                <w:sz w:val="20"/>
                <w:szCs w:val="20"/>
              </w:rPr>
            </w:pPr>
          </w:p>
        </w:tc>
        <w:tc>
          <w:tcPr>
            <w:tcW w:w="4299" w:type="pct"/>
            <w:gridSpan w:val="7"/>
            <w:tcBorders>
              <w:top w:val="single" w:sz="4" w:space="0" w:color="auto"/>
              <w:left w:val="single" w:sz="4" w:space="0" w:color="auto"/>
              <w:bottom w:val="single" w:sz="4" w:space="0" w:color="auto"/>
              <w:right w:val="single" w:sz="4" w:space="0" w:color="auto"/>
            </w:tcBorders>
            <w:vAlign w:val="center"/>
          </w:tcPr>
          <w:p w14:paraId="6DE67CB1" w14:textId="77777777" w:rsidR="00811EC3" w:rsidRPr="000A33D2" w:rsidRDefault="00811EC3" w:rsidP="00C809D4">
            <w:pPr>
              <w:rPr>
                <w:rFonts w:ascii="Arial Narrow" w:hAnsi="Arial Narrow"/>
                <w:sz w:val="20"/>
                <w:szCs w:val="20"/>
              </w:rPr>
            </w:pPr>
            <w:r w:rsidRPr="000A33D2">
              <w:rPr>
                <w:rFonts w:ascii="Arial Narrow" w:hAnsi="Arial Narrow" w:cs="Segoe UI"/>
                <w:color w:val="333333"/>
                <w:sz w:val="20"/>
                <w:szCs w:val="20"/>
                <w:shd w:val="clear" w:color="auto" w:fill="FFFFFF"/>
              </w:rPr>
              <w:t>Patient must not be undergoing continuing PBS-subsidised treatment where this benefit is extending treatment beyond 36 cumulative months from the first administered dose, once in a lifetime</w:t>
            </w:r>
            <w:r w:rsidRPr="000A33D2">
              <w:rPr>
                <w:rFonts w:ascii="Arial Narrow" w:hAnsi="Arial Narrow" w:cs="Segoe UI"/>
                <w:sz w:val="20"/>
                <w:szCs w:val="20"/>
              </w:rPr>
              <w:t>.</w:t>
            </w:r>
          </w:p>
        </w:tc>
      </w:tr>
      <w:tr w:rsidR="00811EC3" w:rsidRPr="000A33D2" w14:paraId="71B970DD"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4C7EC0A5" w14:textId="05EC734D" w:rsidR="00811EC3" w:rsidRPr="00187A19" w:rsidRDefault="00811EC3" w:rsidP="00C809D4">
            <w:pPr>
              <w:spacing w:before="100" w:beforeAutospacing="1"/>
              <w:rPr>
                <w:rFonts w:ascii="Arial Narrow" w:hAnsi="Arial Narrow"/>
                <w:sz w:val="20"/>
                <w:szCs w:val="20"/>
              </w:rPr>
            </w:pPr>
          </w:p>
        </w:tc>
        <w:tc>
          <w:tcPr>
            <w:tcW w:w="4299" w:type="pct"/>
            <w:gridSpan w:val="7"/>
            <w:vAlign w:val="center"/>
          </w:tcPr>
          <w:p w14:paraId="35B16697"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Administrative</w:t>
            </w:r>
            <w:r w:rsidRPr="000A33D2">
              <w:rPr>
                <w:rFonts w:ascii="Arial Narrow" w:hAnsi="Arial Narrow"/>
                <w:sz w:val="20"/>
                <w:szCs w:val="20"/>
              </w:rPr>
              <w:t xml:space="preserve"> </w:t>
            </w:r>
            <w:r w:rsidRPr="000A33D2">
              <w:rPr>
                <w:rFonts w:ascii="Arial Narrow" w:hAnsi="Arial Narrow"/>
                <w:b/>
                <w:bCs/>
                <w:sz w:val="20"/>
                <w:szCs w:val="20"/>
              </w:rPr>
              <w:t>Advice</w:t>
            </w:r>
            <w:r w:rsidRPr="000A33D2">
              <w:rPr>
                <w:rFonts w:ascii="Arial Narrow" w:hAnsi="Arial Narrow"/>
                <w:sz w:val="20"/>
                <w:szCs w:val="20"/>
              </w:rPr>
              <w:t>: Patients may qualify for PBS-subsidised treatment under this restriction once only. For continuing PBS-subsidised treatment, a 'Grandfathered' patient must qualify under the 'Continuing treatment' criteria.</w:t>
            </w:r>
          </w:p>
        </w:tc>
      </w:tr>
      <w:tr w:rsidR="00811EC3" w:rsidRPr="000A33D2" w14:paraId="6B8256AB" w14:textId="77777777" w:rsidTr="00D932C8">
        <w:tblPrEx>
          <w:tblCellMar>
            <w:top w:w="15" w:type="dxa"/>
            <w:bottom w:w="15" w:type="dxa"/>
          </w:tblCellMar>
          <w:tblLook w:val="04A0" w:firstRow="1" w:lastRow="0" w:firstColumn="1" w:lastColumn="0" w:noHBand="0" w:noVBand="1"/>
        </w:tblPrEx>
        <w:trPr>
          <w:cantSplit/>
          <w:trHeight w:val="20"/>
        </w:trPr>
        <w:tc>
          <w:tcPr>
            <w:tcW w:w="701" w:type="pct"/>
            <w:gridSpan w:val="3"/>
            <w:vAlign w:val="center"/>
          </w:tcPr>
          <w:p w14:paraId="722BCF75" w14:textId="5B0FF277" w:rsidR="00811EC3" w:rsidRPr="00187A19" w:rsidRDefault="00811EC3" w:rsidP="00C809D4">
            <w:pPr>
              <w:spacing w:before="100" w:beforeAutospacing="1"/>
              <w:rPr>
                <w:rFonts w:ascii="Arial Narrow" w:hAnsi="Arial Narrow"/>
                <w:sz w:val="20"/>
                <w:szCs w:val="20"/>
              </w:rPr>
            </w:pPr>
          </w:p>
        </w:tc>
        <w:tc>
          <w:tcPr>
            <w:tcW w:w="4299" w:type="pct"/>
            <w:gridSpan w:val="7"/>
            <w:vAlign w:val="center"/>
          </w:tcPr>
          <w:p w14:paraId="15C2C167" w14:textId="77777777" w:rsidR="00811EC3" w:rsidRPr="000A33D2" w:rsidRDefault="00811EC3" w:rsidP="00C809D4">
            <w:pPr>
              <w:spacing w:before="100" w:beforeAutospacing="1"/>
              <w:rPr>
                <w:rFonts w:ascii="Arial Narrow" w:hAnsi="Arial Narrow"/>
                <w:sz w:val="20"/>
                <w:szCs w:val="20"/>
              </w:rPr>
            </w:pPr>
            <w:r w:rsidRPr="000A33D2">
              <w:rPr>
                <w:rFonts w:ascii="Arial Narrow" w:hAnsi="Arial Narrow"/>
                <w:b/>
                <w:bCs/>
                <w:sz w:val="20"/>
                <w:szCs w:val="20"/>
              </w:rPr>
              <w:t>Administrative</w:t>
            </w:r>
            <w:r w:rsidRPr="000A33D2">
              <w:rPr>
                <w:rFonts w:ascii="Arial Narrow" w:hAnsi="Arial Narrow"/>
                <w:sz w:val="20"/>
                <w:szCs w:val="20"/>
              </w:rPr>
              <w:t xml:space="preserve"> </w:t>
            </w:r>
            <w:r w:rsidRPr="000A33D2">
              <w:rPr>
                <w:rFonts w:ascii="Arial Narrow" w:hAnsi="Arial Narrow"/>
                <w:b/>
                <w:bCs/>
                <w:sz w:val="20"/>
                <w:szCs w:val="20"/>
              </w:rPr>
              <w:t>Advice</w:t>
            </w:r>
            <w:r w:rsidRPr="000A33D2">
              <w:rPr>
                <w:rFonts w:ascii="Arial Narrow" w:hAnsi="Arial Narrow"/>
                <w:sz w:val="20"/>
                <w:szCs w:val="20"/>
              </w:rPr>
              <w:t>: This grandfather restriction will cease to operate from 12 months after the date specified in the clinical criteria.</w:t>
            </w:r>
          </w:p>
        </w:tc>
      </w:tr>
    </w:tbl>
    <w:p w14:paraId="68622EBB" w14:textId="70F205EF" w:rsidR="003E2C1E" w:rsidRPr="000A33D2" w:rsidRDefault="008C7C64" w:rsidP="00E15D52">
      <w:pPr>
        <w:spacing w:before="120"/>
      </w:pPr>
      <w:r w:rsidRPr="000A33D2">
        <w:rPr>
          <w:rFonts w:asciiTheme="minorHAnsi" w:hAnsiTheme="minorHAnsi" w:cstheme="minorHAnsi"/>
          <w:b/>
          <w:i/>
        </w:rPr>
        <w:t>This restriction may be subject to further review. Should there be any changes made to the restriction the Sponsor will be informed.</w:t>
      </w:r>
    </w:p>
    <w:p w14:paraId="7823888C" w14:textId="77777777" w:rsidR="00D74B19" w:rsidRPr="00D74B19" w:rsidRDefault="00D74B19" w:rsidP="00D74B19">
      <w:pPr>
        <w:pStyle w:val="2-SectionHeading"/>
        <w:numPr>
          <w:ilvl w:val="0"/>
          <w:numId w:val="1"/>
        </w:numPr>
        <w:rPr>
          <w:bCs/>
        </w:rPr>
      </w:pPr>
      <w:r w:rsidRPr="00D74B19">
        <w:rPr>
          <w:bCs/>
        </w:rPr>
        <w:t>Context for Decision</w:t>
      </w:r>
    </w:p>
    <w:p w14:paraId="063A4F6F" w14:textId="77777777" w:rsidR="00D74B19" w:rsidRPr="00311EEF" w:rsidRDefault="00D74B19" w:rsidP="00D74B19">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6061072" w14:textId="77777777" w:rsidR="00D74B19" w:rsidRPr="00311EEF" w:rsidRDefault="00D74B19" w:rsidP="00D74B19">
      <w:pPr>
        <w:pStyle w:val="COMH1numbered"/>
        <w:numPr>
          <w:ilvl w:val="0"/>
          <w:numId w:val="0"/>
        </w:numPr>
        <w:ind w:left="720" w:hanging="720"/>
      </w:pPr>
      <w:r w:rsidRPr="00311EEF">
        <w:t>10</w:t>
      </w:r>
      <w:r w:rsidRPr="00D74B19">
        <w:rPr>
          <w:bCs/>
        </w:rPr>
        <w:tab/>
        <w:t>Sponsor’s Comment</w:t>
      </w:r>
    </w:p>
    <w:p w14:paraId="3E567E8E" w14:textId="4E4232AC" w:rsidR="002C5099" w:rsidRPr="00E15D52" w:rsidRDefault="00574F32" w:rsidP="00E15D52">
      <w:pPr>
        <w:ind w:left="720"/>
        <w:rPr>
          <w:rFonts w:asciiTheme="minorHAnsi" w:hAnsiTheme="minorHAnsi"/>
          <w:bCs/>
          <w:lang w:val="en-GB"/>
        </w:rPr>
      </w:pPr>
      <w:r w:rsidRPr="00951AE1">
        <w:rPr>
          <w:lang w:val="en-NZ"/>
        </w:rPr>
        <w:t>G</w:t>
      </w:r>
      <w:r w:rsidRPr="00574F32">
        <w:rPr>
          <w:rFonts w:asciiTheme="minorHAnsi" w:hAnsiTheme="minorHAnsi"/>
          <w:bCs/>
          <w:lang w:val="en-GB"/>
        </w:rPr>
        <w:t xml:space="preserve">SK welcomes the recommendation of dostarlimab (Jemperli®) in combination with platinum-containing chemotherapy for the treatment of primary advanced or first recurrent endometrial cancer that is mismatch repair deficient (dMMR). GSK will consider advice from the PBAC regarding Jemperli® in the broader </w:t>
      </w:r>
      <w:proofErr w:type="gramStart"/>
      <w:r w:rsidRPr="00574F32">
        <w:rPr>
          <w:rFonts w:asciiTheme="minorHAnsi" w:hAnsiTheme="minorHAnsi"/>
          <w:bCs/>
          <w:lang w:val="en-GB"/>
        </w:rPr>
        <w:t>all-comers</w:t>
      </w:r>
      <w:proofErr w:type="gramEnd"/>
      <w:r w:rsidRPr="00574F32">
        <w:rPr>
          <w:rFonts w:asciiTheme="minorHAnsi" w:hAnsiTheme="minorHAnsi"/>
          <w:bCs/>
          <w:lang w:val="en-GB"/>
        </w:rPr>
        <w:t xml:space="preserve"> population.</w:t>
      </w:r>
    </w:p>
    <w:sectPr w:rsidR="002C5099" w:rsidRPr="00E15D52" w:rsidSect="008721E6">
      <w:headerReference w:type="even" r:id="rId19"/>
      <w:headerReference w:type="default" r:id="rId20"/>
      <w:footerReference w:type="even" r:id="rId21"/>
      <w:footerReference w:type="default" r:id="rId22"/>
      <w:headerReference w:type="first" r:id="rId23"/>
      <w:footerReference w:type="first" r:id="rId2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27BD" w14:textId="77777777" w:rsidR="00D5506E" w:rsidRDefault="00D5506E" w:rsidP="00124A51">
      <w:r>
        <w:separator/>
      </w:r>
    </w:p>
    <w:p w14:paraId="01AA5A93" w14:textId="77777777" w:rsidR="00D5506E" w:rsidRDefault="00D5506E"/>
  </w:endnote>
  <w:endnote w:type="continuationSeparator" w:id="0">
    <w:p w14:paraId="58F3B5E4" w14:textId="77777777" w:rsidR="00D5506E" w:rsidRDefault="00D5506E" w:rsidP="00124A51">
      <w:r>
        <w:continuationSeparator/>
      </w:r>
    </w:p>
    <w:p w14:paraId="1895D4F5" w14:textId="77777777" w:rsidR="00D5506E" w:rsidRDefault="00D5506E"/>
  </w:endnote>
  <w:endnote w:type="continuationNotice" w:id="1">
    <w:p w14:paraId="36E415AF" w14:textId="77777777" w:rsidR="0007287D" w:rsidRDefault="00072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Narrow">
    <w:altName w:val="Arial"/>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BA89" w14:textId="77777777" w:rsidR="007C10F8" w:rsidRDefault="007C1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FA3B0D" w:rsidRDefault="00FA3B0D" w:rsidP="00753B29">
    <w:pPr>
      <w:pStyle w:val="Footer"/>
      <w:jc w:val="center"/>
    </w:pPr>
  </w:p>
  <w:p w14:paraId="37484CD3" w14:textId="50B28FD7" w:rsidR="00FA3B0D" w:rsidRPr="000D66BE" w:rsidRDefault="00D03BA6"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FA3B0D" w:rsidRPr="000D66BE">
          <w:rPr>
            <w:b/>
            <w:bCs/>
          </w:rPr>
          <w:fldChar w:fldCharType="begin"/>
        </w:r>
        <w:r w:rsidR="00FA3B0D" w:rsidRPr="000D66BE">
          <w:rPr>
            <w:b/>
            <w:bCs/>
          </w:rPr>
          <w:instrText xml:space="preserve"> PAGE   \* MERGEFORMAT </w:instrText>
        </w:r>
        <w:r w:rsidR="00FA3B0D" w:rsidRPr="000D66BE">
          <w:rPr>
            <w:b/>
            <w:bCs/>
          </w:rPr>
          <w:fldChar w:fldCharType="separate"/>
        </w:r>
        <w:r w:rsidR="00FA3B0D" w:rsidRPr="000D66BE">
          <w:rPr>
            <w:b/>
            <w:bCs/>
            <w:noProof/>
          </w:rPr>
          <w:t>2</w:t>
        </w:r>
        <w:r w:rsidR="00FA3B0D" w:rsidRPr="000D66BE">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B9D5" w14:textId="77777777" w:rsidR="007C10F8" w:rsidRDefault="007C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F1D6" w14:textId="77777777" w:rsidR="00D5506E" w:rsidRDefault="00D5506E" w:rsidP="00124A51">
      <w:r>
        <w:separator/>
      </w:r>
    </w:p>
    <w:p w14:paraId="57C39594" w14:textId="77777777" w:rsidR="00D5506E" w:rsidRDefault="00D5506E"/>
  </w:footnote>
  <w:footnote w:type="continuationSeparator" w:id="0">
    <w:p w14:paraId="22F14E8D" w14:textId="77777777" w:rsidR="00D5506E" w:rsidRDefault="00D5506E" w:rsidP="00124A51">
      <w:r>
        <w:continuationSeparator/>
      </w:r>
    </w:p>
    <w:p w14:paraId="1E5F3CFC" w14:textId="77777777" w:rsidR="00D5506E" w:rsidRDefault="00D5506E"/>
  </w:footnote>
  <w:footnote w:type="continuationNotice" w:id="1">
    <w:p w14:paraId="3198CE29" w14:textId="77777777" w:rsidR="0007287D" w:rsidRDefault="0007287D"/>
  </w:footnote>
  <w:footnote w:id="2">
    <w:p w14:paraId="46B67B05" w14:textId="65F61EAC" w:rsidR="00F5542C" w:rsidRDefault="00F5542C">
      <w:pPr>
        <w:pStyle w:val="FootnoteText"/>
      </w:pPr>
      <w:r>
        <w:rPr>
          <w:rStyle w:val="FootnoteReference"/>
        </w:rPr>
        <w:footnoteRef/>
      </w:r>
      <w:r>
        <w:t xml:space="preserve"> </w:t>
      </w:r>
      <w:r w:rsidRPr="00F5542C">
        <w:rPr>
          <w:rFonts w:asciiTheme="minorHAnsi" w:hAnsiTheme="minorHAnsi"/>
          <w:bCs/>
          <w:snapToGrid w:val="0"/>
          <w:sz w:val="16"/>
        </w:rPr>
        <w:t>Cherny NI, Dafni U, Bogaerts J, et al: ESMO-Magnitude of Clinical Benefit Scale version 1.1. Annals of Oncology 28:2340-2366, 2017]</w:t>
      </w:r>
    </w:p>
  </w:footnote>
  <w:footnote w:id="3">
    <w:p w14:paraId="126B9E12" w14:textId="32CBA210" w:rsidR="006173E4" w:rsidRDefault="006173E4">
      <w:pPr>
        <w:pStyle w:val="FootnoteText"/>
      </w:pPr>
      <w:r>
        <w:rPr>
          <w:rStyle w:val="FootnoteReference"/>
        </w:rPr>
        <w:footnoteRef/>
      </w:r>
      <w:r>
        <w:t xml:space="preserve"> </w:t>
      </w:r>
      <w:r w:rsidRPr="006173E4">
        <w:t xml:space="preserve">Note that the results for the test of interaction are derived from ad-hoc/ post-hoc analyses conducted during the evaluation specifically for the purposes of informing the PBAC consideration. These analyses were not part of the pre-specified statistical plan for RUBY. Interpretation of the results and their application should therefore be limited to seeking to understand the basis for the PBAC outcome and should not be used for any other purpose. </w:t>
      </w:r>
    </w:p>
  </w:footnote>
  <w:footnote w:id="4">
    <w:p w14:paraId="357FF7E8" w14:textId="69E97F9D" w:rsidR="006D4E6D" w:rsidRDefault="006D4E6D">
      <w:pPr>
        <w:pStyle w:val="FootnoteText"/>
      </w:pPr>
      <w:r>
        <w:rPr>
          <w:rStyle w:val="FootnoteReference"/>
        </w:rPr>
        <w:footnoteRef/>
      </w:r>
      <w:r>
        <w:t xml:space="preserve"> </w:t>
      </w:r>
      <w:r w:rsidR="00AE099E">
        <w:t xml:space="preserve">Makker et al. </w:t>
      </w:r>
      <w:r w:rsidR="00AD194F" w:rsidRPr="00AD194F">
        <w:t>Lenvatinib Plus Pembrolizumab in Previously Treated Advanced Endometrial Cancer: Updated Efficacy and Safety From the Randomized Phase III Study 309/KEYNOTE-775</w:t>
      </w:r>
      <w:r w:rsidR="003C0A82">
        <w:t xml:space="preserve">. </w:t>
      </w:r>
      <w:r w:rsidR="003C0A82" w:rsidRPr="003C0A82">
        <w:t>Clinical Oncology 41, no. 16 (June</w:t>
      </w:r>
      <w:r w:rsidR="00B62E71">
        <w:t> </w:t>
      </w:r>
      <w:r w:rsidR="003C0A82" w:rsidRPr="003C0A82">
        <w:t>01, 2023) 2904-2910.</w:t>
      </w:r>
    </w:p>
  </w:footnote>
  <w:footnote w:id="5">
    <w:p w14:paraId="72FA9BE0" w14:textId="24BE3939" w:rsidR="002A1287" w:rsidRDefault="002A1287">
      <w:pPr>
        <w:pStyle w:val="FootnoteText"/>
      </w:pPr>
      <w:r>
        <w:rPr>
          <w:rStyle w:val="FootnoteReference"/>
        </w:rPr>
        <w:footnoteRef/>
      </w:r>
      <w:r>
        <w:t xml:space="preserve"> Westin and Moore et al. Durvalumab Plus Carboplatin/Paclitaxel Followed by Maintenance </w:t>
      </w:r>
      <w:proofErr w:type="spellStart"/>
      <w:r>
        <w:t>Durvalumba</w:t>
      </w:r>
      <w:proofErr w:type="spellEnd"/>
      <w:r>
        <w:t xml:space="preserve"> With or Without Olaparib as First-Line Treatment for Advanced Endometrial Cancer: The Phase III DUO-E Trial. Journal of Clinical Oncology Published online October 21, 2023.</w:t>
      </w:r>
    </w:p>
  </w:footnote>
  <w:footnote w:id="6">
    <w:p w14:paraId="34ED94AF" w14:textId="279B773C" w:rsidR="009756FC" w:rsidRDefault="009756FC">
      <w:pPr>
        <w:pStyle w:val="FootnoteText"/>
      </w:pPr>
      <w:r>
        <w:rPr>
          <w:rStyle w:val="FootnoteReference"/>
        </w:rPr>
        <w:footnoteRef/>
      </w:r>
      <w:r>
        <w:t xml:space="preserve"> </w:t>
      </w:r>
      <w:r w:rsidRPr="009756FC">
        <w:rPr>
          <w:i/>
          <w:iCs/>
        </w:rPr>
        <w:t>Note that the modelled subsequent immunotherapy proportions were provided for the purposes of informing the PBAC consideration.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4F7F" w14:textId="77777777" w:rsidR="007C10F8" w:rsidRDefault="007C1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D06CDD5" w:rsidR="00FA3B0D" w:rsidRPr="00CB7DAC" w:rsidRDefault="006A6D25" w:rsidP="00D822E2">
    <w:pPr>
      <w:pStyle w:val="Header"/>
      <w:rPr>
        <w:rFonts w:asciiTheme="minorHAnsi" w:hAnsiTheme="minorHAnsi"/>
        <w:i/>
      </w:rPr>
    </w:pPr>
    <w:r>
      <w:rPr>
        <w:rFonts w:asciiTheme="minorHAnsi" w:hAnsiTheme="minorHAnsi"/>
        <w:i/>
      </w:rPr>
      <w:t>Public Summary Document</w:t>
    </w:r>
    <w:r w:rsidR="00031947">
      <w:rPr>
        <w:rFonts w:asciiTheme="minorHAnsi" w:hAnsiTheme="minorHAnsi"/>
        <w:i/>
      </w:rPr>
      <w:t xml:space="preserve"> </w:t>
    </w:r>
    <w:r w:rsidR="00427449">
      <w:rPr>
        <w:rFonts w:asciiTheme="minorHAnsi" w:hAnsiTheme="minorHAnsi"/>
        <w:i/>
      </w:rPr>
      <w:t xml:space="preserve">– </w:t>
    </w:r>
    <w:r w:rsidR="00CB7DAC" w:rsidRPr="00CB7DAC">
      <w:rPr>
        <w:rFonts w:asciiTheme="minorHAnsi" w:hAnsiTheme="minorHAnsi"/>
        <w:i/>
      </w:rPr>
      <w:t>November</w:t>
    </w:r>
    <w:r w:rsidR="00427449">
      <w:rPr>
        <w:rFonts w:asciiTheme="minorHAnsi" w:hAnsiTheme="minorHAnsi"/>
        <w:i/>
      </w:rPr>
      <w:t xml:space="preserve"> </w:t>
    </w:r>
    <w:r w:rsidR="00CB7DAC" w:rsidRPr="00CB7DAC">
      <w:rPr>
        <w:rFonts w:asciiTheme="minorHAnsi" w:hAnsiTheme="minorHAnsi"/>
        <w:i/>
      </w:rPr>
      <w:t>2023</w:t>
    </w:r>
    <w:r w:rsidR="00FA3B0D" w:rsidRPr="00CB7DAC">
      <w:rPr>
        <w:rFonts w:asciiTheme="minorHAnsi" w:hAnsiTheme="minorHAnsi"/>
        <w:i/>
      </w:rPr>
      <w:t xml:space="preserve"> PBAC Meeting</w:t>
    </w:r>
  </w:p>
  <w:p w14:paraId="03AF943B" w14:textId="77777777" w:rsidR="00FA3B0D" w:rsidRPr="008C7ECB" w:rsidRDefault="00FA3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287D" w14:textId="77777777" w:rsidR="007C10F8" w:rsidRDefault="007C1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80D80"/>
    <w:multiLevelType w:val="hybridMultilevel"/>
    <w:tmpl w:val="38429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0E21E8"/>
    <w:multiLevelType w:val="hybridMultilevel"/>
    <w:tmpl w:val="F69A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76C72"/>
    <w:multiLevelType w:val="hybridMultilevel"/>
    <w:tmpl w:val="E2B61988"/>
    <w:lvl w:ilvl="0" w:tplc="E90ADE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42CDC"/>
    <w:multiLevelType w:val="multilevel"/>
    <w:tmpl w:val="E1368C46"/>
    <w:lvl w:ilvl="0">
      <w:start w:val="1"/>
      <w:numFmt w:val="decimal"/>
      <w:lvlText w:val="%1"/>
      <w:lvlJc w:val="left"/>
      <w:pPr>
        <w:ind w:left="720" w:hanging="720"/>
      </w:pPr>
      <w:rPr>
        <w:rFonts w:hint="default"/>
        <w:b/>
        <w:color w:val="auto"/>
      </w:rPr>
    </w:lvl>
    <w:lvl w:ilvl="1">
      <w:start w:val="1"/>
      <w:numFmt w:val="decimal"/>
      <w:lvlText w:val="%2."/>
      <w:lvlJc w:val="left"/>
      <w:pPr>
        <w:ind w:left="720" w:hanging="720"/>
      </w:pPr>
      <w:rPr>
        <w:rFonts w:hint="default"/>
        <w:b w:val="0"/>
        <w:i/>
        <w:i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0822D41"/>
    <w:multiLevelType w:val="hybridMultilevel"/>
    <w:tmpl w:val="BD948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6E195B"/>
    <w:multiLevelType w:val="hybridMultilevel"/>
    <w:tmpl w:val="66FA0E62"/>
    <w:lvl w:ilvl="0" w:tplc="4ACCC8F0">
      <w:start w:val="1"/>
      <w:numFmt w:val="lowerRoman"/>
      <w:pStyle w:val="bullet0"/>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FC82C5E"/>
    <w:multiLevelType w:val="hybridMultilevel"/>
    <w:tmpl w:val="7D70C0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A348AE"/>
    <w:multiLevelType w:val="hybridMultilevel"/>
    <w:tmpl w:val="1F60F5B4"/>
    <w:lvl w:ilvl="0" w:tplc="0C09000F">
      <w:start w:val="1"/>
      <w:numFmt w:val="decimal"/>
      <w:lvlText w:val="%1."/>
      <w:lvlJc w:val="left"/>
      <w:pPr>
        <w:ind w:left="1080" w:hanging="360"/>
      </w:pPr>
      <w:rPr>
        <w:i/>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9EC272B"/>
    <w:multiLevelType w:val="hybridMultilevel"/>
    <w:tmpl w:val="4C328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9840741">
    <w:abstractNumId w:val="19"/>
  </w:num>
  <w:num w:numId="2" w16cid:durableId="1459109733">
    <w:abstractNumId w:val="10"/>
  </w:num>
  <w:num w:numId="3" w16cid:durableId="423578752">
    <w:abstractNumId w:val="11"/>
  </w:num>
  <w:num w:numId="4" w16cid:durableId="1268848487">
    <w:abstractNumId w:val="19"/>
  </w:num>
  <w:num w:numId="5" w16cid:durableId="470489184">
    <w:abstractNumId w:val="21"/>
  </w:num>
  <w:num w:numId="6" w16cid:durableId="1370841658">
    <w:abstractNumId w:val="9"/>
  </w:num>
  <w:num w:numId="7" w16cid:durableId="1351369002">
    <w:abstractNumId w:val="16"/>
  </w:num>
  <w:num w:numId="8" w16cid:durableId="416948890">
    <w:abstractNumId w:val="8"/>
  </w:num>
  <w:num w:numId="9" w16cid:durableId="833372019">
    <w:abstractNumId w:val="5"/>
  </w:num>
  <w:num w:numId="10" w16cid:durableId="144783781">
    <w:abstractNumId w:val="3"/>
  </w:num>
  <w:num w:numId="11" w16cid:durableId="575096415">
    <w:abstractNumId w:val="15"/>
  </w:num>
  <w:num w:numId="12" w16cid:durableId="1951233054">
    <w:abstractNumId w:val="18"/>
  </w:num>
  <w:num w:numId="13" w16cid:durableId="325939767">
    <w:abstractNumId w:val="1"/>
  </w:num>
  <w:num w:numId="14" w16cid:durableId="375813530">
    <w:abstractNumId w:val="13"/>
  </w:num>
  <w:num w:numId="15" w16cid:durableId="64106675">
    <w:abstractNumId w:val="20"/>
  </w:num>
  <w:num w:numId="16" w16cid:durableId="1742756032">
    <w:abstractNumId w:val="12"/>
  </w:num>
  <w:num w:numId="17" w16cid:durableId="329450305">
    <w:abstractNumId w:val="2"/>
  </w:num>
  <w:num w:numId="18" w16cid:durableId="2048483309">
    <w:abstractNumId w:val="0"/>
  </w:num>
  <w:num w:numId="19" w16cid:durableId="1473253203">
    <w:abstractNumId w:val="7"/>
  </w:num>
  <w:num w:numId="20" w16cid:durableId="21830845">
    <w:abstractNumId w:val="6"/>
  </w:num>
  <w:num w:numId="21" w16cid:durableId="129744317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1669032">
    <w:abstractNumId w:val="17"/>
  </w:num>
  <w:num w:numId="23" w16cid:durableId="758449882">
    <w:abstractNumId w:val="19"/>
  </w:num>
  <w:num w:numId="24" w16cid:durableId="309284931">
    <w:abstractNumId w:val="19"/>
  </w:num>
  <w:num w:numId="25" w16cid:durableId="730999056">
    <w:abstractNumId w:val="19"/>
  </w:num>
  <w:num w:numId="26" w16cid:durableId="1890072108">
    <w:abstractNumId w:val="19"/>
  </w:num>
  <w:num w:numId="27" w16cid:durableId="1545480332">
    <w:abstractNumId w:val="4"/>
  </w:num>
  <w:num w:numId="28" w16cid:durableId="2108846623">
    <w:abstractNumId w:val="19"/>
  </w:num>
  <w:num w:numId="29" w16cid:durableId="31812151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56"/>
    <w:rsid w:val="0000061A"/>
    <w:rsid w:val="00000790"/>
    <w:rsid w:val="000008D5"/>
    <w:rsid w:val="0000110B"/>
    <w:rsid w:val="00001D22"/>
    <w:rsid w:val="00001E58"/>
    <w:rsid w:val="0000270F"/>
    <w:rsid w:val="00003499"/>
    <w:rsid w:val="000039B7"/>
    <w:rsid w:val="00003B31"/>
    <w:rsid w:val="00003E3F"/>
    <w:rsid w:val="0000422D"/>
    <w:rsid w:val="0000460B"/>
    <w:rsid w:val="0000475B"/>
    <w:rsid w:val="00004BDA"/>
    <w:rsid w:val="00005083"/>
    <w:rsid w:val="000056B9"/>
    <w:rsid w:val="0000639A"/>
    <w:rsid w:val="00006D61"/>
    <w:rsid w:val="0000768D"/>
    <w:rsid w:val="00007ADF"/>
    <w:rsid w:val="00010891"/>
    <w:rsid w:val="00010938"/>
    <w:rsid w:val="00010D94"/>
    <w:rsid w:val="00010EF4"/>
    <w:rsid w:val="00013247"/>
    <w:rsid w:val="0001344F"/>
    <w:rsid w:val="00013828"/>
    <w:rsid w:val="00013847"/>
    <w:rsid w:val="0001388E"/>
    <w:rsid w:val="000147FA"/>
    <w:rsid w:val="00015062"/>
    <w:rsid w:val="0001550B"/>
    <w:rsid w:val="00015886"/>
    <w:rsid w:val="000159F7"/>
    <w:rsid w:val="00015BCB"/>
    <w:rsid w:val="0001610A"/>
    <w:rsid w:val="000162EF"/>
    <w:rsid w:val="00017051"/>
    <w:rsid w:val="000171F5"/>
    <w:rsid w:val="00017C02"/>
    <w:rsid w:val="00017DE9"/>
    <w:rsid w:val="00017E36"/>
    <w:rsid w:val="00020163"/>
    <w:rsid w:val="000207C9"/>
    <w:rsid w:val="000207E9"/>
    <w:rsid w:val="00020AC5"/>
    <w:rsid w:val="00020C11"/>
    <w:rsid w:val="00020D40"/>
    <w:rsid w:val="00021198"/>
    <w:rsid w:val="0002134E"/>
    <w:rsid w:val="00021727"/>
    <w:rsid w:val="00021B55"/>
    <w:rsid w:val="0002225F"/>
    <w:rsid w:val="00022568"/>
    <w:rsid w:val="00022A5F"/>
    <w:rsid w:val="000233D4"/>
    <w:rsid w:val="00023763"/>
    <w:rsid w:val="00023C0E"/>
    <w:rsid w:val="00024D06"/>
    <w:rsid w:val="00024EB5"/>
    <w:rsid w:val="00024F7D"/>
    <w:rsid w:val="00025384"/>
    <w:rsid w:val="00027224"/>
    <w:rsid w:val="000274B8"/>
    <w:rsid w:val="00027A01"/>
    <w:rsid w:val="00030679"/>
    <w:rsid w:val="00030A4A"/>
    <w:rsid w:val="00030EB3"/>
    <w:rsid w:val="00031947"/>
    <w:rsid w:val="00031CE3"/>
    <w:rsid w:val="00032946"/>
    <w:rsid w:val="00033863"/>
    <w:rsid w:val="00033D42"/>
    <w:rsid w:val="0003473B"/>
    <w:rsid w:val="00034773"/>
    <w:rsid w:val="00035404"/>
    <w:rsid w:val="00035856"/>
    <w:rsid w:val="000358C7"/>
    <w:rsid w:val="00035DC0"/>
    <w:rsid w:val="00035FAA"/>
    <w:rsid w:val="00036181"/>
    <w:rsid w:val="00036829"/>
    <w:rsid w:val="00036A0D"/>
    <w:rsid w:val="00036B88"/>
    <w:rsid w:val="00040895"/>
    <w:rsid w:val="00040E7F"/>
    <w:rsid w:val="000410A0"/>
    <w:rsid w:val="00041192"/>
    <w:rsid w:val="00041B64"/>
    <w:rsid w:val="00042D7D"/>
    <w:rsid w:val="00042F20"/>
    <w:rsid w:val="000435EE"/>
    <w:rsid w:val="000436EB"/>
    <w:rsid w:val="00043C37"/>
    <w:rsid w:val="00044190"/>
    <w:rsid w:val="00044297"/>
    <w:rsid w:val="00045017"/>
    <w:rsid w:val="000454C5"/>
    <w:rsid w:val="00045601"/>
    <w:rsid w:val="00045A2B"/>
    <w:rsid w:val="000461CB"/>
    <w:rsid w:val="000464CA"/>
    <w:rsid w:val="0004698F"/>
    <w:rsid w:val="00046BE5"/>
    <w:rsid w:val="00046CA3"/>
    <w:rsid w:val="00046D64"/>
    <w:rsid w:val="00047A32"/>
    <w:rsid w:val="0005018E"/>
    <w:rsid w:val="000504C6"/>
    <w:rsid w:val="000508C2"/>
    <w:rsid w:val="00050ADD"/>
    <w:rsid w:val="00050EB5"/>
    <w:rsid w:val="000517B1"/>
    <w:rsid w:val="00051F37"/>
    <w:rsid w:val="000525D2"/>
    <w:rsid w:val="00052907"/>
    <w:rsid w:val="000529D2"/>
    <w:rsid w:val="00053031"/>
    <w:rsid w:val="000533B5"/>
    <w:rsid w:val="000539D0"/>
    <w:rsid w:val="000540F0"/>
    <w:rsid w:val="00054419"/>
    <w:rsid w:val="00054621"/>
    <w:rsid w:val="000546CF"/>
    <w:rsid w:val="000546D7"/>
    <w:rsid w:val="00054A8D"/>
    <w:rsid w:val="000563FF"/>
    <w:rsid w:val="00056E12"/>
    <w:rsid w:val="00056ECF"/>
    <w:rsid w:val="00057C6B"/>
    <w:rsid w:val="000603D0"/>
    <w:rsid w:val="000603D9"/>
    <w:rsid w:val="000604DF"/>
    <w:rsid w:val="00060A41"/>
    <w:rsid w:val="00061DD8"/>
    <w:rsid w:val="00062306"/>
    <w:rsid w:val="0006370C"/>
    <w:rsid w:val="0006462D"/>
    <w:rsid w:val="00065180"/>
    <w:rsid w:val="0006528F"/>
    <w:rsid w:val="000652DC"/>
    <w:rsid w:val="000653B5"/>
    <w:rsid w:val="000659D1"/>
    <w:rsid w:val="00065D84"/>
    <w:rsid w:val="00065F2D"/>
    <w:rsid w:val="00065FB7"/>
    <w:rsid w:val="00066360"/>
    <w:rsid w:val="000663D2"/>
    <w:rsid w:val="00066AF8"/>
    <w:rsid w:val="0006725C"/>
    <w:rsid w:val="00067C94"/>
    <w:rsid w:val="00070673"/>
    <w:rsid w:val="00070FE6"/>
    <w:rsid w:val="00071248"/>
    <w:rsid w:val="00071390"/>
    <w:rsid w:val="00071940"/>
    <w:rsid w:val="000720B9"/>
    <w:rsid w:val="000723D8"/>
    <w:rsid w:val="00072472"/>
    <w:rsid w:val="0007287D"/>
    <w:rsid w:val="00072F5B"/>
    <w:rsid w:val="000730C6"/>
    <w:rsid w:val="000737F7"/>
    <w:rsid w:val="00074950"/>
    <w:rsid w:val="0007672F"/>
    <w:rsid w:val="00076B54"/>
    <w:rsid w:val="000770A6"/>
    <w:rsid w:val="0007726D"/>
    <w:rsid w:val="000774F0"/>
    <w:rsid w:val="0007784F"/>
    <w:rsid w:val="0007785E"/>
    <w:rsid w:val="00080909"/>
    <w:rsid w:val="000812CA"/>
    <w:rsid w:val="0008155A"/>
    <w:rsid w:val="00081D1D"/>
    <w:rsid w:val="00081E63"/>
    <w:rsid w:val="0008258D"/>
    <w:rsid w:val="00082A1C"/>
    <w:rsid w:val="00082D94"/>
    <w:rsid w:val="00083598"/>
    <w:rsid w:val="00083AE0"/>
    <w:rsid w:val="00083B0F"/>
    <w:rsid w:val="00083B44"/>
    <w:rsid w:val="00083E99"/>
    <w:rsid w:val="00084468"/>
    <w:rsid w:val="00084A2E"/>
    <w:rsid w:val="00084D88"/>
    <w:rsid w:val="00084FA8"/>
    <w:rsid w:val="000856C5"/>
    <w:rsid w:val="00085C31"/>
    <w:rsid w:val="00085E15"/>
    <w:rsid w:val="000862AF"/>
    <w:rsid w:val="00086B4E"/>
    <w:rsid w:val="00086C55"/>
    <w:rsid w:val="00086D9D"/>
    <w:rsid w:val="000870B2"/>
    <w:rsid w:val="000871B6"/>
    <w:rsid w:val="00087A91"/>
    <w:rsid w:val="00090057"/>
    <w:rsid w:val="000902D9"/>
    <w:rsid w:val="0009033C"/>
    <w:rsid w:val="00090C7E"/>
    <w:rsid w:val="00091043"/>
    <w:rsid w:val="0009118E"/>
    <w:rsid w:val="000911AC"/>
    <w:rsid w:val="00091390"/>
    <w:rsid w:val="00092600"/>
    <w:rsid w:val="0009262B"/>
    <w:rsid w:val="00092A97"/>
    <w:rsid w:val="00093310"/>
    <w:rsid w:val="0009445C"/>
    <w:rsid w:val="000945C3"/>
    <w:rsid w:val="00094C40"/>
    <w:rsid w:val="00094E98"/>
    <w:rsid w:val="00095131"/>
    <w:rsid w:val="00095200"/>
    <w:rsid w:val="00095224"/>
    <w:rsid w:val="000955E9"/>
    <w:rsid w:val="00095FE5"/>
    <w:rsid w:val="00096284"/>
    <w:rsid w:val="000965F8"/>
    <w:rsid w:val="00096600"/>
    <w:rsid w:val="0009663D"/>
    <w:rsid w:val="00097714"/>
    <w:rsid w:val="000979EE"/>
    <w:rsid w:val="000A08A4"/>
    <w:rsid w:val="000A1152"/>
    <w:rsid w:val="000A1BC0"/>
    <w:rsid w:val="000A1E4B"/>
    <w:rsid w:val="000A2466"/>
    <w:rsid w:val="000A28A5"/>
    <w:rsid w:val="000A2F9E"/>
    <w:rsid w:val="000A33D2"/>
    <w:rsid w:val="000A3D02"/>
    <w:rsid w:val="000A3E47"/>
    <w:rsid w:val="000A3ECF"/>
    <w:rsid w:val="000A3F5D"/>
    <w:rsid w:val="000A522B"/>
    <w:rsid w:val="000A59B9"/>
    <w:rsid w:val="000A5F81"/>
    <w:rsid w:val="000A6039"/>
    <w:rsid w:val="000A7453"/>
    <w:rsid w:val="000A7AD5"/>
    <w:rsid w:val="000A7D08"/>
    <w:rsid w:val="000B0121"/>
    <w:rsid w:val="000B0334"/>
    <w:rsid w:val="000B0670"/>
    <w:rsid w:val="000B09DE"/>
    <w:rsid w:val="000B0E75"/>
    <w:rsid w:val="000B24F4"/>
    <w:rsid w:val="000B2DCB"/>
    <w:rsid w:val="000B30C0"/>
    <w:rsid w:val="000B3194"/>
    <w:rsid w:val="000B34A5"/>
    <w:rsid w:val="000B38BC"/>
    <w:rsid w:val="000B3AC7"/>
    <w:rsid w:val="000B458D"/>
    <w:rsid w:val="000B45F1"/>
    <w:rsid w:val="000B4AAF"/>
    <w:rsid w:val="000B4F95"/>
    <w:rsid w:val="000B5CE0"/>
    <w:rsid w:val="000B64A5"/>
    <w:rsid w:val="000B6886"/>
    <w:rsid w:val="000B6CAC"/>
    <w:rsid w:val="000B7242"/>
    <w:rsid w:val="000B74CA"/>
    <w:rsid w:val="000B7612"/>
    <w:rsid w:val="000B78AE"/>
    <w:rsid w:val="000B7A6B"/>
    <w:rsid w:val="000B7C66"/>
    <w:rsid w:val="000C1E31"/>
    <w:rsid w:val="000C1E9C"/>
    <w:rsid w:val="000C271F"/>
    <w:rsid w:val="000C2FF2"/>
    <w:rsid w:val="000C344C"/>
    <w:rsid w:val="000C3DF9"/>
    <w:rsid w:val="000C4CF2"/>
    <w:rsid w:val="000C4F66"/>
    <w:rsid w:val="000C616A"/>
    <w:rsid w:val="000C6618"/>
    <w:rsid w:val="000C6713"/>
    <w:rsid w:val="000C6E18"/>
    <w:rsid w:val="000C6F35"/>
    <w:rsid w:val="000C7558"/>
    <w:rsid w:val="000C7563"/>
    <w:rsid w:val="000D1A64"/>
    <w:rsid w:val="000D1BFC"/>
    <w:rsid w:val="000D1D5D"/>
    <w:rsid w:val="000D20BF"/>
    <w:rsid w:val="000D21D7"/>
    <w:rsid w:val="000D281A"/>
    <w:rsid w:val="000D2848"/>
    <w:rsid w:val="000D326A"/>
    <w:rsid w:val="000D348D"/>
    <w:rsid w:val="000D37E5"/>
    <w:rsid w:val="000D3859"/>
    <w:rsid w:val="000D4094"/>
    <w:rsid w:val="000D517E"/>
    <w:rsid w:val="000D51FB"/>
    <w:rsid w:val="000D612E"/>
    <w:rsid w:val="000D66BE"/>
    <w:rsid w:val="000D70D2"/>
    <w:rsid w:val="000D718A"/>
    <w:rsid w:val="000D7A59"/>
    <w:rsid w:val="000D7CBC"/>
    <w:rsid w:val="000E0175"/>
    <w:rsid w:val="000E0640"/>
    <w:rsid w:val="000E135D"/>
    <w:rsid w:val="000E33FF"/>
    <w:rsid w:val="000E35AA"/>
    <w:rsid w:val="000E375A"/>
    <w:rsid w:val="000E38AA"/>
    <w:rsid w:val="000E3E82"/>
    <w:rsid w:val="000E4191"/>
    <w:rsid w:val="000E433A"/>
    <w:rsid w:val="000E5075"/>
    <w:rsid w:val="000E5497"/>
    <w:rsid w:val="000E5729"/>
    <w:rsid w:val="000E5998"/>
    <w:rsid w:val="000E59A0"/>
    <w:rsid w:val="000E71D0"/>
    <w:rsid w:val="000E7227"/>
    <w:rsid w:val="000E7301"/>
    <w:rsid w:val="000F00BA"/>
    <w:rsid w:val="000F1314"/>
    <w:rsid w:val="000F29B6"/>
    <w:rsid w:val="000F316A"/>
    <w:rsid w:val="000F3489"/>
    <w:rsid w:val="000F34B0"/>
    <w:rsid w:val="000F3C74"/>
    <w:rsid w:val="000F3FB8"/>
    <w:rsid w:val="000F4B42"/>
    <w:rsid w:val="000F4BB8"/>
    <w:rsid w:val="000F4D2F"/>
    <w:rsid w:val="000F4D3F"/>
    <w:rsid w:val="000F4FA9"/>
    <w:rsid w:val="000F53FB"/>
    <w:rsid w:val="000F59C7"/>
    <w:rsid w:val="000F5ADB"/>
    <w:rsid w:val="000F7127"/>
    <w:rsid w:val="000F7B54"/>
    <w:rsid w:val="001000B3"/>
    <w:rsid w:val="00100363"/>
    <w:rsid w:val="00100F8A"/>
    <w:rsid w:val="00101401"/>
    <w:rsid w:val="00101D3E"/>
    <w:rsid w:val="0010252C"/>
    <w:rsid w:val="00102F96"/>
    <w:rsid w:val="00103108"/>
    <w:rsid w:val="001043E2"/>
    <w:rsid w:val="0010452E"/>
    <w:rsid w:val="001051D0"/>
    <w:rsid w:val="00105AE2"/>
    <w:rsid w:val="001060C6"/>
    <w:rsid w:val="0010674D"/>
    <w:rsid w:val="001069BC"/>
    <w:rsid w:val="00106B80"/>
    <w:rsid w:val="00106D2E"/>
    <w:rsid w:val="001071A6"/>
    <w:rsid w:val="0011032E"/>
    <w:rsid w:val="0011100E"/>
    <w:rsid w:val="00111343"/>
    <w:rsid w:val="00111965"/>
    <w:rsid w:val="001120A8"/>
    <w:rsid w:val="00113333"/>
    <w:rsid w:val="0011348B"/>
    <w:rsid w:val="001141ED"/>
    <w:rsid w:val="00114E1F"/>
    <w:rsid w:val="00115982"/>
    <w:rsid w:val="00115A7F"/>
    <w:rsid w:val="00115AC8"/>
    <w:rsid w:val="00115C72"/>
    <w:rsid w:val="001161B6"/>
    <w:rsid w:val="00116BE9"/>
    <w:rsid w:val="00116C53"/>
    <w:rsid w:val="00116D4A"/>
    <w:rsid w:val="001171BE"/>
    <w:rsid w:val="00117257"/>
    <w:rsid w:val="001173E0"/>
    <w:rsid w:val="00117B57"/>
    <w:rsid w:val="00117CA6"/>
    <w:rsid w:val="0012067A"/>
    <w:rsid w:val="001206D5"/>
    <w:rsid w:val="00120AC2"/>
    <w:rsid w:val="00121799"/>
    <w:rsid w:val="00121F40"/>
    <w:rsid w:val="0012206C"/>
    <w:rsid w:val="001222FC"/>
    <w:rsid w:val="00122E99"/>
    <w:rsid w:val="00122ED2"/>
    <w:rsid w:val="00123902"/>
    <w:rsid w:val="00123E4B"/>
    <w:rsid w:val="001245EE"/>
    <w:rsid w:val="00124A51"/>
    <w:rsid w:val="00125BA6"/>
    <w:rsid w:val="00126429"/>
    <w:rsid w:val="00126621"/>
    <w:rsid w:val="00126B1D"/>
    <w:rsid w:val="00126EF2"/>
    <w:rsid w:val="00126F30"/>
    <w:rsid w:val="00126F9D"/>
    <w:rsid w:val="00127445"/>
    <w:rsid w:val="00127907"/>
    <w:rsid w:val="001279A2"/>
    <w:rsid w:val="00127B79"/>
    <w:rsid w:val="00127DB8"/>
    <w:rsid w:val="00127EC3"/>
    <w:rsid w:val="001301E9"/>
    <w:rsid w:val="00130505"/>
    <w:rsid w:val="001318F3"/>
    <w:rsid w:val="00131D82"/>
    <w:rsid w:val="00132649"/>
    <w:rsid w:val="00132B22"/>
    <w:rsid w:val="00133D36"/>
    <w:rsid w:val="0013417C"/>
    <w:rsid w:val="00134CEC"/>
    <w:rsid w:val="0013526D"/>
    <w:rsid w:val="00135E1A"/>
    <w:rsid w:val="00135FED"/>
    <w:rsid w:val="001369CD"/>
    <w:rsid w:val="00136A0F"/>
    <w:rsid w:val="00137645"/>
    <w:rsid w:val="0013768E"/>
    <w:rsid w:val="00137E0F"/>
    <w:rsid w:val="00137F29"/>
    <w:rsid w:val="0014015A"/>
    <w:rsid w:val="001405CB"/>
    <w:rsid w:val="00140E99"/>
    <w:rsid w:val="001410EE"/>
    <w:rsid w:val="00141C97"/>
    <w:rsid w:val="00142985"/>
    <w:rsid w:val="00142E05"/>
    <w:rsid w:val="00142E4F"/>
    <w:rsid w:val="00143F67"/>
    <w:rsid w:val="00144518"/>
    <w:rsid w:val="001445B3"/>
    <w:rsid w:val="00145234"/>
    <w:rsid w:val="00145540"/>
    <w:rsid w:val="001456B0"/>
    <w:rsid w:val="00145816"/>
    <w:rsid w:val="00145C40"/>
    <w:rsid w:val="001461CE"/>
    <w:rsid w:val="00146CCC"/>
    <w:rsid w:val="00147AF0"/>
    <w:rsid w:val="00147B10"/>
    <w:rsid w:val="00150004"/>
    <w:rsid w:val="0015042F"/>
    <w:rsid w:val="00150DDE"/>
    <w:rsid w:val="00151B23"/>
    <w:rsid w:val="00151B64"/>
    <w:rsid w:val="00151C94"/>
    <w:rsid w:val="00151E69"/>
    <w:rsid w:val="00153230"/>
    <w:rsid w:val="001533E7"/>
    <w:rsid w:val="00153714"/>
    <w:rsid w:val="001540A1"/>
    <w:rsid w:val="00154217"/>
    <w:rsid w:val="001547AB"/>
    <w:rsid w:val="00154B60"/>
    <w:rsid w:val="00155C11"/>
    <w:rsid w:val="00156635"/>
    <w:rsid w:val="001569B3"/>
    <w:rsid w:val="00156C9B"/>
    <w:rsid w:val="00156F8F"/>
    <w:rsid w:val="00156FDD"/>
    <w:rsid w:val="00157130"/>
    <w:rsid w:val="001572A9"/>
    <w:rsid w:val="001576B1"/>
    <w:rsid w:val="0016047B"/>
    <w:rsid w:val="00160A4C"/>
    <w:rsid w:val="00160A6B"/>
    <w:rsid w:val="00160CC5"/>
    <w:rsid w:val="001613B2"/>
    <w:rsid w:val="0016196B"/>
    <w:rsid w:val="00161991"/>
    <w:rsid w:val="00161F44"/>
    <w:rsid w:val="001625BC"/>
    <w:rsid w:val="00162913"/>
    <w:rsid w:val="0016310D"/>
    <w:rsid w:val="0016335A"/>
    <w:rsid w:val="00163765"/>
    <w:rsid w:val="0016377E"/>
    <w:rsid w:val="0016395F"/>
    <w:rsid w:val="00163EFF"/>
    <w:rsid w:val="00163F66"/>
    <w:rsid w:val="0016478E"/>
    <w:rsid w:val="00164CAF"/>
    <w:rsid w:val="00164F5A"/>
    <w:rsid w:val="00164FA5"/>
    <w:rsid w:val="0016500F"/>
    <w:rsid w:val="00165526"/>
    <w:rsid w:val="00165E64"/>
    <w:rsid w:val="00165EB6"/>
    <w:rsid w:val="00165EC4"/>
    <w:rsid w:val="0016607B"/>
    <w:rsid w:val="001661FB"/>
    <w:rsid w:val="0016659E"/>
    <w:rsid w:val="0016698A"/>
    <w:rsid w:val="001671A0"/>
    <w:rsid w:val="0016767F"/>
    <w:rsid w:val="00170953"/>
    <w:rsid w:val="00170E27"/>
    <w:rsid w:val="0017195A"/>
    <w:rsid w:val="00171EB2"/>
    <w:rsid w:val="001727FD"/>
    <w:rsid w:val="00173565"/>
    <w:rsid w:val="00173912"/>
    <w:rsid w:val="00173B07"/>
    <w:rsid w:val="00173D91"/>
    <w:rsid w:val="00173F60"/>
    <w:rsid w:val="00174E32"/>
    <w:rsid w:val="001751FA"/>
    <w:rsid w:val="00175BB1"/>
    <w:rsid w:val="00175BB4"/>
    <w:rsid w:val="00176613"/>
    <w:rsid w:val="00176CB0"/>
    <w:rsid w:val="00177116"/>
    <w:rsid w:val="00177558"/>
    <w:rsid w:val="001775DA"/>
    <w:rsid w:val="001775EF"/>
    <w:rsid w:val="0018131B"/>
    <w:rsid w:val="0018160B"/>
    <w:rsid w:val="00181865"/>
    <w:rsid w:val="00181C10"/>
    <w:rsid w:val="00181D9C"/>
    <w:rsid w:val="00182084"/>
    <w:rsid w:val="00182621"/>
    <w:rsid w:val="00182C47"/>
    <w:rsid w:val="001837FF"/>
    <w:rsid w:val="00183E47"/>
    <w:rsid w:val="00184B0E"/>
    <w:rsid w:val="00184BD1"/>
    <w:rsid w:val="0018522C"/>
    <w:rsid w:val="00185525"/>
    <w:rsid w:val="00185FFF"/>
    <w:rsid w:val="0018752F"/>
    <w:rsid w:val="00187A19"/>
    <w:rsid w:val="00187ED7"/>
    <w:rsid w:val="0019091A"/>
    <w:rsid w:val="00190955"/>
    <w:rsid w:val="00191E18"/>
    <w:rsid w:val="0019261D"/>
    <w:rsid w:val="00192CEA"/>
    <w:rsid w:val="00192F0B"/>
    <w:rsid w:val="00193692"/>
    <w:rsid w:val="00193838"/>
    <w:rsid w:val="00193914"/>
    <w:rsid w:val="00194AD8"/>
    <w:rsid w:val="00195222"/>
    <w:rsid w:val="00195452"/>
    <w:rsid w:val="00195BBE"/>
    <w:rsid w:val="00195C2E"/>
    <w:rsid w:val="00195F28"/>
    <w:rsid w:val="001968CE"/>
    <w:rsid w:val="00196F5D"/>
    <w:rsid w:val="001975D8"/>
    <w:rsid w:val="001A01BC"/>
    <w:rsid w:val="001A0E3D"/>
    <w:rsid w:val="001A10F0"/>
    <w:rsid w:val="001A178E"/>
    <w:rsid w:val="001A2127"/>
    <w:rsid w:val="001A2F44"/>
    <w:rsid w:val="001A33BF"/>
    <w:rsid w:val="001A43FA"/>
    <w:rsid w:val="001A47C5"/>
    <w:rsid w:val="001A48DA"/>
    <w:rsid w:val="001A4DB9"/>
    <w:rsid w:val="001A5364"/>
    <w:rsid w:val="001A57AA"/>
    <w:rsid w:val="001A59FB"/>
    <w:rsid w:val="001A5E9E"/>
    <w:rsid w:val="001A6354"/>
    <w:rsid w:val="001A6366"/>
    <w:rsid w:val="001A64C3"/>
    <w:rsid w:val="001A6ED9"/>
    <w:rsid w:val="001A718C"/>
    <w:rsid w:val="001A7359"/>
    <w:rsid w:val="001A7AE8"/>
    <w:rsid w:val="001A7BD5"/>
    <w:rsid w:val="001B1180"/>
    <w:rsid w:val="001B175F"/>
    <w:rsid w:val="001B1C62"/>
    <w:rsid w:val="001B1E46"/>
    <w:rsid w:val="001B1FEC"/>
    <w:rsid w:val="001B204E"/>
    <w:rsid w:val="001B2372"/>
    <w:rsid w:val="001B2C7C"/>
    <w:rsid w:val="001B3318"/>
    <w:rsid w:val="001B3443"/>
    <w:rsid w:val="001B47FB"/>
    <w:rsid w:val="001B4D20"/>
    <w:rsid w:val="001B52FA"/>
    <w:rsid w:val="001B56CB"/>
    <w:rsid w:val="001B61A8"/>
    <w:rsid w:val="001B683F"/>
    <w:rsid w:val="001B6B7F"/>
    <w:rsid w:val="001B79E8"/>
    <w:rsid w:val="001B7F84"/>
    <w:rsid w:val="001C0010"/>
    <w:rsid w:val="001C022F"/>
    <w:rsid w:val="001C07A1"/>
    <w:rsid w:val="001C08B5"/>
    <w:rsid w:val="001C0E50"/>
    <w:rsid w:val="001C0FEA"/>
    <w:rsid w:val="001C1744"/>
    <w:rsid w:val="001C1AB0"/>
    <w:rsid w:val="001C1F7D"/>
    <w:rsid w:val="001C2714"/>
    <w:rsid w:val="001C2A9B"/>
    <w:rsid w:val="001C36EE"/>
    <w:rsid w:val="001C3DD6"/>
    <w:rsid w:val="001C3EF7"/>
    <w:rsid w:val="001C3F8C"/>
    <w:rsid w:val="001C4299"/>
    <w:rsid w:val="001C4874"/>
    <w:rsid w:val="001C4A71"/>
    <w:rsid w:val="001C5139"/>
    <w:rsid w:val="001C51A3"/>
    <w:rsid w:val="001C5AA2"/>
    <w:rsid w:val="001C5F94"/>
    <w:rsid w:val="001C601F"/>
    <w:rsid w:val="001C6E66"/>
    <w:rsid w:val="001D0212"/>
    <w:rsid w:val="001D0AA8"/>
    <w:rsid w:val="001D1100"/>
    <w:rsid w:val="001D1391"/>
    <w:rsid w:val="001D1F41"/>
    <w:rsid w:val="001D25D7"/>
    <w:rsid w:val="001D4057"/>
    <w:rsid w:val="001D40AF"/>
    <w:rsid w:val="001D40D0"/>
    <w:rsid w:val="001D444E"/>
    <w:rsid w:val="001D4C1A"/>
    <w:rsid w:val="001D50B2"/>
    <w:rsid w:val="001D5282"/>
    <w:rsid w:val="001D5928"/>
    <w:rsid w:val="001D6026"/>
    <w:rsid w:val="001D60DA"/>
    <w:rsid w:val="001D619B"/>
    <w:rsid w:val="001D63E3"/>
    <w:rsid w:val="001D6FD6"/>
    <w:rsid w:val="001D71F4"/>
    <w:rsid w:val="001D7645"/>
    <w:rsid w:val="001E04EB"/>
    <w:rsid w:val="001E1E86"/>
    <w:rsid w:val="001E238E"/>
    <w:rsid w:val="001E2483"/>
    <w:rsid w:val="001E2B1E"/>
    <w:rsid w:val="001E2CFF"/>
    <w:rsid w:val="001E2F24"/>
    <w:rsid w:val="001E3012"/>
    <w:rsid w:val="001E30D4"/>
    <w:rsid w:val="001E330C"/>
    <w:rsid w:val="001E34DF"/>
    <w:rsid w:val="001E3562"/>
    <w:rsid w:val="001E3681"/>
    <w:rsid w:val="001E47B2"/>
    <w:rsid w:val="001E52EB"/>
    <w:rsid w:val="001E5712"/>
    <w:rsid w:val="001E5D5C"/>
    <w:rsid w:val="001E5EB4"/>
    <w:rsid w:val="001E61D2"/>
    <w:rsid w:val="001E62CE"/>
    <w:rsid w:val="001E740C"/>
    <w:rsid w:val="001E78F5"/>
    <w:rsid w:val="001E793B"/>
    <w:rsid w:val="001F0AB2"/>
    <w:rsid w:val="001F0AB3"/>
    <w:rsid w:val="001F0C39"/>
    <w:rsid w:val="001F0C6A"/>
    <w:rsid w:val="001F0CA4"/>
    <w:rsid w:val="001F1235"/>
    <w:rsid w:val="001F12C1"/>
    <w:rsid w:val="001F1CB3"/>
    <w:rsid w:val="001F38B5"/>
    <w:rsid w:val="001F3D01"/>
    <w:rsid w:val="001F3D93"/>
    <w:rsid w:val="001F3FBF"/>
    <w:rsid w:val="001F4081"/>
    <w:rsid w:val="001F4613"/>
    <w:rsid w:val="001F490D"/>
    <w:rsid w:val="001F59C7"/>
    <w:rsid w:val="001F5B68"/>
    <w:rsid w:val="001F6264"/>
    <w:rsid w:val="001F6A51"/>
    <w:rsid w:val="001F6B70"/>
    <w:rsid w:val="001F6FF6"/>
    <w:rsid w:val="001F7361"/>
    <w:rsid w:val="001F78FE"/>
    <w:rsid w:val="001F7ABC"/>
    <w:rsid w:val="001F7CEA"/>
    <w:rsid w:val="0020008F"/>
    <w:rsid w:val="00200312"/>
    <w:rsid w:val="002011B0"/>
    <w:rsid w:val="00201323"/>
    <w:rsid w:val="002014E9"/>
    <w:rsid w:val="00201F31"/>
    <w:rsid w:val="00202F50"/>
    <w:rsid w:val="002030D5"/>
    <w:rsid w:val="00203181"/>
    <w:rsid w:val="0020322B"/>
    <w:rsid w:val="00203783"/>
    <w:rsid w:val="0020385F"/>
    <w:rsid w:val="00204659"/>
    <w:rsid w:val="00204D5B"/>
    <w:rsid w:val="00204FE2"/>
    <w:rsid w:val="00205A8E"/>
    <w:rsid w:val="00205CF2"/>
    <w:rsid w:val="002066F6"/>
    <w:rsid w:val="002068A0"/>
    <w:rsid w:val="00206C9F"/>
    <w:rsid w:val="00207021"/>
    <w:rsid w:val="0020732F"/>
    <w:rsid w:val="00207B9F"/>
    <w:rsid w:val="00207D00"/>
    <w:rsid w:val="00207F91"/>
    <w:rsid w:val="002105C1"/>
    <w:rsid w:val="002107A0"/>
    <w:rsid w:val="002109A6"/>
    <w:rsid w:val="002116FD"/>
    <w:rsid w:val="00213106"/>
    <w:rsid w:val="002136D9"/>
    <w:rsid w:val="00213EF5"/>
    <w:rsid w:val="002141C4"/>
    <w:rsid w:val="00214486"/>
    <w:rsid w:val="00214893"/>
    <w:rsid w:val="00214C33"/>
    <w:rsid w:val="00214EE8"/>
    <w:rsid w:val="002153E4"/>
    <w:rsid w:val="00215636"/>
    <w:rsid w:val="002158C0"/>
    <w:rsid w:val="002166CC"/>
    <w:rsid w:val="002167DD"/>
    <w:rsid w:val="00216BF5"/>
    <w:rsid w:val="0021703C"/>
    <w:rsid w:val="002174E3"/>
    <w:rsid w:val="0021754C"/>
    <w:rsid w:val="002179AC"/>
    <w:rsid w:val="0022009B"/>
    <w:rsid w:val="00220935"/>
    <w:rsid w:val="00220AC1"/>
    <w:rsid w:val="002218A9"/>
    <w:rsid w:val="002227EF"/>
    <w:rsid w:val="002237BE"/>
    <w:rsid w:val="00223B49"/>
    <w:rsid w:val="00223D5A"/>
    <w:rsid w:val="00224DD4"/>
    <w:rsid w:val="002253DB"/>
    <w:rsid w:val="00226602"/>
    <w:rsid w:val="00227109"/>
    <w:rsid w:val="002278A0"/>
    <w:rsid w:val="002300E6"/>
    <w:rsid w:val="002302B0"/>
    <w:rsid w:val="002303ED"/>
    <w:rsid w:val="002309CC"/>
    <w:rsid w:val="00230D8E"/>
    <w:rsid w:val="00231BA9"/>
    <w:rsid w:val="0023209F"/>
    <w:rsid w:val="002322D5"/>
    <w:rsid w:val="0023265C"/>
    <w:rsid w:val="0023273B"/>
    <w:rsid w:val="00232763"/>
    <w:rsid w:val="00232C6A"/>
    <w:rsid w:val="002333A4"/>
    <w:rsid w:val="00233C01"/>
    <w:rsid w:val="0023413C"/>
    <w:rsid w:val="002346F0"/>
    <w:rsid w:val="0023629D"/>
    <w:rsid w:val="0023681D"/>
    <w:rsid w:val="00236E45"/>
    <w:rsid w:val="00237165"/>
    <w:rsid w:val="00237255"/>
    <w:rsid w:val="002375A7"/>
    <w:rsid w:val="00237B2A"/>
    <w:rsid w:val="00240690"/>
    <w:rsid w:val="002410CB"/>
    <w:rsid w:val="002424AF"/>
    <w:rsid w:val="002433AE"/>
    <w:rsid w:val="002436F0"/>
    <w:rsid w:val="002437DD"/>
    <w:rsid w:val="0024381A"/>
    <w:rsid w:val="002439DC"/>
    <w:rsid w:val="002441D2"/>
    <w:rsid w:val="002449F0"/>
    <w:rsid w:val="00244DC8"/>
    <w:rsid w:val="002458BA"/>
    <w:rsid w:val="00245B8E"/>
    <w:rsid w:val="00245CE9"/>
    <w:rsid w:val="00245E38"/>
    <w:rsid w:val="0024636C"/>
    <w:rsid w:val="0024644E"/>
    <w:rsid w:val="002467C0"/>
    <w:rsid w:val="0024722C"/>
    <w:rsid w:val="002475C3"/>
    <w:rsid w:val="00247925"/>
    <w:rsid w:val="00247D46"/>
    <w:rsid w:val="00251006"/>
    <w:rsid w:val="00251E41"/>
    <w:rsid w:val="002524D5"/>
    <w:rsid w:val="00252510"/>
    <w:rsid w:val="00253064"/>
    <w:rsid w:val="00253140"/>
    <w:rsid w:val="00253B1D"/>
    <w:rsid w:val="00253B91"/>
    <w:rsid w:val="00254134"/>
    <w:rsid w:val="00254312"/>
    <w:rsid w:val="002549ED"/>
    <w:rsid w:val="00254DCF"/>
    <w:rsid w:val="00255307"/>
    <w:rsid w:val="0025534B"/>
    <w:rsid w:val="00255BB7"/>
    <w:rsid w:val="00255E8A"/>
    <w:rsid w:val="00256496"/>
    <w:rsid w:val="002567B8"/>
    <w:rsid w:val="00256AEF"/>
    <w:rsid w:val="00257541"/>
    <w:rsid w:val="00257A39"/>
    <w:rsid w:val="00257AC4"/>
    <w:rsid w:val="00257B4D"/>
    <w:rsid w:val="00257BBE"/>
    <w:rsid w:val="00257D6A"/>
    <w:rsid w:val="0026066C"/>
    <w:rsid w:val="00260694"/>
    <w:rsid w:val="00261EEF"/>
    <w:rsid w:val="00261FA8"/>
    <w:rsid w:val="002629C2"/>
    <w:rsid w:val="00262A1A"/>
    <w:rsid w:val="00262A87"/>
    <w:rsid w:val="002631C9"/>
    <w:rsid w:val="002634E2"/>
    <w:rsid w:val="00263AF8"/>
    <w:rsid w:val="00263AFC"/>
    <w:rsid w:val="00263F0B"/>
    <w:rsid w:val="00264A4E"/>
    <w:rsid w:val="00264D26"/>
    <w:rsid w:val="00265DA5"/>
    <w:rsid w:val="00267052"/>
    <w:rsid w:val="00267642"/>
    <w:rsid w:val="00267AEA"/>
    <w:rsid w:val="00267C1F"/>
    <w:rsid w:val="002700E6"/>
    <w:rsid w:val="0027042B"/>
    <w:rsid w:val="002704FB"/>
    <w:rsid w:val="00270500"/>
    <w:rsid w:val="002707D4"/>
    <w:rsid w:val="00270CF4"/>
    <w:rsid w:val="00272256"/>
    <w:rsid w:val="002727A4"/>
    <w:rsid w:val="002728BA"/>
    <w:rsid w:val="0027294B"/>
    <w:rsid w:val="00273DB1"/>
    <w:rsid w:val="00273EB4"/>
    <w:rsid w:val="00274682"/>
    <w:rsid w:val="002747B2"/>
    <w:rsid w:val="00275158"/>
    <w:rsid w:val="00275400"/>
    <w:rsid w:val="0027558A"/>
    <w:rsid w:val="002758CC"/>
    <w:rsid w:val="00275C5A"/>
    <w:rsid w:val="002770C4"/>
    <w:rsid w:val="00280205"/>
    <w:rsid w:val="00281014"/>
    <w:rsid w:val="002818AC"/>
    <w:rsid w:val="00281ECD"/>
    <w:rsid w:val="002820CD"/>
    <w:rsid w:val="00282582"/>
    <w:rsid w:val="00282C48"/>
    <w:rsid w:val="0028308F"/>
    <w:rsid w:val="00283493"/>
    <w:rsid w:val="00283517"/>
    <w:rsid w:val="0028375C"/>
    <w:rsid w:val="00283B90"/>
    <w:rsid w:val="00284554"/>
    <w:rsid w:val="002849B5"/>
    <w:rsid w:val="002859B0"/>
    <w:rsid w:val="00285BCE"/>
    <w:rsid w:val="002861AF"/>
    <w:rsid w:val="00286306"/>
    <w:rsid w:val="00286508"/>
    <w:rsid w:val="0028665D"/>
    <w:rsid w:val="002901A1"/>
    <w:rsid w:val="002914D5"/>
    <w:rsid w:val="002915EF"/>
    <w:rsid w:val="00291684"/>
    <w:rsid w:val="00291795"/>
    <w:rsid w:val="00291AB9"/>
    <w:rsid w:val="00291B85"/>
    <w:rsid w:val="002925CC"/>
    <w:rsid w:val="00292A73"/>
    <w:rsid w:val="00294A30"/>
    <w:rsid w:val="00294E12"/>
    <w:rsid w:val="002959A6"/>
    <w:rsid w:val="00296DD2"/>
    <w:rsid w:val="0029768A"/>
    <w:rsid w:val="00297E89"/>
    <w:rsid w:val="00297ECF"/>
    <w:rsid w:val="002A1287"/>
    <w:rsid w:val="002A14AB"/>
    <w:rsid w:val="002A191B"/>
    <w:rsid w:val="002A1E04"/>
    <w:rsid w:val="002A209E"/>
    <w:rsid w:val="002A2ADE"/>
    <w:rsid w:val="002A2C0C"/>
    <w:rsid w:val="002A2E9A"/>
    <w:rsid w:val="002A2F50"/>
    <w:rsid w:val="002A31C3"/>
    <w:rsid w:val="002A547E"/>
    <w:rsid w:val="002A5732"/>
    <w:rsid w:val="002A5B8F"/>
    <w:rsid w:val="002A63BC"/>
    <w:rsid w:val="002A7169"/>
    <w:rsid w:val="002A75F6"/>
    <w:rsid w:val="002A7943"/>
    <w:rsid w:val="002B017E"/>
    <w:rsid w:val="002B05A1"/>
    <w:rsid w:val="002B09A4"/>
    <w:rsid w:val="002B0C4D"/>
    <w:rsid w:val="002B0D4D"/>
    <w:rsid w:val="002B13B4"/>
    <w:rsid w:val="002B1C1F"/>
    <w:rsid w:val="002B23B2"/>
    <w:rsid w:val="002B2885"/>
    <w:rsid w:val="002B2D2C"/>
    <w:rsid w:val="002B42AA"/>
    <w:rsid w:val="002B432F"/>
    <w:rsid w:val="002B4346"/>
    <w:rsid w:val="002B62B3"/>
    <w:rsid w:val="002B6754"/>
    <w:rsid w:val="002B69FE"/>
    <w:rsid w:val="002B6CCE"/>
    <w:rsid w:val="002B7BE2"/>
    <w:rsid w:val="002C07A5"/>
    <w:rsid w:val="002C2510"/>
    <w:rsid w:val="002C2775"/>
    <w:rsid w:val="002C27C1"/>
    <w:rsid w:val="002C2C90"/>
    <w:rsid w:val="002C3317"/>
    <w:rsid w:val="002C36E3"/>
    <w:rsid w:val="002C3716"/>
    <w:rsid w:val="002C3AAD"/>
    <w:rsid w:val="002C4050"/>
    <w:rsid w:val="002C4399"/>
    <w:rsid w:val="002C4BC0"/>
    <w:rsid w:val="002C5099"/>
    <w:rsid w:val="002C568F"/>
    <w:rsid w:val="002C5889"/>
    <w:rsid w:val="002C5964"/>
    <w:rsid w:val="002C5DDC"/>
    <w:rsid w:val="002C6305"/>
    <w:rsid w:val="002C65BF"/>
    <w:rsid w:val="002C69D1"/>
    <w:rsid w:val="002C71CE"/>
    <w:rsid w:val="002C73F6"/>
    <w:rsid w:val="002C77E7"/>
    <w:rsid w:val="002C7EFE"/>
    <w:rsid w:val="002C7F26"/>
    <w:rsid w:val="002D0782"/>
    <w:rsid w:val="002D08F8"/>
    <w:rsid w:val="002D1159"/>
    <w:rsid w:val="002D1CDB"/>
    <w:rsid w:val="002D2179"/>
    <w:rsid w:val="002D3662"/>
    <w:rsid w:val="002D39C2"/>
    <w:rsid w:val="002D571A"/>
    <w:rsid w:val="002D577C"/>
    <w:rsid w:val="002D6689"/>
    <w:rsid w:val="002D68E0"/>
    <w:rsid w:val="002D6A8A"/>
    <w:rsid w:val="002D7024"/>
    <w:rsid w:val="002D70B4"/>
    <w:rsid w:val="002D7832"/>
    <w:rsid w:val="002D79B7"/>
    <w:rsid w:val="002E0A78"/>
    <w:rsid w:val="002E0B9A"/>
    <w:rsid w:val="002E0CF8"/>
    <w:rsid w:val="002E1071"/>
    <w:rsid w:val="002E139F"/>
    <w:rsid w:val="002E15B9"/>
    <w:rsid w:val="002E163F"/>
    <w:rsid w:val="002E1726"/>
    <w:rsid w:val="002E2158"/>
    <w:rsid w:val="002E255B"/>
    <w:rsid w:val="002E3254"/>
    <w:rsid w:val="002E35C5"/>
    <w:rsid w:val="002E3D25"/>
    <w:rsid w:val="002E404A"/>
    <w:rsid w:val="002E49B0"/>
    <w:rsid w:val="002E4F02"/>
    <w:rsid w:val="002E5611"/>
    <w:rsid w:val="002E57DD"/>
    <w:rsid w:val="002E5AB6"/>
    <w:rsid w:val="002E5DEE"/>
    <w:rsid w:val="002E72C2"/>
    <w:rsid w:val="002E741E"/>
    <w:rsid w:val="002E7722"/>
    <w:rsid w:val="002F07BA"/>
    <w:rsid w:val="002F0D2E"/>
    <w:rsid w:val="002F0DA9"/>
    <w:rsid w:val="002F1014"/>
    <w:rsid w:val="002F14FB"/>
    <w:rsid w:val="002F15F7"/>
    <w:rsid w:val="002F18D0"/>
    <w:rsid w:val="002F1A85"/>
    <w:rsid w:val="002F1E3B"/>
    <w:rsid w:val="002F35E7"/>
    <w:rsid w:val="002F38E7"/>
    <w:rsid w:val="002F3B67"/>
    <w:rsid w:val="002F40FC"/>
    <w:rsid w:val="002F4449"/>
    <w:rsid w:val="002F49E0"/>
    <w:rsid w:val="002F4F5C"/>
    <w:rsid w:val="002F626D"/>
    <w:rsid w:val="002F643C"/>
    <w:rsid w:val="002F71C0"/>
    <w:rsid w:val="002F74F1"/>
    <w:rsid w:val="002F7598"/>
    <w:rsid w:val="002F7C51"/>
    <w:rsid w:val="003006A7"/>
    <w:rsid w:val="0030085F"/>
    <w:rsid w:val="00301017"/>
    <w:rsid w:val="003013E3"/>
    <w:rsid w:val="0030155F"/>
    <w:rsid w:val="00302620"/>
    <w:rsid w:val="00302674"/>
    <w:rsid w:val="00303450"/>
    <w:rsid w:val="003035E6"/>
    <w:rsid w:val="00303861"/>
    <w:rsid w:val="0030587B"/>
    <w:rsid w:val="003061E6"/>
    <w:rsid w:val="00306265"/>
    <w:rsid w:val="00306684"/>
    <w:rsid w:val="00306D98"/>
    <w:rsid w:val="0030786C"/>
    <w:rsid w:val="00307A08"/>
    <w:rsid w:val="00307D60"/>
    <w:rsid w:val="0031031A"/>
    <w:rsid w:val="0031034B"/>
    <w:rsid w:val="00310556"/>
    <w:rsid w:val="00310981"/>
    <w:rsid w:val="0031102A"/>
    <w:rsid w:val="0031112C"/>
    <w:rsid w:val="0031137E"/>
    <w:rsid w:val="0031141B"/>
    <w:rsid w:val="00311D9B"/>
    <w:rsid w:val="00311F89"/>
    <w:rsid w:val="0031222F"/>
    <w:rsid w:val="003124D9"/>
    <w:rsid w:val="00312594"/>
    <w:rsid w:val="00312E44"/>
    <w:rsid w:val="0031470B"/>
    <w:rsid w:val="003148B1"/>
    <w:rsid w:val="00315498"/>
    <w:rsid w:val="00316262"/>
    <w:rsid w:val="00316474"/>
    <w:rsid w:val="00316A65"/>
    <w:rsid w:val="003174D3"/>
    <w:rsid w:val="0031758A"/>
    <w:rsid w:val="003203E6"/>
    <w:rsid w:val="00321132"/>
    <w:rsid w:val="0032128A"/>
    <w:rsid w:val="00321BFF"/>
    <w:rsid w:val="00321D1B"/>
    <w:rsid w:val="00322107"/>
    <w:rsid w:val="00322355"/>
    <w:rsid w:val="00322846"/>
    <w:rsid w:val="00322C78"/>
    <w:rsid w:val="00323258"/>
    <w:rsid w:val="003239B8"/>
    <w:rsid w:val="00323B2D"/>
    <w:rsid w:val="00323B9D"/>
    <w:rsid w:val="003242B1"/>
    <w:rsid w:val="003245C7"/>
    <w:rsid w:val="00324FE5"/>
    <w:rsid w:val="003250E4"/>
    <w:rsid w:val="00325136"/>
    <w:rsid w:val="00325C70"/>
    <w:rsid w:val="00325CBC"/>
    <w:rsid w:val="00326572"/>
    <w:rsid w:val="003266BF"/>
    <w:rsid w:val="00326B37"/>
    <w:rsid w:val="00326DA7"/>
    <w:rsid w:val="003270E4"/>
    <w:rsid w:val="00327499"/>
    <w:rsid w:val="00327FA7"/>
    <w:rsid w:val="00330329"/>
    <w:rsid w:val="0033074D"/>
    <w:rsid w:val="00330DAA"/>
    <w:rsid w:val="00330F5C"/>
    <w:rsid w:val="003322D1"/>
    <w:rsid w:val="003327E7"/>
    <w:rsid w:val="00332E2F"/>
    <w:rsid w:val="00333219"/>
    <w:rsid w:val="00333826"/>
    <w:rsid w:val="00334852"/>
    <w:rsid w:val="00335257"/>
    <w:rsid w:val="0033528B"/>
    <w:rsid w:val="0033547B"/>
    <w:rsid w:val="003365E2"/>
    <w:rsid w:val="003366C9"/>
    <w:rsid w:val="003368F7"/>
    <w:rsid w:val="00336A18"/>
    <w:rsid w:val="003370F0"/>
    <w:rsid w:val="00337182"/>
    <w:rsid w:val="003371B0"/>
    <w:rsid w:val="00337DD2"/>
    <w:rsid w:val="003405EC"/>
    <w:rsid w:val="00340DF1"/>
    <w:rsid w:val="00341085"/>
    <w:rsid w:val="00341160"/>
    <w:rsid w:val="003418C9"/>
    <w:rsid w:val="003420BC"/>
    <w:rsid w:val="003422FD"/>
    <w:rsid w:val="00342C33"/>
    <w:rsid w:val="00342D6B"/>
    <w:rsid w:val="0034352B"/>
    <w:rsid w:val="0034381F"/>
    <w:rsid w:val="00344197"/>
    <w:rsid w:val="003441D6"/>
    <w:rsid w:val="003447AF"/>
    <w:rsid w:val="00345089"/>
    <w:rsid w:val="0034594F"/>
    <w:rsid w:val="00346B12"/>
    <w:rsid w:val="00346B4E"/>
    <w:rsid w:val="00346ED4"/>
    <w:rsid w:val="00347462"/>
    <w:rsid w:val="003477F2"/>
    <w:rsid w:val="00347A56"/>
    <w:rsid w:val="00347B17"/>
    <w:rsid w:val="0035071A"/>
    <w:rsid w:val="00350AAA"/>
    <w:rsid w:val="00351581"/>
    <w:rsid w:val="0035161A"/>
    <w:rsid w:val="003517F9"/>
    <w:rsid w:val="00351BA9"/>
    <w:rsid w:val="00352C4A"/>
    <w:rsid w:val="0035377E"/>
    <w:rsid w:val="00353A6B"/>
    <w:rsid w:val="00353F04"/>
    <w:rsid w:val="00353F51"/>
    <w:rsid w:val="003544A0"/>
    <w:rsid w:val="00354F64"/>
    <w:rsid w:val="003556E6"/>
    <w:rsid w:val="0035620E"/>
    <w:rsid w:val="00356977"/>
    <w:rsid w:val="003569C4"/>
    <w:rsid w:val="00356BEB"/>
    <w:rsid w:val="003575BE"/>
    <w:rsid w:val="00357A59"/>
    <w:rsid w:val="00357AB1"/>
    <w:rsid w:val="00357F65"/>
    <w:rsid w:val="00360345"/>
    <w:rsid w:val="00361A05"/>
    <w:rsid w:val="00362129"/>
    <w:rsid w:val="00362481"/>
    <w:rsid w:val="003624C4"/>
    <w:rsid w:val="0036296C"/>
    <w:rsid w:val="00363B00"/>
    <w:rsid w:val="00363D28"/>
    <w:rsid w:val="00364432"/>
    <w:rsid w:val="0036509D"/>
    <w:rsid w:val="0036543C"/>
    <w:rsid w:val="003654AC"/>
    <w:rsid w:val="00365620"/>
    <w:rsid w:val="00366430"/>
    <w:rsid w:val="003667D9"/>
    <w:rsid w:val="0036792A"/>
    <w:rsid w:val="00367C4E"/>
    <w:rsid w:val="0037051D"/>
    <w:rsid w:val="00370A26"/>
    <w:rsid w:val="003710CF"/>
    <w:rsid w:val="003711EA"/>
    <w:rsid w:val="003720C4"/>
    <w:rsid w:val="003725E4"/>
    <w:rsid w:val="003732BE"/>
    <w:rsid w:val="00373454"/>
    <w:rsid w:val="0037358A"/>
    <w:rsid w:val="0037375C"/>
    <w:rsid w:val="0037391B"/>
    <w:rsid w:val="00373C9D"/>
    <w:rsid w:val="00374388"/>
    <w:rsid w:val="003746FA"/>
    <w:rsid w:val="003747D8"/>
    <w:rsid w:val="00374A34"/>
    <w:rsid w:val="003750F6"/>
    <w:rsid w:val="003752D0"/>
    <w:rsid w:val="00375472"/>
    <w:rsid w:val="00375694"/>
    <w:rsid w:val="003760FC"/>
    <w:rsid w:val="00376D7A"/>
    <w:rsid w:val="0037704E"/>
    <w:rsid w:val="00377149"/>
    <w:rsid w:val="00377B7D"/>
    <w:rsid w:val="00380454"/>
    <w:rsid w:val="00381503"/>
    <w:rsid w:val="00382B42"/>
    <w:rsid w:val="0038365C"/>
    <w:rsid w:val="0038369B"/>
    <w:rsid w:val="00383B78"/>
    <w:rsid w:val="003848DC"/>
    <w:rsid w:val="00385A9D"/>
    <w:rsid w:val="00385C1C"/>
    <w:rsid w:val="00385F47"/>
    <w:rsid w:val="00385F49"/>
    <w:rsid w:val="0038623D"/>
    <w:rsid w:val="0038628A"/>
    <w:rsid w:val="00386549"/>
    <w:rsid w:val="00386672"/>
    <w:rsid w:val="00386A82"/>
    <w:rsid w:val="00387121"/>
    <w:rsid w:val="003875D1"/>
    <w:rsid w:val="00387E60"/>
    <w:rsid w:val="00387F33"/>
    <w:rsid w:val="00390195"/>
    <w:rsid w:val="003902B1"/>
    <w:rsid w:val="00390820"/>
    <w:rsid w:val="00390A1B"/>
    <w:rsid w:val="00390B41"/>
    <w:rsid w:val="00390E89"/>
    <w:rsid w:val="0039179C"/>
    <w:rsid w:val="00391DCA"/>
    <w:rsid w:val="00392683"/>
    <w:rsid w:val="00393CEC"/>
    <w:rsid w:val="00393F98"/>
    <w:rsid w:val="003944DB"/>
    <w:rsid w:val="00394851"/>
    <w:rsid w:val="00394E4D"/>
    <w:rsid w:val="00394F04"/>
    <w:rsid w:val="0039641F"/>
    <w:rsid w:val="00396896"/>
    <w:rsid w:val="00396C99"/>
    <w:rsid w:val="00396FD0"/>
    <w:rsid w:val="00397ED8"/>
    <w:rsid w:val="003A0130"/>
    <w:rsid w:val="003A1588"/>
    <w:rsid w:val="003A1A7A"/>
    <w:rsid w:val="003A1B12"/>
    <w:rsid w:val="003A1FDF"/>
    <w:rsid w:val="003A2392"/>
    <w:rsid w:val="003A2831"/>
    <w:rsid w:val="003A3CB6"/>
    <w:rsid w:val="003A3ED1"/>
    <w:rsid w:val="003A3F33"/>
    <w:rsid w:val="003A4062"/>
    <w:rsid w:val="003A43E6"/>
    <w:rsid w:val="003A44DB"/>
    <w:rsid w:val="003A44EA"/>
    <w:rsid w:val="003A492F"/>
    <w:rsid w:val="003A498D"/>
    <w:rsid w:val="003A4C14"/>
    <w:rsid w:val="003A5D84"/>
    <w:rsid w:val="003A6CB0"/>
    <w:rsid w:val="003A775C"/>
    <w:rsid w:val="003A7922"/>
    <w:rsid w:val="003A7990"/>
    <w:rsid w:val="003A7C3C"/>
    <w:rsid w:val="003B04CC"/>
    <w:rsid w:val="003B0611"/>
    <w:rsid w:val="003B06BF"/>
    <w:rsid w:val="003B1243"/>
    <w:rsid w:val="003B17A8"/>
    <w:rsid w:val="003B2D24"/>
    <w:rsid w:val="003B2FCA"/>
    <w:rsid w:val="003B3210"/>
    <w:rsid w:val="003B3938"/>
    <w:rsid w:val="003B3971"/>
    <w:rsid w:val="003B3E4A"/>
    <w:rsid w:val="003B3ED7"/>
    <w:rsid w:val="003B408C"/>
    <w:rsid w:val="003B40BB"/>
    <w:rsid w:val="003B4B47"/>
    <w:rsid w:val="003B52F5"/>
    <w:rsid w:val="003B537D"/>
    <w:rsid w:val="003B55D1"/>
    <w:rsid w:val="003B596F"/>
    <w:rsid w:val="003B5B40"/>
    <w:rsid w:val="003B5B61"/>
    <w:rsid w:val="003B6106"/>
    <w:rsid w:val="003B6B1C"/>
    <w:rsid w:val="003B6C58"/>
    <w:rsid w:val="003B7873"/>
    <w:rsid w:val="003C071D"/>
    <w:rsid w:val="003C0A82"/>
    <w:rsid w:val="003C0E24"/>
    <w:rsid w:val="003C0E3A"/>
    <w:rsid w:val="003C1654"/>
    <w:rsid w:val="003C1913"/>
    <w:rsid w:val="003C1E41"/>
    <w:rsid w:val="003C1EF7"/>
    <w:rsid w:val="003C20E5"/>
    <w:rsid w:val="003C22A1"/>
    <w:rsid w:val="003C2ACB"/>
    <w:rsid w:val="003C3339"/>
    <w:rsid w:val="003C3DDF"/>
    <w:rsid w:val="003C3FA0"/>
    <w:rsid w:val="003C4396"/>
    <w:rsid w:val="003C5542"/>
    <w:rsid w:val="003C6685"/>
    <w:rsid w:val="003C7213"/>
    <w:rsid w:val="003C756F"/>
    <w:rsid w:val="003C7AE3"/>
    <w:rsid w:val="003C7C15"/>
    <w:rsid w:val="003C7D19"/>
    <w:rsid w:val="003C7D2F"/>
    <w:rsid w:val="003D0C5A"/>
    <w:rsid w:val="003D1828"/>
    <w:rsid w:val="003D1861"/>
    <w:rsid w:val="003D1DE4"/>
    <w:rsid w:val="003D1E9A"/>
    <w:rsid w:val="003D2353"/>
    <w:rsid w:val="003D2422"/>
    <w:rsid w:val="003D2598"/>
    <w:rsid w:val="003D276A"/>
    <w:rsid w:val="003D2C80"/>
    <w:rsid w:val="003D2FCC"/>
    <w:rsid w:val="003D39A1"/>
    <w:rsid w:val="003D39CD"/>
    <w:rsid w:val="003D3E10"/>
    <w:rsid w:val="003D3FBF"/>
    <w:rsid w:val="003D40D1"/>
    <w:rsid w:val="003D4A30"/>
    <w:rsid w:val="003D63EC"/>
    <w:rsid w:val="003D6BDB"/>
    <w:rsid w:val="003D7452"/>
    <w:rsid w:val="003D79BB"/>
    <w:rsid w:val="003D7C98"/>
    <w:rsid w:val="003D7D9D"/>
    <w:rsid w:val="003E04BE"/>
    <w:rsid w:val="003E0543"/>
    <w:rsid w:val="003E0B19"/>
    <w:rsid w:val="003E171E"/>
    <w:rsid w:val="003E2C1E"/>
    <w:rsid w:val="003E2F03"/>
    <w:rsid w:val="003E38FA"/>
    <w:rsid w:val="003E5037"/>
    <w:rsid w:val="003E5603"/>
    <w:rsid w:val="003E6419"/>
    <w:rsid w:val="003E69AC"/>
    <w:rsid w:val="003E749E"/>
    <w:rsid w:val="003F0FA8"/>
    <w:rsid w:val="003F2A23"/>
    <w:rsid w:val="003F3F1B"/>
    <w:rsid w:val="003F3F5B"/>
    <w:rsid w:val="003F4156"/>
    <w:rsid w:val="003F41D9"/>
    <w:rsid w:val="003F45C5"/>
    <w:rsid w:val="003F4AA2"/>
    <w:rsid w:val="003F5605"/>
    <w:rsid w:val="003F5961"/>
    <w:rsid w:val="003F59FF"/>
    <w:rsid w:val="003F5ADF"/>
    <w:rsid w:val="003F63F8"/>
    <w:rsid w:val="003F6F63"/>
    <w:rsid w:val="003F73EE"/>
    <w:rsid w:val="003F7A72"/>
    <w:rsid w:val="003F7AB9"/>
    <w:rsid w:val="003F7B60"/>
    <w:rsid w:val="00400158"/>
    <w:rsid w:val="00400676"/>
    <w:rsid w:val="00400B29"/>
    <w:rsid w:val="00400B6F"/>
    <w:rsid w:val="00401071"/>
    <w:rsid w:val="00402287"/>
    <w:rsid w:val="00402565"/>
    <w:rsid w:val="00402812"/>
    <w:rsid w:val="00402B1C"/>
    <w:rsid w:val="0040357C"/>
    <w:rsid w:val="00403E7B"/>
    <w:rsid w:val="00403F0A"/>
    <w:rsid w:val="00403F8F"/>
    <w:rsid w:val="00404372"/>
    <w:rsid w:val="0040504B"/>
    <w:rsid w:val="00405162"/>
    <w:rsid w:val="004054AC"/>
    <w:rsid w:val="004055A9"/>
    <w:rsid w:val="0040594B"/>
    <w:rsid w:val="004059F4"/>
    <w:rsid w:val="00405A45"/>
    <w:rsid w:val="00406C6E"/>
    <w:rsid w:val="0040793B"/>
    <w:rsid w:val="00407BD2"/>
    <w:rsid w:val="00407D58"/>
    <w:rsid w:val="00407F4E"/>
    <w:rsid w:val="00407FE5"/>
    <w:rsid w:val="004101B0"/>
    <w:rsid w:val="00410326"/>
    <w:rsid w:val="00410708"/>
    <w:rsid w:val="00410EC7"/>
    <w:rsid w:val="00411B39"/>
    <w:rsid w:val="00411E93"/>
    <w:rsid w:val="004121B0"/>
    <w:rsid w:val="004124B7"/>
    <w:rsid w:val="004127A7"/>
    <w:rsid w:val="0041280C"/>
    <w:rsid w:val="00412AB9"/>
    <w:rsid w:val="00412CC1"/>
    <w:rsid w:val="00413A1E"/>
    <w:rsid w:val="00414476"/>
    <w:rsid w:val="00414C2E"/>
    <w:rsid w:val="004151CF"/>
    <w:rsid w:val="0041546E"/>
    <w:rsid w:val="0041589C"/>
    <w:rsid w:val="004162C7"/>
    <w:rsid w:val="00416364"/>
    <w:rsid w:val="00416B08"/>
    <w:rsid w:val="00417207"/>
    <w:rsid w:val="004175AA"/>
    <w:rsid w:val="00417E16"/>
    <w:rsid w:val="00420168"/>
    <w:rsid w:val="0042047F"/>
    <w:rsid w:val="00420AA6"/>
    <w:rsid w:val="00420B9F"/>
    <w:rsid w:val="004211D5"/>
    <w:rsid w:val="0042192C"/>
    <w:rsid w:val="00421CD6"/>
    <w:rsid w:val="00422260"/>
    <w:rsid w:val="0042226F"/>
    <w:rsid w:val="004224DD"/>
    <w:rsid w:val="0042288D"/>
    <w:rsid w:val="00423FAE"/>
    <w:rsid w:val="0042413F"/>
    <w:rsid w:val="00424496"/>
    <w:rsid w:val="004244FD"/>
    <w:rsid w:val="00424C05"/>
    <w:rsid w:val="00424F01"/>
    <w:rsid w:val="0042544E"/>
    <w:rsid w:val="004263C2"/>
    <w:rsid w:val="00427449"/>
    <w:rsid w:val="004276E5"/>
    <w:rsid w:val="00427AC5"/>
    <w:rsid w:val="00427DD9"/>
    <w:rsid w:val="00427F22"/>
    <w:rsid w:val="004310C7"/>
    <w:rsid w:val="004319F8"/>
    <w:rsid w:val="00431E55"/>
    <w:rsid w:val="00431F2C"/>
    <w:rsid w:val="00432146"/>
    <w:rsid w:val="004321F6"/>
    <w:rsid w:val="004324DE"/>
    <w:rsid w:val="00432572"/>
    <w:rsid w:val="0043263D"/>
    <w:rsid w:val="00432F37"/>
    <w:rsid w:val="00433044"/>
    <w:rsid w:val="004333B7"/>
    <w:rsid w:val="004333C1"/>
    <w:rsid w:val="00433A18"/>
    <w:rsid w:val="00434088"/>
    <w:rsid w:val="00434315"/>
    <w:rsid w:val="004349C6"/>
    <w:rsid w:val="00434AF9"/>
    <w:rsid w:val="00434B6A"/>
    <w:rsid w:val="004354C3"/>
    <w:rsid w:val="00435654"/>
    <w:rsid w:val="0043640B"/>
    <w:rsid w:val="004369B0"/>
    <w:rsid w:val="00436A4A"/>
    <w:rsid w:val="004375B9"/>
    <w:rsid w:val="004377D0"/>
    <w:rsid w:val="0044119D"/>
    <w:rsid w:val="004411FD"/>
    <w:rsid w:val="004419FB"/>
    <w:rsid w:val="00442483"/>
    <w:rsid w:val="004425CB"/>
    <w:rsid w:val="004428D0"/>
    <w:rsid w:val="00443D2C"/>
    <w:rsid w:val="00444185"/>
    <w:rsid w:val="004443A7"/>
    <w:rsid w:val="0044442C"/>
    <w:rsid w:val="004448E6"/>
    <w:rsid w:val="00445085"/>
    <w:rsid w:val="004452D1"/>
    <w:rsid w:val="0044569E"/>
    <w:rsid w:val="00445941"/>
    <w:rsid w:val="00445DC5"/>
    <w:rsid w:val="00446170"/>
    <w:rsid w:val="004464EB"/>
    <w:rsid w:val="004467CD"/>
    <w:rsid w:val="00446B76"/>
    <w:rsid w:val="004478E0"/>
    <w:rsid w:val="00447D26"/>
    <w:rsid w:val="00447DFC"/>
    <w:rsid w:val="00447F35"/>
    <w:rsid w:val="004506D9"/>
    <w:rsid w:val="004506FC"/>
    <w:rsid w:val="00450DD2"/>
    <w:rsid w:val="00451CDF"/>
    <w:rsid w:val="00452AB9"/>
    <w:rsid w:val="0045461B"/>
    <w:rsid w:val="004558B8"/>
    <w:rsid w:val="00455D45"/>
    <w:rsid w:val="00456CD8"/>
    <w:rsid w:val="00457012"/>
    <w:rsid w:val="00457422"/>
    <w:rsid w:val="004604A2"/>
    <w:rsid w:val="004628B4"/>
    <w:rsid w:val="0046292F"/>
    <w:rsid w:val="00462B5B"/>
    <w:rsid w:val="00463E42"/>
    <w:rsid w:val="00464595"/>
    <w:rsid w:val="00464773"/>
    <w:rsid w:val="00464A9B"/>
    <w:rsid w:val="0046503C"/>
    <w:rsid w:val="004658B5"/>
    <w:rsid w:val="00465B57"/>
    <w:rsid w:val="004674A4"/>
    <w:rsid w:val="0046775C"/>
    <w:rsid w:val="00467959"/>
    <w:rsid w:val="0047056C"/>
    <w:rsid w:val="004708C6"/>
    <w:rsid w:val="00470D14"/>
    <w:rsid w:val="004719F1"/>
    <w:rsid w:val="00471EA5"/>
    <w:rsid w:val="00472009"/>
    <w:rsid w:val="00472A79"/>
    <w:rsid w:val="00473772"/>
    <w:rsid w:val="00473F19"/>
    <w:rsid w:val="0047408B"/>
    <w:rsid w:val="00474743"/>
    <w:rsid w:val="0047536C"/>
    <w:rsid w:val="00475E22"/>
    <w:rsid w:val="004765AA"/>
    <w:rsid w:val="004802EF"/>
    <w:rsid w:val="0048088E"/>
    <w:rsid w:val="00480AB6"/>
    <w:rsid w:val="00480C68"/>
    <w:rsid w:val="00480D87"/>
    <w:rsid w:val="00480F2B"/>
    <w:rsid w:val="00482720"/>
    <w:rsid w:val="00482E11"/>
    <w:rsid w:val="004833EF"/>
    <w:rsid w:val="004835E7"/>
    <w:rsid w:val="00484C14"/>
    <w:rsid w:val="0048586E"/>
    <w:rsid w:val="004859E1"/>
    <w:rsid w:val="00486432"/>
    <w:rsid w:val="00486589"/>
    <w:rsid w:val="004866A3"/>
    <w:rsid w:val="004867E2"/>
    <w:rsid w:val="00486DAF"/>
    <w:rsid w:val="00487B06"/>
    <w:rsid w:val="00487D02"/>
    <w:rsid w:val="004906CE"/>
    <w:rsid w:val="00490B17"/>
    <w:rsid w:val="00490DF9"/>
    <w:rsid w:val="00491B3A"/>
    <w:rsid w:val="00492727"/>
    <w:rsid w:val="00492CFD"/>
    <w:rsid w:val="00493868"/>
    <w:rsid w:val="00493C2E"/>
    <w:rsid w:val="00493CD2"/>
    <w:rsid w:val="00494207"/>
    <w:rsid w:val="00494746"/>
    <w:rsid w:val="00494DD5"/>
    <w:rsid w:val="004952E7"/>
    <w:rsid w:val="00495C69"/>
    <w:rsid w:val="004962D2"/>
    <w:rsid w:val="0049671E"/>
    <w:rsid w:val="00496CC6"/>
    <w:rsid w:val="00497564"/>
    <w:rsid w:val="00497713"/>
    <w:rsid w:val="004A0884"/>
    <w:rsid w:val="004A0DA1"/>
    <w:rsid w:val="004A13D6"/>
    <w:rsid w:val="004A1731"/>
    <w:rsid w:val="004A19F6"/>
    <w:rsid w:val="004A1BD2"/>
    <w:rsid w:val="004A21EF"/>
    <w:rsid w:val="004A22E8"/>
    <w:rsid w:val="004A291F"/>
    <w:rsid w:val="004A3258"/>
    <w:rsid w:val="004A328E"/>
    <w:rsid w:val="004A3679"/>
    <w:rsid w:val="004A3746"/>
    <w:rsid w:val="004A3CD5"/>
    <w:rsid w:val="004A4BA3"/>
    <w:rsid w:val="004A4C57"/>
    <w:rsid w:val="004A52E9"/>
    <w:rsid w:val="004A52FB"/>
    <w:rsid w:val="004A5F09"/>
    <w:rsid w:val="004A6040"/>
    <w:rsid w:val="004A618A"/>
    <w:rsid w:val="004A626F"/>
    <w:rsid w:val="004A6597"/>
    <w:rsid w:val="004A65C4"/>
    <w:rsid w:val="004A697F"/>
    <w:rsid w:val="004A7848"/>
    <w:rsid w:val="004A793B"/>
    <w:rsid w:val="004A7C2D"/>
    <w:rsid w:val="004B06B9"/>
    <w:rsid w:val="004B13C4"/>
    <w:rsid w:val="004B1CB4"/>
    <w:rsid w:val="004B1E07"/>
    <w:rsid w:val="004B1F3B"/>
    <w:rsid w:val="004B216F"/>
    <w:rsid w:val="004B2F18"/>
    <w:rsid w:val="004B362F"/>
    <w:rsid w:val="004B3A2E"/>
    <w:rsid w:val="004B3DDB"/>
    <w:rsid w:val="004B4355"/>
    <w:rsid w:val="004B44FD"/>
    <w:rsid w:val="004B5934"/>
    <w:rsid w:val="004B5C1A"/>
    <w:rsid w:val="004B5CFC"/>
    <w:rsid w:val="004B6F79"/>
    <w:rsid w:val="004B774D"/>
    <w:rsid w:val="004B790A"/>
    <w:rsid w:val="004C01FF"/>
    <w:rsid w:val="004C07E9"/>
    <w:rsid w:val="004C0823"/>
    <w:rsid w:val="004C0AC6"/>
    <w:rsid w:val="004C0F01"/>
    <w:rsid w:val="004C0F98"/>
    <w:rsid w:val="004C1714"/>
    <w:rsid w:val="004C2572"/>
    <w:rsid w:val="004C2673"/>
    <w:rsid w:val="004C2AC2"/>
    <w:rsid w:val="004C2C7D"/>
    <w:rsid w:val="004C2F69"/>
    <w:rsid w:val="004C3BFD"/>
    <w:rsid w:val="004C4AED"/>
    <w:rsid w:val="004C4C84"/>
    <w:rsid w:val="004C52D8"/>
    <w:rsid w:val="004C6942"/>
    <w:rsid w:val="004C7041"/>
    <w:rsid w:val="004D00BE"/>
    <w:rsid w:val="004D0B5C"/>
    <w:rsid w:val="004D0ED5"/>
    <w:rsid w:val="004D2742"/>
    <w:rsid w:val="004D2B6F"/>
    <w:rsid w:val="004D2C2D"/>
    <w:rsid w:val="004D2CCF"/>
    <w:rsid w:val="004D35B2"/>
    <w:rsid w:val="004D3714"/>
    <w:rsid w:val="004D371E"/>
    <w:rsid w:val="004D3D6A"/>
    <w:rsid w:val="004D4382"/>
    <w:rsid w:val="004D5AD9"/>
    <w:rsid w:val="004D5F3E"/>
    <w:rsid w:val="004D60A7"/>
    <w:rsid w:val="004D69B5"/>
    <w:rsid w:val="004D6C93"/>
    <w:rsid w:val="004D6E31"/>
    <w:rsid w:val="004D7227"/>
    <w:rsid w:val="004D7B5E"/>
    <w:rsid w:val="004E0079"/>
    <w:rsid w:val="004E026E"/>
    <w:rsid w:val="004E0ADF"/>
    <w:rsid w:val="004E0E7F"/>
    <w:rsid w:val="004E0EB8"/>
    <w:rsid w:val="004E14CF"/>
    <w:rsid w:val="004E18E9"/>
    <w:rsid w:val="004E203B"/>
    <w:rsid w:val="004E2063"/>
    <w:rsid w:val="004E2ADC"/>
    <w:rsid w:val="004E2BA4"/>
    <w:rsid w:val="004E2C07"/>
    <w:rsid w:val="004E2E1F"/>
    <w:rsid w:val="004E2F38"/>
    <w:rsid w:val="004E302A"/>
    <w:rsid w:val="004E3145"/>
    <w:rsid w:val="004E341E"/>
    <w:rsid w:val="004E3A07"/>
    <w:rsid w:val="004E430C"/>
    <w:rsid w:val="004E43B2"/>
    <w:rsid w:val="004E4A2C"/>
    <w:rsid w:val="004E500B"/>
    <w:rsid w:val="004E5814"/>
    <w:rsid w:val="004F052A"/>
    <w:rsid w:val="004F0685"/>
    <w:rsid w:val="004F1003"/>
    <w:rsid w:val="004F1D02"/>
    <w:rsid w:val="004F2679"/>
    <w:rsid w:val="004F2B73"/>
    <w:rsid w:val="004F2F21"/>
    <w:rsid w:val="004F3016"/>
    <w:rsid w:val="004F36E6"/>
    <w:rsid w:val="004F3DE5"/>
    <w:rsid w:val="004F4311"/>
    <w:rsid w:val="004F4CCF"/>
    <w:rsid w:val="004F54CC"/>
    <w:rsid w:val="004F5563"/>
    <w:rsid w:val="004F5A05"/>
    <w:rsid w:val="004F6913"/>
    <w:rsid w:val="004F7717"/>
    <w:rsid w:val="004F7865"/>
    <w:rsid w:val="00500444"/>
    <w:rsid w:val="00500D8B"/>
    <w:rsid w:val="0050174E"/>
    <w:rsid w:val="00501854"/>
    <w:rsid w:val="00501E39"/>
    <w:rsid w:val="00501FC5"/>
    <w:rsid w:val="0050219B"/>
    <w:rsid w:val="00502613"/>
    <w:rsid w:val="005037C8"/>
    <w:rsid w:val="00503959"/>
    <w:rsid w:val="00503F17"/>
    <w:rsid w:val="00503F3A"/>
    <w:rsid w:val="005046B9"/>
    <w:rsid w:val="00506928"/>
    <w:rsid w:val="00506C09"/>
    <w:rsid w:val="005076A0"/>
    <w:rsid w:val="005077EF"/>
    <w:rsid w:val="00507DDF"/>
    <w:rsid w:val="0051058B"/>
    <w:rsid w:val="00510904"/>
    <w:rsid w:val="005109F2"/>
    <w:rsid w:val="00510CB9"/>
    <w:rsid w:val="00511AD5"/>
    <w:rsid w:val="00511DC7"/>
    <w:rsid w:val="005127A8"/>
    <w:rsid w:val="00512E6D"/>
    <w:rsid w:val="00513C0C"/>
    <w:rsid w:val="0051412B"/>
    <w:rsid w:val="005142C5"/>
    <w:rsid w:val="005148E6"/>
    <w:rsid w:val="00514ABD"/>
    <w:rsid w:val="00514CEC"/>
    <w:rsid w:val="0051501B"/>
    <w:rsid w:val="005152B5"/>
    <w:rsid w:val="00515886"/>
    <w:rsid w:val="00515994"/>
    <w:rsid w:val="00515A9E"/>
    <w:rsid w:val="00516C7A"/>
    <w:rsid w:val="005177FD"/>
    <w:rsid w:val="005202CA"/>
    <w:rsid w:val="00520458"/>
    <w:rsid w:val="005209AD"/>
    <w:rsid w:val="0052123C"/>
    <w:rsid w:val="00521319"/>
    <w:rsid w:val="005214A1"/>
    <w:rsid w:val="00522965"/>
    <w:rsid w:val="00522BC8"/>
    <w:rsid w:val="00522CD4"/>
    <w:rsid w:val="00522F99"/>
    <w:rsid w:val="00523C28"/>
    <w:rsid w:val="00525854"/>
    <w:rsid w:val="00525990"/>
    <w:rsid w:val="00525D49"/>
    <w:rsid w:val="00525FB2"/>
    <w:rsid w:val="0052685B"/>
    <w:rsid w:val="005270AC"/>
    <w:rsid w:val="00527860"/>
    <w:rsid w:val="00531337"/>
    <w:rsid w:val="0053176B"/>
    <w:rsid w:val="00531A8A"/>
    <w:rsid w:val="0053234F"/>
    <w:rsid w:val="0053274E"/>
    <w:rsid w:val="00532D57"/>
    <w:rsid w:val="005341B3"/>
    <w:rsid w:val="00536F42"/>
    <w:rsid w:val="00537182"/>
    <w:rsid w:val="005378B5"/>
    <w:rsid w:val="00537C4C"/>
    <w:rsid w:val="005406A8"/>
    <w:rsid w:val="00541EDD"/>
    <w:rsid w:val="00542743"/>
    <w:rsid w:val="00542C2D"/>
    <w:rsid w:val="00543AE7"/>
    <w:rsid w:val="0054499A"/>
    <w:rsid w:val="00545203"/>
    <w:rsid w:val="005453D5"/>
    <w:rsid w:val="005457DB"/>
    <w:rsid w:val="00545C79"/>
    <w:rsid w:val="00545D42"/>
    <w:rsid w:val="00545D9B"/>
    <w:rsid w:val="00545E12"/>
    <w:rsid w:val="00546B66"/>
    <w:rsid w:val="00546E5C"/>
    <w:rsid w:val="005478BD"/>
    <w:rsid w:val="00547943"/>
    <w:rsid w:val="005479E3"/>
    <w:rsid w:val="0055045D"/>
    <w:rsid w:val="00550546"/>
    <w:rsid w:val="005507F9"/>
    <w:rsid w:val="00551985"/>
    <w:rsid w:val="00551998"/>
    <w:rsid w:val="00551DBA"/>
    <w:rsid w:val="00552079"/>
    <w:rsid w:val="00552BD3"/>
    <w:rsid w:val="00552FBF"/>
    <w:rsid w:val="005532A0"/>
    <w:rsid w:val="005534D0"/>
    <w:rsid w:val="005539B1"/>
    <w:rsid w:val="00553BCD"/>
    <w:rsid w:val="00553F49"/>
    <w:rsid w:val="00555109"/>
    <w:rsid w:val="00555D41"/>
    <w:rsid w:val="00555D9B"/>
    <w:rsid w:val="00555E9B"/>
    <w:rsid w:val="00556511"/>
    <w:rsid w:val="00556837"/>
    <w:rsid w:val="0055687D"/>
    <w:rsid w:val="00556B35"/>
    <w:rsid w:val="005571BF"/>
    <w:rsid w:val="0055741A"/>
    <w:rsid w:val="0055746A"/>
    <w:rsid w:val="00557C4E"/>
    <w:rsid w:val="00557DA5"/>
    <w:rsid w:val="005601D9"/>
    <w:rsid w:val="00560739"/>
    <w:rsid w:val="00560787"/>
    <w:rsid w:val="00560E1F"/>
    <w:rsid w:val="00560F9A"/>
    <w:rsid w:val="005610CB"/>
    <w:rsid w:val="005611B7"/>
    <w:rsid w:val="00561415"/>
    <w:rsid w:val="005618D4"/>
    <w:rsid w:val="00561DCA"/>
    <w:rsid w:val="00562085"/>
    <w:rsid w:val="0056239C"/>
    <w:rsid w:val="00562A75"/>
    <w:rsid w:val="005638A0"/>
    <w:rsid w:val="00563A72"/>
    <w:rsid w:val="00564867"/>
    <w:rsid w:val="005649FD"/>
    <w:rsid w:val="00565C79"/>
    <w:rsid w:val="00565DF0"/>
    <w:rsid w:val="0056677B"/>
    <w:rsid w:val="0056688A"/>
    <w:rsid w:val="0056696F"/>
    <w:rsid w:val="00566DB4"/>
    <w:rsid w:val="00567EE2"/>
    <w:rsid w:val="00567F11"/>
    <w:rsid w:val="00570100"/>
    <w:rsid w:val="005707A6"/>
    <w:rsid w:val="00570C88"/>
    <w:rsid w:val="00572269"/>
    <w:rsid w:val="0057244A"/>
    <w:rsid w:val="00572E78"/>
    <w:rsid w:val="00572F26"/>
    <w:rsid w:val="005732A7"/>
    <w:rsid w:val="00573378"/>
    <w:rsid w:val="00573B3E"/>
    <w:rsid w:val="00574AC1"/>
    <w:rsid w:val="00574B85"/>
    <w:rsid w:val="00574F32"/>
    <w:rsid w:val="005750C5"/>
    <w:rsid w:val="005752DE"/>
    <w:rsid w:val="00575D60"/>
    <w:rsid w:val="00575D8D"/>
    <w:rsid w:val="00576578"/>
    <w:rsid w:val="00576778"/>
    <w:rsid w:val="00576864"/>
    <w:rsid w:val="00576972"/>
    <w:rsid w:val="00576A3B"/>
    <w:rsid w:val="00576BF4"/>
    <w:rsid w:val="00576D0E"/>
    <w:rsid w:val="00577248"/>
    <w:rsid w:val="0057750E"/>
    <w:rsid w:val="005800B8"/>
    <w:rsid w:val="005801EE"/>
    <w:rsid w:val="00580B7A"/>
    <w:rsid w:val="005811A4"/>
    <w:rsid w:val="00581453"/>
    <w:rsid w:val="005816CE"/>
    <w:rsid w:val="00581EB9"/>
    <w:rsid w:val="00581F0B"/>
    <w:rsid w:val="00583441"/>
    <w:rsid w:val="00583699"/>
    <w:rsid w:val="005837DC"/>
    <w:rsid w:val="00584591"/>
    <w:rsid w:val="005852B9"/>
    <w:rsid w:val="00585AF8"/>
    <w:rsid w:val="00585CDD"/>
    <w:rsid w:val="00585E7D"/>
    <w:rsid w:val="005869FF"/>
    <w:rsid w:val="00586A38"/>
    <w:rsid w:val="00587058"/>
    <w:rsid w:val="00587A46"/>
    <w:rsid w:val="005907B5"/>
    <w:rsid w:val="00590CF0"/>
    <w:rsid w:val="00590DCA"/>
    <w:rsid w:val="00591957"/>
    <w:rsid w:val="005919E4"/>
    <w:rsid w:val="00591D9B"/>
    <w:rsid w:val="005929AB"/>
    <w:rsid w:val="0059301D"/>
    <w:rsid w:val="00593BB3"/>
    <w:rsid w:val="00594262"/>
    <w:rsid w:val="00595744"/>
    <w:rsid w:val="00596748"/>
    <w:rsid w:val="0059676F"/>
    <w:rsid w:val="00596A29"/>
    <w:rsid w:val="00596DDA"/>
    <w:rsid w:val="005971E7"/>
    <w:rsid w:val="0059720E"/>
    <w:rsid w:val="0059731D"/>
    <w:rsid w:val="00597BF9"/>
    <w:rsid w:val="005A0054"/>
    <w:rsid w:val="005A0C11"/>
    <w:rsid w:val="005A16D2"/>
    <w:rsid w:val="005A1DF2"/>
    <w:rsid w:val="005A23DA"/>
    <w:rsid w:val="005A2894"/>
    <w:rsid w:val="005A28BC"/>
    <w:rsid w:val="005A2E65"/>
    <w:rsid w:val="005A2EB6"/>
    <w:rsid w:val="005A309A"/>
    <w:rsid w:val="005A373D"/>
    <w:rsid w:val="005A4704"/>
    <w:rsid w:val="005A4937"/>
    <w:rsid w:val="005A4EB6"/>
    <w:rsid w:val="005A6650"/>
    <w:rsid w:val="005A67EA"/>
    <w:rsid w:val="005A6A2C"/>
    <w:rsid w:val="005A72F5"/>
    <w:rsid w:val="005B018A"/>
    <w:rsid w:val="005B024D"/>
    <w:rsid w:val="005B0640"/>
    <w:rsid w:val="005B0B58"/>
    <w:rsid w:val="005B183E"/>
    <w:rsid w:val="005B22C7"/>
    <w:rsid w:val="005B2933"/>
    <w:rsid w:val="005B2D34"/>
    <w:rsid w:val="005B2DB5"/>
    <w:rsid w:val="005B32A0"/>
    <w:rsid w:val="005B359D"/>
    <w:rsid w:val="005B3997"/>
    <w:rsid w:val="005B4074"/>
    <w:rsid w:val="005B432E"/>
    <w:rsid w:val="005B4E53"/>
    <w:rsid w:val="005B4E60"/>
    <w:rsid w:val="005B4F31"/>
    <w:rsid w:val="005B512B"/>
    <w:rsid w:val="005B5857"/>
    <w:rsid w:val="005B6581"/>
    <w:rsid w:val="005B6715"/>
    <w:rsid w:val="005B6A37"/>
    <w:rsid w:val="005B7B38"/>
    <w:rsid w:val="005B7D6B"/>
    <w:rsid w:val="005C160C"/>
    <w:rsid w:val="005C19C4"/>
    <w:rsid w:val="005C1A1C"/>
    <w:rsid w:val="005C1B83"/>
    <w:rsid w:val="005C25FF"/>
    <w:rsid w:val="005C2845"/>
    <w:rsid w:val="005C2CE9"/>
    <w:rsid w:val="005C2D55"/>
    <w:rsid w:val="005C311F"/>
    <w:rsid w:val="005C346B"/>
    <w:rsid w:val="005C35E4"/>
    <w:rsid w:val="005C47FE"/>
    <w:rsid w:val="005C4AB0"/>
    <w:rsid w:val="005C4B6E"/>
    <w:rsid w:val="005C58E8"/>
    <w:rsid w:val="005C5ABC"/>
    <w:rsid w:val="005C5BB6"/>
    <w:rsid w:val="005C5BEF"/>
    <w:rsid w:val="005C6344"/>
    <w:rsid w:val="005C65F3"/>
    <w:rsid w:val="005C67AB"/>
    <w:rsid w:val="005C73C3"/>
    <w:rsid w:val="005C756A"/>
    <w:rsid w:val="005C7BA6"/>
    <w:rsid w:val="005D044D"/>
    <w:rsid w:val="005D0ABD"/>
    <w:rsid w:val="005D0EFB"/>
    <w:rsid w:val="005D157A"/>
    <w:rsid w:val="005D1889"/>
    <w:rsid w:val="005D18AD"/>
    <w:rsid w:val="005D1D0A"/>
    <w:rsid w:val="005D1E6F"/>
    <w:rsid w:val="005D26B4"/>
    <w:rsid w:val="005D31CC"/>
    <w:rsid w:val="005D387A"/>
    <w:rsid w:val="005D3F8D"/>
    <w:rsid w:val="005D4429"/>
    <w:rsid w:val="005D479E"/>
    <w:rsid w:val="005D4B1A"/>
    <w:rsid w:val="005D5976"/>
    <w:rsid w:val="005D680B"/>
    <w:rsid w:val="005D6876"/>
    <w:rsid w:val="005D6DBA"/>
    <w:rsid w:val="005D7618"/>
    <w:rsid w:val="005E0454"/>
    <w:rsid w:val="005E0484"/>
    <w:rsid w:val="005E0563"/>
    <w:rsid w:val="005E0639"/>
    <w:rsid w:val="005E101A"/>
    <w:rsid w:val="005E1281"/>
    <w:rsid w:val="005E16F9"/>
    <w:rsid w:val="005E1770"/>
    <w:rsid w:val="005E17C3"/>
    <w:rsid w:val="005E1995"/>
    <w:rsid w:val="005E1C99"/>
    <w:rsid w:val="005E1E34"/>
    <w:rsid w:val="005E2298"/>
    <w:rsid w:val="005E2D14"/>
    <w:rsid w:val="005E2FA3"/>
    <w:rsid w:val="005E31E5"/>
    <w:rsid w:val="005E3630"/>
    <w:rsid w:val="005E37DB"/>
    <w:rsid w:val="005E38B2"/>
    <w:rsid w:val="005E4694"/>
    <w:rsid w:val="005E4E10"/>
    <w:rsid w:val="005E52A8"/>
    <w:rsid w:val="005E543D"/>
    <w:rsid w:val="005E6CBC"/>
    <w:rsid w:val="005E72FF"/>
    <w:rsid w:val="005E73C0"/>
    <w:rsid w:val="005F038B"/>
    <w:rsid w:val="005F05F3"/>
    <w:rsid w:val="005F07ED"/>
    <w:rsid w:val="005F24F1"/>
    <w:rsid w:val="005F2543"/>
    <w:rsid w:val="005F2706"/>
    <w:rsid w:val="005F321B"/>
    <w:rsid w:val="005F344D"/>
    <w:rsid w:val="005F3E93"/>
    <w:rsid w:val="005F3F3E"/>
    <w:rsid w:val="005F3F74"/>
    <w:rsid w:val="005F509B"/>
    <w:rsid w:val="005F571D"/>
    <w:rsid w:val="005F6111"/>
    <w:rsid w:val="005F6A8F"/>
    <w:rsid w:val="005F6BB7"/>
    <w:rsid w:val="005F7074"/>
    <w:rsid w:val="005F7588"/>
    <w:rsid w:val="005F75BE"/>
    <w:rsid w:val="005F7FB3"/>
    <w:rsid w:val="0060050D"/>
    <w:rsid w:val="00600941"/>
    <w:rsid w:val="0060167A"/>
    <w:rsid w:val="006022BA"/>
    <w:rsid w:val="006025FC"/>
    <w:rsid w:val="00602D30"/>
    <w:rsid w:val="00602F6D"/>
    <w:rsid w:val="0060302C"/>
    <w:rsid w:val="00603625"/>
    <w:rsid w:val="00603A70"/>
    <w:rsid w:val="00603DB9"/>
    <w:rsid w:val="00603F4F"/>
    <w:rsid w:val="00604287"/>
    <w:rsid w:val="0060453B"/>
    <w:rsid w:val="00605D32"/>
    <w:rsid w:val="00606E33"/>
    <w:rsid w:val="00606F4B"/>
    <w:rsid w:val="00606FBA"/>
    <w:rsid w:val="00607669"/>
    <w:rsid w:val="006076F4"/>
    <w:rsid w:val="00607AFD"/>
    <w:rsid w:val="00610004"/>
    <w:rsid w:val="00610AE7"/>
    <w:rsid w:val="00610C4F"/>
    <w:rsid w:val="006112A8"/>
    <w:rsid w:val="006113DB"/>
    <w:rsid w:val="00611487"/>
    <w:rsid w:val="00611B12"/>
    <w:rsid w:val="00611CF5"/>
    <w:rsid w:val="00612C68"/>
    <w:rsid w:val="00612CF9"/>
    <w:rsid w:val="00612F97"/>
    <w:rsid w:val="0061345D"/>
    <w:rsid w:val="00614063"/>
    <w:rsid w:val="0061549B"/>
    <w:rsid w:val="00616802"/>
    <w:rsid w:val="006169BA"/>
    <w:rsid w:val="006173E4"/>
    <w:rsid w:val="00617E12"/>
    <w:rsid w:val="006206B3"/>
    <w:rsid w:val="00620C25"/>
    <w:rsid w:val="00621283"/>
    <w:rsid w:val="00621477"/>
    <w:rsid w:val="00621708"/>
    <w:rsid w:val="00621ADA"/>
    <w:rsid w:val="00622BBC"/>
    <w:rsid w:val="006235BC"/>
    <w:rsid w:val="00623AF8"/>
    <w:rsid w:val="00623F7B"/>
    <w:rsid w:val="00624BD4"/>
    <w:rsid w:val="00624DCC"/>
    <w:rsid w:val="006250A6"/>
    <w:rsid w:val="00625207"/>
    <w:rsid w:val="00625288"/>
    <w:rsid w:val="00625B45"/>
    <w:rsid w:val="00625C00"/>
    <w:rsid w:val="006271BD"/>
    <w:rsid w:val="00627839"/>
    <w:rsid w:val="0063060A"/>
    <w:rsid w:val="0063158F"/>
    <w:rsid w:val="00631A11"/>
    <w:rsid w:val="00631D6B"/>
    <w:rsid w:val="00632183"/>
    <w:rsid w:val="006322A7"/>
    <w:rsid w:val="00632C62"/>
    <w:rsid w:val="006330A1"/>
    <w:rsid w:val="006333E4"/>
    <w:rsid w:val="006340CA"/>
    <w:rsid w:val="00634526"/>
    <w:rsid w:val="0063479F"/>
    <w:rsid w:val="00635273"/>
    <w:rsid w:val="006353F0"/>
    <w:rsid w:val="006357B5"/>
    <w:rsid w:val="0063633D"/>
    <w:rsid w:val="006364A1"/>
    <w:rsid w:val="0063678E"/>
    <w:rsid w:val="00636C0C"/>
    <w:rsid w:val="0063797B"/>
    <w:rsid w:val="00637BFD"/>
    <w:rsid w:val="00637C5C"/>
    <w:rsid w:val="00640B12"/>
    <w:rsid w:val="006413AA"/>
    <w:rsid w:val="006419E3"/>
    <w:rsid w:val="00641C4E"/>
    <w:rsid w:val="00641FB3"/>
    <w:rsid w:val="00642468"/>
    <w:rsid w:val="006433EF"/>
    <w:rsid w:val="006435B7"/>
    <w:rsid w:val="00643B8F"/>
    <w:rsid w:val="00643D64"/>
    <w:rsid w:val="0064434C"/>
    <w:rsid w:val="0064438A"/>
    <w:rsid w:val="0064452F"/>
    <w:rsid w:val="00645330"/>
    <w:rsid w:val="00645C7B"/>
    <w:rsid w:val="00647024"/>
    <w:rsid w:val="006471CC"/>
    <w:rsid w:val="006472FE"/>
    <w:rsid w:val="0064779B"/>
    <w:rsid w:val="00647A29"/>
    <w:rsid w:val="0065000A"/>
    <w:rsid w:val="0065079F"/>
    <w:rsid w:val="006509EB"/>
    <w:rsid w:val="00652748"/>
    <w:rsid w:val="00652A28"/>
    <w:rsid w:val="00652CCC"/>
    <w:rsid w:val="00653142"/>
    <w:rsid w:val="0065379F"/>
    <w:rsid w:val="00653869"/>
    <w:rsid w:val="00656162"/>
    <w:rsid w:val="00656188"/>
    <w:rsid w:val="006570A5"/>
    <w:rsid w:val="0065715A"/>
    <w:rsid w:val="0065795A"/>
    <w:rsid w:val="006610F1"/>
    <w:rsid w:val="006616A1"/>
    <w:rsid w:val="00661A19"/>
    <w:rsid w:val="00661C6B"/>
    <w:rsid w:val="00661C84"/>
    <w:rsid w:val="00662123"/>
    <w:rsid w:val="0066269F"/>
    <w:rsid w:val="006628F7"/>
    <w:rsid w:val="00662999"/>
    <w:rsid w:val="00662BDA"/>
    <w:rsid w:val="00662D3E"/>
    <w:rsid w:val="0066306F"/>
    <w:rsid w:val="00663751"/>
    <w:rsid w:val="006637F0"/>
    <w:rsid w:val="00664C74"/>
    <w:rsid w:val="00664FE0"/>
    <w:rsid w:val="0066555A"/>
    <w:rsid w:val="00665881"/>
    <w:rsid w:val="00667A58"/>
    <w:rsid w:val="00667BE3"/>
    <w:rsid w:val="00670CD2"/>
    <w:rsid w:val="00671004"/>
    <w:rsid w:val="006719B1"/>
    <w:rsid w:val="00672415"/>
    <w:rsid w:val="00672646"/>
    <w:rsid w:val="00672AE8"/>
    <w:rsid w:val="00673434"/>
    <w:rsid w:val="006739E4"/>
    <w:rsid w:val="00673E20"/>
    <w:rsid w:val="00673E2D"/>
    <w:rsid w:val="0067404D"/>
    <w:rsid w:val="00674B28"/>
    <w:rsid w:val="00674B73"/>
    <w:rsid w:val="00674D9D"/>
    <w:rsid w:val="00674E42"/>
    <w:rsid w:val="0067518D"/>
    <w:rsid w:val="00675422"/>
    <w:rsid w:val="00675FE9"/>
    <w:rsid w:val="00676239"/>
    <w:rsid w:val="00676563"/>
    <w:rsid w:val="006766FF"/>
    <w:rsid w:val="006767CF"/>
    <w:rsid w:val="00677CFF"/>
    <w:rsid w:val="00680CA3"/>
    <w:rsid w:val="006813F8"/>
    <w:rsid w:val="00681B3A"/>
    <w:rsid w:val="00682112"/>
    <w:rsid w:val="00682207"/>
    <w:rsid w:val="00682BA6"/>
    <w:rsid w:val="006838A3"/>
    <w:rsid w:val="00683E1C"/>
    <w:rsid w:val="006840DD"/>
    <w:rsid w:val="00685039"/>
    <w:rsid w:val="00685786"/>
    <w:rsid w:val="00685E19"/>
    <w:rsid w:val="00686957"/>
    <w:rsid w:val="00686D17"/>
    <w:rsid w:val="00686DB7"/>
    <w:rsid w:val="0068713A"/>
    <w:rsid w:val="006872BA"/>
    <w:rsid w:val="006876A8"/>
    <w:rsid w:val="00687CCA"/>
    <w:rsid w:val="00690612"/>
    <w:rsid w:val="0069064E"/>
    <w:rsid w:val="00690795"/>
    <w:rsid w:val="00690B91"/>
    <w:rsid w:val="00690CD9"/>
    <w:rsid w:val="00690F3A"/>
    <w:rsid w:val="006915FC"/>
    <w:rsid w:val="00691648"/>
    <w:rsid w:val="006917D7"/>
    <w:rsid w:val="00691A4B"/>
    <w:rsid w:val="0069239F"/>
    <w:rsid w:val="00692DEA"/>
    <w:rsid w:val="00692DF6"/>
    <w:rsid w:val="0069348B"/>
    <w:rsid w:val="00693787"/>
    <w:rsid w:val="0069434C"/>
    <w:rsid w:val="00694D44"/>
    <w:rsid w:val="00694F44"/>
    <w:rsid w:val="00695EB4"/>
    <w:rsid w:val="00696089"/>
    <w:rsid w:val="00696297"/>
    <w:rsid w:val="00696521"/>
    <w:rsid w:val="006968D0"/>
    <w:rsid w:val="00696EF9"/>
    <w:rsid w:val="00696F51"/>
    <w:rsid w:val="00696F6C"/>
    <w:rsid w:val="006972CC"/>
    <w:rsid w:val="006979A5"/>
    <w:rsid w:val="00697D48"/>
    <w:rsid w:val="006A016F"/>
    <w:rsid w:val="006A041B"/>
    <w:rsid w:val="006A0B44"/>
    <w:rsid w:val="006A0DF7"/>
    <w:rsid w:val="006A1429"/>
    <w:rsid w:val="006A1618"/>
    <w:rsid w:val="006A1A4E"/>
    <w:rsid w:val="006A1B41"/>
    <w:rsid w:val="006A2765"/>
    <w:rsid w:val="006A3874"/>
    <w:rsid w:val="006A401E"/>
    <w:rsid w:val="006A42A7"/>
    <w:rsid w:val="006A4321"/>
    <w:rsid w:val="006A43D9"/>
    <w:rsid w:val="006A4CAB"/>
    <w:rsid w:val="006A5ACC"/>
    <w:rsid w:val="006A5CAB"/>
    <w:rsid w:val="006A61B5"/>
    <w:rsid w:val="006A66CD"/>
    <w:rsid w:val="006A6B99"/>
    <w:rsid w:val="006A6D25"/>
    <w:rsid w:val="006A71A0"/>
    <w:rsid w:val="006A7925"/>
    <w:rsid w:val="006A7E5F"/>
    <w:rsid w:val="006B01FA"/>
    <w:rsid w:val="006B1DF3"/>
    <w:rsid w:val="006B1F88"/>
    <w:rsid w:val="006B261B"/>
    <w:rsid w:val="006B2C90"/>
    <w:rsid w:val="006B2E81"/>
    <w:rsid w:val="006B35E6"/>
    <w:rsid w:val="006B4336"/>
    <w:rsid w:val="006B465A"/>
    <w:rsid w:val="006B51C4"/>
    <w:rsid w:val="006B6605"/>
    <w:rsid w:val="006B67B6"/>
    <w:rsid w:val="006B69F7"/>
    <w:rsid w:val="006B6BEA"/>
    <w:rsid w:val="006B6DD0"/>
    <w:rsid w:val="006B750F"/>
    <w:rsid w:val="006C0399"/>
    <w:rsid w:val="006C16EA"/>
    <w:rsid w:val="006C2915"/>
    <w:rsid w:val="006C2A8E"/>
    <w:rsid w:val="006C3073"/>
    <w:rsid w:val="006C3255"/>
    <w:rsid w:val="006C3F26"/>
    <w:rsid w:val="006C3F7A"/>
    <w:rsid w:val="006C4926"/>
    <w:rsid w:val="006C55B0"/>
    <w:rsid w:val="006C55DF"/>
    <w:rsid w:val="006C58DF"/>
    <w:rsid w:val="006C5C64"/>
    <w:rsid w:val="006C5F39"/>
    <w:rsid w:val="006C6C68"/>
    <w:rsid w:val="006C74A9"/>
    <w:rsid w:val="006C7F35"/>
    <w:rsid w:val="006D00A5"/>
    <w:rsid w:val="006D0BC3"/>
    <w:rsid w:val="006D0D17"/>
    <w:rsid w:val="006D0E2C"/>
    <w:rsid w:val="006D168E"/>
    <w:rsid w:val="006D1746"/>
    <w:rsid w:val="006D1BDE"/>
    <w:rsid w:val="006D1D1E"/>
    <w:rsid w:val="006D3828"/>
    <w:rsid w:val="006D3B39"/>
    <w:rsid w:val="006D3C7D"/>
    <w:rsid w:val="006D4659"/>
    <w:rsid w:val="006D4E6D"/>
    <w:rsid w:val="006D5D5F"/>
    <w:rsid w:val="006D68FB"/>
    <w:rsid w:val="006D6983"/>
    <w:rsid w:val="006D7493"/>
    <w:rsid w:val="006E0D09"/>
    <w:rsid w:val="006E2868"/>
    <w:rsid w:val="006E31C0"/>
    <w:rsid w:val="006E35AF"/>
    <w:rsid w:val="006E44E5"/>
    <w:rsid w:val="006E468E"/>
    <w:rsid w:val="006E4891"/>
    <w:rsid w:val="006E5592"/>
    <w:rsid w:val="006E56EB"/>
    <w:rsid w:val="006E59AF"/>
    <w:rsid w:val="006E6991"/>
    <w:rsid w:val="006E6F7A"/>
    <w:rsid w:val="006E72E6"/>
    <w:rsid w:val="006E765C"/>
    <w:rsid w:val="006E7751"/>
    <w:rsid w:val="006F0066"/>
    <w:rsid w:val="006F017D"/>
    <w:rsid w:val="006F035E"/>
    <w:rsid w:val="006F0989"/>
    <w:rsid w:val="006F0BE3"/>
    <w:rsid w:val="006F0E33"/>
    <w:rsid w:val="006F169B"/>
    <w:rsid w:val="006F1BD6"/>
    <w:rsid w:val="006F306C"/>
    <w:rsid w:val="006F3ACB"/>
    <w:rsid w:val="006F4A83"/>
    <w:rsid w:val="006F5B16"/>
    <w:rsid w:val="006F63A5"/>
    <w:rsid w:val="006F6DCB"/>
    <w:rsid w:val="007004B1"/>
    <w:rsid w:val="00701402"/>
    <w:rsid w:val="0070142B"/>
    <w:rsid w:val="00701CE6"/>
    <w:rsid w:val="00702237"/>
    <w:rsid w:val="0070276E"/>
    <w:rsid w:val="007027C0"/>
    <w:rsid w:val="00702F8F"/>
    <w:rsid w:val="007032DA"/>
    <w:rsid w:val="00703ED7"/>
    <w:rsid w:val="00704046"/>
    <w:rsid w:val="00704884"/>
    <w:rsid w:val="00704AB4"/>
    <w:rsid w:val="007055E6"/>
    <w:rsid w:val="0070627B"/>
    <w:rsid w:val="00706C7B"/>
    <w:rsid w:val="007079FC"/>
    <w:rsid w:val="00710638"/>
    <w:rsid w:val="007107C7"/>
    <w:rsid w:val="007118C8"/>
    <w:rsid w:val="00711A36"/>
    <w:rsid w:val="00712033"/>
    <w:rsid w:val="007125D3"/>
    <w:rsid w:val="007133E2"/>
    <w:rsid w:val="00713A9C"/>
    <w:rsid w:val="00714BA5"/>
    <w:rsid w:val="00714C26"/>
    <w:rsid w:val="00714C88"/>
    <w:rsid w:val="00715283"/>
    <w:rsid w:val="0071529C"/>
    <w:rsid w:val="007155B8"/>
    <w:rsid w:val="007165CA"/>
    <w:rsid w:val="007170DA"/>
    <w:rsid w:val="007172AD"/>
    <w:rsid w:val="007174DA"/>
    <w:rsid w:val="00717546"/>
    <w:rsid w:val="00720801"/>
    <w:rsid w:val="00720A9B"/>
    <w:rsid w:val="00720CD9"/>
    <w:rsid w:val="007227F8"/>
    <w:rsid w:val="00722B1B"/>
    <w:rsid w:val="00722E38"/>
    <w:rsid w:val="00724024"/>
    <w:rsid w:val="0072416F"/>
    <w:rsid w:val="0072477D"/>
    <w:rsid w:val="00724888"/>
    <w:rsid w:val="00724F2E"/>
    <w:rsid w:val="007250FB"/>
    <w:rsid w:val="0072550F"/>
    <w:rsid w:val="00726847"/>
    <w:rsid w:val="00726AB8"/>
    <w:rsid w:val="007270C6"/>
    <w:rsid w:val="0072768C"/>
    <w:rsid w:val="00727A52"/>
    <w:rsid w:val="00727C94"/>
    <w:rsid w:val="0073049A"/>
    <w:rsid w:val="00730601"/>
    <w:rsid w:val="007316B8"/>
    <w:rsid w:val="00731B0A"/>
    <w:rsid w:val="00731EAE"/>
    <w:rsid w:val="00733073"/>
    <w:rsid w:val="0073313B"/>
    <w:rsid w:val="00733FFB"/>
    <w:rsid w:val="00735033"/>
    <w:rsid w:val="00735328"/>
    <w:rsid w:val="00735410"/>
    <w:rsid w:val="00735455"/>
    <w:rsid w:val="0073685B"/>
    <w:rsid w:val="00737657"/>
    <w:rsid w:val="00737863"/>
    <w:rsid w:val="0073788D"/>
    <w:rsid w:val="007378E9"/>
    <w:rsid w:val="00737BAA"/>
    <w:rsid w:val="0074066F"/>
    <w:rsid w:val="00740A41"/>
    <w:rsid w:val="00740B1F"/>
    <w:rsid w:val="007422BD"/>
    <w:rsid w:val="00742444"/>
    <w:rsid w:val="007427DE"/>
    <w:rsid w:val="00743359"/>
    <w:rsid w:val="00743421"/>
    <w:rsid w:val="007438B3"/>
    <w:rsid w:val="00743B94"/>
    <w:rsid w:val="00743F70"/>
    <w:rsid w:val="007449BF"/>
    <w:rsid w:val="00744B8F"/>
    <w:rsid w:val="007455E4"/>
    <w:rsid w:val="00745831"/>
    <w:rsid w:val="007459C4"/>
    <w:rsid w:val="00745AF0"/>
    <w:rsid w:val="007463FE"/>
    <w:rsid w:val="007465E2"/>
    <w:rsid w:val="0074693A"/>
    <w:rsid w:val="00746A3E"/>
    <w:rsid w:val="00746BC0"/>
    <w:rsid w:val="00747115"/>
    <w:rsid w:val="00747520"/>
    <w:rsid w:val="007479FC"/>
    <w:rsid w:val="00747E96"/>
    <w:rsid w:val="007504DC"/>
    <w:rsid w:val="007510B4"/>
    <w:rsid w:val="00751CCD"/>
    <w:rsid w:val="00751E20"/>
    <w:rsid w:val="00752142"/>
    <w:rsid w:val="007523F9"/>
    <w:rsid w:val="007533D4"/>
    <w:rsid w:val="0075357E"/>
    <w:rsid w:val="00753B29"/>
    <w:rsid w:val="00753CD9"/>
    <w:rsid w:val="00754FCC"/>
    <w:rsid w:val="00757279"/>
    <w:rsid w:val="007573CA"/>
    <w:rsid w:val="007573E8"/>
    <w:rsid w:val="00760278"/>
    <w:rsid w:val="007605F0"/>
    <w:rsid w:val="00760C4E"/>
    <w:rsid w:val="00760F9E"/>
    <w:rsid w:val="007616E6"/>
    <w:rsid w:val="007617BB"/>
    <w:rsid w:val="00762415"/>
    <w:rsid w:val="00762466"/>
    <w:rsid w:val="007626BE"/>
    <w:rsid w:val="007627BE"/>
    <w:rsid w:val="00763676"/>
    <w:rsid w:val="00764F03"/>
    <w:rsid w:val="00765083"/>
    <w:rsid w:val="007655CD"/>
    <w:rsid w:val="00765A9C"/>
    <w:rsid w:val="00765B1A"/>
    <w:rsid w:val="00765DC1"/>
    <w:rsid w:val="007670DF"/>
    <w:rsid w:val="007673C8"/>
    <w:rsid w:val="007700D1"/>
    <w:rsid w:val="0077027D"/>
    <w:rsid w:val="00770893"/>
    <w:rsid w:val="007713A7"/>
    <w:rsid w:val="00771E4C"/>
    <w:rsid w:val="00771FF0"/>
    <w:rsid w:val="00772BEB"/>
    <w:rsid w:val="007731D6"/>
    <w:rsid w:val="0077341C"/>
    <w:rsid w:val="00774D41"/>
    <w:rsid w:val="00774E8E"/>
    <w:rsid w:val="00775710"/>
    <w:rsid w:val="00775795"/>
    <w:rsid w:val="007758A4"/>
    <w:rsid w:val="007758C1"/>
    <w:rsid w:val="007764E6"/>
    <w:rsid w:val="00777335"/>
    <w:rsid w:val="00780C0F"/>
    <w:rsid w:val="00781793"/>
    <w:rsid w:val="007819B2"/>
    <w:rsid w:val="0078218D"/>
    <w:rsid w:val="00782D88"/>
    <w:rsid w:val="0078310D"/>
    <w:rsid w:val="0078362E"/>
    <w:rsid w:val="00783D1D"/>
    <w:rsid w:val="007843F2"/>
    <w:rsid w:val="007846FA"/>
    <w:rsid w:val="0078473B"/>
    <w:rsid w:val="00784824"/>
    <w:rsid w:val="00784864"/>
    <w:rsid w:val="00784F4A"/>
    <w:rsid w:val="0078548E"/>
    <w:rsid w:val="00785A9F"/>
    <w:rsid w:val="00785E42"/>
    <w:rsid w:val="007862DA"/>
    <w:rsid w:val="00787343"/>
    <w:rsid w:val="00787EA2"/>
    <w:rsid w:val="00790867"/>
    <w:rsid w:val="00790FF1"/>
    <w:rsid w:val="007911E4"/>
    <w:rsid w:val="007917C4"/>
    <w:rsid w:val="0079194E"/>
    <w:rsid w:val="00791C15"/>
    <w:rsid w:val="007925DF"/>
    <w:rsid w:val="0079290F"/>
    <w:rsid w:val="00792930"/>
    <w:rsid w:val="007929A9"/>
    <w:rsid w:val="00792DBF"/>
    <w:rsid w:val="00794552"/>
    <w:rsid w:val="00794DA4"/>
    <w:rsid w:val="00796090"/>
    <w:rsid w:val="00796295"/>
    <w:rsid w:val="007974FC"/>
    <w:rsid w:val="00797847"/>
    <w:rsid w:val="007A08AA"/>
    <w:rsid w:val="007A0A12"/>
    <w:rsid w:val="007A122A"/>
    <w:rsid w:val="007A132D"/>
    <w:rsid w:val="007A1345"/>
    <w:rsid w:val="007A177D"/>
    <w:rsid w:val="007A24E5"/>
    <w:rsid w:val="007A2A4C"/>
    <w:rsid w:val="007A2DDB"/>
    <w:rsid w:val="007A30A6"/>
    <w:rsid w:val="007A3423"/>
    <w:rsid w:val="007A36FC"/>
    <w:rsid w:val="007A381C"/>
    <w:rsid w:val="007A3825"/>
    <w:rsid w:val="007A3F43"/>
    <w:rsid w:val="007A5980"/>
    <w:rsid w:val="007A70BA"/>
    <w:rsid w:val="007B0352"/>
    <w:rsid w:val="007B0D68"/>
    <w:rsid w:val="007B148A"/>
    <w:rsid w:val="007B17C3"/>
    <w:rsid w:val="007B1BC8"/>
    <w:rsid w:val="007B24EA"/>
    <w:rsid w:val="007B251D"/>
    <w:rsid w:val="007B3389"/>
    <w:rsid w:val="007B3533"/>
    <w:rsid w:val="007B3A84"/>
    <w:rsid w:val="007B47D1"/>
    <w:rsid w:val="007B4F58"/>
    <w:rsid w:val="007B528D"/>
    <w:rsid w:val="007B6097"/>
    <w:rsid w:val="007B63CA"/>
    <w:rsid w:val="007B6BA3"/>
    <w:rsid w:val="007B77D1"/>
    <w:rsid w:val="007C073C"/>
    <w:rsid w:val="007C07C7"/>
    <w:rsid w:val="007C0AAC"/>
    <w:rsid w:val="007C0B76"/>
    <w:rsid w:val="007C101A"/>
    <w:rsid w:val="007C10F8"/>
    <w:rsid w:val="007C13A6"/>
    <w:rsid w:val="007C1CD9"/>
    <w:rsid w:val="007C24D2"/>
    <w:rsid w:val="007C32EF"/>
    <w:rsid w:val="007C33C9"/>
    <w:rsid w:val="007C361D"/>
    <w:rsid w:val="007C40C2"/>
    <w:rsid w:val="007C4A8B"/>
    <w:rsid w:val="007C4B84"/>
    <w:rsid w:val="007C54E4"/>
    <w:rsid w:val="007C5911"/>
    <w:rsid w:val="007C6E7C"/>
    <w:rsid w:val="007C70FF"/>
    <w:rsid w:val="007C7C25"/>
    <w:rsid w:val="007C7D57"/>
    <w:rsid w:val="007D004F"/>
    <w:rsid w:val="007D0154"/>
    <w:rsid w:val="007D0210"/>
    <w:rsid w:val="007D021E"/>
    <w:rsid w:val="007D0283"/>
    <w:rsid w:val="007D035F"/>
    <w:rsid w:val="007D0479"/>
    <w:rsid w:val="007D06B2"/>
    <w:rsid w:val="007D083F"/>
    <w:rsid w:val="007D0918"/>
    <w:rsid w:val="007D092C"/>
    <w:rsid w:val="007D0B38"/>
    <w:rsid w:val="007D1137"/>
    <w:rsid w:val="007D1D9D"/>
    <w:rsid w:val="007D25BF"/>
    <w:rsid w:val="007D2D95"/>
    <w:rsid w:val="007D3E75"/>
    <w:rsid w:val="007D40DD"/>
    <w:rsid w:val="007D417C"/>
    <w:rsid w:val="007D4652"/>
    <w:rsid w:val="007D51A1"/>
    <w:rsid w:val="007D540D"/>
    <w:rsid w:val="007D5440"/>
    <w:rsid w:val="007D57C6"/>
    <w:rsid w:val="007D599B"/>
    <w:rsid w:val="007D69EB"/>
    <w:rsid w:val="007D727D"/>
    <w:rsid w:val="007D769B"/>
    <w:rsid w:val="007D7C1D"/>
    <w:rsid w:val="007E042F"/>
    <w:rsid w:val="007E1240"/>
    <w:rsid w:val="007E128F"/>
    <w:rsid w:val="007E14CB"/>
    <w:rsid w:val="007E2281"/>
    <w:rsid w:val="007E2B49"/>
    <w:rsid w:val="007E38D5"/>
    <w:rsid w:val="007E3CC4"/>
    <w:rsid w:val="007E4906"/>
    <w:rsid w:val="007E4BAA"/>
    <w:rsid w:val="007E4FB0"/>
    <w:rsid w:val="007E527D"/>
    <w:rsid w:val="007E52D3"/>
    <w:rsid w:val="007E5ECA"/>
    <w:rsid w:val="007E615C"/>
    <w:rsid w:val="007E6163"/>
    <w:rsid w:val="007E692C"/>
    <w:rsid w:val="007E6EA0"/>
    <w:rsid w:val="007E719A"/>
    <w:rsid w:val="007F02F6"/>
    <w:rsid w:val="007F0E2B"/>
    <w:rsid w:val="007F1017"/>
    <w:rsid w:val="007F1919"/>
    <w:rsid w:val="007F1931"/>
    <w:rsid w:val="007F1C51"/>
    <w:rsid w:val="007F2019"/>
    <w:rsid w:val="007F3AF1"/>
    <w:rsid w:val="007F4A3F"/>
    <w:rsid w:val="007F4A61"/>
    <w:rsid w:val="007F4B9B"/>
    <w:rsid w:val="007F5255"/>
    <w:rsid w:val="007F56CC"/>
    <w:rsid w:val="007F59DF"/>
    <w:rsid w:val="007F5C4E"/>
    <w:rsid w:val="007F61C2"/>
    <w:rsid w:val="007F6870"/>
    <w:rsid w:val="007F6B82"/>
    <w:rsid w:val="007F6FED"/>
    <w:rsid w:val="007F7692"/>
    <w:rsid w:val="007F7E20"/>
    <w:rsid w:val="00800852"/>
    <w:rsid w:val="00801374"/>
    <w:rsid w:val="00801424"/>
    <w:rsid w:val="0080192F"/>
    <w:rsid w:val="008021A8"/>
    <w:rsid w:val="00802228"/>
    <w:rsid w:val="00802A72"/>
    <w:rsid w:val="00803E51"/>
    <w:rsid w:val="00805131"/>
    <w:rsid w:val="00805142"/>
    <w:rsid w:val="008052C2"/>
    <w:rsid w:val="00805FCE"/>
    <w:rsid w:val="008069D0"/>
    <w:rsid w:val="00806CD5"/>
    <w:rsid w:val="00806F90"/>
    <w:rsid w:val="00807A8B"/>
    <w:rsid w:val="00807F1F"/>
    <w:rsid w:val="0081034A"/>
    <w:rsid w:val="008105BE"/>
    <w:rsid w:val="008108C5"/>
    <w:rsid w:val="00810F64"/>
    <w:rsid w:val="00811383"/>
    <w:rsid w:val="00811730"/>
    <w:rsid w:val="00811AAD"/>
    <w:rsid w:val="00811C36"/>
    <w:rsid w:val="00811EC3"/>
    <w:rsid w:val="00812149"/>
    <w:rsid w:val="00812CAC"/>
    <w:rsid w:val="00812D87"/>
    <w:rsid w:val="00813B56"/>
    <w:rsid w:val="00813C90"/>
    <w:rsid w:val="0081425B"/>
    <w:rsid w:val="00815099"/>
    <w:rsid w:val="00815210"/>
    <w:rsid w:val="00816361"/>
    <w:rsid w:val="008166EF"/>
    <w:rsid w:val="008167E4"/>
    <w:rsid w:val="00816FEF"/>
    <w:rsid w:val="00820A8C"/>
    <w:rsid w:val="008215FB"/>
    <w:rsid w:val="0082167F"/>
    <w:rsid w:val="008220CC"/>
    <w:rsid w:val="00822B2B"/>
    <w:rsid w:val="00823174"/>
    <w:rsid w:val="00823295"/>
    <w:rsid w:val="00823355"/>
    <w:rsid w:val="00824061"/>
    <w:rsid w:val="00824064"/>
    <w:rsid w:val="008241CA"/>
    <w:rsid w:val="00824239"/>
    <w:rsid w:val="00824621"/>
    <w:rsid w:val="00824B84"/>
    <w:rsid w:val="00825751"/>
    <w:rsid w:val="008264EB"/>
    <w:rsid w:val="008265FD"/>
    <w:rsid w:val="00826795"/>
    <w:rsid w:val="008268CE"/>
    <w:rsid w:val="00827208"/>
    <w:rsid w:val="0082782D"/>
    <w:rsid w:val="00827C23"/>
    <w:rsid w:val="00830509"/>
    <w:rsid w:val="00830AEE"/>
    <w:rsid w:val="00830EA7"/>
    <w:rsid w:val="00830F3E"/>
    <w:rsid w:val="008316AC"/>
    <w:rsid w:val="0083173C"/>
    <w:rsid w:val="008319D3"/>
    <w:rsid w:val="0083232D"/>
    <w:rsid w:val="008329B7"/>
    <w:rsid w:val="00832A99"/>
    <w:rsid w:val="00832F41"/>
    <w:rsid w:val="00833198"/>
    <w:rsid w:val="00833951"/>
    <w:rsid w:val="00833B05"/>
    <w:rsid w:val="008347B5"/>
    <w:rsid w:val="00834B52"/>
    <w:rsid w:val="008350CC"/>
    <w:rsid w:val="008358F9"/>
    <w:rsid w:val="0083611D"/>
    <w:rsid w:val="008362B4"/>
    <w:rsid w:val="00836826"/>
    <w:rsid w:val="00837BCA"/>
    <w:rsid w:val="00837C7A"/>
    <w:rsid w:val="0084097D"/>
    <w:rsid w:val="00840A5D"/>
    <w:rsid w:val="00840CA2"/>
    <w:rsid w:val="00840E0D"/>
    <w:rsid w:val="00841017"/>
    <w:rsid w:val="008430F5"/>
    <w:rsid w:val="0084319C"/>
    <w:rsid w:val="00843406"/>
    <w:rsid w:val="0084374F"/>
    <w:rsid w:val="008449D7"/>
    <w:rsid w:val="00844A22"/>
    <w:rsid w:val="00845B12"/>
    <w:rsid w:val="008466D4"/>
    <w:rsid w:val="00846739"/>
    <w:rsid w:val="008468CF"/>
    <w:rsid w:val="00847135"/>
    <w:rsid w:val="00847703"/>
    <w:rsid w:val="00847CBA"/>
    <w:rsid w:val="00847DF5"/>
    <w:rsid w:val="00851440"/>
    <w:rsid w:val="008515A7"/>
    <w:rsid w:val="008519DC"/>
    <w:rsid w:val="00852E14"/>
    <w:rsid w:val="0085309D"/>
    <w:rsid w:val="008538E5"/>
    <w:rsid w:val="008540C8"/>
    <w:rsid w:val="008541AA"/>
    <w:rsid w:val="00854409"/>
    <w:rsid w:val="0085476C"/>
    <w:rsid w:val="008558EA"/>
    <w:rsid w:val="00855D2C"/>
    <w:rsid w:val="00855F12"/>
    <w:rsid w:val="008562F1"/>
    <w:rsid w:val="00856897"/>
    <w:rsid w:val="00856C30"/>
    <w:rsid w:val="00856E9A"/>
    <w:rsid w:val="0085773B"/>
    <w:rsid w:val="00857D86"/>
    <w:rsid w:val="0086075D"/>
    <w:rsid w:val="00862502"/>
    <w:rsid w:val="00862B90"/>
    <w:rsid w:val="00862CC1"/>
    <w:rsid w:val="008634D5"/>
    <w:rsid w:val="00863F95"/>
    <w:rsid w:val="008642A7"/>
    <w:rsid w:val="00864A6C"/>
    <w:rsid w:val="00864CB5"/>
    <w:rsid w:val="008655D0"/>
    <w:rsid w:val="008656B3"/>
    <w:rsid w:val="008660D4"/>
    <w:rsid w:val="00866FA1"/>
    <w:rsid w:val="00867004"/>
    <w:rsid w:val="00870059"/>
    <w:rsid w:val="008701AC"/>
    <w:rsid w:val="00870495"/>
    <w:rsid w:val="00870699"/>
    <w:rsid w:val="0087090F"/>
    <w:rsid w:val="00870A8A"/>
    <w:rsid w:val="00871332"/>
    <w:rsid w:val="00871846"/>
    <w:rsid w:val="00871FA9"/>
    <w:rsid w:val="00871FBB"/>
    <w:rsid w:val="00872115"/>
    <w:rsid w:val="008721C7"/>
    <w:rsid w:val="008721E6"/>
    <w:rsid w:val="00872212"/>
    <w:rsid w:val="008724DA"/>
    <w:rsid w:val="008728E9"/>
    <w:rsid w:val="00872E12"/>
    <w:rsid w:val="008733AB"/>
    <w:rsid w:val="008737FE"/>
    <w:rsid w:val="00873EEC"/>
    <w:rsid w:val="0087437D"/>
    <w:rsid w:val="00874531"/>
    <w:rsid w:val="0087457C"/>
    <w:rsid w:val="008754D1"/>
    <w:rsid w:val="00875E0A"/>
    <w:rsid w:val="0087662C"/>
    <w:rsid w:val="00876651"/>
    <w:rsid w:val="00876FA5"/>
    <w:rsid w:val="00877249"/>
    <w:rsid w:val="00880617"/>
    <w:rsid w:val="00880A11"/>
    <w:rsid w:val="00880F98"/>
    <w:rsid w:val="00881659"/>
    <w:rsid w:val="00882874"/>
    <w:rsid w:val="00882877"/>
    <w:rsid w:val="00882E3C"/>
    <w:rsid w:val="0088308A"/>
    <w:rsid w:val="00883787"/>
    <w:rsid w:val="00883C12"/>
    <w:rsid w:val="008855E4"/>
    <w:rsid w:val="008858AA"/>
    <w:rsid w:val="00885FD7"/>
    <w:rsid w:val="00886872"/>
    <w:rsid w:val="00886CD2"/>
    <w:rsid w:val="00887910"/>
    <w:rsid w:val="00887C04"/>
    <w:rsid w:val="00887FC6"/>
    <w:rsid w:val="008902F8"/>
    <w:rsid w:val="00890C3F"/>
    <w:rsid w:val="00891E6F"/>
    <w:rsid w:val="00891F4E"/>
    <w:rsid w:val="008924B1"/>
    <w:rsid w:val="0089275D"/>
    <w:rsid w:val="00892A36"/>
    <w:rsid w:val="00892BF8"/>
    <w:rsid w:val="00892D21"/>
    <w:rsid w:val="00892E05"/>
    <w:rsid w:val="00893239"/>
    <w:rsid w:val="008935DD"/>
    <w:rsid w:val="00894489"/>
    <w:rsid w:val="00894878"/>
    <w:rsid w:val="00894CD6"/>
    <w:rsid w:val="008954E2"/>
    <w:rsid w:val="00895F9B"/>
    <w:rsid w:val="0089634E"/>
    <w:rsid w:val="008963A5"/>
    <w:rsid w:val="00896637"/>
    <w:rsid w:val="00896909"/>
    <w:rsid w:val="00896B33"/>
    <w:rsid w:val="00896CA6"/>
    <w:rsid w:val="00896D5D"/>
    <w:rsid w:val="00896F6D"/>
    <w:rsid w:val="0089759F"/>
    <w:rsid w:val="00897B99"/>
    <w:rsid w:val="00897E2A"/>
    <w:rsid w:val="008A0BE8"/>
    <w:rsid w:val="008A0DAD"/>
    <w:rsid w:val="008A191B"/>
    <w:rsid w:val="008A2777"/>
    <w:rsid w:val="008A3158"/>
    <w:rsid w:val="008A3363"/>
    <w:rsid w:val="008A3371"/>
    <w:rsid w:val="008A35E3"/>
    <w:rsid w:val="008A3659"/>
    <w:rsid w:val="008A389A"/>
    <w:rsid w:val="008A3AD8"/>
    <w:rsid w:val="008A3BFF"/>
    <w:rsid w:val="008A3C3E"/>
    <w:rsid w:val="008A42B3"/>
    <w:rsid w:val="008A4468"/>
    <w:rsid w:val="008A459B"/>
    <w:rsid w:val="008A4D03"/>
    <w:rsid w:val="008A5E5A"/>
    <w:rsid w:val="008A7045"/>
    <w:rsid w:val="008A79DE"/>
    <w:rsid w:val="008B07EA"/>
    <w:rsid w:val="008B098D"/>
    <w:rsid w:val="008B1403"/>
    <w:rsid w:val="008B1713"/>
    <w:rsid w:val="008B1757"/>
    <w:rsid w:val="008B1C33"/>
    <w:rsid w:val="008B2235"/>
    <w:rsid w:val="008B29CB"/>
    <w:rsid w:val="008B30DA"/>
    <w:rsid w:val="008B35BE"/>
    <w:rsid w:val="008B3739"/>
    <w:rsid w:val="008B3AAE"/>
    <w:rsid w:val="008B3BA5"/>
    <w:rsid w:val="008B4637"/>
    <w:rsid w:val="008B4B6F"/>
    <w:rsid w:val="008B4C79"/>
    <w:rsid w:val="008B5E6F"/>
    <w:rsid w:val="008B7992"/>
    <w:rsid w:val="008B7B11"/>
    <w:rsid w:val="008B7CDF"/>
    <w:rsid w:val="008B7D7E"/>
    <w:rsid w:val="008C072F"/>
    <w:rsid w:val="008C1AA0"/>
    <w:rsid w:val="008C3049"/>
    <w:rsid w:val="008C30D4"/>
    <w:rsid w:val="008C316B"/>
    <w:rsid w:val="008C4488"/>
    <w:rsid w:val="008C4E61"/>
    <w:rsid w:val="008C5449"/>
    <w:rsid w:val="008C5610"/>
    <w:rsid w:val="008C56E0"/>
    <w:rsid w:val="008C5739"/>
    <w:rsid w:val="008C7282"/>
    <w:rsid w:val="008C7BF8"/>
    <w:rsid w:val="008C7C64"/>
    <w:rsid w:val="008C7ECB"/>
    <w:rsid w:val="008C7F09"/>
    <w:rsid w:val="008D049C"/>
    <w:rsid w:val="008D125B"/>
    <w:rsid w:val="008D18EE"/>
    <w:rsid w:val="008D1C08"/>
    <w:rsid w:val="008D2CAF"/>
    <w:rsid w:val="008D3B86"/>
    <w:rsid w:val="008D3BBE"/>
    <w:rsid w:val="008D428C"/>
    <w:rsid w:val="008D43FD"/>
    <w:rsid w:val="008D4755"/>
    <w:rsid w:val="008D4C3D"/>
    <w:rsid w:val="008D510E"/>
    <w:rsid w:val="008D5279"/>
    <w:rsid w:val="008D57B3"/>
    <w:rsid w:val="008D5B24"/>
    <w:rsid w:val="008D6E50"/>
    <w:rsid w:val="008D743C"/>
    <w:rsid w:val="008D7854"/>
    <w:rsid w:val="008D7CF2"/>
    <w:rsid w:val="008E0D3C"/>
    <w:rsid w:val="008E14DC"/>
    <w:rsid w:val="008E19F7"/>
    <w:rsid w:val="008E1B9E"/>
    <w:rsid w:val="008E1F6A"/>
    <w:rsid w:val="008E2DC1"/>
    <w:rsid w:val="008E3308"/>
    <w:rsid w:val="008E348F"/>
    <w:rsid w:val="008E39E4"/>
    <w:rsid w:val="008E3BF9"/>
    <w:rsid w:val="008E4538"/>
    <w:rsid w:val="008E4A03"/>
    <w:rsid w:val="008E4CD0"/>
    <w:rsid w:val="008E5456"/>
    <w:rsid w:val="008E55AB"/>
    <w:rsid w:val="008E5B5E"/>
    <w:rsid w:val="008E63D1"/>
    <w:rsid w:val="008E6878"/>
    <w:rsid w:val="008E7044"/>
    <w:rsid w:val="008F0037"/>
    <w:rsid w:val="008F120A"/>
    <w:rsid w:val="008F1669"/>
    <w:rsid w:val="008F27E0"/>
    <w:rsid w:val="008F2EF9"/>
    <w:rsid w:val="008F2F8C"/>
    <w:rsid w:val="008F341A"/>
    <w:rsid w:val="008F35CE"/>
    <w:rsid w:val="008F48EB"/>
    <w:rsid w:val="008F4F0B"/>
    <w:rsid w:val="008F5798"/>
    <w:rsid w:val="008F670E"/>
    <w:rsid w:val="008F71D2"/>
    <w:rsid w:val="008F7D57"/>
    <w:rsid w:val="008F7EB6"/>
    <w:rsid w:val="008F7F54"/>
    <w:rsid w:val="00900F67"/>
    <w:rsid w:val="009019A0"/>
    <w:rsid w:val="00901CEB"/>
    <w:rsid w:val="00901DDA"/>
    <w:rsid w:val="009046C4"/>
    <w:rsid w:val="0090602D"/>
    <w:rsid w:val="009062A5"/>
    <w:rsid w:val="009069D3"/>
    <w:rsid w:val="00907699"/>
    <w:rsid w:val="00910FA7"/>
    <w:rsid w:val="0091104A"/>
    <w:rsid w:val="00911272"/>
    <w:rsid w:val="00911339"/>
    <w:rsid w:val="00911DE6"/>
    <w:rsid w:val="00912133"/>
    <w:rsid w:val="009135D6"/>
    <w:rsid w:val="009136B2"/>
    <w:rsid w:val="00913BEE"/>
    <w:rsid w:val="00914C77"/>
    <w:rsid w:val="00916CE4"/>
    <w:rsid w:val="00917D2C"/>
    <w:rsid w:val="00920389"/>
    <w:rsid w:val="00920603"/>
    <w:rsid w:val="0092083C"/>
    <w:rsid w:val="00920DF2"/>
    <w:rsid w:val="00921ACB"/>
    <w:rsid w:val="00922140"/>
    <w:rsid w:val="009223BE"/>
    <w:rsid w:val="009226E1"/>
    <w:rsid w:val="00923536"/>
    <w:rsid w:val="0092369B"/>
    <w:rsid w:val="00923808"/>
    <w:rsid w:val="009240AC"/>
    <w:rsid w:val="009240F6"/>
    <w:rsid w:val="00924486"/>
    <w:rsid w:val="00924F11"/>
    <w:rsid w:val="009264F3"/>
    <w:rsid w:val="00926600"/>
    <w:rsid w:val="00927291"/>
    <w:rsid w:val="0092770F"/>
    <w:rsid w:val="009277AA"/>
    <w:rsid w:val="00927937"/>
    <w:rsid w:val="009279CF"/>
    <w:rsid w:val="0093082C"/>
    <w:rsid w:val="009308C1"/>
    <w:rsid w:val="0093283A"/>
    <w:rsid w:val="00932944"/>
    <w:rsid w:val="009329C0"/>
    <w:rsid w:val="00933158"/>
    <w:rsid w:val="009348AC"/>
    <w:rsid w:val="00934988"/>
    <w:rsid w:val="0093527A"/>
    <w:rsid w:val="00937089"/>
    <w:rsid w:val="00941004"/>
    <w:rsid w:val="0094146F"/>
    <w:rsid w:val="009419B9"/>
    <w:rsid w:val="00942845"/>
    <w:rsid w:val="0094349C"/>
    <w:rsid w:val="00944B74"/>
    <w:rsid w:val="00944DA1"/>
    <w:rsid w:val="00944F8A"/>
    <w:rsid w:val="00945C02"/>
    <w:rsid w:val="00946531"/>
    <w:rsid w:val="0094774C"/>
    <w:rsid w:val="0094780E"/>
    <w:rsid w:val="00950368"/>
    <w:rsid w:val="00950BDE"/>
    <w:rsid w:val="009510A2"/>
    <w:rsid w:val="00951341"/>
    <w:rsid w:val="00951C8B"/>
    <w:rsid w:val="00951DE4"/>
    <w:rsid w:val="009522F4"/>
    <w:rsid w:val="00952505"/>
    <w:rsid w:val="00953257"/>
    <w:rsid w:val="0095384C"/>
    <w:rsid w:val="0095474C"/>
    <w:rsid w:val="00954870"/>
    <w:rsid w:val="00955A8B"/>
    <w:rsid w:val="009565A8"/>
    <w:rsid w:val="00957128"/>
    <w:rsid w:val="00957D92"/>
    <w:rsid w:val="00960B92"/>
    <w:rsid w:val="0096212F"/>
    <w:rsid w:val="00962396"/>
    <w:rsid w:val="009625B0"/>
    <w:rsid w:val="00962631"/>
    <w:rsid w:val="0096263D"/>
    <w:rsid w:val="00962CB9"/>
    <w:rsid w:val="00962F1B"/>
    <w:rsid w:val="00963304"/>
    <w:rsid w:val="00963407"/>
    <w:rsid w:val="0096373D"/>
    <w:rsid w:val="0096383D"/>
    <w:rsid w:val="00963E11"/>
    <w:rsid w:val="00964312"/>
    <w:rsid w:val="00964FD4"/>
    <w:rsid w:val="0096504E"/>
    <w:rsid w:val="00965AC4"/>
    <w:rsid w:val="00965B8A"/>
    <w:rsid w:val="00965F6E"/>
    <w:rsid w:val="0096608E"/>
    <w:rsid w:val="00966108"/>
    <w:rsid w:val="0096629C"/>
    <w:rsid w:val="009665E1"/>
    <w:rsid w:val="009667C0"/>
    <w:rsid w:val="00966A83"/>
    <w:rsid w:val="00966BE5"/>
    <w:rsid w:val="00967752"/>
    <w:rsid w:val="00967B90"/>
    <w:rsid w:val="00967E4A"/>
    <w:rsid w:val="00967F20"/>
    <w:rsid w:val="00967FAD"/>
    <w:rsid w:val="00970248"/>
    <w:rsid w:val="009704F2"/>
    <w:rsid w:val="0097055D"/>
    <w:rsid w:val="0097071F"/>
    <w:rsid w:val="00970AAF"/>
    <w:rsid w:val="009717AC"/>
    <w:rsid w:val="00971FBC"/>
    <w:rsid w:val="00971FFD"/>
    <w:rsid w:val="00972033"/>
    <w:rsid w:val="009721D0"/>
    <w:rsid w:val="00972265"/>
    <w:rsid w:val="0097331B"/>
    <w:rsid w:val="009734A7"/>
    <w:rsid w:val="009734AE"/>
    <w:rsid w:val="00974203"/>
    <w:rsid w:val="009751C1"/>
    <w:rsid w:val="00975307"/>
    <w:rsid w:val="009756FC"/>
    <w:rsid w:val="00975708"/>
    <w:rsid w:val="00975B6E"/>
    <w:rsid w:val="0097683A"/>
    <w:rsid w:val="0097737C"/>
    <w:rsid w:val="00977609"/>
    <w:rsid w:val="009777D4"/>
    <w:rsid w:val="009811F1"/>
    <w:rsid w:val="0098135E"/>
    <w:rsid w:val="0098216A"/>
    <w:rsid w:val="009824F1"/>
    <w:rsid w:val="0098322E"/>
    <w:rsid w:val="009835F7"/>
    <w:rsid w:val="00983ADD"/>
    <w:rsid w:val="00983E57"/>
    <w:rsid w:val="00984EF4"/>
    <w:rsid w:val="009856BC"/>
    <w:rsid w:val="00985AAD"/>
    <w:rsid w:val="00985AD8"/>
    <w:rsid w:val="00985DE2"/>
    <w:rsid w:val="0098675D"/>
    <w:rsid w:val="00986B9F"/>
    <w:rsid w:val="009874D2"/>
    <w:rsid w:val="00987928"/>
    <w:rsid w:val="00987BA4"/>
    <w:rsid w:val="00990355"/>
    <w:rsid w:val="00990F46"/>
    <w:rsid w:val="009910C0"/>
    <w:rsid w:val="00991889"/>
    <w:rsid w:val="009919DF"/>
    <w:rsid w:val="00992459"/>
    <w:rsid w:val="009926E0"/>
    <w:rsid w:val="00993602"/>
    <w:rsid w:val="009936E1"/>
    <w:rsid w:val="00993711"/>
    <w:rsid w:val="00993839"/>
    <w:rsid w:val="00993B51"/>
    <w:rsid w:val="00993B92"/>
    <w:rsid w:val="00993DD1"/>
    <w:rsid w:val="0099451E"/>
    <w:rsid w:val="009946E1"/>
    <w:rsid w:val="00994D51"/>
    <w:rsid w:val="00995057"/>
    <w:rsid w:val="0099652B"/>
    <w:rsid w:val="009967A7"/>
    <w:rsid w:val="009968FC"/>
    <w:rsid w:val="00996B1A"/>
    <w:rsid w:val="00996DAC"/>
    <w:rsid w:val="0099752C"/>
    <w:rsid w:val="009A038C"/>
    <w:rsid w:val="009A0939"/>
    <w:rsid w:val="009A09DF"/>
    <w:rsid w:val="009A0C03"/>
    <w:rsid w:val="009A0F41"/>
    <w:rsid w:val="009A11D0"/>
    <w:rsid w:val="009A149C"/>
    <w:rsid w:val="009A18F6"/>
    <w:rsid w:val="009A1FD5"/>
    <w:rsid w:val="009A2DCC"/>
    <w:rsid w:val="009A383B"/>
    <w:rsid w:val="009A3FD6"/>
    <w:rsid w:val="009A44BC"/>
    <w:rsid w:val="009A4FC6"/>
    <w:rsid w:val="009A58F6"/>
    <w:rsid w:val="009A5A04"/>
    <w:rsid w:val="009A5ABC"/>
    <w:rsid w:val="009A5E42"/>
    <w:rsid w:val="009A6281"/>
    <w:rsid w:val="009A6428"/>
    <w:rsid w:val="009A6ABC"/>
    <w:rsid w:val="009A7481"/>
    <w:rsid w:val="009A7C29"/>
    <w:rsid w:val="009A7F10"/>
    <w:rsid w:val="009B014D"/>
    <w:rsid w:val="009B0416"/>
    <w:rsid w:val="009B05FB"/>
    <w:rsid w:val="009B0B30"/>
    <w:rsid w:val="009B0E57"/>
    <w:rsid w:val="009B0EE8"/>
    <w:rsid w:val="009B1232"/>
    <w:rsid w:val="009B1C20"/>
    <w:rsid w:val="009B2A64"/>
    <w:rsid w:val="009B3273"/>
    <w:rsid w:val="009B3D59"/>
    <w:rsid w:val="009B3E26"/>
    <w:rsid w:val="009B5919"/>
    <w:rsid w:val="009B60C5"/>
    <w:rsid w:val="009B63B1"/>
    <w:rsid w:val="009B726A"/>
    <w:rsid w:val="009B78C2"/>
    <w:rsid w:val="009B7BD6"/>
    <w:rsid w:val="009C021D"/>
    <w:rsid w:val="009C0BD8"/>
    <w:rsid w:val="009C0EFC"/>
    <w:rsid w:val="009C1271"/>
    <w:rsid w:val="009C13DE"/>
    <w:rsid w:val="009C1C94"/>
    <w:rsid w:val="009C1DFA"/>
    <w:rsid w:val="009C20A2"/>
    <w:rsid w:val="009C2D40"/>
    <w:rsid w:val="009C3706"/>
    <w:rsid w:val="009C3978"/>
    <w:rsid w:val="009C39D6"/>
    <w:rsid w:val="009C3A3A"/>
    <w:rsid w:val="009C4E99"/>
    <w:rsid w:val="009C5084"/>
    <w:rsid w:val="009C558B"/>
    <w:rsid w:val="009C5721"/>
    <w:rsid w:val="009C5843"/>
    <w:rsid w:val="009C6A39"/>
    <w:rsid w:val="009C6CEA"/>
    <w:rsid w:val="009C7058"/>
    <w:rsid w:val="009C7B57"/>
    <w:rsid w:val="009C7B85"/>
    <w:rsid w:val="009D0254"/>
    <w:rsid w:val="009D09DA"/>
    <w:rsid w:val="009D0E05"/>
    <w:rsid w:val="009D0EA2"/>
    <w:rsid w:val="009D10A4"/>
    <w:rsid w:val="009D126E"/>
    <w:rsid w:val="009D134D"/>
    <w:rsid w:val="009D1A64"/>
    <w:rsid w:val="009D2195"/>
    <w:rsid w:val="009D2DC3"/>
    <w:rsid w:val="009D32A9"/>
    <w:rsid w:val="009D3E11"/>
    <w:rsid w:val="009D3EC7"/>
    <w:rsid w:val="009D3F66"/>
    <w:rsid w:val="009D4254"/>
    <w:rsid w:val="009D588E"/>
    <w:rsid w:val="009D5B91"/>
    <w:rsid w:val="009D6451"/>
    <w:rsid w:val="009D6C2F"/>
    <w:rsid w:val="009D7189"/>
    <w:rsid w:val="009D78E8"/>
    <w:rsid w:val="009D792E"/>
    <w:rsid w:val="009D7AA8"/>
    <w:rsid w:val="009D7D6E"/>
    <w:rsid w:val="009D7DB7"/>
    <w:rsid w:val="009E01C5"/>
    <w:rsid w:val="009E0DFE"/>
    <w:rsid w:val="009E1F3C"/>
    <w:rsid w:val="009E2A84"/>
    <w:rsid w:val="009E2E63"/>
    <w:rsid w:val="009E31F6"/>
    <w:rsid w:val="009E3482"/>
    <w:rsid w:val="009E4893"/>
    <w:rsid w:val="009E4B49"/>
    <w:rsid w:val="009E4B7B"/>
    <w:rsid w:val="009E4C07"/>
    <w:rsid w:val="009E5981"/>
    <w:rsid w:val="009E683C"/>
    <w:rsid w:val="009E6C0E"/>
    <w:rsid w:val="009E6E0A"/>
    <w:rsid w:val="009E7068"/>
    <w:rsid w:val="009E777F"/>
    <w:rsid w:val="009F1001"/>
    <w:rsid w:val="009F1EE7"/>
    <w:rsid w:val="009F249D"/>
    <w:rsid w:val="009F25F5"/>
    <w:rsid w:val="009F2BD2"/>
    <w:rsid w:val="009F2FEB"/>
    <w:rsid w:val="009F338C"/>
    <w:rsid w:val="009F4676"/>
    <w:rsid w:val="009F569E"/>
    <w:rsid w:val="009F5B8E"/>
    <w:rsid w:val="009F6120"/>
    <w:rsid w:val="009F676D"/>
    <w:rsid w:val="009F70A7"/>
    <w:rsid w:val="009F7841"/>
    <w:rsid w:val="009F787B"/>
    <w:rsid w:val="00A00905"/>
    <w:rsid w:val="00A009FA"/>
    <w:rsid w:val="00A00D76"/>
    <w:rsid w:val="00A00DC7"/>
    <w:rsid w:val="00A01184"/>
    <w:rsid w:val="00A01449"/>
    <w:rsid w:val="00A0203F"/>
    <w:rsid w:val="00A03256"/>
    <w:rsid w:val="00A03497"/>
    <w:rsid w:val="00A034E5"/>
    <w:rsid w:val="00A03630"/>
    <w:rsid w:val="00A037C2"/>
    <w:rsid w:val="00A03D43"/>
    <w:rsid w:val="00A03D5C"/>
    <w:rsid w:val="00A04380"/>
    <w:rsid w:val="00A04786"/>
    <w:rsid w:val="00A05472"/>
    <w:rsid w:val="00A05C32"/>
    <w:rsid w:val="00A06402"/>
    <w:rsid w:val="00A0653F"/>
    <w:rsid w:val="00A069F4"/>
    <w:rsid w:val="00A06BFC"/>
    <w:rsid w:val="00A07A77"/>
    <w:rsid w:val="00A07C12"/>
    <w:rsid w:val="00A07FD3"/>
    <w:rsid w:val="00A1000F"/>
    <w:rsid w:val="00A10028"/>
    <w:rsid w:val="00A10462"/>
    <w:rsid w:val="00A1050B"/>
    <w:rsid w:val="00A108E4"/>
    <w:rsid w:val="00A10EEA"/>
    <w:rsid w:val="00A111CB"/>
    <w:rsid w:val="00A11331"/>
    <w:rsid w:val="00A1136B"/>
    <w:rsid w:val="00A11819"/>
    <w:rsid w:val="00A11AEF"/>
    <w:rsid w:val="00A11CD0"/>
    <w:rsid w:val="00A11FD5"/>
    <w:rsid w:val="00A1203A"/>
    <w:rsid w:val="00A12378"/>
    <w:rsid w:val="00A134FF"/>
    <w:rsid w:val="00A138AA"/>
    <w:rsid w:val="00A13948"/>
    <w:rsid w:val="00A13A64"/>
    <w:rsid w:val="00A1555B"/>
    <w:rsid w:val="00A155B6"/>
    <w:rsid w:val="00A155C5"/>
    <w:rsid w:val="00A16AD8"/>
    <w:rsid w:val="00A16BD3"/>
    <w:rsid w:val="00A17688"/>
    <w:rsid w:val="00A17C9D"/>
    <w:rsid w:val="00A2021E"/>
    <w:rsid w:val="00A2074A"/>
    <w:rsid w:val="00A20BDC"/>
    <w:rsid w:val="00A21698"/>
    <w:rsid w:val="00A21C95"/>
    <w:rsid w:val="00A21CF3"/>
    <w:rsid w:val="00A22263"/>
    <w:rsid w:val="00A224DE"/>
    <w:rsid w:val="00A22BF6"/>
    <w:rsid w:val="00A22CA2"/>
    <w:rsid w:val="00A232EA"/>
    <w:rsid w:val="00A235B0"/>
    <w:rsid w:val="00A23C36"/>
    <w:rsid w:val="00A241B7"/>
    <w:rsid w:val="00A24765"/>
    <w:rsid w:val="00A247D6"/>
    <w:rsid w:val="00A24813"/>
    <w:rsid w:val="00A25100"/>
    <w:rsid w:val="00A255C8"/>
    <w:rsid w:val="00A255EC"/>
    <w:rsid w:val="00A27281"/>
    <w:rsid w:val="00A27307"/>
    <w:rsid w:val="00A27AEC"/>
    <w:rsid w:val="00A3023A"/>
    <w:rsid w:val="00A313D8"/>
    <w:rsid w:val="00A320DB"/>
    <w:rsid w:val="00A3223A"/>
    <w:rsid w:val="00A322AD"/>
    <w:rsid w:val="00A32C42"/>
    <w:rsid w:val="00A33426"/>
    <w:rsid w:val="00A35414"/>
    <w:rsid w:val="00A35A47"/>
    <w:rsid w:val="00A35D16"/>
    <w:rsid w:val="00A35E99"/>
    <w:rsid w:val="00A36351"/>
    <w:rsid w:val="00A367A5"/>
    <w:rsid w:val="00A36CCA"/>
    <w:rsid w:val="00A36CCB"/>
    <w:rsid w:val="00A36DE4"/>
    <w:rsid w:val="00A36E8A"/>
    <w:rsid w:val="00A36F8F"/>
    <w:rsid w:val="00A37207"/>
    <w:rsid w:val="00A3754A"/>
    <w:rsid w:val="00A37BCD"/>
    <w:rsid w:val="00A40995"/>
    <w:rsid w:val="00A40A1D"/>
    <w:rsid w:val="00A41689"/>
    <w:rsid w:val="00A41FCD"/>
    <w:rsid w:val="00A42592"/>
    <w:rsid w:val="00A42C8B"/>
    <w:rsid w:val="00A42F1F"/>
    <w:rsid w:val="00A431CC"/>
    <w:rsid w:val="00A432DD"/>
    <w:rsid w:val="00A43A26"/>
    <w:rsid w:val="00A43C59"/>
    <w:rsid w:val="00A43DFC"/>
    <w:rsid w:val="00A44767"/>
    <w:rsid w:val="00A447A0"/>
    <w:rsid w:val="00A44837"/>
    <w:rsid w:val="00A449AE"/>
    <w:rsid w:val="00A45C25"/>
    <w:rsid w:val="00A45CD7"/>
    <w:rsid w:val="00A45DED"/>
    <w:rsid w:val="00A4744B"/>
    <w:rsid w:val="00A47C4D"/>
    <w:rsid w:val="00A50B37"/>
    <w:rsid w:val="00A50B61"/>
    <w:rsid w:val="00A50ECD"/>
    <w:rsid w:val="00A51603"/>
    <w:rsid w:val="00A518F3"/>
    <w:rsid w:val="00A523B7"/>
    <w:rsid w:val="00A52729"/>
    <w:rsid w:val="00A52DFE"/>
    <w:rsid w:val="00A5351B"/>
    <w:rsid w:val="00A53675"/>
    <w:rsid w:val="00A537E9"/>
    <w:rsid w:val="00A53BD2"/>
    <w:rsid w:val="00A5423B"/>
    <w:rsid w:val="00A55420"/>
    <w:rsid w:val="00A5601A"/>
    <w:rsid w:val="00A5601C"/>
    <w:rsid w:val="00A564D7"/>
    <w:rsid w:val="00A56B6A"/>
    <w:rsid w:val="00A57163"/>
    <w:rsid w:val="00A5775D"/>
    <w:rsid w:val="00A578DC"/>
    <w:rsid w:val="00A607D1"/>
    <w:rsid w:val="00A611F6"/>
    <w:rsid w:val="00A6140B"/>
    <w:rsid w:val="00A62C4A"/>
    <w:rsid w:val="00A640E2"/>
    <w:rsid w:val="00A64D65"/>
    <w:rsid w:val="00A64DB4"/>
    <w:rsid w:val="00A655B1"/>
    <w:rsid w:val="00A658C1"/>
    <w:rsid w:val="00A65D6D"/>
    <w:rsid w:val="00A6629B"/>
    <w:rsid w:val="00A66F63"/>
    <w:rsid w:val="00A6725B"/>
    <w:rsid w:val="00A67554"/>
    <w:rsid w:val="00A70582"/>
    <w:rsid w:val="00A70605"/>
    <w:rsid w:val="00A709FF"/>
    <w:rsid w:val="00A70A79"/>
    <w:rsid w:val="00A71A10"/>
    <w:rsid w:val="00A71ED1"/>
    <w:rsid w:val="00A72299"/>
    <w:rsid w:val="00A73134"/>
    <w:rsid w:val="00A733B6"/>
    <w:rsid w:val="00A73584"/>
    <w:rsid w:val="00A7365A"/>
    <w:rsid w:val="00A7375F"/>
    <w:rsid w:val="00A73BDC"/>
    <w:rsid w:val="00A74272"/>
    <w:rsid w:val="00A74A99"/>
    <w:rsid w:val="00A76001"/>
    <w:rsid w:val="00A76427"/>
    <w:rsid w:val="00A765C0"/>
    <w:rsid w:val="00A76CDE"/>
    <w:rsid w:val="00A76F05"/>
    <w:rsid w:val="00A77025"/>
    <w:rsid w:val="00A770B2"/>
    <w:rsid w:val="00A777B2"/>
    <w:rsid w:val="00A803B4"/>
    <w:rsid w:val="00A803C0"/>
    <w:rsid w:val="00A80BB3"/>
    <w:rsid w:val="00A80C92"/>
    <w:rsid w:val="00A811F6"/>
    <w:rsid w:val="00A81683"/>
    <w:rsid w:val="00A819E4"/>
    <w:rsid w:val="00A819F7"/>
    <w:rsid w:val="00A81EEF"/>
    <w:rsid w:val="00A8221C"/>
    <w:rsid w:val="00A825D4"/>
    <w:rsid w:val="00A828F6"/>
    <w:rsid w:val="00A82B73"/>
    <w:rsid w:val="00A830FC"/>
    <w:rsid w:val="00A83808"/>
    <w:rsid w:val="00A83ECC"/>
    <w:rsid w:val="00A8431E"/>
    <w:rsid w:val="00A847CB"/>
    <w:rsid w:val="00A849AE"/>
    <w:rsid w:val="00A84ACC"/>
    <w:rsid w:val="00A855F5"/>
    <w:rsid w:val="00A85AEE"/>
    <w:rsid w:val="00A85EBA"/>
    <w:rsid w:val="00A862F9"/>
    <w:rsid w:val="00A8630B"/>
    <w:rsid w:val="00A86E8B"/>
    <w:rsid w:val="00A86FA2"/>
    <w:rsid w:val="00A87164"/>
    <w:rsid w:val="00A877BF"/>
    <w:rsid w:val="00A8792F"/>
    <w:rsid w:val="00A9087E"/>
    <w:rsid w:val="00A9087F"/>
    <w:rsid w:val="00A912EC"/>
    <w:rsid w:val="00A9141F"/>
    <w:rsid w:val="00A91EA6"/>
    <w:rsid w:val="00A93072"/>
    <w:rsid w:val="00A9358F"/>
    <w:rsid w:val="00A938BD"/>
    <w:rsid w:val="00A93953"/>
    <w:rsid w:val="00A93E09"/>
    <w:rsid w:val="00A95892"/>
    <w:rsid w:val="00A959D8"/>
    <w:rsid w:val="00A95E4D"/>
    <w:rsid w:val="00A9612F"/>
    <w:rsid w:val="00A96251"/>
    <w:rsid w:val="00A97191"/>
    <w:rsid w:val="00A97C27"/>
    <w:rsid w:val="00AA002D"/>
    <w:rsid w:val="00AA07B0"/>
    <w:rsid w:val="00AA0D3F"/>
    <w:rsid w:val="00AA113D"/>
    <w:rsid w:val="00AA15EF"/>
    <w:rsid w:val="00AA1D6C"/>
    <w:rsid w:val="00AA20A7"/>
    <w:rsid w:val="00AA26DF"/>
    <w:rsid w:val="00AA40CC"/>
    <w:rsid w:val="00AA485A"/>
    <w:rsid w:val="00AA4AD4"/>
    <w:rsid w:val="00AA573C"/>
    <w:rsid w:val="00AA5908"/>
    <w:rsid w:val="00AA61CE"/>
    <w:rsid w:val="00AA64E0"/>
    <w:rsid w:val="00AA67D9"/>
    <w:rsid w:val="00AA6BD5"/>
    <w:rsid w:val="00AA6BD8"/>
    <w:rsid w:val="00AA6C7C"/>
    <w:rsid w:val="00AA6C7D"/>
    <w:rsid w:val="00AA72CA"/>
    <w:rsid w:val="00AA7383"/>
    <w:rsid w:val="00AA76A1"/>
    <w:rsid w:val="00AA7923"/>
    <w:rsid w:val="00AA7FD6"/>
    <w:rsid w:val="00AA7FE4"/>
    <w:rsid w:val="00AB0407"/>
    <w:rsid w:val="00AB042A"/>
    <w:rsid w:val="00AB05D3"/>
    <w:rsid w:val="00AB0BC0"/>
    <w:rsid w:val="00AB0F29"/>
    <w:rsid w:val="00AB11AD"/>
    <w:rsid w:val="00AB1374"/>
    <w:rsid w:val="00AB19EF"/>
    <w:rsid w:val="00AB2495"/>
    <w:rsid w:val="00AB269D"/>
    <w:rsid w:val="00AB2D34"/>
    <w:rsid w:val="00AB3118"/>
    <w:rsid w:val="00AB327E"/>
    <w:rsid w:val="00AB33A4"/>
    <w:rsid w:val="00AB3430"/>
    <w:rsid w:val="00AB3723"/>
    <w:rsid w:val="00AB37B9"/>
    <w:rsid w:val="00AB3C09"/>
    <w:rsid w:val="00AB3DCE"/>
    <w:rsid w:val="00AB4241"/>
    <w:rsid w:val="00AB4AD1"/>
    <w:rsid w:val="00AB4D7D"/>
    <w:rsid w:val="00AB4F30"/>
    <w:rsid w:val="00AB5E07"/>
    <w:rsid w:val="00AB6194"/>
    <w:rsid w:val="00AB621A"/>
    <w:rsid w:val="00AB6B72"/>
    <w:rsid w:val="00AB780C"/>
    <w:rsid w:val="00AB7CFA"/>
    <w:rsid w:val="00AB7EFA"/>
    <w:rsid w:val="00AC01A6"/>
    <w:rsid w:val="00AC022A"/>
    <w:rsid w:val="00AC0789"/>
    <w:rsid w:val="00AC19F0"/>
    <w:rsid w:val="00AC365F"/>
    <w:rsid w:val="00AC4810"/>
    <w:rsid w:val="00AC4B5F"/>
    <w:rsid w:val="00AC51DC"/>
    <w:rsid w:val="00AC5B42"/>
    <w:rsid w:val="00AC5B48"/>
    <w:rsid w:val="00AC65DE"/>
    <w:rsid w:val="00AC70AA"/>
    <w:rsid w:val="00AC739E"/>
    <w:rsid w:val="00AC7535"/>
    <w:rsid w:val="00AD0458"/>
    <w:rsid w:val="00AD07A5"/>
    <w:rsid w:val="00AD0841"/>
    <w:rsid w:val="00AD0CC5"/>
    <w:rsid w:val="00AD114A"/>
    <w:rsid w:val="00AD1450"/>
    <w:rsid w:val="00AD15E8"/>
    <w:rsid w:val="00AD17B7"/>
    <w:rsid w:val="00AD194F"/>
    <w:rsid w:val="00AD1BD6"/>
    <w:rsid w:val="00AD2D8D"/>
    <w:rsid w:val="00AD356D"/>
    <w:rsid w:val="00AD370A"/>
    <w:rsid w:val="00AD45A3"/>
    <w:rsid w:val="00AD520F"/>
    <w:rsid w:val="00AD5B21"/>
    <w:rsid w:val="00AD5C7C"/>
    <w:rsid w:val="00AD5F8E"/>
    <w:rsid w:val="00AD6119"/>
    <w:rsid w:val="00AD6502"/>
    <w:rsid w:val="00AD6C4C"/>
    <w:rsid w:val="00AD7C94"/>
    <w:rsid w:val="00AE0062"/>
    <w:rsid w:val="00AE0695"/>
    <w:rsid w:val="00AE099E"/>
    <w:rsid w:val="00AE0ADF"/>
    <w:rsid w:val="00AE0CA2"/>
    <w:rsid w:val="00AE10C7"/>
    <w:rsid w:val="00AE1436"/>
    <w:rsid w:val="00AE1910"/>
    <w:rsid w:val="00AE19A0"/>
    <w:rsid w:val="00AE1E04"/>
    <w:rsid w:val="00AE1F4C"/>
    <w:rsid w:val="00AE3831"/>
    <w:rsid w:val="00AE3BDA"/>
    <w:rsid w:val="00AE3D60"/>
    <w:rsid w:val="00AE3E7E"/>
    <w:rsid w:val="00AE4ACB"/>
    <w:rsid w:val="00AE4EE8"/>
    <w:rsid w:val="00AE5939"/>
    <w:rsid w:val="00AE5C2E"/>
    <w:rsid w:val="00AE683A"/>
    <w:rsid w:val="00AE6902"/>
    <w:rsid w:val="00AE6A8F"/>
    <w:rsid w:val="00AE7508"/>
    <w:rsid w:val="00AE7CFF"/>
    <w:rsid w:val="00AE7E53"/>
    <w:rsid w:val="00AF0899"/>
    <w:rsid w:val="00AF08CB"/>
    <w:rsid w:val="00AF095C"/>
    <w:rsid w:val="00AF1315"/>
    <w:rsid w:val="00AF16BA"/>
    <w:rsid w:val="00AF1977"/>
    <w:rsid w:val="00AF1993"/>
    <w:rsid w:val="00AF19BF"/>
    <w:rsid w:val="00AF2DC3"/>
    <w:rsid w:val="00AF37FD"/>
    <w:rsid w:val="00AF39C9"/>
    <w:rsid w:val="00AF3AA6"/>
    <w:rsid w:val="00AF4238"/>
    <w:rsid w:val="00AF53A5"/>
    <w:rsid w:val="00AF5731"/>
    <w:rsid w:val="00AF60B4"/>
    <w:rsid w:val="00AF624E"/>
    <w:rsid w:val="00AF6E99"/>
    <w:rsid w:val="00B0046A"/>
    <w:rsid w:val="00B0060E"/>
    <w:rsid w:val="00B008A8"/>
    <w:rsid w:val="00B029BF"/>
    <w:rsid w:val="00B02EB7"/>
    <w:rsid w:val="00B02EC4"/>
    <w:rsid w:val="00B02F25"/>
    <w:rsid w:val="00B033E5"/>
    <w:rsid w:val="00B034C6"/>
    <w:rsid w:val="00B03A63"/>
    <w:rsid w:val="00B06637"/>
    <w:rsid w:val="00B10127"/>
    <w:rsid w:val="00B1085C"/>
    <w:rsid w:val="00B11357"/>
    <w:rsid w:val="00B114C6"/>
    <w:rsid w:val="00B11A82"/>
    <w:rsid w:val="00B129A4"/>
    <w:rsid w:val="00B12B03"/>
    <w:rsid w:val="00B1386A"/>
    <w:rsid w:val="00B13EF0"/>
    <w:rsid w:val="00B14101"/>
    <w:rsid w:val="00B150E0"/>
    <w:rsid w:val="00B15134"/>
    <w:rsid w:val="00B1524F"/>
    <w:rsid w:val="00B15B1F"/>
    <w:rsid w:val="00B16721"/>
    <w:rsid w:val="00B16803"/>
    <w:rsid w:val="00B17D75"/>
    <w:rsid w:val="00B201A4"/>
    <w:rsid w:val="00B201D1"/>
    <w:rsid w:val="00B20424"/>
    <w:rsid w:val="00B2075D"/>
    <w:rsid w:val="00B20B6B"/>
    <w:rsid w:val="00B213A6"/>
    <w:rsid w:val="00B21E0C"/>
    <w:rsid w:val="00B22067"/>
    <w:rsid w:val="00B2239D"/>
    <w:rsid w:val="00B235B0"/>
    <w:rsid w:val="00B236C4"/>
    <w:rsid w:val="00B239FA"/>
    <w:rsid w:val="00B24633"/>
    <w:rsid w:val="00B24DF6"/>
    <w:rsid w:val="00B25210"/>
    <w:rsid w:val="00B26184"/>
    <w:rsid w:val="00B2640E"/>
    <w:rsid w:val="00B265C1"/>
    <w:rsid w:val="00B26C1F"/>
    <w:rsid w:val="00B27A61"/>
    <w:rsid w:val="00B27B2E"/>
    <w:rsid w:val="00B3070B"/>
    <w:rsid w:val="00B308C7"/>
    <w:rsid w:val="00B30D68"/>
    <w:rsid w:val="00B318D7"/>
    <w:rsid w:val="00B322B3"/>
    <w:rsid w:val="00B32395"/>
    <w:rsid w:val="00B32A52"/>
    <w:rsid w:val="00B32D2C"/>
    <w:rsid w:val="00B3338B"/>
    <w:rsid w:val="00B33412"/>
    <w:rsid w:val="00B3388D"/>
    <w:rsid w:val="00B33AF4"/>
    <w:rsid w:val="00B33BD0"/>
    <w:rsid w:val="00B34251"/>
    <w:rsid w:val="00B34445"/>
    <w:rsid w:val="00B34FE2"/>
    <w:rsid w:val="00B35166"/>
    <w:rsid w:val="00B357D8"/>
    <w:rsid w:val="00B35ED4"/>
    <w:rsid w:val="00B360F4"/>
    <w:rsid w:val="00B36131"/>
    <w:rsid w:val="00B362C8"/>
    <w:rsid w:val="00B36A00"/>
    <w:rsid w:val="00B36A4C"/>
    <w:rsid w:val="00B36DCD"/>
    <w:rsid w:val="00B373E1"/>
    <w:rsid w:val="00B375AB"/>
    <w:rsid w:val="00B3792B"/>
    <w:rsid w:val="00B37BFC"/>
    <w:rsid w:val="00B40358"/>
    <w:rsid w:val="00B4066C"/>
    <w:rsid w:val="00B4071D"/>
    <w:rsid w:val="00B40A90"/>
    <w:rsid w:val="00B4112A"/>
    <w:rsid w:val="00B4146C"/>
    <w:rsid w:val="00B41614"/>
    <w:rsid w:val="00B41A73"/>
    <w:rsid w:val="00B42341"/>
    <w:rsid w:val="00B42420"/>
    <w:rsid w:val="00B42851"/>
    <w:rsid w:val="00B42CEB"/>
    <w:rsid w:val="00B42F80"/>
    <w:rsid w:val="00B43324"/>
    <w:rsid w:val="00B435CB"/>
    <w:rsid w:val="00B4423D"/>
    <w:rsid w:val="00B44321"/>
    <w:rsid w:val="00B44A4C"/>
    <w:rsid w:val="00B44BA0"/>
    <w:rsid w:val="00B458E4"/>
    <w:rsid w:val="00B45FFF"/>
    <w:rsid w:val="00B463EE"/>
    <w:rsid w:val="00B465EC"/>
    <w:rsid w:val="00B47197"/>
    <w:rsid w:val="00B47A0C"/>
    <w:rsid w:val="00B505C8"/>
    <w:rsid w:val="00B50C07"/>
    <w:rsid w:val="00B50CAC"/>
    <w:rsid w:val="00B50DB8"/>
    <w:rsid w:val="00B50E4B"/>
    <w:rsid w:val="00B514BA"/>
    <w:rsid w:val="00B519E4"/>
    <w:rsid w:val="00B51E52"/>
    <w:rsid w:val="00B51E91"/>
    <w:rsid w:val="00B52272"/>
    <w:rsid w:val="00B5229D"/>
    <w:rsid w:val="00B52A12"/>
    <w:rsid w:val="00B52C41"/>
    <w:rsid w:val="00B52E76"/>
    <w:rsid w:val="00B53415"/>
    <w:rsid w:val="00B53654"/>
    <w:rsid w:val="00B53905"/>
    <w:rsid w:val="00B53AC0"/>
    <w:rsid w:val="00B53B34"/>
    <w:rsid w:val="00B540A5"/>
    <w:rsid w:val="00B546DB"/>
    <w:rsid w:val="00B54B5B"/>
    <w:rsid w:val="00B54B9C"/>
    <w:rsid w:val="00B54E39"/>
    <w:rsid w:val="00B54F9C"/>
    <w:rsid w:val="00B55159"/>
    <w:rsid w:val="00B5562E"/>
    <w:rsid w:val="00B55862"/>
    <w:rsid w:val="00B55D65"/>
    <w:rsid w:val="00B56305"/>
    <w:rsid w:val="00B56883"/>
    <w:rsid w:val="00B56938"/>
    <w:rsid w:val="00B57000"/>
    <w:rsid w:val="00B5747E"/>
    <w:rsid w:val="00B57873"/>
    <w:rsid w:val="00B60503"/>
    <w:rsid w:val="00B60939"/>
    <w:rsid w:val="00B60AFD"/>
    <w:rsid w:val="00B60F25"/>
    <w:rsid w:val="00B611B2"/>
    <w:rsid w:val="00B616B1"/>
    <w:rsid w:val="00B61B00"/>
    <w:rsid w:val="00B6264D"/>
    <w:rsid w:val="00B62715"/>
    <w:rsid w:val="00B6289F"/>
    <w:rsid w:val="00B62E71"/>
    <w:rsid w:val="00B63200"/>
    <w:rsid w:val="00B64B34"/>
    <w:rsid w:val="00B64C0C"/>
    <w:rsid w:val="00B64F22"/>
    <w:rsid w:val="00B65611"/>
    <w:rsid w:val="00B6574F"/>
    <w:rsid w:val="00B66BA8"/>
    <w:rsid w:val="00B704A1"/>
    <w:rsid w:val="00B70552"/>
    <w:rsid w:val="00B70E8E"/>
    <w:rsid w:val="00B713FC"/>
    <w:rsid w:val="00B72584"/>
    <w:rsid w:val="00B72EE0"/>
    <w:rsid w:val="00B72F9F"/>
    <w:rsid w:val="00B73802"/>
    <w:rsid w:val="00B740DF"/>
    <w:rsid w:val="00B7458D"/>
    <w:rsid w:val="00B74657"/>
    <w:rsid w:val="00B75061"/>
    <w:rsid w:val="00B750C9"/>
    <w:rsid w:val="00B75B63"/>
    <w:rsid w:val="00B75DC9"/>
    <w:rsid w:val="00B76C92"/>
    <w:rsid w:val="00B76D6A"/>
    <w:rsid w:val="00B77C08"/>
    <w:rsid w:val="00B77F6A"/>
    <w:rsid w:val="00B80EFD"/>
    <w:rsid w:val="00B811EC"/>
    <w:rsid w:val="00B818A4"/>
    <w:rsid w:val="00B82A79"/>
    <w:rsid w:val="00B82FFF"/>
    <w:rsid w:val="00B8347B"/>
    <w:rsid w:val="00B8370A"/>
    <w:rsid w:val="00B83739"/>
    <w:rsid w:val="00B83E52"/>
    <w:rsid w:val="00B84117"/>
    <w:rsid w:val="00B858F0"/>
    <w:rsid w:val="00B85AA2"/>
    <w:rsid w:val="00B8649C"/>
    <w:rsid w:val="00B867FF"/>
    <w:rsid w:val="00B8695D"/>
    <w:rsid w:val="00B86AB8"/>
    <w:rsid w:val="00B871C2"/>
    <w:rsid w:val="00B876F0"/>
    <w:rsid w:val="00B878BD"/>
    <w:rsid w:val="00B87A96"/>
    <w:rsid w:val="00B87E3B"/>
    <w:rsid w:val="00B87F0A"/>
    <w:rsid w:val="00B90AD9"/>
    <w:rsid w:val="00B91112"/>
    <w:rsid w:val="00B91931"/>
    <w:rsid w:val="00B92267"/>
    <w:rsid w:val="00B92283"/>
    <w:rsid w:val="00B926DA"/>
    <w:rsid w:val="00B92AFF"/>
    <w:rsid w:val="00B92B35"/>
    <w:rsid w:val="00B92D0B"/>
    <w:rsid w:val="00B93721"/>
    <w:rsid w:val="00B93986"/>
    <w:rsid w:val="00B93C58"/>
    <w:rsid w:val="00B94945"/>
    <w:rsid w:val="00B94DD6"/>
    <w:rsid w:val="00B94FCE"/>
    <w:rsid w:val="00B952C3"/>
    <w:rsid w:val="00B9576F"/>
    <w:rsid w:val="00B95E57"/>
    <w:rsid w:val="00B962F8"/>
    <w:rsid w:val="00B9752E"/>
    <w:rsid w:val="00B97E49"/>
    <w:rsid w:val="00BA014B"/>
    <w:rsid w:val="00BA1EDE"/>
    <w:rsid w:val="00BA209F"/>
    <w:rsid w:val="00BA232B"/>
    <w:rsid w:val="00BA2A1C"/>
    <w:rsid w:val="00BA2F07"/>
    <w:rsid w:val="00BA3030"/>
    <w:rsid w:val="00BA322D"/>
    <w:rsid w:val="00BA3440"/>
    <w:rsid w:val="00BA43A1"/>
    <w:rsid w:val="00BA43FB"/>
    <w:rsid w:val="00BA4C4B"/>
    <w:rsid w:val="00BA50ED"/>
    <w:rsid w:val="00BA514D"/>
    <w:rsid w:val="00BA54E9"/>
    <w:rsid w:val="00BA63FA"/>
    <w:rsid w:val="00BA6D61"/>
    <w:rsid w:val="00BA6FFD"/>
    <w:rsid w:val="00BA7491"/>
    <w:rsid w:val="00BB00B3"/>
    <w:rsid w:val="00BB0519"/>
    <w:rsid w:val="00BB07B6"/>
    <w:rsid w:val="00BB0AA9"/>
    <w:rsid w:val="00BB0BDD"/>
    <w:rsid w:val="00BB0EFD"/>
    <w:rsid w:val="00BB176C"/>
    <w:rsid w:val="00BB181B"/>
    <w:rsid w:val="00BB1E7C"/>
    <w:rsid w:val="00BB2A73"/>
    <w:rsid w:val="00BB2F1E"/>
    <w:rsid w:val="00BB3A45"/>
    <w:rsid w:val="00BB4A76"/>
    <w:rsid w:val="00BB4ACC"/>
    <w:rsid w:val="00BB4FE5"/>
    <w:rsid w:val="00BB5457"/>
    <w:rsid w:val="00BB5D1E"/>
    <w:rsid w:val="00BB674C"/>
    <w:rsid w:val="00BB703E"/>
    <w:rsid w:val="00BB732D"/>
    <w:rsid w:val="00BB7405"/>
    <w:rsid w:val="00BB7A70"/>
    <w:rsid w:val="00BB7D5F"/>
    <w:rsid w:val="00BC1044"/>
    <w:rsid w:val="00BC17BE"/>
    <w:rsid w:val="00BC1D88"/>
    <w:rsid w:val="00BC2136"/>
    <w:rsid w:val="00BC2DE0"/>
    <w:rsid w:val="00BC3631"/>
    <w:rsid w:val="00BC3B1E"/>
    <w:rsid w:val="00BC3FD4"/>
    <w:rsid w:val="00BC444E"/>
    <w:rsid w:val="00BC4872"/>
    <w:rsid w:val="00BC4CAE"/>
    <w:rsid w:val="00BC501F"/>
    <w:rsid w:val="00BC591F"/>
    <w:rsid w:val="00BC6710"/>
    <w:rsid w:val="00BC6E00"/>
    <w:rsid w:val="00BC6EC5"/>
    <w:rsid w:val="00BC7D6D"/>
    <w:rsid w:val="00BC7F92"/>
    <w:rsid w:val="00BD05F3"/>
    <w:rsid w:val="00BD06FD"/>
    <w:rsid w:val="00BD0C3B"/>
    <w:rsid w:val="00BD2108"/>
    <w:rsid w:val="00BD27F3"/>
    <w:rsid w:val="00BD30BC"/>
    <w:rsid w:val="00BD379B"/>
    <w:rsid w:val="00BD3EDE"/>
    <w:rsid w:val="00BD4060"/>
    <w:rsid w:val="00BD538A"/>
    <w:rsid w:val="00BD6173"/>
    <w:rsid w:val="00BD65EF"/>
    <w:rsid w:val="00BD6694"/>
    <w:rsid w:val="00BD68A3"/>
    <w:rsid w:val="00BD6938"/>
    <w:rsid w:val="00BD6CF3"/>
    <w:rsid w:val="00BD7DC0"/>
    <w:rsid w:val="00BD7F72"/>
    <w:rsid w:val="00BE04F2"/>
    <w:rsid w:val="00BE0CF4"/>
    <w:rsid w:val="00BE0ECA"/>
    <w:rsid w:val="00BE15A5"/>
    <w:rsid w:val="00BE1A43"/>
    <w:rsid w:val="00BE2180"/>
    <w:rsid w:val="00BE21F2"/>
    <w:rsid w:val="00BE22D5"/>
    <w:rsid w:val="00BE22F0"/>
    <w:rsid w:val="00BE26F2"/>
    <w:rsid w:val="00BE385D"/>
    <w:rsid w:val="00BE3EF5"/>
    <w:rsid w:val="00BE4275"/>
    <w:rsid w:val="00BE486A"/>
    <w:rsid w:val="00BE5673"/>
    <w:rsid w:val="00BE5EAC"/>
    <w:rsid w:val="00BE6790"/>
    <w:rsid w:val="00BE7358"/>
    <w:rsid w:val="00BE795B"/>
    <w:rsid w:val="00BE7B33"/>
    <w:rsid w:val="00BE7FB6"/>
    <w:rsid w:val="00BF06AE"/>
    <w:rsid w:val="00BF0EC5"/>
    <w:rsid w:val="00BF0F95"/>
    <w:rsid w:val="00BF19FF"/>
    <w:rsid w:val="00BF2433"/>
    <w:rsid w:val="00BF2E6E"/>
    <w:rsid w:val="00BF2EAA"/>
    <w:rsid w:val="00BF319E"/>
    <w:rsid w:val="00BF323F"/>
    <w:rsid w:val="00BF4126"/>
    <w:rsid w:val="00BF4E8A"/>
    <w:rsid w:val="00BF4FFD"/>
    <w:rsid w:val="00BF5D5A"/>
    <w:rsid w:val="00BF5FF1"/>
    <w:rsid w:val="00BF61C9"/>
    <w:rsid w:val="00BF6294"/>
    <w:rsid w:val="00BF6B27"/>
    <w:rsid w:val="00BF6BA6"/>
    <w:rsid w:val="00BF6C94"/>
    <w:rsid w:val="00C002A2"/>
    <w:rsid w:val="00C00424"/>
    <w:rsid w:val="00C00BB0"/>
    <w:rsid w:val="00C00DB0"/>
    <w:rsid w:val="00C013A1"/>
    <w:rsid w:val="00C02BAE"/>
    <w:rsid w:val="00C03A8B"/>
    <w:rsid w:val="00C0447B"/>
    <w:rsid w:val="00C047C7"/>
    <w:rsid w:val="00C04A89"/>
    <w:rsid w:val="00C0531A"/>
    <w:rsid w:val="00C0566B"/>
    <w:rsid w:val="00C06786"/>
    <w:rsid w:val="00C07361"/>
    <w:rsid w:val="00C104C8"/>
    <w:rsid w:val="00C10E26"/>
    <w:rsid w:val="00C1179F"/>
    <w:rsid w:val="00C11C49"/>
    <w:rsid w:val="00C127B9"/>
    <w:rsid w:val="00C128FA"/>
    <w:rsid w:val="00C12C14"/>
    <w:rsid w:val="00C12C1D"/>
    <w:rsid w:val="00C13C61"/>
    <w:rsid w:val="00C13FF7"/>
    <w:rsid w:val="00C142B1"/>
    <w:rsid w:val="00C1467F"/>
    <w:rsid w:val="00C14F5C"/>
    <w:rsid w:val="00C15F04"/>
    <w:rsid w:val="00C170E5"/>
    <w:rsid w:val="00C1731A"/>
    <w:rsid w:val="00C179B3"/>
    <w:rsid w:val="00C17BCD"/>
    <w:rsid w:val="00C17E3F"/>
    <w:rsid w:val="00C200AA"/>
    <w:rsid w:val="00C202C9"/>
    <w:rsid w:val="00C20AD3"/>
    <w:rsid w:val="00C21017"/>
    <w:rsid w:val="00C21B5E"/>
    <w:rsid w:val="00C222A6"/>
    <w:rsid w:val="00C2262D"/>
    <w:rsid w:val="00C233A3"/>
    <w:rsid w:val="00C237ED"/>
    <w:rsid w:val="00C23BC0"/>
    <w:rsid w:val="00C23E0F"/>
    <w:rsid w:val="00C24022"/>
    <w:rsid w:val="00C240C6"/>
    <w:rsid w:val="00C24125"/>
    <w:rsid w:val="00C24632"/>
    <w:rsid w:val="00C24796"/>
    <w:rsid w:val="00C25418"/>
    <w:rsid w:val="00C25A40"/>
    <w:rsid w:val="00C25D9C"/>
    <w:rsid w:val="00C26040"/>
    <w:rsid w:val="00C2778B"/>
    <w:rsid w:val="00C31649"/>
    <w:rsid w:val="00C32258"/>
    <w:rsid w:val="00C322A2"/>
    <w:rsid w:val="00C32AD4"/>
    <w:rsid w:val="00C331C6"/>
    <w:rsid w:val="00C33471"/>
    <w:rsid w:val="00C33E02"/>
    <w:rsid w:val="00C3434C"/>
    <w:rsid w:val="00C3452B"/>
    <w:rsid w:val="00C34F0E"/>
    <w:rsid w:val="00C35FC5"/>
    <w:rsid w:val="00C364A7"/>
    <w:rsid w:val="00C36E74"/>
    <w:rsid w:val="00C3770F"/>
    <w:rsid w:val="00C37C15"/>
    <w:rsid w:val="00C37C34"/>
    <w:rsid w:val="00C40100"/>
    <w:rsid w:val="00C40385"/>
    <w:rsid w:val="00C405E2"/>
    <w:rsid w:val="00C40973"/>
    <w:rsid w:val="00C40B49"/>
    <w:rsid w:val="00C412BA"/>
    <w:rsid w:val="00C41768"/>
    <w:rsid w:val="00C41E75"/>
    <w:rsid w:val="00C42980"/>
    <w:rsid w:val="00C42B25"/>
    <w:rsid w:val="00C42BB5"/>
    <w:rsid w:val="00C43288"/>
    <w:rsid w:val="00C43689"/>
    <w:rsid w:val="00C4371D"/>
    <w:rsid w:val="00C44896"/>
    <w:rsid w:val="00C44A04"/>
    <w:rsid w:val="00C44FB6"/>
    <w:rsid w:val="00C4698C"/>
    <w:rsid w:val="00C46B40"/>
    <w:rsid w:val="00C4710B"/>
    <w:rsid w:val="00C475AA"/>
    <w:rsid w:val="00C51650"/>
    <w:rsid w:val="00C51C84"/>
    <w:rsid w:val="00C527C7"/>
    <w:rsid w:val="00C531C0"/>
    <w:rsid w:val="00C531D6"/>
    <w:rsid w:val="00C53C98"/>
    <w:rsid w:val="00C540FD"/>
    <w:rsid w:val="00C541FB"/>
    <w:rsid w:val="00C545FE"/>
    <w:rsid w:val="00C546D9"/>
    <w:rsid w:val="00C54D8E"/>
    <w:rsid w:val="00C54E56"/>
    <w:rsid w:val="00C5561A"/>
    <w:rsid w:val="00C568BE"/>
    <w:rsid w:val="00C56F49"/>
    <w:rsid w:val="00C56FCF"/>
    <w:rsid w:val="00C57B6C"/>
    <w:rsid w:val="00C57C1C"/>
    <w:rsid w:val="00C61A59"/>
    <w:rsid w:val="00C620C9"/>
    <w:rsid w:val="00C625B2"/>
    <w:rsid w:val="00C6269F"/>
    <w:rsid w:val="00C628A6"/>
    <w:rsid w:val="00C63639"/>
    <w:rsid w:val="00C63688"/>
    <w:rsid w:val="00C64045"/>
    <w:rsid w:val="00C64344"/>
    <w:rsid w:val="00C64737"/>
    <w:rsid w:val="00C65108"/>
    <w:rsid w:val="00C65576"/>
    <w:rsid w:val="00C6567A"/>
    <w:rsid w:val="00C6571E"/>
    <w:rsid w:val="00C65948"/>
    <w:rsid w:val="00C66165"/>
    <w:rsid w:val="00C66C6F"/>
    <w:rsid w:val="00C6713C"/>
    <w:rsid w:val="00C67C5C"/>
    <w:rsid w:val="00C67F55"/>
    <w:rsid w:val="00C7060A"/>
    <w:rsid w:val="00C7086D"/>
    <w:rsid w:val="00C70952"/>
    <w:rsid w:val="00C70A0E"/>
    <w:rsid w:val="00C7151A"/>
    <w:rsid w:val="00C716EE"/>
    <w:rsid w:val="00C717E3"/>
    <w:rsid w:val="00C71ABF"/>
    <w:rsid w:val="00C71F60"/>
    <w:rsid w:val="00C72241"/>
    <w:rsid w:val="00C72FBD"/>
    <w:rsid w:val="00C731EC"/>
    <w:rsid w:val="00C737C3"/>
    <w:rsid w:val="00C737DF"/>
    <w:rsid w:val="00C74863"/>
    <w:rsid w:val="00C75019"/>
    <w:rsid w:val="00C750C8"/>
    <w:rsid w:val="00C7560F"/>
    <w:rsid w:val="00C75A2E"/>
    <w:rsid w:val="00C75CD2"/>
    <w:rsid w:val="00C75E52"/>
    <w:rsid w:val="00C75F56"/>
    <w:rsid w:val="00C76DD0"/>
    <w:rsid w:val="00C777CA"/>
    <w:rsid w:val="00C77A90"/>
    <w:rsid w:val="00C77BCF"/>
    <w:rsid w:val="00C809D4"/>
    <w:rsid w:val="00C80A0E"/>
    <w:rsid w:val="00C8189F"/>
    <w:rsid w:val="00C819DC"/>
    <w:rsid w:val="00C81A7D"/>
    <w:rsid w:val="00C820B9"/>
    <w:rsid w:val="00C8213F"/>
    <w:rsid w:val="00C8301C"/>
    <w:rsid w:val="00C8303F"/>
    <w:rsid w:val="00C836CB"/>
    <w:rsid w:val="00C83866"/>
    <w:rsid w:val="00C8409E"/>
    <w:rsid w:val="00C84350"/>
    <w:rsid w:val="00C84FC1"/>
    <w:rsid w:val="00C85154"/>
    <w:rsid w:val="00C85A70"/>
    <w:rsid w:val="00C85C84"/>
    <w:rsid w:val="00C86449"/>
    <w:rsid w:val="00C87092"/>
    <w:rsid w:val="00C8797A"/>
    <w:rsid w:val="00C900B8"/>
    <w:rsid w:val="00C90197"/>
    <w:rsid w:val="00C90741"/>
    <w:rsid w:val="00C90849"/>
    <w:rsid w:val="00C90C71"/>
    <w:rsid w:val="00C90FC3"/>
    <w:rsid w:val="00C91D75"/>
    <w:rsid w:val="00C91FD1"/>
    <w:rsid w:val="00C92335"/>
    <w:rsid w:val="00C92599"/>
    <w:rsid w:val="00C92B2B"/>
    <w:rsid w:val="00C9304B"/>
    <w:rsid w:val="00C931CF"/>
    <w:rsid w:val="00C934DB"/>
    <w:rsid w:val="00C938CF"/>
    <w:rsid w:val="00C93A68"/>
    <w:rsid w:val="00C93A91"/>
    <w:rsid w:val="00C94053"/>
    <w:rsid w:val="00C940CF"/>
    <w:rsid w:val="00C9519C"/>
    <w:rsid w:val="00C95662"/>
    <w:rsid w:val="00C9591F"/>
    <w:rsid w:val="00C95C4D"/>
    <w:rsid w:val="00C9624D"/>
    <w:rsid w:val="00C966D3"/>
    <w:rsid w:val="00C96898"/>
    <w:rsid w:val="00C969DA"/>
    <w:rsid w:val="00C96DAF"/>
    <w:rsid w:val="00C97895"/>
    <w:rsid w:val="00C9797C"/>
    <w:rsid w:val="00C97BB3"/>
    <w:rsid w:val="00CA085D"/>
    <w:rsid w:val="00CA0A1D"/>
    <w:rsid w:val="00CA0EAE"/>
    <w:rsid w:val="00CA1636"/>
    <w:rsid w:val="00CA1C1D"/>
    <w:rsid w:val="00CA1E7E"/>
    <w:rsid w:val="00CA2BDF"/>
    <w:rsid w:val="00CA2C77"/>
    <w:rsid w:val="00CA342F"/>
    <w:rsid w:val="00CA3E30"/>
    <w:rsid w:val="00CA444F"/>
    <w:rsid w:val="00CA5245"/>
    <w:rsid w:val="00CA5B5C"/>
    <w:rsid w:val="00CA5DEC"/>
    <w:rsid w:val="00CA653E"/>
    <w:rsid w:val="00CA681E"/>
    <w:rsid w:val="00CA7052"/>
    <w:rsid w:val="00CA70B0"/>
    <w:rsid w:val="00CA71F4"/>
    <w:rsid w:val="00CA7B09"/>
    <w:rsid w:val="00CA7CDB"/>
    <w:rsid w:val="00CB113A"/>
    <w:rsid w:val="00CB12A5"/>
    <w:rsid w:val="00CB1CAC"/>
    <w:rsid w:val="00CB2CE2"/>
    <w:rsid w:val="00CB2F2A"/>
    <w:rsid w:val="00CB315E"/>
    <w:rsid w:val="00CB3F44"/>
    <w:rsid w:val="00CB56A8"/>
    <w:rsid w:val="00CB5959"/>
    <w:rsid w:val="00CB5B1A"/>
    <w:rsid w:val="00CB5B1B"/>
    <w:rsid w:val="00CB6003"/>
    <w:rsid w:val="00CB6705"/>
    <w:rsid w:val="00CB6904"/>
    <w:rsid w:val="00CB6B22"/>
    <w:rsid w:val="00CB7DAC"/>
    <w:rsid w:val="00CB7F5F"/>
    <w:rsid w:val="00CC02BB"/>
    <w:rsid w:val="00CC14AA"/>
    <w:rsid w:val="00CC1B0A"/>
    <w:rsid w:val="00CC1B39"/>
    <w:rsid w:val="00CC1BFA"/>
    <w:rsid w:val="00CC204B"/>
    <w:rsid w:val="00CC2568"/>
    <w:rsid w:val="00CC2C7E"/>
    <w:rsid w:val="00CC2E9F"/>
    <w:rsid w:val="00CC3172"/>
    <w:rsid w:val="00CC31F8"/>
    <w:rsid w:val="00CC35EA"/>
    <w:rsid w:val="00CC3848"/>
    <w:rsid w:val="00CC3B2B"/>
    <w:rsid w:val="00CC3C90"/>
    <w:rsid w:val="00CC5D82"/>
    <w:rsid w:val="00CC66CF"/>
    <w:rsid w:val="00CC6D5E"/>
    <w:rsid w:val="00CC73F0"/>
    <w:rsid w:val="00CC75CF"/>
    <w:rsid w:val="00CC7C81"/>
    <w:rsid w:val="00CC7D50"/>
    <w:rsid w:val="00CC7FFC"/>
    <w:rsid w:val="00CD0200"/>
    <w:rsid w:val="00CD025B"/>
    <w:rsid w:val="00CD149E"/>
    <w:rsid w:val="00CD15A7"/>
    <w:rsid w:val="00CD1BE1"/>
    <w:rsid w:val="00CD1EEC"/>
    <w:rsid w:val="00CD2965"/>
    <w:rsid w:val="00CD360F"/>
    <w:rsid w:val="00CD3618"/>
    <w:rsid w:val="00CD39B4"/>
    <w:rsid w:val="00CD3F77"/>
    <w:rsid w:val="00CD42B5"/>
    <w:rsid w:val="00CD4A5C"/>
    <w:rsid w:val="00CD4B9F"/>
    <w:rsid w:val="00CD6564"/>
    <w:rsid w:val="00CD69DE"/>
    <w:rsid w:val="00CD6ADC"/>
    <w:rsid w:val="00CD707A"/>
    <w:rsid w:val="00CD7193"/>
    <w:rsid w:val="00CD73D5"/>
    <w:rsid w:val="00CD7D61"/>
    <w:rsid w:val="00CE0721"/>
    <w:rsid w:val="00CE121D"/>
    <w:rsid w:val="00CE14D3"/>
    <w:rsid w:val="00CE1667"/>
    <w:rsid w:val="00CE3216"/>
    <w:rsid w:val="00CE38C8"/>
    <w:rsid w:val="00CE3DCF"/>
    <w:rsid w:val="00CE4555"/>
    <w:rsid w:val="00CE4971"/>
    <w:rsid w:val="00CE5021"/>
    <w:rsid w:val="00CE524F"/>
    <w:rsid w:val="00CE58CC"/>
    <w:rsid w:val="00CE6198"/>
    <w:rsid w:val="00CE6274"/>
    <w:rsid w:val="00CE62A7"/>
    <w:rsid w:val="00CE64FC"/>
    <w:rsid w:val="00CE65BC"/>
    <w:rsid w:val="00CE6B72"/>
    <w:rsid w:val="00CE6EA0"/>
    <w:rsid w:val="00CE77B6"/>
    <w:rsid w:val="00CF0052"/>
    <w:rsid w:val="00CF0CC6"/>
    <w:rsid w:val="00CF179D"/>
    <w:rsid w:val="00CF210E"/>
    <w:rsid w:val="00CF222F"/>
    <w:rsid w:val="00CF2775"/>
    <w:rsid w:val="00CF2B8C"/>
    <w:rsid w:val="00CF2B8D"/>
    <w:rsid w:val="00CF2E26"/>
    <w:rsid w:val="00CF3019"/>
    <w:rsid w:val="00CF3070"/>
    <w:rsid w:val="00CF3928"/>
    <w:rsid w:val="00CF3977"/>
    <w:rsid w:val="00CF3A1B"/>
    <w:rsid w:val="00CF405D"/>
    <w:rsid w:val="00CF4162"/>
    <w:rsid w:val="00CF456B"/>
    <w:rsid w:val="00CF45E6"/>
    <w:rsid w:val="00CF4A48"/>
    <w:rsid w:val="00CF4CDF"/>
    <w:rsid w:val="00CF5201"/>
    <w:rsid w:val="00CF5790"/>
    <w:rsid w:val="00CF5A22"/>
    <w:rsid w:val="00CF5BA2"/>
    <w:rsid w:val="00CF71B0"/>
    <w:rsid w:val="00D01BFF"/>
    <w:rsid w:val="00D02232"/>
    <w:rsid w:val="00D0262E"/>
    <w:rsid w:val="00D02D36"/>
    <w:rsid w:val="00D03205"/>
    <w:rsid w:val="00D03679"/>
    <w:rsid w:val="00D03BA6"/>
    <w:rsid w:val="00D046FC"/>
    <w:rsid w:val="00D0536C"/>
    <w:rsid w:val="00D056B8"/>
    <w:rsid w:val="00D05A31"/>
    <w:rsid w:val="00D05E3D"/>
    <w:rsid w:val="00D06139"/>
    <w:rsid w:val="00D075ED"/>
    <w:rsid w:val="00D077B2"/>
    <w:rsid w:val="00D103F4"/>
    <w:rsid w:val="00D105A5"/>
    <w:rsid w:val="00D10614"/>
    <w:rsid w:val="00D110BD"/>
    <w:rsid w:val="00D110E5"/>
    <w:rsid w:val="00D11378"/>
    <w:rsid w:val="00D11389"/>
    <w:rsid w:val="00D119CD"/>
    <w:rsid w:val="00D12EED"/>
    <w:rsid w:val="00D131BC"/>
    <w:rsid w:val="00D13633"/>
    <w:rsid w:val="00D13660"/>
    <w:rsid w:val="00D13675"/>
    <w:rsid w:val="00D141E1"/>
    <w:rsid w:val="00D145B5"/>
    <w:rsid w:val="00D15314"/>
    <w:rsid w:val="00D15B48"/>
    <w:rsid w:val="00D1626D"/>
    <w:rsid w:val="00D174BF"/>
    <w:rsid w:val="00D177F9"/>
    <w:rsid w:val="00D17D6C"/>
    <w:rsid w:val="00D20714"/>
    <w:rsid w:val="00D210CA"/>
    <w:rsid w:val="00D2155B"/>
    <w:rsid w:val="00D216A9"/>
    <w:rsid w:val="00D22E8D"/>
    <w:rsid w:val="00D22EC1"/>
    <w:rsid w:val="00D23A09"/>
    <w:rsid w:val="00D23B08"/>
    <w:rsid w:val="00D23D11"/>
    <w:rsid w:val="00D244B6"/>
    <w:rsid w:val="00D24A75"/>
    <w:rsid w:val="00D25DB2"/>
    <w:rsid w:val="00D260E3"/>
    <w:rsid w:val="00D26168"/>
    <w:rsid w:val="00D26345"/>
    <w:rsid w:val="00D26C19"/>
    <w:rsid w:val="00D2754D"/>
    <w:rsid w:val="00D2783F"/>
    <w:rsid w:val="00D27B27"/>
    <w:rsid w:val="00D3055F"/>
    <w:rsid w:val="00D30C7C"/>
    <w:rsid w:val="00D30D5B"/>
    <w:rsid w:val="00D30DEB"/>
    <w:rsid w:val="00D31C0A"/>
    <w:rsid w:val="00D31CEB"/>
    <w:rsid w:val="00D3324D"/>
    <w:rsid w:val="00D33BD7"/>
    <w:rsid w:val="00D33BE9"/>
    <w:rsid w:val="00D33F93"/>
    <w:rsid w:val="00D3434B"/>
    <w:rsid w:val="00D357FF"/>
    <w:rsid w:val="00D35DAE"/>
    <w:rsid w:val="00D360DB"/>
    <w:rsid w:val="00D363BC"/>
    <w:rsid w:val="00D36706"/>
    <w:rsid w:val="00D36734"/>
    <w:rsid w:val="00D37364"/>
    <w:rsid w:val="00D3744A"/>
    <w:rsid w:val="00D37764"/>
    <w:rsid w:val="00D37CB8"/>
    <w:rsid w:val="00D40183"/>
    <w:rsid w:val="00D403EB"/>
    <w:rsid w:val="00D40DD4"/>
    <w:rsid w:val="00D41489"/>
    <w:rsid w:val="00D424B7"/>
    <w:rsid w:val="00D424C7"/>
    <w:rsid w:val="00D427EC"/>
    <w:rsid w:val="00D42A5C"/>
    <w:rsid w:val="00D42E32"/>
    <w:rsid w:val="00D4313C"/>
    <w:rsid w:val="00D431A3"/>
    <w:rsid w:val="00D435CD"/>
    <w:rsid w:val="00D43B2A"/>
    <w:rsid w:val="00D43CF1"/>
    <w:rsid w:val="00D43D83"/>
    <w:rsid w:val="00D4446D"/>
    <w:rsid w:val="00D448D0"/>
    <w:rsid w:val="00D44C21"/>
    <w:rsid w:val="00D44CAA"/>
    <w:rsid w:val="00D45D2F"/>
    <w:rsid w:val="00D46E7D"/>
    <w:rsid w:val="00D4719C"/>
    <w:rsid w:val="00D47575"/>
    <w:rsid w:val="00D47D5F"/>
    <w:rsid w:val="00D50196"/>
    <w:rsid w:val="00D501D8"/>
    <w:rsid w:val="00D50B6B"/>
    <w:rsid w:val="00D50C04"/>
    <w:rsid w:val="00D51654"/>
    <w:rsid w:val="00D5243B"/>
    <w:rsid w:val="00D52C9E"/>
    <w:rsid w:val="00D533EC"/>
    <w:rsid w:val="00D53A6D"/>
    <w:rsid w:val="00D544E3"/>
    <w:rsid w:val="00D54759"/>
    <w:rsid w:val="00D5506E"/>
    <w:rsid w:val="00D553C9"/>
    <w:rsid w:val="00D55B77"/>
    <w:rsid w:val="00D55D2F"/>
    <w:rsid w:val="00D55DDA"/>
    <w:rsid w:val="00D56226"/>
    <w:rsid w:val="00D56A89"/>
    <w:rsid w:val="00D56A95"/>
    <w:rsid w:val="00D57844"/>
    <w:rsid w:val="00D5794D"/>
    <w:rsid w:val="00D57A51"/>
    <w:rsid w:val="00D6076E"/>
    <w:rsid w:val="00D60833"/>
    <w:rsid w:val="00D60BA0"/>
    <w:rsid w:val="00D60E31"/>
    <w:rsid w:val="00D618A2"/>
    <w:rsid w:val="00D62585"/>
    <w:rsid w:val="00D6389C"/>
    <w:rsid w:val="00D64680"/>
    <w:rsid w:val="00D6472B"/>
    <w:rsid w:val="00D655D9"/>
    <w:rsid w:val="00D66156"/>
    <w:rsid w:val="00D66678"/>
    <w:rsid w:val="00D6786B"/>
    <w:rsid w:val="00D704A0"/>
    <w:rsid w:val="00D706DE"/>
    <w:rsid w:val="00D70BC5"/>
    <w:rsid w:val="00D70F16"/>
    <w:rsid w:val="00D71027"/>
    <w:rsid w:val="00D714D9"/>
    <w:rsid w:val="00D71B5F"/>
    <w:rsid w:val="00D72617"/>
    <w:rsid w:val="00D72AF1"/>
    <w:rsid w:val="00D72E33"/>
    <w:rsid w:val="00D72F57"/>
    <w:rsid w:val="00D7452B"/>
    <w:rsid w:val="00D7494D"/>
    <w:rsid w:val="00D74B19"/>
    <w:rsid w:val="00D74F24"/>
    <w:rsid w:val="00D75713"/>
    <w:rsid w:val="00D75B59"/>
    <w:rsid w:val="00D75E12"/>
    <w:rsid w:val="00D75E88"/>
    <w:rsid w:val="00D7672B"/>
    <w:rsid w:val="00D76A44"/>
    <w:rsid w:val="00D76DAC"/>
    <w:rsid w:val="00D77177"/>
    <w:rsid w:val="00D77B0A"/>
    <w:rsid w:val="00D805D4"/>
    <w:rsid w:val="00D805E2"/>
    <w:rsid w:val="00D807AB"/>
    <w:rsid w:val="00D80942"/>
    <w:rsid w:val="00D80B8C"/>
    <w:rsid w:val="00D8114E"/>
    <w:rsid w:val="00D815EF"/>
    <w:rsid w:val="00D81949"/>
    <w:rsid w:val="00D81950"/>
    <w:rsid w:val="00D81F26"/>
    <w:rsid w:val="00D822E2"/>
    <w:rsid w:val="00D828EA"/>
    <w:rsid w:val="00D82DD9"/>
    <w:rsid w:val="00D843F2"/>
    <w:rsid w:val="00D846AD"/>
    <w:rsid w:val="00D84754"/>
    <w:rsid w:val="00D847AA"/>
    <w:rsid w:val="00D848B2"/>
    <w:rsid w:val="00D84B6C"/>
    <w:rsid w:val="00D84BE6"/>
    <w:rsid w:val="00D84C06"/>
    <w:rsid w:val="00D84D49"/>
    <w:rsid w:val="00D851E0"/>
    <w:rsid w:val="00D8538B"/>
    <w:rsid w:val="00D86231"/>
    <w:rsid w:val="00D862A0"/>
    <w:rsid w:val="00D86DAB"/>
    <w:rsid w:val="00D912AB"/>
    <w:rsid w:val="00D91923"/>
    <w:rsid w:val="00D91E27"/>
    <w:rsid w:val="00D932C8"/>
    <w:rsid w:val="00D93753"/>
    <w:rsid w:val="00D942B1"/>
    <w:rsid w:val="00D94AAB"/>
    <w:rsid w:val="00D94B27"/>
    <w:rsid w:val="00D94E0F"/>
    <w:rsid w:val="00D965FA"/>
    <w:rsid w:val="00D9791A"/>
    <w:rsid w:val="00D97924"/>
    <w:rsid w:val="00DA0966"/>
    <w:rsid w:val="00DA1036"/>
    <w:rsid w:val="00DA3167"/>
    <w:rsid w:val="00DA41D4"/>
    <w:rsid w:val="00DA440E"/>
    <w:rsid w:val="00DA4DC3"/>
    <w:rsid w:val="00DA55BB"/>
    <w:rsid w:val="00DA614F"/>
    <w:rsid w:val="00DA6678"/>
    <w:rsid w:val="00DA6959"/>
    <w:rsid w:val="00DA6E9E"/>
    <w:rsid w:val="00DA7342"/>
    <w:rsid w:val="00DA74DE"/>
    <w:rsid w:val="00DA77A5"/>
    <w:rsid w:val="00DA7C87"/>
    <w:rsid w:val="00DB0985"/>
    <w:rsid w:val="00DB0D84"/>
    <w:rsid w:val="00DB0E36"/>
    <w:rsid w:val="00DB1F04"/>
    <w:rsid w:val="00DB24F0"/>
    <w:rsid w:val="00DB2A95"/>
    <w:rsid w:val="00DB2E65"/>
    <w:rsid w:val="00DB357A"/>
    <w:rsid w:val="00DB3DBF"/>
    <w:rsid w:val="00DB4194"/>
    <w:rsid w:val="00DB4480"/>
    <w:rsid w:val="00DB4525"/>
    <w:rsid w:val="00DB484F"/>
    <w:rsid w:val="00DB49B6"/>
    <w:rsid w:val="00DB5E43"/>
    <w:rsid w:val="00DB620C"/>
    <w:rsid w:val="00DB69BE"/>
    <w:rsid w:val="00DB6AF7"/>
    <w:rsid w:val="00DC04F6"/>
    <w:rsid w:val="00DC0690"/>
    <w:rsid w:val="00DC1D65"/>
    <w:rsid w:val="00DC2C18"/>
    <w:rsid w:val="00DC3806"/>
    <w:rsid w:val="00DC39B4"/>
    <w:rsid w:val="00DC3AE8"/>
    <w:rsid w:val="00DC3B6E"/>
    <w:rsid w:val="00DC3C57"/>
    <w:rsid w:val="00DC3FE3"/>
    <w:rsid w:val="00DC4278"/>
    <w:rsid w:val="00DC4345"/>
    <w:rsid w:val="00DC457B"/>
    <w:rsid w:val="00DC46B7"/>
    <w:rsid w:val="00DC4B8A"/>
    <w:rsid w:val="00DC5000"/>
    <w:rsid w:val="00DC5501"/>
    <w:rsid w:val="00DC5DE4"/>
    <w:rsid w:val="00DC612E"/>
    <w:rsid w:val="00DC7154"/>
    <w:rsid w:val="00DC71A4"/>
    <w:rsid w:val="00DC757C"/>
    <w:rsid w:val="00DC7E8A"/>
    <w:rsid w:val="00DC7F5F"/>
    <w:rsid w:val="00DC7F8A"/>
    <w:rsid w:val="00DD09A0"/>
    <w:rsid w:val="00DD0B80"/>
    <w:rsid w:val="00DD0F78"/>
    <w:rsid w:val="00DD16F8"/>
    <w:rsid w:val="00DD1890"/>
    <w:rsid w:val="00DD22C6"/>
    <w:rsid w:val="00DD2557"/>
    <w:rsid w:val="00DD273C"/>
    <w:rsid w:val="00DD2B3E"/>
    <w:rsid w:val="00DD38E3"/>
    <w:rsid w:val="00DD3B9B"/>
    <w:rsid w:val="00DD3F28"/>
    <w:rsid w:val="00DD4446"/>
    <w:rsid w:val="00DD4537"/>
    <w:rsid w:val="00DD4A18"/>
    <w:rsid w:val="00DD4E15"/>
    <w:rsid w:val="00DD5698"/>
    <w:rsid w:val="00DD6017"/>
    <w:rsid w:val="00DD6078"/>
    <w:rsid w:val="00DD64D0"/>
    <w:rsid w:val="00DD65E3"/>
    <w:rsid w:val="00DD67A2"/>
    <w:rsid w:val="00DD716D"/>
    <w:rsid w:val="00DD77A8"/>
    <w:rsid w:val="00DD79E5"/>
    <w:rsid w:val="00DD7CF0"/>
    <w:rsid w:val="00DD7ED8"/>
    <w:rsid w:val="00DE00C4"/>
    <w:rsid w:val="00DE02E3"/>
    <w:rsid w:val="00DE04A9"/>
    <w:rsid w:val="00DE0DB3"/>
    <w:rsid w:val="00DE1610"/>
    <w:rsid w:val="00DE2304"/>
    <w:rsid w:val="00DE2C29"/>
    <w:rsid w:val="00DE3084"/>
    <w:rsid w:val="00DE3138"/>
    <w:rsid w:val="00DE35BE"/>
    <w:rsid w:val="00DE36BB"/>
    <w:rsid w:val="00DE37F8"/>
    <w:rsid w:val="00DE3BA7"/>
    <w:rsid w:val="00DE413B"/>
    <w:rsid w:val="00DE4273"/>
    <w:rsid w:val="00DE43E2"/>
    <w:rsid w:val="00DE4FCB"/>
    <w:rsid w:val="00DE51B1"/>
    <w:rsid w:val="00DE52EB"/>
    <w:rsid w:val="00DE5AB5"/>
    <w:rsid w:val="00DE5D07"/>
    <w:rsid w:val="00DE68DF"/>
    <w:rsid w:val="00DE72A7"/>
    <w:rsid w:val="00DE7832"/>
    <w:rsid w:val="00DE7D64"/>
    <w:rsid w:val="00DF04EE"/>
    <w:rsid w:val="00DF05DE"/>
    <w:rsid w:val="00DF08D6"/>
    <w:rsid w:val="00DF1047"/>
    <w:rsid w:val="00DF181C"/>
    <w:rsid w:val="00DF18FC"/>
    <w:rsid w:val="00DF2380"/>
    <w:rsid w:val="00DF2625"/>
    <w:rsid w:val="00DF27B0"/>
    <w:rsid w:val="00DF2E8F"/>
    <w:rsid w:val="00DF42A2"/>
    <w:rsid w:val="00DF44D1"/>
    <w:rsid w:val="00DF4982"/>
    <w:rsid w:val="00DF5D2B"/>
    <w:rsid w:val="00DF62C0"/>
    <w:rsid w:val="00DF62D0"/>
    <w:rsid w:val="00DF6341"/>
    <w:rsid w:val="00DF656A"/>
    <w:rsid w:val="00DF66A0"/>
    <w:rsid w:val="00DF72C2"/>
    <w:rsid w:val="00DF7392"/>
    <w:rsid w:val="00DF7FFE"/>
    <w:rsid w:val="00E00E8E"/>
    <w:rsid w:val="00E00F74"/>
    <w:rsid w:val="00E01752"/>
    <w:rsid w:val="00E02A03"/>
    <w:rsid w:val="00E02AD1"/>
    <w:rsid w:val="00E03923"/>
    <w:rsid w:val="00E04D2E"/>
    <w:rsid w:val="00E04E25"/>
    <w:rsid w:val="00E05630"/>
    <w:rsid w:val="00E05DA7"/>
    <w:rsid w:val="00E0628C"/>
    <w:rsid w:val="00E06A5E"/>
    <w:rsid w:val="00E06DBB"/>
    <w:rsid w:val="00E07E25"/>
    <w:rsid w:val="00E10149"/>
    <w:rsid w:val="00E10418"/>
    <w:rsid w:val="00E1066F"/>
    <w:rsid w:val="00E10EDD"/>
    <w:rsid w:val="00E11340"/>
    <w:rsid w:val="00E12066"/>
    <w:rsid w:val="00E122A1"/>
    <w:rsid w:val="00E125E8"/>
    <w:rsid w:val="00E1261B"/>
    <w:rsid w:val="00E14152"/>
    <w:rsid w:val="00E142BA"/>
    <w:rsid w:val="00E1450B"/>
    <w:rsid w:val="00E14654"/>
    <w:rsid w:val="00E150A1"/>
    <w:rsid w:val="00E15A99"/>
    <w:rsid w:val="00E15D52"/>
    <w:rsid w:val="00E16372"/>
    <w:rsid w:val="00E16A4D"/>
    <w:rsid w:val="00E16AD8"/>
    <w:rsid w:val="00E17B53"/>
    <w:rsid w:val="00E17C3F"/>
    <w:rsid w:val="00E17FFA"/>
    <w:rsid w:val="00E20472"/>
    <w:rsid w:val="00E20484"/>
    <w:rsid w:val="00E20E4D"/>
    <w:rsid w:val="00E20ED6"/>
    <w:rsid w:val="00E21152"/>
    <w:rsid w:val="00E21358"/>
    <w:rsid w:val="00E217F5"/>
    <w:rsid w:val="00E21EA6"/>
    <w:rsid w:val="00E2249B"/>
    <w:rsid w:val="00E228F6"/>
    <w:rsid w:val="00E22A0D"/>
    <w:rsid w:val="00E244F6"/>
    <w:rsid w:val="00E247C3"/>
    <w:rsid w:val="00E24CF3"/>
    <w:rsid w:val="00E25482"/>
    <w:rsid w:val="00E256B1"/>
    <w:rsid w:val="00E258DB"/>
    <w:rsid w:val="00E25D6A"/>
    <w:rsid w:val="00E261A2"/>
    <w:rsid w:val="00E26F57"/>
    <w:rsid w:val="00E2771E"/>
    <w:rsid w:val="00E277E9"/>
    <w:rsid w:val="00E3019D"/>
    <w:rsid w:val="00E30692"/>
    <w:rsid w:val="00E30FA0"/>
    <w:rsid w:val="00E311EF"/>
    <w:rsid w:val="00E3172D"/>
    <w:rsid w:val="00E3195D"/>
    <w:rsid w:val="00E32180"/>
    <w:rsid w:val="00E32286"/>
    <w:rsid w:val="00E32AA1"/>
    <w:rsid w:val="00E334D1"/>
    <w:rsid w:val="00E335DC"/>
    <w:rsid w:val="00E3493E"/>
    <w:rsid w:val="00E34948"/>
    <w:rsid w:val="00E35461"/>
    <w:rsid w:val="00E355D2"/>
    <w:rsid w:val="00E35B8B"/>
    <w:rsid w:val="00E35F2B"/>
    <w:rsid w:val="00E37569"/>
    <w:rsid w:val="00E40193"/>
    <w:rsid w:val="00E401B2"/>
    <w:rsid w:val="00E40E6B"/>
    <w:rsid w:val="00E417A4"/>
    <w:rsid w:val="00E41E28"/>
    <w:rsid w:val="00E41E2D"/>
    <w:rsid w:val="00E41E30"/>
    <w:rsid w:val="00E41FAF"/>
    <w:rsid w:val="00E42A0E"/>
    <w:rsid w:val="00E42D84"/>
    <w:rsid w:val="00E42F73"/>
    <w:rsid w:val="00E43C50"/>
    <w:rsid w:val="00E43D70"/>
    <w:rsid w:val="00E44382"/>
    <w:rsid w:val="00E44DB7"/>
    <w:rsid w:val="00E460C1"/>
    <w:rsid w:val="00E464A2"/>
    <w:rsid w:val="00E466F3"/>
    <w:rsid w:val="00E46C22"/>
    <w:rsid w:val="00E47B2C"/>
    <w:rsid w:val="00E510B9"/>
    <w:rsid w:val="00E510F9"/>
    <w:rsid w:val="00E5155B"/>
    <w:rsid w:val="00E51560"/>
    <w:rsid w:val="00E51821"/>
    <w:rsid w:val="00E51B64"/>
    <w:rsid w:val="00E52504"/>
    <w:rsid w:val="00E530E6"/>
    <w:rsid w:val="00E537F8"/>
    <w:rsid w:val="00E53F1B"/>
    <w:rsid w:val="00E53FC8"/>
    <w:rsid w:val="00E54296"/>
    <w:rsid w:val="00E54347"/>
    <w:rsid w:val="00E54A10"/>
    <w:rsid w:val="00E54BA4"/>
    <w:rsid w:val="00E54F6A"/>
    <w:rsid w:val="00E54F7E"/>
    <w:rsid w:val="00E55383"/>
    <w:rsid w:val="00E55424"/>
    <w:rsid w:val="00E554E6"/>
    <w:rsid w:val="00E55915"/>
    <w:rsid w:val="00E55B73"/>
    <w:rsid w:val="00E55BB5"/>
    <w:rsid w:val="00E568D0"/>
    <w:rsid w:val="00E574E6"/>
    <w:rsid w:val="00E57CBD"/>
    <w:rsid w:val="00E57F7F"/>
    <w:rsid w:val="00E6046C"/>
    <w:rsid w:val="00E60682"/>
    <w:rsid w:val="00E60886"/>
    <w:rsid w:val="00E611DF"/>
    <w:rsid w:val="00E61E40"/>
    <w:rsid w:val="00E641A7"/>
    <w:rsid w:val="00E6510E"/>
    <w:rsid w:val="00E659AD"/>
    <w:rsid w:val="00E65C13"/>
    <w:rsid w:val="00E65DF1"/>
    <w:rsid w:val="00E65E79"/>
    <w:rsid w:val="00E66222"/>
    <w:rsid w:val="00E664D8"/>
    <w:rsid w:val="00E66BA2"/>
    <w:rsid w:val="00E66E6A"/>
    <w:rsid w:val="00E6725A"/>
    <w:rsid w:val="00E67380"/>
    <w:rsid w:val="00E67416"/>
    <w:rsid w:val="00E67BD1"/>
    <w:rsid w:val="00E701E6"/>
    <w:rsid w:val="00E70398"/>
    <w:rsid w:val="00E70F69"/>
    <w:rsid w:val="00E71518"/>
    <w:rsid w:val="00E718B6"/>
    <w:rsid w:val="00E71B34"/>
    <w:rsid w:val="00E71BB6"/>
    <w:rsid w:val="00E71D39"/>
    <w:rsid w:val="00E723BA"/>
    <w:rsid w:val="00E724DE"/>
    <w:rsid w:val="00E73143"/>
    <w:rsid w:val="00E73458"/>
    <w:rsid w:val="00E73581"/>
    <w:rsid w:val="00E75283"/>
    <w:rsid w:val="00E7551D"/>
    <w:rsid w:val="00E75A55"/>
    <w:rsid w:val="00E75E0B"/>
    <w:rsid w:val="00E76759"/>
    <w:rsid w:val="00E76915"/>
    <w:rsid w:val="00E77330"/>
    <w:rsid w:val="00E801D8"/>
    <w:rsid w:val="00E8030E"/>
    <w:rsid w:val="00E81534"/>
    <w:rsid w:val="00E81C5D"/>
    <w:rsid w:val="00E82763"/>
    <w:rsid w:val="00E8287E"/>
    <w:rsid w:val="00E830EF"/>
    <w:rsid w:val="00E833F7"/>
    <w:rsid w:val="00E83BDF"/>
    <w:rsid w:val="00E83C60"/>
    <w:rsid w:val="00E8462E"/>
    <w:rsid w:val="00E85005"/>
    <w:rsid w:val="00E85771"/>
    <w:rsid w:val="00E85A3D"/>
    <w:rsid w:val="00E862B3"/>
    <w:rsid w:val="00E86FCC"/>
    <w:rsid w:val="00E871F8"/>
    <w:rsid w:val="00E875CE"/>
    <w:rsid w:val="00E87A1D"/>
    <w:rsid w:val="00E904B6"/>
    <w:rsid w:val="00E9094A"/>
    <w:rsid w:val="00E90CBE"/>
    <w:rsid w:val="00E91052"/>
    <w:rsid w:val="00E915A0"/>
    <w:rsid w:val="00E9170D"/>
    <w:rsid w:val="00E91C86"/>
    <w:rsid w:val="00E91D34"/>
    <w:rsid w:val="00E91D35"/>
    <w:rsid w:val="00E9201E"/>
    <w:rsid w:val="00E926A5"/>
    <w:rsid w:val="00E94327"/>
    <w:rsid w:val="00E9460F"/>
    <w:rsid w:val="00E94DE3"/>
    <w:rsid w:val="00E955ED"/>
    <w:rsid w:val="00E962CC"/>
    <w:rsid w:val="00E972DA"/>
    <w:rsid w:val="00E97615"/>
    <w:rsid w:val="00E97E5B"/>
    <w:rsid w:val="00EA17C3"/>
    <w:rsid w:val="00EA239B"/>
    <w:rsid w:val="00EA24D8"/>
    <w:rsid w:val="00EA2CAA"/>
    <w:rsid w:val="00EA309F"/>
    <w:rsid w:val="00EA3864"/>
    <w:rsid w:val="00EA3BBD"/>
    <w:rsid w:val="00EA3E1A"/>
    <w:rsid w:val="00EA4399"/>
    <w:rsid w:val="00EA483C"/>
    <w:rsid w:val="00EA5960"/>
    <w:rsid w:val="00EA7552"/>
    <w:rsid w:val="00EA7F1C"/>
    <w:rsid w:val="00EB0054"/>
    <w:rsid w:val="00EB047B"/>
    <w:rsid w:val="00EB077B"/>
    <w:rsid w:val="00EB12E3"/>
    <w:rsid w:val="00EB15B6"/>
    <w:rsid w:val="00EB1779"/>
    <w:rsid w:val="00EB1792"/>
    <w:rsid w:val="00EB1FAF"/>
    <w:rsid w:val="00EB269D"/>
    <w:rsid w:val="00EB2898"/>
    <w:rsid w:val="00EB2EB8"/>
    <w:rsid w:val="00EB30AB"/>
    <w:rsid w:val="00EB38DD"/>
    <w:rsid w:val="00EB393F"/>
    <w:rsid w:val="00EB3D06"/>
    <w:rsid w:val="00EB4916"/>
    <w:rsid w:val="00EB491E"/>
    <w:rsid w:val="00EB4D0D"/>
    <w:rsid w:val="00EB53F6"/>
    <w:rsid w:val="00EB5669"/>
    <w:rsid w:val="00EB60EB"/>
    <w:rsid w:val="00EB6380"/>
    <w:rsid w:val="00EB67BB"/>
    <w:rsid w:val="00EB7469"/>
    <w:rsid w:val="00EC00C9"/>
    <w:rsid w:val="00EC07C1"/>
    <w:rsid w:val="00EC0DD9"/>
    <w:rsid w:val="00EC1740"/>
    <w:rsid w:val="00EC1780"/>
    <w:rsid w:val="00EC2649"/>
    <w:rsid w:val="00EC2AC8"/>
    <w:rsid w:val="00EC3141"/>
    <w:rsid w:val="00EC31ED"/>
    <w:rsid w:val="00EC55FC"/>
    <w:rsid w:val="00EC566F"/>
    <w:rsid w:val="00EC5836"/>
    <w:rsid w:val="00EC5DD6"/>
    <w:rsid w:val="00EC6143"/>
    <w:rsid w:val="00EC6262"/>
    <w:rsid w:val="00EC688C"/>
    <w:rsid w:val="00EC6F28"/>
    <w:rsid w:val="00EC7B0B"/>
    <w:rsid w:val="00EC7CFB"/>
    <w:rsid w:val="00ED0701"/>
    <w:rsid w:val="00ED077B"/>
    <w:rsid w:val="00ED09F6"/>
    <w:rsid w:val="00ED0DF8"/>
    <w:rsid w:val="00ED12E3"/>
    <w:rsid w:val="00ED1702"/>
    <w:rsid w:val="00ED171A"/>
    <w:rsid w:val="00ED1BE6"/>
    <w:rsid w:val="00ED32FF"/>
    <w:rsid w:val="00ED3390"/>
    <w:rsid w:val="00ED45D3"/>
    <w:rsid w:val="00ED498E"/>
    <w:rsid w:val="00ED4B04"/>
    <w:rsid w:val="00ED56B0"/>
    <w:rsid w:val="00ED570D"/>
    <w:rsid w:val="00ED57EA"/>
    <w:rsid w:val="00ED5BD4"/>
    <w:rsid w:val="00ED61C6"/>
    <w:rsid w:val="00ED6F61"/>
    <w:rsid w:val="00ED7640"/>
    <w:rsid w:val="00EE06CE"/>
    <w:rsid w:val="00EE07D3"/>
    <w:rsid w:val="00EE0D26"/>
    <w:rsid w:val="00EE104C"/>
    <w:rsid w:val="00EE18C9"/>
    <w:rsid w:val="00EE1996"/>
    <w:rsid w:val="00EE1C01"/>
    <w:rsid w:val="00EE22AF"/>
    <w:rsid w:val="00EE2D4B"/>
    <w:rsid w:val="00EE31FB"/>
    <w:rsid w:val="00EE32AA"/>
    <w:rsid w:val="00EE4E54"/>
    <w:rsid w:val="00EE5C03"/>
    <w:rsid w:val="00EE5DF4"/>
    <w:rsid w:val="00EE6E39"/>
    <w:rsid w:val="00EE6F68"/>
    <w:rsid w:val="00EE6F79"/>
    <w:rsid w:val="00EE70DA"/>
    <w:rsid w:val="00EE779F"/>
    <w:rsid w:val="00EE785E"/>
    <w:rsid w:val="00EF0171"/>
    <w:rsid w:val="00EF09FB"/>
    <w:rsid w:val="00EF0C9A"/>
    <w:rsid w:val="00EF1B25"/>
    <w:rsid w:val="00EF1C11"/>
    <w:rsid w:val="00EF1DA0"/>
    <w:rsid w:val="00EF22C2"/>
    <w:rsid w:val="00EF25B2"/>
    <w:rsid w:val="00EF2622"/>
    <w:rsid w:val="00EF2BA3"/>
    <w:rsid w:val="00EF3643"/>
    <w:rsid w:val="00EF3DA0"/>
    <w:rsid w:val="00EF4747"/>
    <w:rsid w:val="00EF47D5"/>
    <w:rsid w:val="00EF4A63"/>
    <w:rsid w:val="00EF4BF8"/>
    <w:rsid w:val="00EF56E6"/>
    <w:rsid w:val="00EF570E"/>
    <w:rsid w:val="00EF5AB7"/>
    <w:rsid w:val="00EF6C70"/>
    <w:rsid w:val="00EF741E"/>
    <w:rsid w:val="00EF7CF9"/>
    <w:rsid w:val="00F003BF"/>
    <w:rsid w:val="00F00FDB"/>
    <w:rsid w:val="00F01964"/>
    <w:rsid w:val="00F01C98"/>
    <w:rsid w:val="00F01DE4"/>
    <w:rsid w:val="00F02253"/>
    <w:rsid w:val="00F0241D"/>
    <w:rsid w:val="00F0268A"/>
    <w:rsid w:val="00F03C2E"/>
    <w:rsid w:val="00F04A66"/>
    <w:rsid w:val="00F04B4B"/>
    <w:rsid w:val="00F04C04"/>
    <w:rsid w:val="00F0516C"/>
    <w:rsid w:val="00F067A2"/>
    <w:rsid w:val="00F067C9"/>
    <w:rsid w:val="00F0726A"/>
    <w:rsid w:val="00F07936"/>
    <w:rsid w:val="00F07B77"/>
    <w:rsid w:val="00F07B9E"/>
    <w:rsid w:val="00F10DE4"/>
    <w:rsid w:val="00F1116F"/>
    <w:rsid w:val="00F1263A"/>
    <w:rsid w:val="00F13217"/>
    <w:rsid w:val="00F134E1"/>
    <w:rsid w:val="00F139C5"/>
    <w:rsid w:val="00F13C02"/>
    <w:rsid w:val="00F14D9E"/>
    <w:rsid w:val="00F14DF0"/>
    <w:rsid w:val="00F150F9"/>
    <w:rsid w:val="00F1514B"/>
    <w:rsid w:val="00F15B77"/>
    <w:rsid w:val="00F162E4"/>
    <w:rsid w:val="00F178AD"/>
    <w:rsid w:val="00F17C40"/>
    <w:rsid w:val="00F200DD"/>
    <w:rsid w:val="00F201F0"/>
    <w:rsid w:val="00F2099B"/>
    <w:rsid w:val="00F21236"/>
    <w:rsid w:val="00F21C56"/>
    <w:rsid w:val="00F2205F"/>
    <w:rsid w:val="00F22141"/>
    <w:rsid w:val="00F222D0"/>
    <w:rsid w:val="00F2231A"/>
    <w:rsid w:val="00F24837"/>
    <w:rsid w:val="00F2575F"/>
    <w:rsid w:val="00F264A8"/>
    <w:rsid w:val="00F2666D"/>
    <w:rsid w:val="00F271E6"/>
    <w:rsid w:val="00F27565"/>
    <w:rsid w:val="00F27AE3"/>
    <w:rsid w:val="00F310D4"/>
    <w:rsid w:val="00F311FD"/>
    <w:rsid w:val="00F319D6"/>
    <w:rsid w:val="00F31D5A"/>
    <w:rsid w:val="00F32BF5"/>
    <w:rsid w:val="00F33087"/>
    <w:rsid w:val="00F33577"/>
    <w:rsid w:val="00F33975"/>
    <w:rsid w:val="00F33DE9"/>
    <w:rsid w:val="00F34DA1"/>
    <w:rsid w:val="00F34EAB"/>
    <w:rsid w:val="00F3502E"/>
    <w:rsid w:val="00F35AC5"/>
    <w:rsid w:val="00F35D0F"/>
    <w:rsid w:val="00F35D96"/>
    <w:rsid w:val="00F35E6D"/>
    <w:rsid w:val="00F3619A"/>
    <w:rsid w:val="00F3631F"/>
    <w:rsid w:val="00F37DF4"/>
    <w:rsid w:val="00F40AAA"/>
    <w:rsid w:val="00F40AEA"/>
    <w:rsid w:val="00F40BA7"/>
    <w:rsid w:val="00F40F9D"/>
    <w:rsid w:val="00F41215"/>
    <w:rsid w:val="00F412EE"/>
    <w:rsid w:val="00F4146F"/>
    <w:rsid w:val="00F41ACD"/>
    <w:rsid w:val="00F42B4B"/>
    <w:rsid w:val="00F42CD2"/>
    <w:rsid w:val="00F451C8"/>
    <w:rsid w:val="00F4557B"/>
    <w:rsid w:val="00F45BE1"/>
    <w:rsid w:val="00F4614E"/>
    <w:rsid w:val="00F46CB6"/>
    <w:rsid w:val="00F4756D"/>
    <w:rsid w:val="00F47C13"/>
    <w:rsid w:val="00F47DE8"/>
    <w:rsid w:val="00F50C4A"/>
    <w:rsid w:val="00F50D2C"/>
    <w:rsid w:val="00F51E53"/>
    <w:rsid w:val="00F5228C"/>
    <w:rsid w:val="00F5353E"/>
    <w:rsid w:val="00F542C1"/>
    <w:rsid w:val="00F54781"/>
    <w:rsid w:val="00F550E3"/>
    <w:rsid w:val="00F5542C"/>
    <w:rsid w:val="00F559A7"/>
    <w:rsid w:val="00F55E73"/>
    <w:rsid w:val="00F55EDA"/>
    <w:rsid w:val="00F561CD"/>
    <w:rsid w:val="00F5652F"/>
    <w:rsid w:val="00F5679A"/>
    <w:rsid w:val="00F56C80"/>
    <w:rsid w:val="00F56CC0"/>
    <w:rsid w:val="00F56F22"/>
    <w:rsid w:val="00F57838"/>
    <w:rsid w:val="00F579B5"/>
    <w:rsid w:val="00F57D3E"/>
    <w:rsid w:val="00F60092"/>
    <w:rsid w:val="00F60BDC"/>
    <w:rsid w:val="00F61027"/>
    <w:rsid w:val="00F610E8"/>
    <w:rsid w:val="00F61694"/>
    <w:rsid w:val="00F61C18"/>
    <w:rsid w:val="00F61C95"/>
    <w:rsid w:val="00F63BBB"/>
    <w:rsid w:val="00F64890"/>
    <w:rsid w:val="00F64E4A"/>
    <w:rsid w:val="00F654CB"/>
    <w:rsid w:val="00F65630"/>
    <w:rsid w:val="00F65934"/>
    <w:rsid w:val="00F65CDA"/>
    <w:rsid w:val="00F65F4B"/>
    <w:rsid w:val="00F65FD4"/>
    <w:rsid w:val="00F661C8"/>
    <w:rsid w:val="00F66D50"/>
    <w:rsid w:val="00F67853"/>
    <w:rsid w:val="00F67A69"/>
    <w:rsid w:val="00F700F6"/>
    <w:rsid w:val="00F70997"/>
    <w:rsid w:val="00F70BFF"/>
    <w:rsid w:val="00F70C9D"/>
    <w:rsid w:val="00F70CD4"/>
    <w:rsid w:val="00F710CB"/>
    <w:rsid w:val="00F71165"/>
    <w:rsid w:val="00F717AD"/>
    <w:rsid w:val="00F73BB3"/>
    <w:rsid w:val="00F73E08"/>
    <w:rsid w:val="00F740A0"/>
    <w:rsid w:val="00F743A7"/>
    <w:rsid w:val="00F74CD9"/>
    <w:rsid w:val="00F74D78"/>
    <w:rsid w:val="00F74EE2"/>
    <w:rsid w:val="00F753B8"/>
    <w:rsid w:val="00F757A0"/>
    <w:rsid w:val="00F76417"/>
    <w:rsid w:val="00F76A1B"/>
    <w:rsid w:val="00F77597"/>
    <w:rsid w:val="00F77F41"/>
    <w:rsid w:val="00F80A7B"/>
    <w:rsid w:val="00F80E5D"/>
    <w:rsid w:val="00F80EA6"/>
    <w:rsid w:val="00F80F1C"/>
    <w:rsid w:val="00F81818"/>
    <w:rsid w:val="00F8184D"/>
    <w:rsid w:val="00F818F2"/>
    <w:rsid w:val="00F81E78"/>
    <w:rsid w:val="00F8231A"/>
    <w:rsid w:val="00F82B98"/>
    <w:rsid w:val="00F82C06"/>
    <w:rsid w:val="00F82CB0"/>
    <w:rsid w:val="00F83660"/>
    <w:rsid w:val="00F83916"/>
    <w:rsid w:val="00F8463B"/>
    <w:rsid w:val="00F8470B"/>
    <w:rsid w:val="00F851CE"/>
    <w:rsid w:val="00F8550A"/>
    <w:rsid w:val="00F862DF"/>
    <w:rsid w:val="00F86BB1"/>
    <w:rsid w:val="00F87079"/>
    <w:rsid w:val="00F87761"/>
    <w:rsid w:val="00F87C9C"/>
    <w:rsid w:val="00F907D9"/>
    <w:rsid w:val="00F90C21"/>
    <w:rsid w:val="00F91219"/>
    <w:rsid w:val="00F9121E"/>
    <w:rsid w:val="00F91557"/>
    <w:rsid w:val="00F91F38"/>
    <w:rsid w:val="00F92444"/>
    <w:rsid w:val="00F92912"/>
    <w:rsid w:val="00F92A76"/>
    <w:rsid w:val="00F93655"/>
    <w:rsid w:val="00F9393E"/>
    <w:rsid w:val="00F93B39"/>
    <w:rsid w:val="00F95307"/>
    <w:rsid w:val="00F954EF"/>
    <w:rsid w:val="00F9561E"/>
    <w:rsid w:val="00F96FD0"/>
    <w:rsid w:val="00F973AA"/>
    <w:rsid w:val="00F973D5"/>
    <w:rsid w:val="00F975EC"/>
    <w:rsid w:val="00F97A78"/>
    <w:rsid w:val="00F97C07"/>
    <w:rsid w:val="00FA0206"/>
    <w:rsid w:val="00FA04DD"/>
    <w:rsid w:val="00FA0651"/>
    <w:rsid w:val="00FA071B"/>
    <w:rsid w:val="00FA0A8C"/>
    <w:rsid w:val="00FA0B20"/>
    <w:rsid w:val="00FA0B8F"/>
    <w:rsid w:val="00FA21B7"/>
    <w:rsid w:val="00FA24E7"/>
    <w:rsid w:val="00FA279F"/>
    <w:rsid w:val="00FA3652"/>
    <w:rsid w:val="00FA3A45"/>
    <w:rsid w:val="00FA3B0D"/>
    <w:rsid w:val="00FA4474"/>
    <w:rsid w:val="00FA4EE1"/>
    <w:rsid w:val="00FA5EE6"/>
    <w:rsid w:val="00FA6139"/>
    <w:rsid w:val="00FA618E"/>
    <w:rsid w:val="00FA64EF"/>
    <w:rsid w:val="00FA69AB"/>
    <w:rsid w:val="00FA6A9C"/>
    <w:rsid w:val="00FA6E34"/>
    <w:rsid w:val="00FA7134"/>
    <w:rsid w:val="00FA72F1"/>
    <w:rsid w:val="00FA7956"/>
    <w:rsid w:val="00FB00D2"/>
    <w:rsid w:val="00FB0824"/>
    <w:rsid w:val="00FB17E0"/>
    <w:rsid w:val="00FB1FE9"/>
    <w:rsid w:val="00FB26F6"/>
    <w:rsid w:val="00FB2CBD"/>
    <w:rsid w:val="00FB2E19"/>
    <w:rsid w:val="00FB2FCB"/>
    <w:rsid w:val="00FB33BC"/>
    <w:rsid w:val="00FB3F99"/>
    <w:rsid w:val="00FB4067"/>
    <w:rsid w:val="00FB4675"/>
    <w:rsid w:val="00FB4A81"/>
    <w:rsid w:val="00FB4C9C"/>
    <w:rsid w:val="00FB4CD1"/>
    <w:rsid w:val="00FB54AA"/>
    <w:rsid w:val="00FB5850"/>
    <w:rsid w:val="00FB60C9"/>
    <w:rsid w:val="00FB672B"/>
    <w:rsid w:val="00FB74D5"/>
    <w:rsid w:val="00FB7C55"/>
    <w:rsid w:val="00FB7EF4"/>
    <w:rsid w:val="00FC02A8"/>
    <w:rsid w:val="00FC0D19"/>
    <w:rsid w:val="00FC0F5B"/>
    <w:rsid w:val="00FC1074"/>
    <w:rsid w:val="00FC1884"/>
    <w:rsid w:val="00FC197B"/>
    <w:rsid w:val="00FC217C"/>
    <w:rsid w:val="00FC230E"/>
    <w:rsid w:val="00FC23DF"/>
    <w:rsid w:val="00FC2E46"/>
    <w:rsid w:val="00FC36B9"/>
    <w:rsid w:val="00FC371D"/>
    <w:rsid w:val="00FC3B8E"/>
    <w:rsid w:val="00FC44BB"/>
    <w:rsid w:val="00FC4F6D"/>
    <w:rsid w:val="00FC54A0"/>
    <w:rsid w:val="00FC5F0B"/>
    <w:rsid w:val="00FC65D8"/>
    <w:rsid w:val="00FC6962"/>
    <w:rsid w:val="00FC6CB8"/>
    <w:rsid w:val="00FC718C"/>
    <w:rsid w:val="00FC778D"/>
    <w:rsid w:val="00FD03D1"/>
    <w:rsid w:val="00FD061A"/>
    <w:rsid w:val="00FD0A03"/>
    <w:rsid w:val="00FD0F07"/>
    <w:rsid w:val="00FD1CD2"/>
    <w:rsid w:val="00FD2100"/>
    <w:rsid w:val="00FD23DE"/>
    <w:rsid w:val="00FD3159"/>
    <w:rsid w:val="00FD3418"/>
    <w:rsid w:val="00FD3E13"/>
    <w:rsid w:val="00FD436C"/>
    <w:rsid w:val="00FD446D"/>
    <w:rsid w:val="00FD4F2C"/>
    <w:rsid w:val="00FD5CB3"/>
    <w:rsid w:val="00FD6394"/>
    <w:rsid w:val="00FD749C"/>
    <w:rsid w:val="00FE089F"/>
    <w:rsid w:val="00FE0E6C"/>
    <w:rsid w:val="00FE17C8"/>
    <w:rsid w:val="00FE19CC"/>
    <w:rsid w:val="00FE1CDC"/>
    <w:rsid w:val="00FE345C"/>
    <w:rsid w:val="00FE48B7"/>
    <w:rsid w:val="00FE6BE4"/>
    <w:rsid w:val="00FE70C3"/>
    <w:rsid w:val="00FE70D0"/>
    <w:rsid w:val="00FE7455"/>
    <w:rsid w:val="00FF0C31"/>
    <w:rsid w:val="00FF12D2"/>
    <w:rsid w:val="00FF1682"/>
    <w:rsid w:val="00FF1925"/>
    <w:rsid w:val="00FF1A42"/>
    <w:rsid w:val="00FF1A8B"/>
    <w:rsid w:val="00FF2454"/>
    <w:rsid w:val="00FF2835"/>
    <w:rsid w:val="00FF2887"/>
    <w:rsid w:val="00FF2AD9"/>
    <w:rsid w:val="00FF33F9"/>
    <w:rsid w:val="00FF359F"/>
    <w:rsid w:val="00FF36E8"/>
    <w:rsid w:val="00FF3DCF"/>
    <w:rsid w:val="00FF46A3"/>
    <w:rsid w:val="00FF492C"/>
    <w:rsid w:val="00FF4A21"/>
    <w:rsid w:val="00FF50D4"/>
    <w:rsid w:val="00FF5AA3"/>
    <w:rsid w:val="00FF5AD8"/>
    <w:rsid w:val="00FF600C"/>
    <w:rsid w:val="00FF77CB"/>
    <w:rsid w:val="00FF7AFD"/>
    <w:rsid w:val="1A3921F5"/>
    <w:rsid w:val="7A737B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2C8"/>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MSD Table Grid,Header Table,NICE instructions,Source table_,HealthConsult,Dossier table,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23B2D"/>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4E2E1F"/>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0">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0"/>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table" w:customStyle="1" w:styleId="MSDTableGrid1">
    <w:name w:val="MSD Table Grid1"/>
    <w:basedOn w:val="TableNormal"/>
    <w:next w:val="TableGrid"/>
    <w:uiPriority w:val="59"/>
    <w:rsid w:val="004F0685"/>
    <w:rPr>
      <w:rFonts w:ascii="Arial Narrow" w:eastAsia="MS Gothic" w:hAnsi="Arial Narrow"/>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245E38"/>
    <w:rPr>
      <w:sz w:val="20"/>
      <w:szCs w:val="20"/>
    </w:rPr>
  </w:style>
  <w:style w:type="character" w:customStyle="1" w:styleId="FootnoteTextChar">
    <w:name w:val="Footnote Text Char"/>
    <w:basedOn w:val="DefaultParagraphFont"/>
    <w:link w:val="FootnoteText"/>
    <w:semiHidden/>
    <w:rsid w:val="00245E38"/>
    <w:rPr>
      <w:rFonts w:ascii="Calibri" w:hAnsi="Calibri" w:cs="Arial"/>
    </w:rPr>
  </w:style>
  <w:style w:type="character" w:styleId="FootnoteReference">
    <w:name w:val="footnote reference"/>
    <w:basedOn w:val="DefaultParagraphFont"/>
    <w:semiHidden/>
    <w:unhideWhenUsed/>
    <w:rsid w:val="00245E38"/>
    <w:rPr>
      <w:vertAlign w:val="superscript"/>
    </w:rPr>
  </w:style>
  <w:style w:type="table" w:styleId="LightShading-Accent3">
    <w:name w:val="Light Shading Accent 3"/>
    <w:basedOn w:val="TableNormal"/>
    <w:uiPriority w:val="60"/>
    <w:rsid w:val="005F7FB3"/>
    <w:rPr>
      <w:rFonts w:asciiTheme="majorHAnsi" w:eastAsiaTheme="majorEastAsia" w:hAnsiTheme="majorHAnsi" w:cstheme="maj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heme="majorBid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6EED5" w:themeFill="accent3" w:themeFillTint="3F"/>
      </w:tcPr>
    </w:tblStylePr>
    <w:tblStylePr w:type="band1Horz">
      <w:rPr>
        <w:rFonts w:cstheme="majorBidi"/>
      </w:rPr>
      <w:tblPr/>
      <w:tcPr>
        <w:tcBorders>
          <w:left w:val="nil"/>
          <w:right w:val="nil"/>
          <w:insideH w:val="nil"/>
          <w:insideV w:val="nil"/>
        </w:tcBorders>
        <w:shd w:val="clear" w:color="auto" w:fill="E6EED5" w:themeFill="accent3" w:themeFillTint="3F"/>
      </w:tcPr>
    </w:tblStylePr>
  </w:style>
  <w:style w:type="paragraph" w:customStyle="1" w:styleId="TableLeft">
    <w:name w:val="Table Left"/>
    <w:basedOn w:val="Normal"/>
    <w:link w:val="TableLeftChar"/>
    <w:uiPriority w:val="5"/>
    <w:qFormat/>
    <w:rsid w:val="005F7FB3"/>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5F7FB3"/>
    <w:rPr>
      <w:rFonts w:ascii="Arial Narrow" w:eastAsiaTheme="majorEastAsia" w:hAnsi="Arial Narrow" w:cstheme="majorBidi"/>
      <w:szCs w:val="22"/>
      <w:lang w:eastAsia="en-US"/>
    </w:rPr>
  </w:style>
  <w:style w:type="table" w:customStyle="1" w:styleId="Submissionstandard">
    <w:name w:val="Submission standard"/>
    <w:basedOn w:val="TableNormal"/>
    <w:uiPriority w:val="99"/>
    <w:qFormat/>
    <w:rsid w:val="00EB1792"/>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Narrow" w:hAnsi="ArialNarrow" w:cstheme="majorBidi"/>
        <w:b/>
        <w:sz w:val="20"/>
      </w:rPr>
      <w:tblPr/>
      <w:tcPr>
        <w:shd w:val="clear" w:color="auto" w:fill="BFBFBF" w:themeFill="background1" w:themeFillShade="BF"/>
      </w:tcPr>
    </w:tblStylePr>
  </w:style>
  <w:style w:type="paragraph" w:customStyle="1" w:styleId="TableHeading0">
    <w:name w:val="Table Heading"/>
    <w:basedOn w:val="Normal"/>
    <w:qFormat/>
    <w:rsid w:val="00B878BD"/>
    <w:pPr>
      <w:spacing w:after="60"/>
    </w:pPr>
    <w:rPr>
      <w:rFonts w:ascii="Arial Narrow" w:eastAsiaTheme="minorHAnsi" w:hAnsi="Arial Narrow" w:cstheme="minorBidi"/>
      <w:b/>
      <w:sz w:val="20"/>
      <w:szCs w:val="22"/>
      <w:lang w:eastAsia="en-US"/>
    </w:rPr>
  </w:style>
  <w:style w:type="paragraph" w:customStyle="1" w:styleId="TableBullet">
    <w:name w:val="Table Bullet"/>
    <w:basedOn w:val="Normal"/>
    <w:qFormat/>
    <w:rsid w:val="002B0C4D"/>
    <w:pPr>
      <w:numPr>
        <w:numId w:val="9"/>
      </w:numPr>
      <w:spacing w:before="40" w:after="40"/>
      <w:ind w:left="357" w:hanging="357"/>
    </w:pPr>
    <w:rPr>
      <w:rFonts w:ascii="Arial Narrow" w:eastAsiaTheme="minorHAnsi" w:hAnsi="Arial Narrow" w:cstheme="minorBidi"/>
      <w:sz w:val="20"/>
      <w:szCs w:val="22"/>
      <w:lang w:eastAsia="en-US"/>
    </w:rPr>
  </w:style>
  <w:style w:type="paragraph" w:customStyle="1" w:styleId="TableBullets">
    <w:name w:val="Table Bullets"/>
    <w:basedOn w:val="TableLeft"/>
    <w:uiPriority w:val="5"/>
    <w:qFormat/>
    <w:rsid w:val="00924F11"/>
    <w:pPr>
      <w:ind w:left="170" w:hanging="170"/>
    </w:pPr>
  </w:style>
  <w:style w:type="paragraph" w:customStyle="1" w:styleId="Bullet">
    <w:name w:val="Bullet"/>
    <w:basedOn w:val="Normal"/>
    <w:qFormat/>
    <w:rsid w:val="00924F11"/>
    <w:pPr>
      <w:numPr>
        <w:numId w:val="10"/>
      </w:numPr>
      <w:spacing w:after="120"/>
      <w:ind w:left="357" w:hanging="357"/>
    </w:pPr>
    <w:rPr>
      <w:rFonts w:asciiTheme="minorHAnsi" w:eastAsiaTheme="minorHAnsi" w:hAnsiTheme="minorHAnsi" w:cstheme="minorBidi"/>
      <w:sz w:val="22"/>
      <w:szCs w:val="22"/>
      <w:lang w:eastAsia="en-US"/>
    </w:rPr>
  </w:style>
  <w:style w:type="character" w:customStyle="1" w:styleId="eop">
    <w:name w:val="eop"/>
    <w:basedOn w:val="DefaultParagraphFont"/>
    <w:rsid w:val="0053274E"/>
  </w:style>
  <w:style w:type="character" w:customStyle="1" w:styleId="normaltextrun">
    <w:name w:val="normaltextrun"/>
    <w:basedOn w:val="DefaultParagraphFont"/>
    <w:rsid w:val="0053274E"/>
  </w:style>
  <w:style w:type="paragraph" w:customStyle="1" w:styleId="TableNotes">
    <w:name w:val="Table Notes"/>
    <w:basedOn w:val="Normal"/>
    <w:link w:val="TableNotesChar"/>
    <w:uiPriority w:val="6"/>
    <w:qFormat/>
    <w:rsid w:val="00412AB9"/>
    <w:pPr>
      <w:spacing w:after="40"/>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412AB9"/>
    <w:rPr>
      <w:rFonts w:ascii="Arial Narrow" w:eastAsiaTheme="majorEastAsia" w:hAnsi="Arial Narrow" w:cstheme="majorBidi"/>
      <w:sz w:val="16"/>
      <w:szCs w:val="22"/>
      <w:lang w:eastAsia="en-US"/>
    </w:rPr>
  </w:style>
  <w:style w:type="paragraph" w:customStyle="1" w:styleId="TableTextCA">
    <w:name w:val="Table Text CA"/>
    <w:basedOn w:val="Normal"/>
    <w:qFormat/>
    <w:rsid w:val="00547943"/>
    <w:pPr>
      <w:spacing w:before="40" w:after="40"/>
      <w:jc w:val="center"/>
    </w:pPr>
    <w:rPr>
      <w:rFonts w:ascii="Arial Narrow" w:eastAsiaTheme="minorHAnsi" w:hAnsi="Arial Narrow" w:cstheme="minorBidi"/>
      <w:sz w:val="20"/>
      <w:szCs w:val="22"/>
      <w:lang w:eastAsia="en-US"/>
    </w:rPr>
  </w:style>
  <w:style w:type="character" w:customStyle="1" w:styleId="Heading1Char">
    <w:name w:val="Heading 1 Char"/>
    <w:basedOn w:val="DefaultParagraphFont"/>
    <w:link w:val="Heading1"/>
    <w:uiPriority w:val="1"/>
    <w:rsid w:val="0006725C"/>
    <w:rPr>
      <w:rFonts w:ascii="Calibri" w:hAnsi="Calibri" w:cs="Arial"/>
      <w:b/>
      <w:caps/>
      <w:sz w:val="32"/>
      <w:szCs w:val="24"/>
    </w:rPr>
  </w:style>
  <w:style w:type="paragraph" w:customStyle="1" w:styleId="3Bodytext">
    <w:name w:val="3. Body text"/>
    <w:basedOn w:val="ListParagraph"/>
    <w:link w:val="3BodytextChar"/>
    <w:qFormat/>
    <w:rsid w:val="00811EC3"/>
    <w:pPr>
      <w:numPr>
        <w:numId w:val="0"/>
      </w:numPr>
      <w:ind w:left="720" w:hanging="360"/>
      <w:jc w:val="left"/>
    </w:pPr>
    <w:rPr>
      <w:snapToGrid/>
    </w:rPr>
  </w:style>
  <w:style w:type="character" w:customStyle="1" w:styleId="3BodytextChar">
    <w:name w:val="3. Body text Char"/>
    <w:basedOn w:val="DefaultParagraphFont"/>
    <w:link w:val="3Bodytext"/>
    <w:rsid w:val="00811EC3"/>
    <w:rPr>
      <w:rFonts w:asciiTheme="minorHAnsi" w:hAnsiTheme="minorHAnsi" w:cs="Arial"/>
      <w:sz w:val="24"/>
      <w:szCs w:val="24"/>
    </w:rPr>
  </w:style>
  <w:style w:type="character" w:customStyle="1" w:styleId="cf01">
    <w:name w:val="cf01"/>
    <w:basedOn w:val="DefaultParagraphFont"/>
    <w:rsid w:val="00BC17BE"/>
    <w:rPr>
      <w:rFonts w:ascii="Segoe UI" w:hAnsi="Segoe UI" w:cs="Segoe UI" w:hint="default"/>
      <w:sz w:val="18"/>
      <w:szCs w:val="18"/>
    </w:rPr>
  </w:style>
  <w:style w:type="paragraph" w:customStyle="1" w:styleId="pf0">
    <w:name w:val="pf0"/>
    <w:basedOn w:val="Normal"/>
    <w:rsid w:val="000E375A"/>
    <w:pPr>
      <w:spacing w:before="100" w:beforeAutospacing="1" w:after="100" w:afterAutospacing="1"/>
      <w:jc w:val="left"/>
    </w:pPr>
    <w:rPr>
      <w:rFonts w:ascii="Times New Roman" w:hAnsi="Times New Roman" w:cs="Times New Roman"/>
    </w:rPr>
  </w:style>
  <w:style w:type="paragraph" w:customStyle="1" w:styleId="3-SubsectionHeading">
    <w:name w:val="3-Subsection Heading"/>
    <w:basedOn w:val="Heading2"/>
    <w:next w:val="Normal"/>
    <w:link w:val="3-SubsectionHeadingChar"/>
    <w:qFormat/>
    <w:rsid w:val="00325C70"/>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325C70"/>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Numberbullet2">
    <w:name w:val="Number bullet 2"/>
    <w:basedOn w:val="ListBullet2"/>
    <w:qFormat/>
    <w:rsid w:val="00D74B19"/>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D74B19"/>
    <w:pPr>
      <w:numPr>
        <w:ilvl w:val="2"/>
        <w:numId w:val="27"/>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D74B19"/>
    <w:pPr>
      <w:numPr>
        <w:numId w:val="27"/>
      </w:numPr>
    </w:pPr>
  </w:style>
  <w:style w:type="paragraph" w:customStyle="1" w:styleId="COMH1numbered">
    <w:name w:val="COM H1 numbered"/>
    <w:next w:val="Normal"/>
    <w:link w:val="COMH1numberedChar"/>
    <w:qFormat/>
    <w:rsid w:val="00D74B19"/>
    <w:pPr>
      <w:keepNext/>
      <w:numPr>
        <w:numId w:val="27"/>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D74B19"/>
    <w:rPr>
      <w:rFonts w:asciiTheme="minorHAnsi" w:hAnsiTheme="minorHAnsi" w:cs="Arial"/>
      <w:b/>
      <w:snapToGrid w:val="0"/>
      <w:sz w:val="32"/>
      <w:szCs w:val="32"/>
    </w:rPr>
  </w:style>
  <w:style w:type="paragraph" w:styleId="ListBullet2">
    <w:name w:val="List Bullet 2"/>
    <w:basedOn w:val="Normal"/>
    <w:semiHidden/>
    <w:unhideWhenUsed/>
    <w:rsid w:val="00D74B19"/>
    <w:pPr>
      <w:ind w:left="425" w:hanging="425"/>
      <w:contextualSpacing/>
    </w:pPr>
  </w:style>
  <w:style w:type="paragraph" w:styleId="ListBullet3">
    <w:name w:val="List Bullet 3"/>
    <w:basedOn w:val="Normal"/>
    <w:semiHidden/>
    <w:unhideWhenUsed/>
    <w:rsid w:val="00D74B19"/>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8013961">
      <w:bodyDiv w:val="1"/>
      <w:marLeft w:val="0"/>
      <w:marRight w:val="0"/>
      <w:marTop w:val="0"/>
      <w:marBottom w:val="0"/>
      <w:divBdr>
        <w:top w:val="none" w:sz="0" w:space="0" w:color="auto"/>
        <w:left w:val="none" w:sz="0" w:space="0" w:color="auto"/>
        <w:bottom w:val="none" w:sz="0" w:space="0" w:color="auto"/>
        <w:right w:val="none" w:sz="0" w:space="0" w:color="auto"/>
      </w:divBdr>
    </w:div>
    <w:div w:id="199900495">
      <w:bodyDiv w:val="1"/>
      <w:marLeft w:val="0"/>
      <w:marRight w:val="0"/>
      <w:marTop w:val="0"/>
      <w:marBottom w:val="0"/>
      <w:divBdr>
        <w:top w:val="none" w:sz="0" w:space="0" w:color="auto"/>
        <w:left w:val="none" w:sz="0" w:space="0" w:color="auto"/>
        <w:bottom w:val="none" w:sz="0" w:space="0" w:color="auto"/>
        <w:right w:val="none" w:sz="0" w:space="0" w:color="auto"/>
      </w:divBdr>
    </w:div>
    <w:div w:id="207645254">
      <w:bodyDiv w:val="1"/>
      <w:marLeft w:val="0"/>
      <w:marRight w:val="0"/>
      <w:marTop w:val="0"/>
      <w:marBottom w:val="0"/>
      <w:divBdr>
        <w:top w:val="none" w:sz="0" w:space="0" w:color="auto"/>
        <w:left w:val="none" w:sz="0" w:space="0" w:color="auto"/>
        <w:bottom w:val="none" w:sz="0" w:space="0" w:color="auto"/>
        <w:right w:val="none" w:sz="0" w:space="0" w:color="auto"/>
      </w:divBdr>
    </w:div>
    <w:div w:id="21655590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7274539">
      <w:bodyDiv w:val="1"/>
      <w:marLeft w:val="0"/>
      <w:marRight w:val="0"/>
      <w:marTop w:val="0"/>
      <w:marBottom w:val="0"/>
      <w:divBdr>
        <w:top w:val="none" w:sz="0" w:space="0" w:color="auto"/>
        <w:left w:val="none" w:sz="0" w:space="0" w:color="auto"/>
        <w:bottom w:val="none" w:sz="0" w:space="0" w:color="auto"/>
        <w:right w:val="none" w:sz="0" w:space="0" w:color="auto"/>
      </w:divBdr>
    </w:div>
    <w:div w:id="333186317">
      <w:bodyDiv w:val="1"/>
      <w:marLeft w:val="0"/>
      <w:marRight w:val="0"/>
      <w:marTop w:val="0"/>
      <w:marBottom w:val="0"/>
      <w:divBdr>
        <w:top w:val="none" w:sz="0" w:space="0" w:color="auto"/>
        <w:left w:val="none" w:sz="0" w:space="0" w:color="auto"/>
        <w:bottom w:val="none" w:sz="0" w:space="0" w:color="auto"/>
        <w:right w:val="none" w:sz="0" w:space="0" w:color="auto"/>
      </w:divBdr>
    </w:div>
    <w:div w:id="358508243">
      <w:bodyDiv w:val="1"/>
      <w:marLeft w:val="0"/>
      <w:marRight w:val="0"/>
      <w:marTop w:val="0"/>
      <w:marBottom w:val="0"/>
      <w:divBdr>
        <w:top w:val="none" w:sz="0" w:space="0" w:color="auto"/>
        <w:left w:val="none" w:sz="0" w:space="0" w:color="auto"/>
        <w:bottom w:val="none" w:sz="0" w:space="0" w:color="auto"/>
        <w:right w:val="none" w:sz="0" w:space="0" w:color="auto"/>
      </w:divBdr>
    </w:div>
    <w:div w:id="428157396">
      <w:bodyDiv w:val="1"/>
      <w:marLeft w:val="0"/>
      <w:marRight w:val="0"/>
      <w:marTop w:val="0"/>
      <w:marBottom w:val="0"/>
      <w:divBdr>
        <w:top w:val="none" w:sz="0" w:space="0" w:color="auto"/>
        <w:left w:val="none" w:sz="0" w:space="0" w:color="auto"/>
        <w:bottom w:val="none" w:sz="0" w:space="0" w:color="auto"/>
        <w:right w:val="none" w:sz="0" w:space="0" w:color="auto"/>
      </w:divBdr>
    </w:div>
    <w:div w:id="453258042">
      <w:bodyDiv w:val="1"/>
      <w:marLeft w:val="0"/>
      <w:marRight w:val="0"/>
      <w:marTop w:val="0"/>
      <w:marBottom w:val="0"/>
      <w:divBdr>
        <w:top w:val="none" w:sz="0" w:space="0" w:color="auto"/>
        <w:left w:val="none" w:sz="0" w:space="0" w:color="auto"/>
        <w:bottom w:val="none" w:sz="0" w:space="0" w:color="auto"/>
        <w:right w:val="none" w:sz="0" w:space="0" w:color="auto"/>
      </w:divBdr>
    </w:div>
    <w:div w:id="574752243">
      <w:bodyDiv w:val="1"/>
      <w:marLeft w:val="0"/>
      <w:marRight w:val="0"/>
      <w:marTop w:val="0"/>
      <w:marBottom w:val="0"/>
      <w:divBdr>
        <w:top w:val="none" w:sz="0" w:space="0" w:color="auto"/>
        <w:left w:val="none" w:sz="0" w:space="0" w:color="auto"/>
        <w:bottom w:val="none" w:sz="0" w:space="0" w:color="auto"/>
        <w:right w:val="none" w:sz="0" w:space="0" w:color="auto"/>
      </w:divBdr>
    </w:div>
    <w:div w:id="679813355">
      <w:bodyDiv w:val="1"/>
      <w:marLeft w:val="0"/>
      <w:marRight w:val="0"/>
      <w:marTop w:val="0"/>
      <w:marBottom w:val="0"/>
      <w:divBdr>
        <w:top w:val="none" w:sz="0" w:space="0" w:color="auto"/>
        <w:left w:val="none" w:sz="0" w:space="0" w:color="auto"/>
        <w:bottom w:val="none" w:sz="0" w:space="0" w:color="auto"/>
        <w:right w:val="none" w:sz="0" w:space="0" w:color="auto"/>
      </w:divBdr>
    </w:div>
    <w:div w:id="780610601">
      <w:bodyDiv w:val="1"/>
      <w:marLeft w:val="0"/>
      <w:marRight w:val="0"/>
      <w:marTop w:val="0"/>
      <w:marBottom w:val="0"/>
      <w:divBdr>
        <w:top w:val="none" w:sz="0" w:space="0" w:color="auto"/>
        <w:left w:val="none" w:sz="0" w:space="0" w:color="auto"/>
        <w:bottom w:val="none" w:sz="0" w:space="0" w:color="auto"/>
        <w:right w:val="none" w:sz="0" w:space="0" w:color="auto"/>
      </w:divBdr>
    </w:div>
    <w:div w:id="83113932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6455251">
      <w:bodyDiv w:val="1"/>
      <w:marLeft w:val="0"/>
      <w:marRight w:val="0"/>
      <w:marTop w:val="0"/>
      <w:marBottom w:val="0"/>
      <w:divBdr>
        <w:top w:val="none" w:sz="0" w:space="0" w:color="auto"/>
        <w:left w:val="none" w:sz="0" w:space="0" w:color="auto"/>
        <w:bottom w:val="none" w:sz="0" w:space="0" w:color="auto"/>
        <w:right w:val="none" w:sz="0" w:space="0" w:color="auto"/>
      </w:divBdr>
    </w:div>
    <w:div w:id="916481041">
      <w:bodyDiv w:val="1"/>
      <w:marLeft w:val="0"/>
      <w:marRight w:val="0"/>
      <w:marTop w:val="0"/>
      <w:marBottom w:val="0"/>
      <w:divBdr>
        <w:top w:val="none" w:sz="0" w:space="0" w:color="auto"/>
        <w:left w:val="none" w:sz="0" w:space="0" w:color="auto"/>
        <w:bottom w:val="none" w:sz="0" w:space="0" w:color="auto"/>
        <w:right w:val="none" w:sz="0" w:space="0" w:color="auto"/>
      </w:divBdr>
    </w:div>
    <w:div w:id="951202695">
      <w:bodyDiv w:val="1"/>
      <w:marLeft w:val="0"/>
      <w:marRight w:val="0"/>
      <w:marTop w:val="0"/>
      <w:marBottom w:val="0"/>
      <w:divBdr>
        <w:top w:val="none" w:sz="0" w:space="0" w:color="auto"/>
        <w:left w:val="none" w:sz="0" w:space="0" w:color="auto"/>
        <w:bottom w:val="none" w:sz="0" w:space="0" w:color="auto"/>
        <w:right w:val="none" w:sz="0" w:space="0" w:color="auto"/>
      </w:divBdr>
    </w:div>
    <w:div w:id="976226555">
      <w:bodyDiv w:val="1"/>
      <w:marLeft w:val="0"/>
      <w:marRight w:val="0"/>
      <w:marTop w:val="0"/>
      <w:marBottom w:val="0"/>
      <w:divBdr>
        <w:top w:val="none" w:sz="0" w:space="0" w:color="auto"/>
        <w:left w:val="none" w:sz="0" w:space="0" w:color="auto"/>
        <w:bottom w:val="none" w:sz="0" w:space="0" w:color="auto"/>
        <w:right w:val="none" w:sz="0" w:space="0" w:color="auto"/>
      </w:divBdr>
    </w:div>
    <w:div w:id="986321693">
      <w:bodyDiv w:val="1"/>
      <w:marLeft w:val="0"/>
      <w:marRight w:val="0"/>
      <w:marTop w:val="0"/>
      <w:marBottom w:val="0"/>
      <w:divBdr>
        <w:top w:val="none" w:sz="0" w:space="0" w:color="auto"/>
        <w:left w:val="none" w:sz="0" w:space="0" w:color="auto"/>
        <w:bottom w:val="none" w:sz="0" w:space="0" w:color="auto"/>
        <w:right w:val="none" w:sz="0" w:space="0" w:color="auto"/>
      </w:divBdr>
    </w:div>
    <w:div w:id="1036080699">
      <w:bodyDiv w:val="1"/>
      <w:marLeft w:val="0"/>
      <w:marRight w:val="0"/>
      <w:marTop w:val="0"/>
      <w:marBottom w:val="0"/>
      <w:divBdr>
        <w:top w:val="none" w:sz="0" w:space="0" w:color="auto"/>
        <w:left w:val="none" w:sz="0" w:space="0" w:color="auto"/>
        <w:bottom w:val="none" w:sz="0" w:space="0" w:color="auto"/>
        <w:right w:val="none" w:sz="0" w:space="0" w:color="auto"/>
      </w:divBdr>
    </w:div>
    <w:div w:id="1072434274">
      <w:bodyDiv w:val="1"/>
      <w:marLeft w:val="0"/>
      <w:marRight w:val="0"/>
      <w:marTop w:val="0"/>
      <w:marBottom w:val="0"/>
      <w:divBdr>
        <w:top w:val="none" w:sz="0" w:space="0" w:color="auto"/>
        <w:left w:val="none" w:sz="0" w:space="0" w:color="auto"/>
        <w:bottom w:val="none" w:sz="0" w:space="0" w:color="auto"/>
        <w:right w:val="none" w:sz="0" w:space="0" w:color="auto"/>
      </w:divBdr>
    </w:div>
    <w:div w:id="1166700580">
      <w:bodyDiv w:val="1"/>
      <w:marLeft w:val="0"/>
      <w:marRight w:val="0"/>
      <w:marTop w:val="0"/>
      <w:marBottom w:val="0"/>
      <w:divBdr>
        <w:top w:val="none" w:sz="0" w:space="0" w:color="auto"/>
        <w:left w:val="none" w:sz="0" w:space="0" w:color="auto"/>
        <w:bottom w:val="none" w:sz="0" w:space="0" w:color="auto"/>
        <w:right w:val="none" w:sz="0" w:space="0" w:color="auto"/>
      </w:divBdr>
    </w:div>
    <w:div w:id="117167925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2349753">
      <w:bodyDiv w:val="1"/>
      <w:marLeft w:val="0"/>
      <w:marRight w:val="0"/>
      <w:marTop w:val="0"/>
      <w:marBottom w:val="0"/>
      <w:divBdr>
        <w:top w:val="none" w:sz="0" w:space="0" w:color="auto"/>
        <w:left w:val="none" w:sz="0" w:space="0" w:color="auto"/>
        <w:bottom w:val="none" w:sz="0" w:space="0" w:color="auto"/>
        <w:right w:val="none" w:sz="0" w:space="0" w:color="auto"/>
      </w:divBdr>
    </w:div>
    <w:div w:id="1268729360">
      <w:bodyDiv w:val="1"/>
      <w:marLeft w:val="0"/>
      <w:marRight w:val="0"/>
      <w:marTop w:val="0"/>
      <w:marBottom w:val="0"/>
      <w:divBdr>
        <w:top w:val="none" w:sz="0" w:space="0" w:color="auto"/>
        <w:left w:val="none" w:sz="0" w:space="0" w:color="auto"/>
        <w:bottom w:val="none" w:sz="0" w:space="0" w:color="auto"/>
        <w:right w:val="none" w:sz="0" w:space="0" w:color="auto"/>
      </w:divBdr>
    </w:div>
    <w:div w:id="1309701396">
      <w:bodyDiv w:val="1"/>
      <w:marLeft w:val="0"/>
      <w:marRight w:val="0"/>
      <w:marTop w:val="0"/>
      <w:marBottom w:val="0"/>
      <w:divBdr>
        <w:top w:val="none" w:sz="0" w:space="0" w:color="auto"/>
        <w:left w:val="none" w:sz="0" w:space="0" w:color="auto"/>
        <w:bottom w:val="none" w:sz="0" w:space="0" w:color="auto"/>
        <w:right w:val="none" w:sz="0" w:space="0" w:color="auto"/>
      </w:divBdr>
    </w:div>
    <w:div w:id="1310326959">
      <w:bodyDiv w:val="1"/>
      <w:marLeft w:val="0"/>
      <w:marRight w:val="0"/>
      <w:marTop w:val="0"/>
      <w:marBottom w:val="0"/>
      <w:divBdr>
        <w:top w:val="none" w:sz="0" w:space="0" w:color="auto"/>
        <w:left w:val="none" w:sz="0" w:space="0" w:color="auto"/>
        <w:bottom w:val="none" w:sz="0" w:space="0" w:color="auto"/>
        <w:right w:val="none" w:sz="0" w:space="0" w:color="auto"/>
      </w:divBdr>
    </w:div>
    <w:div w:id="1311447820">
      <w:bodyDiv w:val="1"/>
      <w:marLeft w:val="0"/>
      <w:marRight w:val="0"/>
      <w:marTop w:val="0"/>
      <w:marBottom w:val="0"/>
      <w:divBdr>
        <w:top w:val="none" w:sz="0" w:space="0" w:color="auto"/>
        <w:left w:val="none" w:sz="0" w:space="0" w:color="auto"/>
        <w:bottom w:val="none" w:sz="0" w:space="0" w:color="auto"/>
        <w:right w:val="none" w:sz="0" w:space="0" w:color="auto"/>
      </w:divBdr>
    </w:div>
    <w:div w:id="1332565678">
      <w:bodyDiv w:val="1"/>
      <w:marLeft w:val="0"/>
      <w:marRight w:val="0"/>
      <w:marTop w:val="0"/>
      <w:marBottom w:val="0"/>
      <w:divBdr>
        <w:top w:val="none" w:sz="0" w:space="0" w:color="auto"/>
        <w:left w:val="none" w:sz="0" w:space="0" w:color="auto"/>
        <w:bottom w:val="none" w:sz="0" w:space="0" w:color="auto"/>
        <w:right w:val="none" w:sz="0" w:space="0" w:color="auto"/>
      </w:divBdr>
    </w:div>
    <w:div w:id="1333332235">
      <w:bodyDiv w:val="1"/>
      <w:marLeft w:val="0"/>
      <w:marRight w:val="0"/>
      <w:marTop w:val="0"/>
      <w:marBottom w:val="0"/>
      <w:divBdr>
        <w:top w:val="none" w:sz="0" w:space="0" w:color="auto"/>
        <w:left w:val="none" w:sz="0" w:space="0" w:color="auto"/>
        <w:bottom w:val="none" w:sz="0" w:space="0" w:color="auto"/>
        <w:right w:val="none" w:sz="0" w:space="0" w:color="auto"/>
      </w:divBdr>
    </w:div>
    <w:div w:id="1338465323">
      <w:bodyDiv w:val="1"/>
      <w:marLeft w:val="0"/>
      <w:marRight w:val="0"/>
      <w:marTop w:val="0"/>
      <w:marBottom w:val="0"/>
      <w:divBdr>
        <w:top w:val="none" w:sz="0" w:space="0" w:color="auto"/>
        <w:left w:val="none" w:sz="0" w:space="0" w:color="auto"/>
        <w:bottom w:val="none" w:sz="0" w:space="0" w:color="auto"/>
        <w:right w:val="none" w:sz="0" w:space="0" w:color="auto"/>
      </w:divBdr>
    </w:div>
    <w:div w:id="1438133579">
      <w:bodyDiv w:val="1"/>
      <w:marLeft w:val="0"/>
      <w:marRight w:val="0"/>
      <w:marTop w:val="0"/>
      <w:marBottom w:val="0"/>
      <w:divBdr>
        <w:top w:val="none" w:sz="0" w:space="0" w:color="auto"/>
        <w:left w:val="none" w:sz="0" w:space="0" w:color="auto"/>
        <w:bottom w:val="none" w:sz="0" w:space="0" w:color="auto"/>
        <w:right w:val="none" w:sz="0" w:space="0" w:color="auto"/>
      </w:divBdr>
    </w:div>
    <w:div w:id="1441416517">
      <w:bodyDiv w:val="1"/>
      <w:marLeft w:val="0"/>
      <w:marRight w:val="0"/>
      <w:marTop w:val="0"/>
      <w:marBottom w:val="0"/>
      <w:divBdr>
        <w:top w:val="none" w:sz="0" w:space="0" w:color="auto"/>
        <w:left w:val="none" w:sz="0" w:space="0" w:color="auto"/>
        <w:bottom w:val="none" w:sz="0" w:space="0" w:color="auto"/>
        <w:right w:val="none" w:sz="0" w:space="0" w:color="auto"/>
      </w:divBdr>
    </w:div>
    <w:div w:id="1455900431">
      <w:bodyDiv w:val="1"/>
      <w:marLeft w:val="0"/>
      <w:marRight w:val="0"/>
      <w:marTop w:val="0"/>
      <w:marBottom w:val="0"/>
      <w:divBdr>
        <w:top w:val="none" w:sz="0" w:space="0" w:color="auto"/>
        <w:left w:val="none" w:sz="0" w:space="0" w:color="auto"/>
        <w:bottom w:val="none" w:sz="0" w:space="0" w:color="auto"/>
        <w:right w:val="none" w:sz="0" w:space="0" w:color="auto"/>
      </w:divBdr>
    </w:div>
    <w:div w:id="1554804761">
      <w:bodyDiv w:val="1"/>
      <w:marLeft w:val="0"/>
      <w:marRight w:val="0"/>
      <w:marTop w:val="0"/>
      <w:marBottom w:val="0"/>
      <w:divBdr>
        <w:top w:val="none" w:sz="0" w:space="0" w:color="auto"/>
        <w:left w:val="none" w:sz="0" w:space="0" w:color="auto"/>
        <w:bottom w:val="none" w:sz="0" w:space="0" w:color="auto"/>
        <w:right w:val="none" w:sz="0" w:space="0" w:color="auto"/>
      </w:divBdr>
    </w:div>
    <w:div w:id="1603144742">
      <w:bodyDiv w:val="1"/>
      <w:marLeft w:val="0"/>
      <w:marRight w:val="0"/>
      <w:marTop w:val="0"/>
      <w:marBottom w:val="0"/>
      <w:divBdr>
        <w:top w:val="none" w:sz="0" w:space="0" w:color="auto"/>
        <w:left w:val="none" w:sz="0" w:space="0" w:color="auto"/>
        <w:bottom w:val="none" w:sz="0" w:space="0" w:color="auto"/>
        <w:right w:val="none" w:sz="0" w:space="0" w:color="auto"/>
      </w:divBdr>
    </w:div>
    <w:div w:id="1615863715">
      <w:bodyDiv w:val="1"/>
      <w:marLeft w:val="0"/>
      <w:marRight w:val="0"/>
      <w:marTop w:val="0"/>
      <w:marBottom w:val="0"/>
      <w:divBdr>
        <w:top w:val="none" w:sz="0" w:space="0" w:color="auto"/>
        <w:left w:val="none" w:sz="0" w:space="0" w:color="auto"/>
        <w:bottom w:val="none" w:sz="0" w:space="0" w:color="auto"/>
        <w:right w:val="none" w:sz="0" w:space="0" w:color="auto"/>
      </w:divBdr>
    </w:div>
    <w:div w:id="1692222965">
      <w:bodyDiv w:val="1"/>
      <w:marLeft w:val="0"/>
      <w:marRight w:val="0"/>
      <w:marTop w:val="0"/>
      <w:marBottom w:val="0"/>
      <w:divBdr>
        <w:top w:val="none" w:sz="0" w:space="0" w:color="auto"/>
        <w:left w:val="none" w:sz="0" w:space="0" w:color="auto"/>
        <w:bottom w:val="none" w:sz="0" w:space="0" w:color="auto"/>
        <w:right w:val="none" w:sz="0" w:space="0" w:color="auto"/>
      </w:divBdr>
    </w:div>
    <w:div w:id="1734693238">
      <w:bodyDiv w:val="1"/>
      <w:marLeft w:val="0"/>
      <w:marRight w:val="0"/>
      <w:marTop w:val="0"/>
      <w:marBottom w:val="0"/>
      <w:divBdr>
        <w:top w:val="none" w:sz="0" w:space="0" w:color="auto"/>
        <w:left w:val="none" w:sz="0" w:space="0" w:color="auto"/>
        <w:bottom w:val="none" w:sz="0" w:space="0" w:color="auto"/>
        <w:right w:val="none" w:sz="0" w:space="0" w:color="auto"/>
      </w:divBdr>
    </w:div>
    <w:div w:id="179918386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6/NEJMoa2216334"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53</Pages>
  <Words>21129</Words>
  <Characters>115464</Characters>
  <Application>Microsoft Office Word</Application>
  <DocSecurity>0</DocSecurity>
  <Lines>962</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2024-02-28T22:20:00Z</dcterms:created>
  <dcterms:modified xsi:type="dcterms:W3CDTF">2024-02-28T22:26:00Z</dcterms:modified>
</cp:coreProperties>
</file>